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2123" w:rsidRDefault="00282123" w:rsidP="00282123">
      <w:pPr>
        <w:jc w:val="center"/>
        <w:rPr>
          <w:rFonts w:ascii="Times New Roman" w:hAnsi="Times New Roman" w:cs="Times New Roman"/>
          <w:b/>
          <w:sz w:val="24"/>
        </w:rPr>
      </w:pPr>
      <w:bookmarkStart w:id="0" w:name="_GoBack"/>
      <w:bookmarkEnd w:id="0"/>
      <w:r>
        <w:rPr>
          <w:rFonts w:ascii="Times New Roman" w:hAnsi="Times New Roman" w:cs="Times New Roman"/>
          <w:b/>
          <w:sz w:val="24"/>
        </w:rPr>
        <w:t>ÍNDICE</w:t>
      </w:r>
    </w:p>
    <w:p w:rsidR="00C75675" w:rsidRDefault="00282123" w:rsidP="00C75675">
      <w:pPr>
        <w:ind w:right="707"/>
        <w:jc w:val="both"/>
        <w:rPr>
          <w:rFonts w:ascii="Times New Roman" w:hAnsi="Times New Roman" w:cs="Times New Roman"/>
          <w:sz w:val="24"/>
        </w:rPr>
      </w:pPr>
      <w:r>
        <w:rPr>
          <w:rFonts w:ascii="Times New Roman" w:hAnsi="Times New Roman" w:cs="Times New Roman"/>
          <w:sz w:val="24"/>
        </w:rPr>
        <w:t>Agradecimientos</w:t>
      </w:r>
      <w:r w:rsidR="00C75675">
        <w:rPr>
          <w:rFonts w:ascii="Times New Roman" w:hAnsi="Times New Roman" w:cs="Times New Roman"/>
          <w:sz w:val="24"/>
        </w:rPr>
        <w:tab/>
      </w:r>
      <w:r w:rsidR="00C75675">
        <w:rPr>
          <w:rFonts w:ascii="Times New Roman" w:hAnsi="Times New Roman" w:cs="Times New Roman"/>
          <w:sz w:val="24"/>
        </w:rPr>
        <w:tab/>
      </w:r>
      <w:r w:rsidR="00C75675">
        <w:rPr>
          <w:rFonts w:ascii="Times New Roman" w:hAnsi="Times New Roman" w:cs="Times New Roman"/>
          <w:sz w:val="24"/>
        </w:rPr>
        <w:tab/>
      </w:r>
      <w:r w:rsidR="00C75675">
        <w:rPr>
          <w:rFonts w:ascii="Times New Roman" w:hAnsi="Times New Roman" w:cs="Times New Roman"/>
          <w:sz w:val="24"/>
        </w:rPr>
        <w:tab/>
      </w:r>
      <w:r w:rsidR="00C75675">
        <w:rPr>
          <w:rFonts w:ascii="Times New Roman" w:hAnsi="Times New Roman" w:cs="Times New Roman"/>
          <w:sz w:val="24"/>
        </w:rPr>
        <w:tab/>
      </w:r>
      <w:r w:rsidR="00C75675">
        <w:rPr>
          <w:rFonts w:ascii="Times New Roman" w:hAnsi="Times New Roman" w:cs="Times New Roman"/>
          <w:sz w:val="24"/>
        </w:rPr>
        <w:tab/>
      </w:r>
      <w:r w:rsidR="00C75675">
        <w:rPr>
          <w:rFonts w:ascii="Times New Roman" w:hAnsi="Times New Roman" w:cs="Times New Roman"/>
          <w:sz w:val="24"/>
        </w:rPr>
        <w:tab/>
      </w:r>
      <w:r w:rsidR="00C75675">
        <w:rPr>
          <w:rFonts w:ascii="Times New Roman" w:hAnsi="Times New Roman" w:cs="Times New Roman"/>
          <w:sz w:val="24"/>
        </w:rPr>
        <w:tab/>
      </w:r>
      <w:r w:rsidR="008E37DA">
        <w:rPr>
          <w:rFonts w:ascii="Times New Roman" w:hAnsi="Times New Roman" w:cs="Times New Roman"/>
          <w:sz w:val="24"/>
        </w:rPr>
        <w:t>3</w:t>
      </w:r>
    </w:p>
    <w:p w:rsidR="00282123" w:rsidRDefault="00282123" w:rsidP="00C75675">
      <w:pPr>
        <w:ind w:right="707"/>
        <w:jc w:val="both"/>
        <w:rPr>
          <w:rFonts w:ascii="Times New Roman" w:hAnsi="Times New Roman" w:cs="Times New Roman"/>
          <w:sz w:val="24"/>
        </w:rPr>
      </w:pPr>
      <w:r>
        <w:rPr>
          <w:rFonts w:ascii="Times New Roman" w:hAnsi="Times New Roman" w:cs="Times New Roman"/>
          <w:sz w:val="24"/>
        </w:rPr>
        <w:t>Dedicatoria</w:t>
      </w:r>
      <w:r w:rsidR="00C75675">
        <w:rPr>
          <w:rFonts w:ascii="Times New Roman" w:hAnsi="Times New Roman" w:cs="Times New Roman"/>
          <w:sz w:val="24"/>
        </w:rPr>
        <w:tab/>
      </w:r>
      <w:r w:rsidR="00C75675">
        <w:rPr>
          <w:rFonts w:ascii="Times New Roman" w:hAnsi="Times New Roman" w:cs="Times New Roman"/>
          <w:sz w:val="24"/>
        </w:rPr>
        <w:tab/>
      </w:r>
      <w:r w:rsidR="00C75675">
        <w:rPr>
          <w:rFonts w:ascii="Times New Roman" w:hAnsi="Times New Roman" w:cs="Times New Roman"/>
          <w:sz w:val="24"/>
        </w:rPr>
        <w:tab/>
      </w:r>
      <w:r w:rsidR="00C75675">
        <w:rPr>
          <w:rFonts w:ascii="Times New Roman" w:hAnsi="Times New Roman" w:cs="Times New Roman"/>
          <w:sz w:val="24"/>
        </w:rPr>
        <w:tab/>
      </w:r>
      <w:r w:rsidR="00C75675">
        <w:rPr>
          <w:rFonts w:ascii="Times New Roman" w:hAnsi="Times New Roman" w:cs="Times New Roman"/>
          <w:sz w:val="24"/>
        </w:rPr>
        <w:tab/>
      </w:r>
      <w:r w:rsidR="00C75675">
        <w:rPr>
          <w:rFonts w:ascii="Times New Roman" w:hAnsi="Times New Roman" w:cs="Times New Roman"/>
          <w:sz w:val="24"/>
        </w:rPr>
        <w:tab/>
      </w:r>
      <w:r w:rsidR="00C75675">
        <w:rPr>
          <w:rFonts w:ascii="Times New Roman" w:hAnsi="Times New Roman" w:cs="Times New Roman"/>
          <w:sz w:val="24"/>
        </w:rPr>
        <w:tab/>
      </w:r>
      <w:r w:rsidR="00C75675">
        <w:rPr>
          <w:rFonts w:ascii="Times New Roman" w:hAnsi="Times New Roman" w:cs="Times New Roman"/>
          <w:sz w:val="24"/>
        </w:rPr>
        <w:tab/>
      </w:r>
      <w:r w:rsidR="00C75675">
        <w:rPr>
          <w:rFonts w:ascii="Times New Roman" w:hAnsi="Times New Roman" w:cs="Times New Roman"/>
          <w:sz w:val="24"/>
        </w:rPr>
        <w:tab/>
      </w:r>
      <w:r w:rsidR="008E37DA">
        <w:rPr>
          <w:rFonts w:ascii="Times New Roman" w:hAnsi="Times New Roman" w:cs="Times New Roman"/>
          <w:sz w:val="24"/>
        </w:rPr>
        <w:t>4</w:t>
      </w:r>
    </w:p>
    <w:p w:rsidR="00C75675" w:rsidRDefault="00C75675" w:rsidP="00C75675">
      <w:pPr>
        <w:ind w:right="707"/>
        <w:jc w:val="both"/>
        <w:rPr>
          <w:rFonts w:ascii="Times New Roman" w:hAnsi="Times New Roman" w:cs="Times New Roman"/>
          <w:sz w:val="24"/>
        </w:rPr>
      </w:pPr>
      <w:r>
        <w:rPr>
          <w:rFonts w:ascii="Times New Roman" w:hAnsi="Times New Roman" w:cs="Times New Roman"/>
          <w:sz w:val="24"/>
        </w:rPr>
        <w:t>Introducción</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8E37DA">
        <w:rPr>
          <w:rFonts w:ascii="Times New Roman" w:hAnsi="Times New Roman" w:cs="Times New Roman"/>
          <w:sz w:val="24"/>
        </w:rPr>
        <w:t>5</w:t>
      </w:r>
    </w:p>
    <w:p w:rsidR="00C75675" w:rsidRDefault="00C75675" w:rsidP="00C75675">
      <w:pPr>
        <w:ind w:right="707"/>
        <w:jc w:val="both"/>
        <w:rPr>
          <w:rFonts w:ascii="Times New Roman" w:hAnsi="Times New Roman" w:cs="Times New Roman"/>
          <w:sz w:val="24"/>
        </w:rPr>
      </w:pPr>
      <w:r>
        <w:rPr>
          <w:rFonts w:ascii="Times New Roman" w:hAnsi="Times New Roman" w:cs="Times New Roman"/>
          <w:sz w:val="24"/>
        </w:rPr>
        <w:t>Objetivos</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8E37DA">
        <w:rPr>
          <w:rFonts w:ascii="Times New Roman" w:hAnsi="Times New Roman" w:cs="Times New Roman"/>
          <w:sz w:val="24"/>
        </w:rPr>
        <w:t>7</w:t>
      </w:r>
    </w:p>
    <w:p w:rsidR="00C75675" w:rsidRDefault="00C75675" w:rsidP="00C75675">
      <w:pPr>
        <w:ind w:right="707"/>
        <w:jc w:val="both"/>
        <w:rPr>
          <w:rFonts w:ascii="Times New Roman" w:hAnsi="Times New Roman" w:cs="Times New Roman"/>
          <w:sz w:val="24"/>
        </w:rPr>
      </w:pPr>
      <w:r>
        <w:rPr>
          <w:rFonts w:ascii="Times New Roman" w:hAnsi="Times New Roman" w:cs="Times New Roman"/>
          <w:sz w:val="24"/>
        </w:rPr>
        <w:t>Justificación</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8E37DA">
        <w:rPr>
          <w:rFonts w:ascii="Times New Roman" w:hAnsi="Times New Roman" w:cs="Times New Roman"/>
          <w:sz w:val="24"/>
        </w:rPr>
        <w:t>8</w:t>
      </w:r>
    </w:p>
    <w:p w:rsidR="00C75675" w:rsidRDefault="00282123" w:rsidP="00C75675">
      <w:pPr>
        <w:ind w:right="707"/>
        <w:jc w:val="both"/>
        <w:rPr>
          <w:rFonts w:ascii="Times New Roman" w:hAnsi="Times New Roman" w:cs="Times New Roman"/>
          <w:sz w:val="24"/>
        </w:rPr>
      </w:pPr>
      <w:r>
        <w:rPr>
          <w:rFonts w:ascii="Times New Roman" w:hAnsi="Times New Roman" w:cs="Times New Roman"/>
          <w:sz w:val="24"/>
        </w:rPr>
        <w:t>Capítulo I</w:t>
      </w:r>
      <w:r w:rsidR="00C75675">
        <w:rPr>
          <w:rFonts w:ascii="Times New Roman" w:hAnsi="Times New Roman" w:cs="Times New Roman"/>
          <w:sz w:val="24"/>
        </w:rPr>
        <w:t>: El Derecho Internacional Humanitario</w:t>
      </w:r>
      <w:r w:rsidR="00C75675">
        <w:rPr>
          <w:rFonts w:ascii="Times New Roman" w:hAnsi="Times New Roman" w:cs="Times New Roman"/>
          <w:sz w:val="24"/>
        </w:rPr>
        <w:tab/>
      </w:r>
      <w:r w:rsidR="00C75675">
        <w:rPr>
          <w:rFonts w:ascii="Times New Roman" w:hAnsi="Times New Roman" w:cs="Times New Roman"/>
          <w:sz w:val="24"/>
        </w:rPr>
        <w:tab/>
      </w:r>
      <w:r w:rsidR="00C75675">
        <w:rPr>
          <w:rFonts w:ascii="Times New Roman" w:hAnsi="Times New Roman" w:cs="Times New Roman"/>
          <w:sz w:val="24"/>
        </w:rPr>
        <w:tab/>
      </w:r>
      <w:r w:rsidR="00C75675">
        <w:rPr>
          <w:rFonts w:ascii="Times New Roman" w:hAnsi="Times New Roman" w:cs="Times New Roman"/>
          <w:sz w:val="24"/>
        </w:rPr>
        <w:tab/>
        <w:t xml:space="preserve"> </w:t>
      </w:r>
    </w:p>
    <w:p w:rsidR="00C75675" w:rsidRDefault="00C75675" w:rsidP="00C75675">
      <w:pPr>
        <w:ind w:right="707" w:firstLine="708"/>
        <w:jc w:val="both"/>
        <w:rPr>
          <w:rFonts w:ascii="Times New Roman" w:hAnsi="Times New Roman" w:cs="Times New Roman"/>
          <w:sz w:val="24"/>
        </w:rPr>
      </w:pPr>
      <w:r>
        <w:rPr>
          <w:rFonts w:ascii="Times New Roman" w:hAnsi="Times New Roman" w:cs="Times New Roman"/>
          <w:sz w:val="24"/>
        </w:rPr>
        <w:t>Introducción</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8E37DA">
        <w:rPr>
          <w:rFonts w:ascii="Times New Roman" w:hAnsi="Times New Roman" w:cs="Times New Roman"/>
          <w:sz w:val="24"/>
        </w:rPr>
        <w:t>9</w:t>
      </w:r>
    </w:p>
    <w:p w:rsidR="00E43DE9" w:rsidRDefault="00C75675" w:rsidP="00E43DE9">
      <w:pPr>
        <w:ind w:right="707" w:firstLine="708"/>
        <w:jc w:val="both"/>
        <w:rPr>
          <w:rFonts w:ascii="Times New Roman" w:hAnsi="Times New Roman" w:cs="Times New Roman"/>
          <w:sz w:val="24"/>
        </w:rPr>
      </w:pPr>
      <w:r>
        <w:rPr>
          <w:rFonts w:ascii="Times New Roman" w:hAnsi="Times New Roman" w:cs="Times New Roman"/>
          <w:sz w:val="24"/>
        </w:rPr>
        <w:t>Historia</w:t>
      </w:r>
      <w:r w:rsidR="008E37DA">
        <w:rPr>
          <w:rFonts w:ascii="Times New Roman" w:hAnsi="Times New Roman" w:cs="Times New Roman"/>
          <w:sz w:val="24"/>
        </w:rPr>
        <w:tab/>
      </w:r>
      <w:r w:rsidR="008E37DA">
        <w:rPr>
          <w:rFonts w:ascii="Times New Roman" w:hAnsi="Times New Roman" w:cs="Times New Roman"/>
          <w:sz w:val="24"/>
        </w:rPr>
        <w:tab/>
      </w:r>
      <w:r w:rsidR="008E37DA">
        <w:rPr>
          <w:rFonts w:ascii="Times New Roman" w:hAnsi="Times New Roman" w:cs="Times New Roman"/>
          <w:sz w:val="24"/>
        </w:rPr>
        <w:tab/>
      </w:r>
      <w:r w:rsidR="008E37DA">
        <w:rPr>
          <w:rFonts w:ascii="Times New Roman" w:hAnsi="Times New Roman" w:cs="Times New Roman"/>
          <w:sz w:val="24"/>
        </w:rPr>
        <w:tab/>
      </w:r>
      <w:r w:rsidR="008E37DA">
        <w:rPr>
          <w:rFonts w:ascii="Times New Roman" w:hAnsi="Times New Roman" w:cs="Times New Roman"/>
          <w:sz w:val="24"/>
        </w:rPr>
        <w:tab/>
      </w:r>
      <w:r w:rsidR="008E37DA">
        <w:rPr>
          <w:rFonts w:ascii="Times New Roman" w:hAnsi="Times New Roman" w:cs="Times New Roman"/>
          <w:sz w:val="24"/>
        </w:rPr>
        <w:tab/>
      </w:r>
      <w:r w:rsidR="008E37DA">
        <w:rPr>
          <w:rFonts w:ascii="Times New Roman" w:hAnsi="Times New Roman" w:cs="Times New Roman"/>
          <w:sz w:val="24"/>
        </w:rPr>
        <w:tab/>
      </w:r>
      <w:r w:rsidR="008E37DA">
        <w:rPr>
          <w:rFonts w:ascii="Times New Roman" w:hAnsi="Times New Roman" w:cs="Times New Roman"/>
          <w:sz w:val="24"/>
        </w:rPr>
        <w:tab/>
        <w:t>10</w:t>
      </w:r>
    </w:p>
    <w:p w:rsidR="00E43DE9" w:rsidRPr="00B76961" w:rsidRDefault="00E43DE9" w:rsidP="00E43DE9">
      <w:pPr>
        <w:ind w:right="707" w:firstLine="708"/>
        <w:jc w:val="both"/>
        <w:rPr>
          <w:rFonts w:ascii="Times New Roman" w:hAnsi="Times New Roman" w:cs="Times New Roman"/>
          <w:sz w:val="24"/>
          <w:lang w:val="es-EC"/>
        </w:rPr>
      </w:pPr>
      <w:proofErr w:type="spellStart"/>
      <w:r w:rsidRPr="00B76961">
        <w:rPr>
          <w:rFonts w:ascii="Times New Roman" w:hAnsi="Times New Roman" w:cs="Times New Roman"/>
          <w:i/>
          <w:sz w:val="24"/>
          <w:lang w:val="es-EC"/>
        </w:rPr>
        <w:t>Ius</w:t>
      </w:r>
      <w:proofErr w:type="spellEnd"/>
      <w:r w:rsidRPr="00B76961">
        <w:rPr>
          <w:rFonts w:ascii="Times New Roman" w:hAnsi="Times New Roman" w:cs="Times New Roman"/>
          <w:i/>
          <w:sz w:val="24"/>
          <w:lang w:val="es-EC"/>
        </w:rPr>
        <w:t xml:space="preserve"> ad </w:t>
      </w:r>
      <w:proofErr w:type="spellStart"/>
      <w:r w:rsidRPr="00B76961">
        <w:rPr>
          <w:rFonts w:ascii="Times New Roman" w:hAnsi="Times New Roman" w:cs="Times New Roman"/>
          <w:i/>
          <w:sz w:val="24"/>
          <w:lang w:val="es-EC"/>
        </w:rPr>
        <w:t>Bellum</w:t>
      </w:r>
      <w:proofErr w:type="spellEnd"/>
      <w:r w:rsidRPr="00B76961">
        <w:rPr>
          <w:rFonts w:ascii="Times New Roman" w:hAnsi="Times New Roman" w:cs="Times New Roman"/>
          <w:i/>
          <w:sz w:val="24"/>
          <w:lang w:val="es-EC"/>
        </w:rPr>
        <w:t xml:space="preserve">, </w:t>
      </w:r>
      <w:proofErr w:type="spellStart"/>
      <w:r w:rsidRPr="00B76961">
        <w:rPr>
          <w:rFonts w:ascii="Times New Roman" w:hAnsi="Times New Roman" w:cs="Times New Roman"/>
          <w:i/>
          <w:sz w:val="24"/>
          <w:lang w:val="es-EC"/>
        </w:rPr>
        <w:t>Ius</w:t>
      </w:r>
      <w:proofErr w:type="spellEnd"/>
      <w:r w:rsidRPr="00B76961">
        <w:rPr>
          <w:rFonts w:ascii="Times New Roman" w:hAnsi="Times New Roman" w:cs="Times New Roman"/>
          <w:i/>
          <w:sz w:val="24"/>
          <w:lang w:val="es-EC"/>
        </w:rPr>
        <w:t xml:space="preserve"> in Bello</w:t>
      </w:r>
      <w:r w:rsidR="008E37DA" w:rsidRPr="00B76961">
        <w:rPr>
          <w:rFonts w:ascii="Times New Roman" w:hAnsi="Times New Roman" w:cs="Times New Roman"/>
          <w:i/>
          <w:sz w:val="24"/>
          <w:lang w:val="es-EC"/>
        </w:rPr>
        <w:tab/>
      </w:r>
      <w:r w:rsidR="008E37DA" w:rsidRPr="00B76961">
        <w:rPr>
          <w:rFonts w:ascii="Times New Roman" w:hAnsi="Times New Roman" w:cs="Times New Roman"/>
          <w:i/>
          <w:sz w:val="24"/>
          <w:lang w:val="es-EC"/>
        </w:rPr>
        <w:tab/>
      </w:r>
      <w:r w:rsidR="008E37DA" w:rsidRPr="00B76961">
        <w:rPr>
          <w:rFonts w:ascii="Times New Roman" w:hAnsi="Times New Roman" w:cs="Times New Roman"/>
          <w:i/>
          <w:sz w:val="24"/>
          <w:lang w:val="es-EC"/>
        </w:rPr>
        <w:tab/>
      </w:r>
      <w:r w:rsidR="008E37DA" w:rsidRPr="00B76961">
        <w:rPr>
          <w:rFonts w:ascii="Times New Roman" w:hAnsi="Times New Roman" w:cs="Times New Roman"/>
          <w:i/>
          <w:sz w:val="24"/>
          <w:lang w:val="es-EC"/>
        </w:rPr>
        <w:tab/>
      </w:r>
      <w:r w:rsidR="008E37DA" w:rsidRPr="00B76961">
        <w:rPr>
          <w:rFonts w:ascii="Times New Roman" w:hAnsi="Times New Roman" w:cs="Times New Roman"/>
          <w:i/>
          <w:sz w:val="24"/>
          <w:lang w:val="es-EC"/>
        </w:rPr>
        <w:tab/>
      </w:r>
      <w:r w:rsidR="008E37DA" w:rsidRPr="00B76961">
        <w:rPr>
          <w:rFonts w:ascii="Times New Roman" w:hAnsi="Times New Roman" w:cs="Times New Roman"/>
          <w:i/>
          <w:sz w:val="24"/>
          <w:lang w:val="es-EC"/>
        </w:rPr>
        <w:tab/>
      </w:r>
      <w:r w:rsidR="008E37DA" w:rsidRPr="00B76961">
        <w:rPr>
          <w:rFonts w:ascii="Times New Roman" w:hAnsi="Times New Roman" w:cs="Times New Roman"/>
          <w:sz w:val="24"/>
          <w:lang w:val="es-EC"/>
        </w:rPr>
        <w:t>11</w:t>
      </w:r>
    </w:p>
    <w:p w:rsidR="00E43DE9" w:rsidRPr="00E43DE9" w:rsidRDefault="00E43DE9" w:rsidP="00E43DE9">
      <w:pPr>
        <w:ind w:right="707" w:firstLine="708"/>
        <w:jc w:val="both"/>
        <w:rPr>
          <w:rFonts w:ascii="Times New Roman" w:hAnsi="Times New Roman" w:cs="Times New Roman"/>
          <w:sz w:val="24"/>
          <w:lang w:val="es-EC"/>
        </w:rPr>
      </w:pPr>
      <w:r w:rsidRPr="00E43DE9">
        <w:rPr>
          <w:rFonts w:ascii="Times New Roman" w:hAnsi="Times New Roman" w:cs="Times New Roman"/>
          <w:sz w:val="24"/>
          <w:lang w:val="es-EC"/>
        </w:rPr>
        <w:t>El Derecho Internacional Humanitario</w:t>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t>13</w:t>
      </w:r>
    </w:p>
    <w:p w:rsidR="00E43DE9" w:rsidRPr="00E43DE9" w:rsidRDefault="00E43DE9" w:rsidP="00E43DE9">
      <w:pPr>
        <w:ind w:right="707" w:firstLine="708"/>
        <w:jc w:val="both"/>
        <w:rPr>
          <w:rFonts w:ascii="Times New Roman" w:hAnsi="Times New Roman" w:cs="Times New Roman"/>
          <w:sz w:val="24"/>
          <w:lang w:val="es-EC"/>
        </w:rPr>
      </w:pPr>
      <w:r w:rsidRPr="00E43DE9">
        <w:rPr>
          <w:rFonts w:ascii="Times New Roman" w:hAnsi="Times New Roman" w:cs="Times New Roman"/>
          <w:sz w:val="24"/>
          <w:lang w:val="es-EC"/>
        </w:rPr>
        <w:t>Principios del Derecho Internacional Humanitario</w:t>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t>16</w:t>
      </w:r>
    </w:p>
    <w:p w:rsidR="00E43DE9" w:rsidRPr="00E43DE9" w:rsidRDefault="00E43DE9" w:rsidP="00E43DE9">
      <w:pPr>
        <w:ind w:right="707" w:firstLine="708"/>
        <w:jc w:val="both"/>
        <w:rPr>
          <w:rFonts w:ascii="Times New Roman" w:hAnsi="Times New Roman" w:cs="Times New Roman"/>
          <w:sz w:val="24"/>
          <w:lang w:val="es-EC"/>
        </w:rPr>
      </w:pPr>
      <w:r w:rsidRPr="00E43DE9">
        <w:rPr>
          <w:rFonts w:ascii="Times New Roman" w:hAnsi="Times New Roman" w:cs="Times New Roman"/>
          <w:sz w:val="24"/>
          <w:lang w:val="es-EC"/>
        </w:rPr>
        <w:t>El Derecho Internacional Humanitario Consuetudinario</w:t>
      </w:r>
      <w:r w:rsidR="00B76961">
        <w:rPr>
          <w:rFonts w:ascii="Times New Roman" w:hAnsi="Times New Roman" w:cs="Times New Roman"/>
          <w:sz w:val="24"/>
          <w:lang w:val="es-EC"/>
        </w:rPr>
        <w:tab/>
      </w:r>
      <w:r w:rsidR="00B76961">
        <w:rPr>
          <w:rFonts w:ascii="Times New Roman" w:hAnsi="Times New Roman" w:cs="Times New Roman"/>
          <w:sz w:val="24"/>
          <w:lang w:val="es-EC"/>
        </w:rPr>
        <w:tab/>
        <w:t>18</w:t>
      </w:r>
    </w:p>
    <w:p w:rsidR="00E43DE9" w:rsidRDefault="00E43DE9" w:rsidP="00E43DE9">
      <w:pPr>
        <w:ind w:right="707" w:firstLine="708"/>
        <w:jc w:val="both"/>
        <w:rPr>
          <w:rFonts w:ascii="Times New Roman" w:hAnsi="Times New Roman" w:cs="Times New Roman"/>
          <w:sz w:val="24"/>
          <w:lang w:val="es-EC"/>
        </w:rPr>
      </w:pPr>
      <w:r w:rsidRPr="00E43DE9">
        <w:rPr>
          <w:rFonts w:ascii="Times New Roman" w:hAnsi="Times New Roman" w:cs="Times New Roman"/>
          <w:sz w:val="24"/>
          <w:lang w:val="es-EC"/>
        </w:rPr>
        <w:t>Convenios de Ginebra</w:t>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t>22</w:t>
      </w:r>
    </w:p>
    <w:p w:rsidR="00076F95" w:rsidRDefault="00076F95" w:rsidP="00E43DE9">
      <w:pPr>
        <w:ind w:right="707" w:firstLine="708"/>
        <w:jc w:val="both"/>
        <w:rPr>
          <w:rFonts w:ascii="Times New Roman" w:hAnsi="Times New Roman" w:cs="Times New Roman"/>
          <w:sz w:val="24"/>
          <w:lang w:val="es-EC"/>
        </w:rPr>
      </w:pPr>
      <w:r>
        <w:rPr>
          <w:rFonts w:ascii="Times New Roman" w:hAnsi="Times New Roman" w:cs="Times New Roman"/>
          <w:sz w:val="24"/>
          <w:lang w:val="es-EC"/>
        </w:rPr>
        <w:t>Emblemas en virtud del DIH</w:t>
      </w:r>
      <w:r>
        <w:rPr>
          <w:rFonts w:ascii="Times New Roman" w:hAnsi="Times New Roman" w:cs="Times New Roman"/>
          <w:sz w:val="24"/>
          <w:lang w:val="es-EC"/>
        </w:rPr>
        <w:tab/>
      </w:r>
      <w:r>
        <w:rPr>
          <w:rFonts w:ascii="Times New Roman" w:hAnsi="Times New Roman" w:cs="Times New Roman"/>
          <w:sz w:val="24"/>
          <w:lang w:val="es-EC"/>
        </w:rPr>
        <w:tab/>
      </w:r>
      <w:r>
        <w:rPr>
          <w:rFonts w:ascii="Times New Roman" w:hAnsi="Times New Roman" w:cs="Times New Roman"/>
          <w:sz w:val="24"/>
          <w:lang w:val="es-EC"/>
        </w:rPr>
        <w:tab/>
      </w:r>
      <w:r>
        <w:rPr>
          <w:rFonts w:ascii="Times New Roman" w:hAnsi="Times New Roman" w:cs="Times New Roman"/>
          <w:sz w:val="24"/>
          <w:lang w:val="es-EC"/>
        </w:rPr>
        <w:tab/>
      </w:r>
      <w:r>
        <w:rPr>
          <w:rFonts w:ascii="Times New Roman" w:hAnsi="Times New Roman" w:cs="Times New Roman"/>
          <w:sz w:val="24"/>
          <w:lang w:val="es-EC"/>
        </w:rPr>
        <w:tab/>
      </w:r>
      <w:r>
        <w:rPr>
          <w:rFonts w:ascii="Times New Roman" w:hAnsi="Times New Roman" w:cs="Times New Roman"/>
          <w:sz w:val="24"/>
          <w:lang w:val="es-EC"/>
        </w:rPr>
        <w:tab/>
        <w:t>32</w:t>
      </w:r>
    </w:p>
    <w:p w:rsidR="00E43DE9" w:rsidRDefault="00E43DE9" w:rsidP="00E43DE9">
      <w:pPr>
        <w:ind w:right="707"/>
        <w:jc w:val="both"/>
        <w:rPr>
          <w:rFonts w:ascii="Times New Roman" w:hAnsi="Times New Roman" w:cs="Times New Roman"/>
          <w:sz w:val="24"/>
          <w:lang w:val="es-EC"/>
        </w:rPr>
      </w:pPr>
    </w:p>
    <w:p w:rsidR="00E43DE9" w:rsidRPr="00E43DE9" w:rsidRDefault="00E43DE9" w:rsidP="00E43DE9">
      <w:pPr>
        <w:ind w:right="707"/>
        <w:rPr>
          <w:rFonts w:ascii="Times New Roman" w:hAnsi="Times New Roman" w:cs="Times New Roman"/>
          <w:sz w:val="24"/>
          <w:lang w:val="es-EC"/>
        </w:rPr>
      </w:pPr>
      <w:r>
        <w:rPr>
          <w:rFonts w:ascii="Times New Roman" w:hAnsi="Times New Roman" w:cs="Times New Roman"/>
          <w:sz w:val="24"/>
          <w:lang w:val="es-EC"/>
        </w:rPr>
        <w:t xml:space="preserve">Capítulo II: El </w:t>
      </w:r>
      <w:r w:rsidRPr="00E43DE9">
        <w:rPr>
          <w:rFonts w:ascii="Times New Roman" w:hAnsi="Times New Roman" w:cs="Times New Roman"/>
          <w:sz w:val="24"/>
          <w:lang w:val="es-EC"/>
        </w:rPr>
        <w:t>Derecho Internacion</w:t>
      </w:r>
      <w:r>
        <w:rPr>
          <w:rFonts w:ascii="Times New Roman" w:hAnsi="Times New Roman" w:cs="Times New Roman"/>
          <w:sz w:val="24"/>
          <w:lang w:val="es-EC"/>
        </w:rPr>
        <w:t xml:space="preserve">al Humanitario y los Conflictos </w:t>
      </w:r>
      <w:r w:rsidRPr="00E43DE9">
        <w:rPr>
          <w:rFonts w:ascii="Times New Roman" w:hAnsi="Times New Roman" w:cs="Times New Roman"/>
          <w:sz w:val="24"/>
          <w:lang w:val="es-EC"/>
        </w:rPr>
        <w:t>Contemporáneos</w:t>
      </w:r>
    </w:p>
    <w:p w:rsidR="00E43DE9" w:rsidRPr="00E43DE9" w:rsidRDefault="00E43DE9" w:rsidP="00E43DE9">
      <w:pPr>
        <w:ind w:right="707"/>
        <w:jc w:val="both"/>
        <w:rPr>
          <w:rFonts w:ascii="Times New Roman" w:hAnsi="Times New Roman" w:cs="Times New Roman"/>
          <w:sz w:val="24"/>
          <w:lang w:val="es-EC"/>
        </w:rPr>
      </w:pPr>
      <w:r w:rsidRPr="00E43DE9">
        <w:rPr>
          <w:rFonts w:ascii="Times New Roman" w:hAnsi="Times New Roman" w:cs="Times New Roman"/>
          <w:sz w:val="24"/>
          <w:lang w:val="es-EC"/>
        </w:rPr>
        <w:tab/>
        <w:t>Introducción</w:t>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t>33</w:t>
      </w:r>
    </w:p>
    <w:p w:rsidR="00E43DE9" w:rsidRPr="00E43DE9" w:rsidRDefault="00E43DE9" w:rsidP="00E43DE9">
      <w:pPr>
        <w:ind w:right="707"/>
        <w:jc w:val="both"/>
        <w:rPr>
          <w:rFonts w:ascii="Times New Roman" w:hAnsi="Times New Roman" w:cs="Times New Roman"/>
          <w:sz w:val="24"/>
          <w:lang w:val="es-EC"/>
        </w:rPr>
      </w:pPr>
      <w:r w:rsidRPr="00E43DE9">
        <w:rPr>
          <w:rFonts w:ascii="Times New Roman" w:hAnsi="Times New Roman" w:cs="Times New Roman"/>
          <w:sz w:val="24"/>
          <w:lang w:val="es-EC"/>
        </w:rPr>
        <w:tab/>
        <w:t>Noción y Tipología de los Conflictos Armados</w:t>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t>37</w:t>
      </w:r>
    </w:p>
    <w:p w:rsidR="00E43DE9" w:rsidRDefault="00E43DE9" w:rsidP="00E43DE9">
      <w:pPr>
        <w:ind w:right="707"/>
        <w:jc w:val="both"/>
        <w:rPr>
          <w:rFonts w:ascii="Times New Roman" w:hAnsi="Times New Roman" w:cs="Times New Roman"/>
          <w:sz w:val="24"/>
          <w:lang w:val="es-EC"/>
        </w:rPr>
      </w:pPr>
      <w:r w:rsidRPr="00E43DE9">
        <w:rPr>
          <w:rFonts w:ascii="Times New Roman" w:hAnsi="Times New Roman" w:cs="Times New Roman"/>
          <w:sz w:val="24"/>
          <w:lang w:val="es-EC"/>
        </w:rPr>
        <w:tab/>
        <w:t>Crímenes en Nombre de la Libertad y la Seguridad</w:t>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t>49</w:t>
      </w:r>
    </w:p>
    <w:p w:rsidR="00E43DE9" w:rsidRDefault="00E43DE9" w:rsidP="00E43DE9">
      <w:pPr>
        <w:ind w:right="707"/>
        <w:jc w:val="both"/>
        <w:rPr>
          <w:rFonts w:ascii="Times New Roman" w:hAnsi="Times New Roman" w:cs="Times New Roman"/>
          <w:sz w:val="24"/>
          <w:lang w:val="es-EC"/>
        </w:rPr>
      </w:pPr>
    </w:p>
    <w:p w:rsidR="00E43DE9" w:rsidRPr="00E43DE9" w:rsidRDefault="00E43DE9" w:rsidP="00E43DE9">
      <w:pPr>
        <w:ind w:right="707"/>
        <w:jc w:val="both"/>
        <w:rPr>
          <w:rFonts w:ascii="Times New Roman" w:hAnsi="Times New Roman" w:cs="Times New Roman"/>
          <w:sz w:val="24"/>
          <w:lang w:val="es-EC"/>
        </w:rPr>
      </w:pPr>
      <w:r>
        <w:rPr>
          <w:rFonts w:ascii="Times New Roman" w:hAnsi="Times New Roman" w:cs="Times New Roman"/>
          <w:sz w:val="24"/>
          <w:lang w:val="es-EC"/>
        </w:rPr>
        <w:t xml:space="preserve">Capítulo III: </w:t>
      </w:r>
      <w:r w:rsidRPr="00E43DE9">
        <w:rPr>
          <w:rFonts w:ascii="Times New Roman" w:hAnsi="Times New Roman" w:cs="Times New Roman"/>
          <w:sz w:val="24"/>
          <w:lang w:val="es-EC"/>
        </w:rPr>
        <w:t>La Guerra en Yugoslavia</w:t>
      </w:r>
    </w:p>
    <w:p w:rsidR="00E43DE9" w:rsidRPr="00E43DE9" w:rsidRDefault="00E43DE9" w:rsidP="00E43DE9">
      <w:pPr>
        <w:ind w:right="707"/>
        <w:jc w:val="both"/>
        <w:rPr>
          <w:rFonts w:ascii="Times New Roman" w:hAnsi="Times New Roman" w:cs="Times New Roman"/>
          <w:sz w:val="24"/>
          <w:lang w:val="es-EC"/>
        </w:rPr>
      </w:pPr>
      <w:r w:rsidRPr="00E43DE9">
        <w:rPr>
          <w:rFonts w:ascii="Times New Roman" w:hAnsi="Times New Roman" w:cs="Times New Roman"/>
          <w:sz w:val="24"/>
          <w:lang w:val="es-EC"/>
        </w:rPr>
        <w:tab/>
        <w:t>Reseña Histórica</w:t>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t>61</w:t>
      </w:r>
    </w:p>
    <w:p w:rsidR="00E43DE9" w:rsidRPr="00E43DE9" w:rsidRDefault="00E43DE9" w:rsidP="00E43DE9">
      <w:pPr>
        <w:ind w:right="707"/>
        <w:jc w:val="both"/>
        <w:rPr>
          <w:rFonts w:ascii="Times New Roman" w:hAnsi="Times New Roman" w:cs="Times New Roman"/>
          <w:sz w:val="24"/>
          <w:lang w:val="es-EC"/>
        </w:rPr>
      </w:pPr>
      <w:r w:rsidRPr="00E43DE9">
        <w:rPr>
          <w:rFonts w:ascii="Times New Roman" w:hAnsi="Times New Roman" w:cs="Times New Roman"/>
          <w:sz w:val="24"/>
          <w:lang w:val="es-EC"/>
        </w:rPr>
        <w:tab/>
        <w:t>El Ataque a Eslovenia y Croacia</w:t>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r>
      <w:r w:rsidR="00B76961">
        <w:rPr>
          <w:rFonts w:ascii="Times New Roman" w:hAnsi="Times New Roman" w:cs="Times New Roman"/>
          <w:sz w:val="24"/>
          <w:lang w:val="es-EC"/>
        </w:rPr>
        <w:tab/>
        <w:t>64</w:t>
      </w:r>
    </w:p>
    <w:p w:rsidR="00E43DE9" w:rsidRPr="00E43DE9" w:rsidRDefault="00E43DE9" w:rsidP="00E43DE9">
      <w:pPr>
        <w:ind w:right="707"/>
        <w:jc w:val="both"/>
        <w:rPr>
          <w:rFonts w:ascii="Times New Roman" w:hAnsi="Times New Roman" w:cs="Times New Roman"/>
          <w:sz w:val="24"/>
          <w:lang w:val="es-EC"/>
        </w:rPr>
      </w:pPr>
      <w:r w:rsidRPr="00E43DE9">
        <w:rPr>
          <w:rFonts w:ascii="Times New Roman" w:hAnsi="Times New Roman" w:cs="Times New Roman"/>
          <w:sz w:val="24"/>
          <w:lang w:val="es-EC"/>
        </w:rPr>
        <w:tab/>
        <w:t>La Tragedia Bosnia-Herzegovina</w:t>
      </w:r>
      <w:r w:rsidR="00A92050">
        <w:rPr>
          <w:rFonts w:ascii="Times New Roman" w:hAnsi="Times New Roman" w:cs="Times New Roman"/>
          <w:sz w:val="24"/>
          <w:lang w:val="es-EC"/>
        </w:rPr>
        <w:tab/>
      </w:r>
      <w:r w:rsidR="00A92050">
        <w:rPr>
          <w:rFonts w:ascii="Times New Roman" w:hAnsi="Times New Roman" w:cs="Times New Roman"/>
          <w:sz w:val="24"/>
          <w:lang w:val="es-EC"/>
        </w:rPr>
        <w:tab/>
      </w:r>
      <w:r w:rsidR="00A92050">
        <w:rPr>
          <w:rFonts w:ascii="Times New Roman" w:hAnsi="Times New Roman" w:cs="Times New Roman"/>
          <w:sz w:val="24"/>
          <w:lang w:val="es-EC"/>
        </w:rPr>
        <w:tab/>
      </w:r>
      <w:r w:rsidR="00A92050">
        <w:rPr>
          <w:rFonts w:ascii="Times New Roman" w:hAnsi="Times New Roman" w:cs="Times New Roman"/>
          <w:sz w:val="24"/>
          <w:lang w:val="es-EC"/>
        </w:rPr>
        <w:tab/>
      </w:r>
      <w:r w:rsidR="00A92050">
        <w:rPr>
          <w:rFonts w:ascii="Times New Roman" w:hAnsi="Times New Roman" w:cs="Times New Roman"/>
          <w:sz w:val="24"/>
          <w:lang w:val="es-EC"/>
        </w:rPr>
        <w:tab/>
        <w:t>66</w:t>
      </w:r>
    </w:p>
    <w:p w:rsidR="00E43DE9" w:rsidRPr="00E43DE9" w:rsidRDefault="00E43DE9" w:rsidP="00E43DE9">
      <w:pPr>
        <w:ind w:right="707"/>
        <w:jc w:val="both"/>
        <w:rPr>
          <w:rFonts w:ascii="Times New Roman" w:hAnsi="Times New Roman" w:cs="Times New Roman"/>
          <w:sz w:val="24"/>
          <w:lang w:val="es-EC"/>
        </w:rPr>
      </w:pPr>
      <w:r w:rsidRPr="00E43DE9">
        <w:rPr>
          <w:rFonts w:ascii="Times New Roman" w:hAnsi="Times New Roman" w:cs="Times New Roman"/>
          <w:sz w:val="24"/>
          <w:lang w:val="es-EC"/>
        </w:rPr>
        <w:tab/>
        <w:t>Los últimos días de la Guerra y su Fin</w:t>
      </w:r>
      <w:r w:rsidR="003405EE">
        <w:rPr>
          <w:rFonts w:ascii="Times New Roman" w:hAnsi="Times New Roman" w:cs="Times New Roman"/>
          <w:sz w:val="24"/>
          <w:lang w:val="es-EC"/>
        </w:rPr>
        <w:tab/>
      </w:r>
      <w:r w:rsidR="003405EE">
        <w:rPr>
          <w:rFonts w:ascii="Times New Roman" w:hAnsi="Times New Roman" w:cs="Times New Roman"/>
          <w:sz w:val="24"/>
          <w:lang w:val="es-EC"/>
        </w:rPr>
        <w:tab/>
      </w:r>
      <w:r w:rsidR="003405EE">
        <w:rPr>
          <w:rFonts w:ascii="Times New Roman" w:hAnsi="Times New Roman" w:cs="Times New Roman"/>
          <w:sz w:val="24"/>
          <w:lang w:val="es-EC"/>
        </w:rPr>
        <w:tab/>
      </w:r>
      <w:r w:rsidR="003405EE">
        <w:rPr>
          <w:rFonts w:ascii="Times New Roman" w:hAnsi="Times New Roman" w:cs="Times New Roman"/>
          <w:sz w:val="24"/>
          <w:lang w:val="es-EC"/>
        </w:rPr>
        <w:tab/>
        <w:t>70</w:t>
      </w:r>
    </w:p>
    <w:p w:rsidR="00E43DE9" w:rsidRPr="00E43DE9" w:rsidRDefault="00E43DE9" w:rsidP="00E43DE9">
      <w:pPr>
        <w:ind w:right="707"/>
        <w:jc w:val="both"/>
        <w:rPr>
          <w:rFonts w:ascii="Times New Roman" w:hAnsi="Times New Roman" w:cs="Times New Roman"/>
          <w:sz w:val="24"/>
          <w:lang w:val="es-EC"/>
        </w:rPr>
      </w:pPr>
      <w:r w:rsidRPr="00E43DE9">
        <w:rPr>
          <w:rFonts w:ascii="Times New Roman" w:hAnsi="Times New Roman" w:cs="Times New Roman"/>
          <w:sz w:val="24"/>
          <w:lang w:val="es-EC"/>
        </w:rPr>
        <w:lastRenderedPageBreak/>
        <w:tab/>
        <w:t>La Postguerra</w:t>
      </w:r>
      <w:r w:rsidR="003405EE">
        <w:rPr>
          <w:rFonts w:ascii="Times New Roman" w:hAnsi="Times New Roman" w:cs="Times New Roman"/>
          <w:sz w:val="24"/>
          <w:lang w:val="es-EC"/>
        </w:rPr>
        <w:tab/>
      </w:r>
      <w:r w:rsidR="003405EE">
        <w:rPr>
          <w:rFonts w:ascii="Times New Roman" w:hAnsi="Times New Roman" w:cs="Times New Roman"/>
          <w:sz w:val="24"/>
          <w:lang w:val="es-EC"/>
        </w:rPr>
        <w:tab/>
      </w:r>
      <w:r w:rsidR="003405EE">
        <w:rPr>
          <w:rFonts w:ascii="Times New Roman" w:hAnsi="Times New Roman" w:cs="Times New Roman"/>
          <w:sz w:val="24"/>
          <w:lang w:val="es-EC"/>
        </w:rPr>
        <w:tab/>
      </w:r>
      <w:r w:rsidR="003405EE">
        <w:rPr>
          <w:rFonts w:ascii="Times New Roman" w:hAnsi="Times New Roman" w:cs="Times New Roman"/>
          <w:sz w:val="24"/>
          <w:lang w:val="es-EC"/>
        </w:rPr>
        <w:tab/>
      </w:r>
      <w:r w:rsidR="003405EE">
        <w:rPr>
          <w:rFonts w:ascii="Times New Roman" w:hAnsi="Times New Roman" w:cs="Times New Roman"/>
          <w:sz w:val="24"/>
          <w:lang w:val="es-EC"/>
        </w:rPr>
        <w:tab/>
      </w:r>
      <w:r w:rsidR="003405EE">
        <w:rPr>
          <w:rFonts w:ascii="Times New Roman" w:hAnsi="Times New Roman" w:cs="Times New Roman"/>
          <w:sz w:val="24"/>
          <w:lang w:val="es-EC"/>
        </w:rPr>
        <w:tab/>
      </w:r>
      <w:r w:rsidR="003405EE">
        <w:rPr>
          <w:rFonts w:ascii="Times New Roman" w:hAnsi="Times New Roman" w:cs="Times New Roman"/>
          <w:sz w:val="24"/>
          <w:lang w:val="es-EC"/>
        </w:rPr>
        <w:tab/>
      </w:r>
      <w:r w:rsidR="003405EE">
        <w:rPr>
          <w:rFonts w:ascii="Times New Roman" w:hAnsi="Times New Roman" w:cs="Times New Roman"/>
          <w:sz w:val="24"/>
          <w:lang w:val="es-EC"/>
        </w:rPr>
        <w:tab/>
        <w:t>72</w:t>
      </w:r>
    </w:p>
    <w:p w:rsidR="00E43DE9" w:rsidRPr="00E43DE9" w:rsidRDefault="00E43DE9" w:rsidP="00E43DE9">
      <w:pPr>
        <w:ind w:right="707"/>
        <w:jc w:val="both"/>
        <w:rPr>
          <w:rFonts w:ascii="Times New Roman" w:hAnsi="Times New Roman" w:cs="Times New Roman"/>
          <w:sz w:val="24"/>
          <w:lang w:val="es-EC"/>
        </w:rPr>
      </w:pPr>
    </w:p>
    <w:p w:rsidR="00E43DE9" w:rsidRPr="00E43DE9" w:rsidRDefault="00E43DE9" w:rsidP="00E43DE9">
      <w:pPr>
        <w:ind w:right="707"/>
        <w:jc w:val="both"/>
        <w:rPr>
          <w:rFonts w:ascii="Times New Roman" w:hAnsi="Times New Roman" w:cs="Times New Roman"/>
          <w:sz w:val="24"/>
          <w:lang w:val="es-EC"/>
        </w:rPr>
      </w:pPr>
      <w:r>
        <w:rPr>
          <w:rFonts w:ascii="Times New Roman" w:hAnsi="Times New Roman" w:cs="Times New Roman"/>
          <w:sz w:val="24"/>
          <w:lang w:val="es-EC"/>
        </w:rPr>
        <w:t>Capítulo IV</w:t>
      </w:r>
      <w:r w:rsidRPr="00E43DE9">
        <w:rPr>
          <w:rFonts w:ascii="Times New Roman" w:hAnsi="Times New Roman" w:cs="Times New Roman"/>
          <w:sz w:val="24"/>
          <w:lang w:val="es-EC"/>
        </w:rPr>
        <w:t>: El Tribunal Penal para la ex-Yugoslavia –Justicia para la Paz-</w:t>
      </w:r>
    </w:p>
    <w:p w:rsidR="00E43DE9" w:rsidRPr="00E43DE9" w:rsidRDefault="00E43DE9" w:rsidP="00E43DE9">
      <w:pPr>
        <w:ind w:right="707"/>
        <w:jc w:val="both"/>
        <w:rPr>
          <w:rFonts w:ascii="Times New Roman" w:hAnsi="Times New Roman" w:cs="Times New Roman"/>
          <w:sz w:val="24"/>
          <w:lang w:val="es-EC"/>
        </w:rPr>
      </w:pPr>
      <w:r w:rsidRPr="00E43DE9">
        <w:rPr>
          <w:rFonts w:ascii="Times New Roman" w:hAnsi="Times New Roman" w:cs="Times New Roman"/>
          <w:sz w:val="24"/>
          <w:lang w:val="es-EC"/>
        </w:rPr>
        <w:tab/>
        <w:t>Introducción</w:t>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t>81</w:t>
      </w:r>
    </w:p>
    <w:p w:rsidR="00E43DE9" w:rsidRPr="00E43DE9" w:rsidRDefault="00E43DE9" w:rsidP="00E43DE9">
      <w:pPr>
        <w:ind w:right="707"/>
        <w:jc w:val="both"/>
        <w:rPr>
          <w:rFonts w:ascii="Times New Roman" w:hAnsi="Times New Roman" w:cs="Times New Roman"/>
          <w:sz w:val="24"/>
          <w:lang w:val="es-EC"/>
        </w:rPr>
      </w:pPr>
      <w:r w:rsidRPr="00E43DE9">
        <w:rPr>
          <w:rFonts w:ascii="Times New Roman" w:hAnsi="Times New Roman" w:cs="Times New Roman"/>
          <w:sz w:val="24"/>
          <w:lang w:val="es-EC"/>
        </w:rPr>
        <w:tab/>
        <w:t>Antecedentes</w:t>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t>82</w:t>
      </w:r>
    </w:p>
    <w:p w:rsidR="00E43DE9" w:rsidRPr="00E43DE9" w:rsidRDefault="00E43DE9" w:rsidP="00E43DE9">
      <w:pPr>
        <w:ind w:right="707"/>
        <w:jc w:val="both"/>
        <w:rPr>
          <w:rFonts w:ascii="Times New Roman" w:hAnsi="Times New Roman" w:cs="Times New Roman"/>
          <w:sz w:val="24"/>
          <w:lang w:val="es-EC"/>
        </w:rPr>
      </w:pPr>
      <w:r w:rsidRPr="00E43DE9">
        <w:rPr>
          <w:rFonts w:ascii="Times New Roman" w:hAnsi="Times New Roman" w:cs="Times New Roman"/>
          <w:sz w:val="24"/>
          <w:lang w:val="es-EC"/>
        </w:rPr>
        <w:tab/>
        <w:t>Fundamento Jurídico</w:t>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t>89</w:t>
      </w:r>
    </w:p>
    <w:p w:rsidR="00E43DE9" w:rsidRPr="00E43DE9" w:rsidRDefault="00E43DE9" w:rsidP="00E43DE9">
      <w:pPr>
        <w:ind w:right="707"/>
        <w:jc w:val="both"/>
        <w:rPr>
          <w:rFonts w:ascii="Times New Roman" w:hAnsi="Times New Roman" w:cs="Times New Roman"/>
          <w:sz w:val="24"/>
          <w:lang w:val="es-EC"/>
        </w:rPr>
      </w:pPr>
      <w:r w:rsidRPr="00E43DE9">
        <w:rPr>
          <w:rFonts w:ascii="Times New Roman" w:hAnsi="Times New Roman" w:cs="Times New Roman"/>
          <w:sz w:val="24"/>
          <w:lang w:val="es-EC"/>
        </w:rPr>
        <w:tab/>
        <w:t>Objetivos y Características</w:t>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t>90</w:t>
      </w:r>
    </w:p>
    <w:p w:rsidR="00E43DE9" w:rsidRPr="00E43DE9" w:rsidRDefault="00E43DE9" w:rsidP="00E43DE9">
      <w:pPr>
        <w:ind w:right="707"/>
        <w:jc w:val="both"/>
        <w:rPr>
          <w:rFonts w:ascii="Times New Roman" w:hAnsi="Times New Roman" w:cs="Times New Roman"/>
          <w:sz w:val="24"/>
          <w:lang w:val="es-EC"/>
        </w:rPr>
      </w:pPr>
      <w:r w:rsidRPr="00E43DE9">
        <w:rPr>
          <w:rFonts w:ascii="Times New Roman" w:hAnsi="Times New Roman" w:cs="Times New Roman"/>
          <w:sz w:val="24"/>
          <w:lang w:val="es-EC"/>
        </w:rPr>
        <w:tab/>
        <w:t>Competencia y Derecho Aplicable</w:t>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t>93</w:t>
      </w:r>
    </w:p>
    <w:p w:rsidR="00E43DE9" w:rsidRPr="00E43DE9" w:rsidRDefault="00E43DE9" w:rsidP="00E43DE9">
      <w:pPr>
        <w:ind w:right="707"/>
        <w:jc w:val="both"/>
        <w:rPr>
          <w:rFonts w:ascii="Times New Roman" w:hAnsi="Times New Roman" w:cs="Times New Roman"/>
          <w:sz w:val="24"/>
          <w:lang w:val="es-EC"/>
        </w:rPr>
      </w:pPr>
      <w:r w:rsidRPr="00E43DE9">
        <w:rPr>
          <w:rFonts w:ascii="Times New Roman" w:hAnsi="Times New Roman" w:cs="Times New Roman"/>
          <w:sz w:val="24"/>
          <w:lang w:val="es-EC"/>
        </w:rPr>
        <w:tab/>
        <w:t>Organización y Procedimientos</w:t>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t>96</w:t>
      </w:r>
    </w:p>
    <w:p w:rsidR="00E43DE9" w:rsidRPr="00E43DE9" w:rsidRDefault="00E43DE9" w:rsidP="00E43DE9">
      <w:pPr>
        <w:ind w:left="708" w:right="707"/>
        <w:jc w:val="both"/>
        <w:rPr>
          <w:rFonts w:ascii="Times New Roman" w:hAnsi="Times New Roman" w:cs="Times New Roman"/>
          <w:sz w:val="24"/>
          <w:lang w:val="es-EC"/>
        </w:rPr>
      </w:pPr>
      <w:r w:rsidRPr="00E43DE9">
        <w:rPr>
          <w:rFonts w:ascii="Times New Roman" w:hAnsi="Times New Roman" w:cs="Times New Roman"/>
          <w:sz w:val="24"/>
          <w:lang w:val="es-EC"/>
        </w:rPr>
        <w:t xml:space="preserve">Juicios en Ausencia (o por Contumacia) </w:t>
      </w:r>
      <w:r>
        <w:rPr>
          <w:rFonts w:ascii="Times New Roman" w:hAnsi="Times New Roman" w:cs="Times New Roman"/>
          <w:sz w:val="24"/>
          <w:lang w:val="es-EC"/>
        </w:rPr>
        <w:t xml:space="preserve">y la Regla 61 del Procedimiento </w:t>
      </w:r>
      <w:r w:rsidRPr="00E43DE9">
        <w:rPr>
          <w:rFonts w:ascii="Times New Roman" w:hAnsi="Times New Roman" w:cs="Times New Roman"/>
          <w:sz w:val="24"/>
          <w:lang w:val="es-EC"/>
        </w:rPr>
        <w:t>y Pruebas</w:t>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t>99</w:t>
      </w:r>
      <w:r w:rsidR="00D21519">
        <w:rPr>
          <w:rFonts w:ascii="Times New Roman" w:hAnsi="Times New Roman" w:cs="Times New Roman"/>
          <w:sz w:val="24"/>
          <w:lang w:val="es-EC"/>
        </w:rPr>
        <w:tab/>
      </w:r>
    </w:p>
    <w:p w:rsidR="00E43DE9" w:rsidRDefault="00E43DE9" w:rsidP="00E43DE9">
      <w:pPr>
        <w:ind w:right="707"/>
        <w:jc w:val="both"/>
        <w:rPr>
          <w:rFonts w:ascii="Times New Roman" w:hAnsi="Times New Roman" w:cs="Times New Roman"/>
          <w:sz w:val="24"/>
          <w:lang w:val="es-EC"/>
        </w:rPr>
      </w:pPr>
      <w:r w:rsidRPr="00E43DE9">
        <w:rPr>
          <w:rFonts w:ascii="Times New Roman" w:hAnsi="Times New Roman" w:cs="Times New Roman"/>
          <w:sz w:val="24"/>
          <w:lang w:val="es-EC"/>
        </w:rPr>
        <w:tab/>
        <w:t>Resultados</w:t>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t>100</w:t>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p>
    <w:p w:rsidR="00E43DE9" w:rsidRDefault="00E43DE9" w:rsidP="00E43DE9">
      <w:pPr>
        <w:ind w:right="707"/>
        <w:jc w:val="both"/>
        <w:rPr>
          <w:rFonts w:ascii="Times New Roman" w:hAnsi="Times New Roman" w:cs="Times New Roman"/>
          <w:sz w:val="24"/>
          <w:lang w:val="es-EC"/>
        </w:rPr>
      </w:pPr>
      <w:r>
        <w:rPr>
          <w:rFonts w:ascii="Times New Roman" w:hAnsi="Times New Roman" w:cs="Times New Roman"/>
          <w:sz w:val="24"/>
          <w:lang w:val="es-EC"/>
        </w:rPr>
        <w:t>Conclusiones</w:t>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t>106</w:t>
      </w:r>
    </w:p>
    <w:p w:rsidR="00E43DE9" w:rsidRDefault="00E43DE9" w:rsidP="00E43DE9">
      <w:pPr>
        <w:ind w:right="707"/>
        <w:jc w:val="both"/>
        <w:rPr>
          <w:rFonts w:ascii="Times New Roman" w:hAnsi="Times New Roman" w:cs="Times New Roman"/>
          <w:sz w:val="24"/>
          <w:lang w:val="es-EC"/>
        </w:rPr>
      </w:pPr>
      <w:r>
        <w:rPr>
          <w:rFonts w:ascii="Times New Roman" w:hAnsi="Times New Roman" w:cs="Times New Roman"/>
          <w:sz w:val="24"/>
          <w:lang w:val="es-EC"/>
        </w:rPr>
        <w:t>Recomendaciones</w:t>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t>108</w:t>
      </w:r>
    </w:p>
    <w:p w:rsidR="00E43DE9" w:rsidRDefault="00E43DE9" w:rsidP="00E43DE9">
      <w:pPr>
        <w:ind w:right="707"/>
        <w:jc w:val="both"/>
        <w:rPr>
          <w:rFonts w:ascii="Times New Roman" w:hAnsi="Times New Roman" w:cs="Times New Roman"/>
          <w:sz w:val="24"/>
          <w:lang w:val="es-EC"/>
        </w:rPr>
      </w:pPr>
      <w:r>
        <w:rPr>
          <w:rFonts w:ascii="Times New Roman" w:hAnsi="Times New Roman" w:cs="Times New Roman"/>
          <w:sz w:val="24"/>
          <w:lang w:val="es-EC"/>
        </w:rPr>
        <w:t>Apéndice I</w:t>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t>111</w:t>
      </w:r>
    </w:p>
    <w:p w:rsidR="00E43DE9" w:rsidRDefault="00E43DE9" w:rsidP="00E43DE9">
      <w:pPr>
        <w:ind w:right="707"/>
        <w:jc w:val="both"/>
        <w:rPr>
          <w:rFonts w:ascii="Times New Roman" w:hAnsi="Times New Roman" w:cs="Times New Roman"/>
          <w:sz w:val="24"/>
          <w:lang w:val="es-EC"/>
        </w:rPr>
      </w:pPr>
      <w:r>
        <w:rPr>
          <w:rFonts w:ascii="Times New Roman" w:hAnsi="Times New Roman" w:cs="Times New Roman"/>
          <w:sz w:val="24"/>
          <w:lang w:val="es-EC"/>
        </w:rPr>
        <w:t>Apéndice II</w:t>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t>118</w:t>
      </w:r>
    </w:p>
    <w:p w:rsidR="00E43DE9" w:rsidRPr="00E43DE9" w:rsidRDefault="00E43DE9" w:rsidP="00E43DE9">
      <w:pPr>
        <w:ind w:right="707"/>
        <w:jc w:val="both"/>
        <w:rPr>
          <w:rFonts w:ascii="Times New Roman" w:hAnsi="Times New Roman" w:cs="Times New Roman"/>
          <w:sz w:val="24"/>
          <w:lang w:val="es-EC"/>
        </w:rPr>
      </w:pPr>
      <w:r>
        <w:rPr>
          <w:rFonts w:ascii="Times New Roman" w:hAnsi="Times New Roman" w:cs="Times New Roman"/>
          <w:sz w:val="24"/>
          <w:lang w:val="es-EC"/>
        </w:rPr>
        <w:t>Referencias</w:t>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r>
      <w:r w:rsidR="00D21519">
        <w:rPr>
          <w:rFonts w:ascii="Times New Roman" w:hAnsi="Times New Roman" w:cs="Times New Roman"/>
          <w:sz w:val="24"/>
          <w:lang w:val="es-EC"/>
        </w:rPr>
        <w:tab/>
        <w:t>128</w:t>
      </w:r>
    </w:p>
    <w:p w:rsidR="00E43DE9" w:rsidRPr="00E43DE9" w:rsidRDefault="00E43DE9" w:rsidP="00E43DE9">
      <w:pPr>
        <w:ind w:right="707"/>
        <w:jc w:val="both"/>
        <w:rPr>
          <w:rFonts w:ascii="Times New Roman" w:hAnsi="Times New Roman" w:cs="Times New Roman"/>
          <w:sz w:val="24"/>
          <w:lang w:val="es-EC"/>
        </w:rPr>
      </w:pPr>
    </w:p>
    <w:p w:rsidR="00E43DE9" w:rsidRPr="00E43DE9" w:rsidRDefault="00E43DE9" w:rsidP="00E43DE9">
      <w:pPr>
        <w:ind w:right="707"/>
        <w:jc w:val="both"/>
        <w:rPr>
          <w:rFonts w:ascii="Times New Roman" w:hAnsi="Times New Roman" w:cs="Times New Roman"/>
          <w:sz w:val="24"/>
        </w:rPr>
      </w:pPr>
    </w:p>
    <w:p w:rsidR="00E43DE9" w:rsidRPr="00E43DE9" w:rsidRDefault="00E43DE9" w:rsidP="00E43DE9">
      <w:pPr>
        <w:ind w:right="707" w:firstLine="708"/>
        <w:jc w:val="both"/>
        <w:rPr>
          <w:rFonts w:ascii="Times New Roman" w:hAnsi="Times New Roman" w:cs="Times New Roman"/>
          <w:b/>
          <w:sz w:val="24"/>
          <w:lang w:val="es-EC"/>
        </w:rPr>
      </w:pPr>
    </w:p>
    <w:p w:rsidR="00C75675" w:rsidRDefault="00C75675">
      <w:pPr>
        <w:rPr>
          <w:rFonts w:ascii="Times New Roman" w:hAnsi="Times New Roman" w:cs="Times New Roman"/>
          <w:b/>
          <w:sz w:val="24"/>
        </w:rPr>
      </w:pPr>
      <w:r>
        <w:rPr>
          <w:rFonts w:ascii="Times New Roman" w:hAnsi="Times New Roman" w:cs="Times New Roman"/>
          <w:b/>
          <w:sz w:val="24"/>
        </w:rPr>
        <w:br w:type="page"/>
      </w:r>
    </w:p>
    <w:p w:rsidR="00282123" w:rsidRDefault="00282123" w:rsidP="00C75675">
      <w:pPr>
        <w:ind w:right="707"/>
        <w:jc w:val="both"/>
        <w:rPr>
          <w:rFonts w:ascii="Times New Roman" w:hAnsi="Times New Roman" w:cs="Times New Roman"/>
          <w:b/>
          <w:sz w:val="24"/>
        </w:rPr>
      </w:pPr>
    </w:p>
    <w:p w:rsidR="00610B66" w:rsidRDefault="00610B66">
      <w:pPr>
        <w:rPr>
          <w:rFonts w:ascii="Times New Roman" w:hAnsi="Times New Roman" w:cs="Times New Roman"/>
          <w:b/>
          <w:sz w:val="24"/>
        </w:rPr>
      </w:pPr>
    </w:p>
    <w:p w:rsidR="00610B66" w:rsidRDefault="00610B66">
      <w:pPr>
        <w:rPr>
          <w:rFonts w:ascii="Times New Roman" w:hAnsi="Times New Roman" w:cs="Times New Roman"/>
          <w:b/>
          <w:sz w:val="24"/>
        </w:rPr>
      </w:pPr>
    </w:p>
    <w:p w:rsidR="0010371D" w:rsidRDefault="0010371D">
      <w:pPr>
        <w:rPr>
          <w:rFonts w:ascii="Times New Roman" w:hAnsi="Times New Roman" w:cs="Times New Roman"/>
          <w:b/>
          <w:sz w:val="24"/>
        </w:rPr>
      </w:pPr>
      <w:r>
        <w:rPr>
          <w:rFonts w:ascii="Times New Roman" w:hAnsi="Times New Roman" w:cs="Times New Roman"/>
          <w:b/>
          <w:sz w:val="24"/>
        </w:rPr>
        <w:t>AGRADECIMIENTOS:</w:t>
      </w:r>
    </w:p>
    <w:p w:rsidR="0010371D" w:rsidRDefault="0010371D">
      <w:pPr>
        <w:rPr>
          <w:rFonts w:ascii="Times New Roman" w:hAnsi="Times New Roman" w:cs="Times New Roman"/>
          <w:b/>
          <w:sz w:val="24"/>
        </w:rPr>
      </w:pPr>
    </w:p>
    <w:p w:rsidR="0010371D" w:rsidRDefault="000708C6" w:rsidP="000708C6">
      <w:pPr>
        <w:jc w:val="both"/>
        <w:rPr>
          <w:rFonts w:ascii="Times New Roman" w:hAnsi="Times New Roman" w:cs="Times New Roman"/>
          <w:sz w:val="24"/>
          <w:lang w:val="es-EC"/>
        </w:rPr>
      </w:pPr>
      <w:r w:rsidRPr="000708C6">
        <w:rPr>
          <w:rFonts w:ascii="Times New Roman" w:hAnsi="Times New Roman" w:cs="Times New Roman"/>
          <w:sz w:val="24"/>
          <w:lang w:val="es-EC"/>
        </w:rPr>
        <w:t>La presente Tesis es un esfuerzo en el cual, directa o indirectamente, participaron varias personas</w:t>
      </w:r>
      <w:r>
        <w:rPr>
          <w:rFonts w:ascii="Times New Roman" w:hAnsi="Times New Roman" w:cs="Times New Roman"/>
          <w:sz w:val="24"/>
          <w:lang w:val="es-EC"/>
        </w:rPr>
        <w:t xml:space="preserve"> </w:t>
      </w:r>
      <w:r w:rsidRPr="000708C6">
        <w:rPr>
          <w:rFonts w:ascii="Times New Roman" w:hAnsi="Times New Roman" w:cs="Times New Roman"/>
          <w:sz w:val="24"/>
          <w:lang w:val="es-EC"/>
        </w:rPr>
        <w:t>leyendo, opinando, corrigiendo</w:t>
      </w:r>
      <w:r>
        <w:rPr>
          <w:rFonts w:ascii="Times New Roman" w:hAnsi="Times New Roman" w:cs="Times New Roman"/>
          <w:sz w:val="24"/>
          <w:lang w:val="es-EC"/>
        </w:rPr>
        <w:t>, incentivando, y apremiándome para que finalmente el esfuerzo de cinco años de estudios se vieran reflejados.</w:t>
      </w:r>
    </w:p>
    <w:p w:rsidR="000708C6" w:rsidRDefault="000708C6" w:rsidP="000708C6">
      <w:pPr>
        <w:jc w:val="both"/>
        <w:rPr>
          <w:rFonts w:ascii="Times New Roman" w:hAnsi="Times New Roman" w:cs="Times New Roman"/>
          <w:sz w:val="24"/>
          <w:lang w:val="es-EC"/>
        </w:rPr>
      </w:pPr>
      <w:r>
        <w:rPr>
          <w:rFonts w:ascii="Times New Roman" w:hAnsi="Times New Roman" w:cs="Times New Roman"/>
          <w:sz w:val="24"/>
          <w:lang w:val="es-EC"/>
        </w:rPr>
        <w:t>Gracias interminables a mi compañera y amiga de siempre, Geraldine Lozada, que fue y seguirá siendo coautora de todos mis sueños.</w:t>
      </w:r>
    </w:p>
    <w:p w:rsidR="000708C6" w:rsidRDefault="000708C6" w:rsidP="000708C6">
      <w:pPr>
        <w:jc w:val="both"/>
        <w:rPr>
          <w:rFonts w:ascii="Times New Roman" w:hAnsi="Times New Roman" w:cs="Times New Roman"/>
          <w:sz w:val="24"/>
          <w:lang w:val="es-EC"/>
        </w:rPr>
      </w:pPr>
      <w:r>
        <w:rPr>
          <w:rFonts w:ascii="Times New Roman" w:hAnsi="Times New Roman" w:cs="Times New Roman"/>
          <w:sz w:val="24"/>
          <w:lang w:val="es-EC"/>
        </w:rPr>
        <w:t>Gracias a mi madre que siempre estuvo dándome ánimos para finalizar mis estudios, a mi padre que con su sabio consejo supo tranquilizarme en los momentos de crisis y a mi hermana que nunca dejó de confiar en mí.</w:t>
      </w:r>
    </w:p>
    <w:p w:rsidR="000708C6" w:rsidRDefault="000708C6" w:rsidP="000708C6">
      <w:pPr>
        <w:jc w:val="both"/>
        <w:rPr>
          <w:rFonts w:ascii="Times New Roman" w:hAnsi="Times New Roman" w:cs="Times New Roman"/>
          <w:sz w:val="24"/>
          <w:lang w:val="es-EC"/>
        </w:rPr>
      </w:pPr>
      <w:r>
        <w:rPr>
          <w:rFonts w:ascii="Times New Roman" w:hAnsi="Times New Roman" w:cs="Times New Roman"/>
          <w:sz w:val="24"/>
          <w:lang w:val="es-EC"/>
        </w:rPr>
        <w:t xml:space="preserve">Así mismo agradezco a mis profesores de la Universidad de los Hemisferios, de manera especial al Dr. Alejandro Suárez que estuvo siempre dispuesto a colaborar en la realización del presente trabajo brindándome el tiempo y confianza necesarios para desarrollarlo, al Dr. Abelardo </w:t>
      </w:r>
      <w:proofErr w:type="spellStart"/>
      <w:r>
        <w:rPr>
          <w:rFonts w:ascii="Times New Roman" w:hAnsi="Times New Roman" w:cs="Times New Roman"/>
          <w:sz w:val="24"/>
          <w:lang w:val="es-EC"/>
        </w:rPr>
        <w:t>Posso</w:t>
      </w:r>
      <w:proofErr w:type="spellEnd"/>
      <w:r>
        <w:rPr>
          <w:rFonts w:ascii="Times New Roman" w:hAnsi="Times New Roman" w:cs="Times New Roman"/>
          <w:sz w:val="24"/>
          <w:lang w:val="es-EC"/>
        </w:rPr>
        <w:t xml:space="preserve"> quien con sus palabras siempre correctas ha sabido guiarme en el camino del conocimiento y me ha dado grandes lecciones de vida.</w:t>
      </w:r>
    </w:p>
    <w:p w:rsidR="000708C6" w:rsidRDefault="000708C6" w:rsidP="000708C6">
      <w:pPr>
        <w:jc w:val="both"/>
        <w:rPr>
          <w:rFonts w:ascii="Times New Roman" w:hAnsi="Times New Roman" w:cs="Times New Roman"/>
          <w:sz w:val="24"/>
          <w:lang w:val="es-EC"/>
        </w:rPr>
      </w:pPr>
      <w:r>
        <w:rPr>
          <w:rFonts w:ascii="Times New Roman" w:hAnsi="Times New Roman" w:cs="Times New Roman"/>
          <w:sz w:val="24"/>
          <w:lang w:val="es-EC"/>
        </w:rPr>
        <w:t>Gracias a mi amiga Belén Morán quien me incentivó para estudiar la carrera de Derecho y quien a pesar de</w:t>
      </w:r>
      <w:r w:rsidR="0000469B">
        <w:rPr>
          <w:rFonts w:ascii="Times New Roman" w:hAnsi="Times New Roman" w:cs="Times New Roman"/>
          <w:sz w:val="24"/>
          <w:lang w:val="es-EC"/>
        </w:rPr>
        <w:t xml:space="preserve"> la distancia ha sabido ser un refugio en los momentos más importantes.</w:t>
      </w:r>
    </w:p>
    <w:p w:rsidR="0000469B" w:rsidRDefault="0000469B" w:rsidP="000708C6">
      <w:pPr>
        <w:jc w:val="both"/>
        <w:rPr>
          <w:rFonts w:ascii="Times New Roman" w:hAnsi="Times New Roman" w:cs="Times New Roman"/>
          <w:sz w:val="24"/>
          <w:lang w:val="es-EC"/>
        </w:rPr>
      </w:pPr>
      <w:r w:rsidRPr="0000469B">
        <w:rPr>
          <w:rFonts w:ascii="Times New Roman" w:hAnsi="Times New Roman" w:cs="Times New Roman"/>
          <w:sz w:val="24"/>
          <w:lang w:val="es-EC"/>
        </w:rPr>
        <w:t>Gracias también a mis queridos compañeros, que me apoyaron y me permitieron entrar en su vida durante estos casi cinco años, de convivir dentro y fuera del salón de clase</w:t>
      </w:r>
      <w:r>
        <w:rPr>
          <w:rFonts w:ascii="Times New Roman" w:hAnsi="Times New Roman" w:cs="Times New Roman"/>
          <w:sz w:val="24"/>
          <w:lang w:val="es-EC"/>
        </w:rPr>
        <w:t xml:space="preserve"> Daniel, Marco, Esteban, gracias.</w:t>
      </w:r>
    </w:p>
    <w:p w:rsidR="0000469B" w:rsidRDefault="0000469B" w:rsidP="000708C6">
      <w:pPr>
        <w:jc w:val="both"/>
        <w:rPr>
          <w:rFonts w:ascii="Times New Roman" w:hAnsi="Times New Roman" w:cs="Times New Roman"/>
          <w:sz w:val="24"/>
          <w:lang w:val="es-EC"/>
        </w:rPr>
      </w:pPr>
      <w:r>
        <w:rPr>
          <w:rFonts w:ascii="Times New Roman" w:hAnsi="Times New Roman" w:cs="Times New Roman"/>
          <w:sz w:val="24"/>
          <w:lang w:val="es-EC"/>
        </w:rPr>
        <w:t>Un agradecimiento especial a mis queridos hermanos Leo, Carlos y Fausto, por siempre creer en mí, apoyarme y darme su cariño.</w:t>
      </w:r>
    </w:p>
    <w:p w:rsidR="0000469B" w:rsidRPr="000708C6" w:rsidRDefault="0000469B" w:rsidP="000708C6">
      <w:pPr>
        <w:jc w:val="both"/>
        <w:rPr>
          <w:rFonts w:ascii="Times New Roman" w:hAnsi="Times New Roman" w:cs="Times New Roman"/>
          <w:sz w:val="24"/>
          <w:lang w:val="es-EC"/>
        </w:rPr>
      </w:pPr>
      <w:r>
        <w:rPr>
          <w:rFonts w:ascii="Times New Roman" w:hAnsi="Times New Roman" w:cs="Times New Roman"/>
          <w:sz w:val="24"/>
          <w:lang w:val="es-EC"/>
        </w:rPr>
        <w:t>Gracias.</w:t>
      </w:r>
    </w:p>
    <w:p w:rsidR="0010371D" w:rsidRDefault="0010371D">
      <w:pPr>
        <w:rPr>
          <w:rFonts w:ascii="Times New Roman" w:hAnsi="Times New Roman" w:cs="Times New Roman"/>
          <w:b/>
          <w:sz w:val="24"/>
        </w:rPr>
      </w:pPr>
      <w:r>
        <w:rPr>
          <w:rFonts w:ascii="Times New Roman" w:hAnsi="Times New Roman" w:cs="Times New Roman"/>
          <w:b/>
          <w:sz w:val="24"/>
        </w:rPr>
        <w:br w:type="page"/>
      </w:r>
    </w:p>
    <w:p w:rsidR="007054E2" w:rsidRDefault="007054E2">
      <w:pPr>
        <w:rPr>
          <w:rFonts w:ascii="Times New Roman" w:hAnsi="Times New Roman" w:cs="Times New Roman"/>
          <w:b/>
          <w:sz w:val="24"/>
        </w:rPr>
      </w:pPr>
    </w:p>
    <w:p w:rsidR="007054E2" w:rsidRDefault="007054E2">
      <w:pPr>
        <w:rPr>
          <w:rFonts w:ascii="Times New Roman" w:hAnsi="Times New Roman" w:cs="Times New Roman"/>
          <w:b/>
          <w:sz w:val="24"/>
        </w:rPr>
      </w:pPr>
    </w:p>
    <w:p w:rsidR="0000469B" w:rsidRDefault="0000469B">
      <w:pPr>
        <w:rPr>
          <w:rFonts w:ascii="Times New Roman" w:hAnsi="Times New Roman" w:cs="Times New Roman"/>
          <w:b/>
          <w:sz w:val="24"/>
        </w:rPr>
      </w:pPr>
      <w:r>
        <w:rPr>
          <w:rFonts w:ascii="Times New Roman" w:hAnsi="Times New Roman" w:cs="Times New Roman"/>
          <w:b/>
          <w:sz w:val="24"/>
        </w:rPr>
        <w:t>DEDICATORIA:</w:t>
      </w:r>
    </w:p>
    <w:p w:rsidR="0000469B" w:rsidRDefault="0000469B" w:rsidP="0000469B">
      <w:pPr>
        <w:rPr>
          <w:rFonts w:ascii="Times New Roman" w:hAnsi="Times New Roman" w:cs="Times New Roman"/>
          <w:b/>
          <w:sz w:val="24"/>
        </w:rPr>
      </w:pPr>
    </w:p>
    <w:p w:rsidR="0000469B" w:rsidRDefault="0000469B" w:rsidP="007054E2">
      <w:pPr>
        <w:jc w:val="both"/>
        <w:rPr>
          <w:rFonts w:ascii="Times New Roman" w:hAnsi="Times New Roman" w:cs="Times New Roman"/>
          <w:sz w:val="24"/>
        </w:rPr>
      </w:pPr>
      <w:r>
        <w:rPr>
          <w:rFonts w:ascii="Times New Roman" w:hAnsi="Times New Roman" w:cs="Times New Roman"/>
          <w:sz w:val="24"/>
        </w:rPr>
        <w:t xml:space="preserve">Tal como siempre ha sido, seguirán siendo todos mis logros alcanzados dedicados a mi hermana </w:t>
      </w:r>
      <w:proofErr w:type="spellStart"/>
      <w:r>
        <w:rPr>
          <w:rFonts w:ascii="Times New Roman" w:hAnsi="Times New Roman" w:cs="Times New Roman"/>
          <w:sz w:val="24"/>
        </w:rPr>
        <w:t>Yessenia</w:t>
      </w:r>
      <w:proofErr w:type="spellEnd"/>
      <w:r>
        <w:rPr>
          <w:rFonts w:ascii="Times New Roman" w:hAnsi="Times New Roman" w:cs="Times New Roman"/>
          <w:sz w:val="24"/>
        </w:rPr>
        <w:t xml:space="preserve"> porque cada paso que damos nos acerca más a quienes somos.</w:t>
      </w:r>
    </w:p>
    <w:p w:rsidR="0000469B" w:rsidRDefault="0000469B" w:rsidP="0000469B">
      <w:pPr>
        <w:rPr>
          <w:rFonts w:ascii="Times New Roman" w:hAnsi="Times New Roman" w:cs="Times New Roman"/>
          <w:sz w:val="24"/>
        </w:rPr>
      </w:pPr>
    </w:p>
    <w:p w:rsidR="007054E2" w:rsidRDefault="0000469B" w:rsidP="007054E2">
      <w:pPr>
        <w:jc w:val="both"/>
        <w:rPr>
          <w:rFonts w:ascii="Times New Roman" w:hAnsi="Times New Roman" w:cs="Times New Roman"/>
          <w:b/>
          <w:sz w:val="24"/>
        </w:rPr>
      </w:pPr>
      <w:r>
        <w:rPr>
          <w:rFonts w:ascii="Times New Roman" w:hAnsi="Times New Roman" w:cs="Times New Roman"/>
          <w:sz w:val="24"/>
        </w:rPr>
        <w:t>A mis padres que son el pilar fundamental de mi existencia, este objetivo cumplido es solamente una manera más de agradecerles por ser mis padres, todos mis logros son también para ustedes.</w:t>
      </w:r>
    </w:p>
    <w:p w:rsidR="007054E2" w:rsidRDefault="007054E2" w:rsidP="007054E2">
      <w:pPr>
        <w:jc w:val="both"/>
        <w:rPr>
          <w:rFonts w:ascii="Times New Roman" w:hAnsi="Times New Roman" w:cs="Times New Roman"/>
          <w:b/>
          <w:sz w:val="24"/>
        </w:rPr>
      </w:pPr>
    </w:p>
    <w:p w:rsidR="007054E2" w:rsidRDefault="007054E2" w:rsidP="007054E2">
      <w:pPr>
        <w:jc w:val="both"/>
        <w:rPr>
          <w:rFonts w:ascii="Times New Roman" w:hAnsi="Times New Roman" w:cs="Times New Roman"/>
          <w:b/>
          <w:sz w:val="24"/>
        </w:rPr>
      </w:pPr>
    </w:p>
    <w:p w:rsidR="007054E2" w:rsidRPr="007054E2" w:rsidRDefault="007054E2" w:rsidP="007054E2">
      <w:pPr>
        <w:jc w:val="right"/>
        <w:rPr>
          <w:rFonts w:ascii="Times New Roman" w:hAnsi="Times New Roman" w:cs="Times New Roman"/>
          <w:sz w:val="24"/>
        </w:rPr>
      </w:pPr>
      <w:r w:rsidRPr="007054E2">
        <w:rPr>
          <w:rFonts w:ascii="Times New Roman" w:hAnsi="Times New Roman" w:cs="Times New Roman"/>
          <w:sz w:val="24"/>
        </w:rPr>
        <w:t>Ximena Chávez Ponce</w:t>
      </w:r>
    </w:p>
    <w:p w:rsidR="0010371D" w:rsidRDefault="0010371D">
      <w:pPr>
        <w:rPr>
          <w:rFonts w:ascii="Times New Roman" w:hAnsi="Times New Roman" w:cs="Times New Roman"/>
          <w:b/>
          <w:sz w:val="24"/>
        </w:rPr>
      </w:pPr>
    </w:p>
    <w:p w:rsidR="0000469B" w:rsidRDefault="0000469B">
      <w:pPr>
        <w:rPr>
          <w:rFonts w:ascii="Times New Roman" w:hAnsi="Times New Roman" w:cs="Times New Roman"/>
          <w:b/>
          <w:sz w:val="24"/>
        </w:rPr>
      </w:pPr>
    </w:p>
    <w:p w:rsidR="0000469B" w:rsidRDefault="0000469B">
      <w:pPr>
        <w:rPr>
          <w:rFonts w:ascii="Times New Roman" w:hAnsi="Times New Roman" w:cs="Times New Roman"/>
          <w:b/>
          <w:sz w:val="24"/>
        </w:rPr>
      </w:pPr>
    </w:p>
    <w:p w:rsidR="007054E2" w:rsidRDefault="007054E2">
      <w:pPr>
        <w:rPr>
          <w:rFonts w:ascii="Times New Roman" w:hAnsi="Times New Roman" w:cs="Times New Roman"/>
          <w:b/>
          <w:sz w:val="24"/>
        </w:rPr>
      </w:pPr>
      <w:r>
        <w:rPr>
          <w:rFonts w:ascii="Times New Roman" w:hAnsi="Times New Roman" w:cs="Times New Roman"/>
          <w:b/>
          <w:sz w:val="24"/>
        </w:rPr>
        <w:br w:type="page"/>
      </w:r>
    </w:p>
    <w:p w:rsidR="0015368D" w:rsidRPr="00516B96" w:rsidRDefault="0015368D" w:rsidP="0015368D">
      <w:pPr>
        <w:jc w:val="center"/>
        <w:rPr>
          <w:rFonts w:ascii="Times New Roman" w:hAnsi="Times New Roman" w:cs="Times New Roman"/>
          <w:b/>
          <w:sz w:val="24"/>
        </w:rPr>
      </w:pPr>
      <w:r w:rsidRPr="00516B96">
        <w:rPr>
          <w:rFonts w:ascii="Times New Roman" w:hAnsi="Times New Roman" w:cs="Times New Roman"/>
          <w:b/>
          <w:sz w:val="24"/>
        </w:rPr>
        <w:lastRenderedPageBreak/>
        <w:t>INTRODUCCIÓN</w:t>
      </w:r>
    </w:p>
    <w:p w:rsidR="0015368D" w:rsidRPr="00516B96" w:rsidRDefault="0015368D" w:rsidP="0015368D">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Desde siempre, los Estados y los pueblos que han empuñado las armas han afirmado hacerlo por una causa justa. Con demasiada frecuencia se han valido de ese argumento para negar toda conmiseración a sus adversarios y para justificar las peores concusiones. Se acusaba al enemigo de sostener una causa injusta y se lo hacía responsable de las privaciones, los sufrimientos y el luto que toda guerra deja a su paso. Como la derrota bastaba para probar la culpabilidad de los vencidos, se los podía masacrar o someter a esclavitud, sea cual fuere su número.</w:t>
      </w:r>
    </w:p>
    <w:p w:rsidR="0015368D" w:rsidRPr="00516B96" w:rsidRDefault="0015368D" w:rsidP="0015368D">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w:t>
      </w:r>
      <w:r w:rsidRPr="00516B96">
        <w:rPr>
          <w:rFonts w:ascii="Times New Roman" w:hAnsi="Times New Roman" w:cs="Times New Roman"/>
          <w:i/>
          <w:iCs/>
          <w:sz w:val="24"/>
          <w:szCs w:val="24"/>
        </w:rPr>
        <w:t>Guerras santas", "guerras sagradas", "guerras justas"</w:t>
      </w:r>
      <w:r w:rsidRPr="00516B96">
        <w:rPr>
          <w:rFonts w:ascii="Times New Roman" w:hAnsi="Times New Roman" w:cs="Times New Roman"/>
          <w:sz w:val="24"/>
          <w:szCs w:val="24"/>
        </w:rPr>
        <w:t>, la Historia muestra que, por lo general, los beligerantes que, con prontitud, reivindican una causa trascendente resultan culpables de los peores excesos.</w:t>
      </w:r>
    </w:p>
    <w:p w:rsidR="0015368D" w:rsidRPr="00516B96" w:rsidRDefault="0015368D" w:rsidP="0015368D">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L</w:t>
      </w:r>
      <w:r w:rsidR="0015748A" w:rsidRPr="00516B96">
        <w:rPr>
          <w:rFonts w:ascii="Times New Roman" w:hAnsi="Times New Roman" w:cs="Times New Roman"/>
          <w:sz w:val="24"/>
          <w:szCs w:val="24"/>
        </w:rPr>
        <w:t>a mayor parte de las normas de D</w:t>
      </w:r>
      <w:r w:rsidRPr="00516B96">
        <w:rPr>
          <w:rFonts w:ascii="Times New Roman" w:hAnsi="Times New Roman" w:cs="Times New Roman"/>
          <w:sz w:val="24"/>
          <w:szCs w:val="24"/>
        </w:rPr>
        <w:t xml:space="preserve">erecho </w:t>
      </w:r>
      <w:r w:rsidR="0015748A" w:rsidRPr="00516B96">
        <w:rPr>
          <w:rFonts w:ascii="Times New Roman" w:hAnsi="Times New Roman" w:cs="Times New Roman"/>
          <w:sz w:val="24"/>
          <w:szCs w:val="24"/>
        </w:rPr>
        <w:t>Internacional H</w:t>
      </w:r>
      <w:r w:rsidRPr="00516B96">
        <w:rPr>
          <w:rFonts w:ascii="Times New Roman" w:hAnsi="Times New Roman" w:cs="Times New Roman"/>
          <w:sz w:val="24"/>
          <w:szCs w:val="24"/>
        </w:rPr>
        <w:t xml:space="preserve">umanitario fueron aprobadas en una época en que el recurso a la guerra era lícito. La guerra era un atributo de la soberanía; era lícita cuando era un acto de gobierno; el Estado que la emprendía era el único que decidía sobre los motivos que lo impulsaban a tomar las armas. </w:t>
      </w:r>
    </w:p>
    <w:p w:rsidR="0015368D" w:rsidRPr="00516B96" w:rsidRDefault="0015368D" w:rsidP="0015368D">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Hoy día, el contexto es otro: el recurso a la guerra fue limitado por el Pacto de la Sociedad de Naciones, luego prohibido por el Pacto de París (o Pacto </w:t>
      </w:r>
      <w:proofErr w:type="spellStart"/>
      <w:r w:rsidRPr="00516B96">
        <w:rPr>
          <w:rFonts w:ascii="Times New Roman" w:hAnsi="Times New Roman" w:cs="Times New Roman"/>
          <w:sz w:val="24"/>
          <w:szCs w:val="24"/>
        </w:rPr>
        <w:t>Briand</w:t>
      </w:r>
      <w:proofErr w:type="spellEnd"/>
      <w:r w:rsidRPr="00516B96">
        <w:rPr>
          <w:rFonts w:ascii="Times New Roman" w:hAnsi="Times New Roman" w:cs="Times New Roman"/>
          <w:sz w:val="24"/>
          <w:szCs w:val="24"/>
        </w:rPr>
        <w:t>-Kellogg)</w:t>
      </w:r>
      <w:r w:rsidRPr="00516B96">
        <w:rPr>
          <w:rFonts w:ascii="Times New Roman" w:hAnsi="Times New Roman" w:cs="Times New Roman"/>
          <w:b/>
          <w:bCs/>
          <w:sz w:val="24"/>
          <w:szCs w:val="24"/>
        </w:rPr>
        <w:t xml:space="preserve"> </w:t>
      </w:r>
      <w:r w:rsidRPr="00516B96">
        <w:rPr>
          <w:rFonts w:ascii="Times New Roman" w:hAnsi="Times New Roman" w:cs="Times New Roman"/>
          <w:sz w:val="24"/>
          <w:szCs w:val="24"/>
        </w:rPr>
        <w:t>y la Carta de las Naciones Unidas. En el Pacto de París, los Estados contratantes declararon que condenaban "el recurso a la guerra para solucionar diferendos" y que renunciaban a él "como instrumento de política nacional". La Carta de las Naciones Unidas prohíbe todo recurso</w:t>
      </w:r>
      <w:r w:rsidR="0015748A" w:rsidRPr="00516B96">
        <w:rPr>
          <w:rFonts w:ascii="Times New Roman" w:hAnsi="Times New Roman" w:cs="Times New Roman"/>
          <w:sz w:val="24"/>
          <w:szCs w:val="24"/>
        </w:rPr>
        <w:t xml:space="preserve"> a la fuerza en las Relaciones I</w:t>
      </w:r>
      <w:r w:rsidRPr="00516B96">
        <w:rPr>
          <w:rFonts w:ascii="Times New Roman" w:hAnsi="Times New Roman" w:cs="Times New Roman"/>
          <w:sz w:val="24"/>
          <w:szCs w:val="24"/>
        </w:rPr>
        <w:t>nternacionales, con excepción de la acción coercitiva colectiva prevista en el Capítulo VII y del derecho de legítima defensa individual o colectiva reservado por el artículo 51.</w:t>
      </w:r>
    </w:p>
    <w:p w:rsidR="0015368D" w:rsidRPr="00516B96" w:rsidRDefault="0015368D" w:rsidP="0015368D">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A pesar de las prohibiciones expresas, el mundo ha sido testigo de guerras crueles, al Derecho sólo le quedó buscar la manera de legislar para que dentro de esos conflictos no se den tantos abusos, pero frente a situaciones históricas como la Guerra en Yugoslavia, se decidió ir más allá y crear una jurisdicción internacional capaz de juzgar los crímenes de lesa humanidad cometidos en situaciones de guerra.</w:t>
      </w:r>
    </w:p>
    <w:p w:rsidR="0015368D" w:rsidRPr="00516B96" w:rsidRDefault="0015368D" w:rsidP="0015368D">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Se dio un gran salto histórico en el desarrollo del Derecho Internacional Humanitario con la creación del Tribunal para la ex Yugoslavia, dando ejemplo para que </w:t>
      </w:r>
      <w:r w:rsidRPr="00516B96">
        <w:rPr>
          <w:rFonts w:ascii="Times New Roman" w:hAnsi="Times New Roman" w:cs="Times New Roman"/>
          <w:sz w:val="24"/>
          <w:szCs w:val="24"/>
        </w:rPr>
        <w:lastRenderedPageBreak/>
        <w:t>posteriormente se cree la Corte Penal</w:t>
      </w:r>
      <w:r w:rsidR="00B72267" w:rsidRPr="00516B96">
        <w:rPr>
          <w:rFonts w:ascii="Times New Roman" w:hAnsi="Times New Roman" w:cs="Times New Roman"/>
          <w:sz w:val="24"/>
          <w:szCs w:val="24"/>
        </w:rPr>
        <w:t xml:space="preserve"> Internacional y se asegure así, de alguna manera, el mantenimiento de la paz y el orden mundiales.</w:t>
      </w:r>
    </w:p>
    <w:p w:rsidR="00B72267" w:rsidRPr="00516B96" w:rsidRDefault="00B72267" w:rsidP="0015368D">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Sin embargo, el desarrollo del Derecho Internacional Humanitario es aún incipiente y su aplicación manejada por las potencias mundiales, creando así un gran abismo entre lo que la Comunidad Internacional espera y lo que el Derecho Internacional Humanitario realmente puede ofrecer, tal como se verá en el presente trabajo</w:t>
      </w:r>
    </w:p>
    <w:p w:rsidR="00B72267" w:rsidRPr="00516B96" w:rsidRDefault="00B72267">
      <w:pPr>
        <w:rPr>
          <w:rFonts w:ascii="Times New Roman" w:hAnsi="Times New Roman" w:cs="Times New Roman"/>
          <w:sz w:val="24"/>
          <w:szCs w:val="24"/>
        </w:rPr>
      </w:pPr>
      <w:r w:rsidRPr="00516B96">
        <w:rPr>
          <w:rFonts w:ascii="Times New Roman" w:hAnsi="Times New Roman" w:cs="Times New Roman"/>
          <w:sz w:val="24"/>
          <w:szCs w:val="24"/>
        </w:rPr>
        <w:br w:type="page"/>
      </w:r>
    </w:p>
    <w:p w:rsidR="00B72267" w:rsidRPr="00516B96" w:rsidRDefault="00B72267" w:rsidP="00B72267">
      <w:pPr>
        <w:spacing w:line="360" w:lineRule="auto"/>
        <w:jc w:val="both"/>
        <w:rPr>
          <w:rFonts w:ascii="Times New Roman" w:hAnsi="Times New Roman" w:cs="Times New Roman"/>
          <w:sz w:val="24"/>
          <w:szCs w:val="24"/>
        </w:rPr>
      </w:pPr>
    </w:p>
    <w:p w:rsidR="00B72267" w:rsidRPr="00516B96" w:rsidRDefault="00B72267" w:rsidP="00B72267">
      <w:pPr>
        <w:spacing w:line="360" w:lineRule="auto"/>
        <w:jc w:val="both"/>
        <w:rPr>
          <w:rFonts w:ascii="Times New Roman" w:hAnsi="Times New Roman" w:cs="Times New Roman"/>
          <w:sz w:val="24"/>
          <w:szCs w:val="24"/>
        </w:rPr>
      </w:pPr>
    </w:p>
    <w:p w:rsidR="00B72267" w:rsidRPr="00516B96" w:rsidRDefault="00B72267" w:rsidP="00B72267">
      <w:pPr>
        <w:spacing w:line="360" w:lineRule="auto"/>
        <w:jc w:val="both"/>
        <w:rPr>
          <w:rFonts w:ascii="Times New Roman" w:hAnsi="Times New Roman" w:cs="Times New Roman"/>
          <w:sz w:val="24"/>
          <w:szCs w:val="24"/>
        </w:rPr>
      </w:pPr>
    </w:p>
    <w:p w:rsidR="0015368D" w:rsidRPr="00516B96" w:rsidRDefault="0015368D" w:rsidP="00B72267">
      <w:pPr>
        <w:spacing w:line="360" w:lineRule="auto"/>
        <w:jc w:val="center"/>
        <w:rPr>
          <w:rFonts w:ascii="Times New Roman" w:hAnsi="Times New Roman" w:cs="Times New Roman"/>
          <w:b/>
          <w:sz w:val="24"/>
        </w:rPr>
      </w:pPr>
      <w:r w:rsidRPr="00516B96">
        <w:rPr>
          <w:rFonts w:ascii="Times New Roman" w:hAnsi="Times New Roman" w:cs="Times New Roman"/>
          <w:b/>
          <w:sz w:val="24"/>
        </w:rPr>
        <w:t>OBJETIVOS</w:t>
      </w:r>
    </w:p>
    <w:p w:rsidR="00B72267" w:rsidRPr="00516B96" w:rsidRDefault="00B72267" w:rsidP="00B72267">
      <w:pPr>
        <w:spacing w:line="360" w:lineRule="auto"/>
        <w:jc w:val="both"/>
        <w:rPr>
          <w:rFonts w:ascii="Times New Roman" w:hAnsi="Times New Roman" w:cs="Times New Roman"/>
          <w:sz w:val="24"/>
        </w:rPr>
      </w:pPr>
    </w:p>
    <w:p w:rsidR="00B72267" w:rsidRPr="00516B96" w:rsidRDefault="00B72267" w:rsidP="00B72267">
      <w:pPr>
        <w:spacing w:line="360" w:lineRule="auto"/>
        <w:jc w:val="both"/>
        <w:rPr>
          <w:rFonts w:ascii="Times New Roman" w:hAnsi="Times New Roman" w:cs="Times New Roman"/>
          <w:sz w:val="24"/>
        </w:rPr>
      </w:pPr>
      <w:r w:rsidRPr="00516B96">
        <w:rPr>
          <w:rFonts w:ascii="Times New Roman" w:hAnsi="Times New Roman" w:cs="Times New Roman"/>
          <w:sz w:val="24"/>
        </w:rPr>
        <w:t>General:</w:t>
      </w:r>
    </w:p>
    <w:p w:rsidR="00B72267" w:rsidRPr="00516B96" w:rsidRDefault="00B72267" w:rsidP="00B72267">
      <w:pPr>
        <w:pStyle w:val="Prrafodelista"/>
        <w:numPr>
          <w:ilvl w:val="0"/>
          <w:numId w:val="25"/>
        </w:numPr>
        <w:spacing w:line="360" w:lineRule="auto"/>
        <w:jc w:val="both"/>
        <w:rPr>
          <w:rFonts w:ascii="Times New Roman" w:hAnsi="Times New Roman" w:cs="Times New Roman"/>
          <w:sz w:val="24"/>
        </w:rPr>
      </w:pPr>
      <w:r w:rsidRPr="00516B96">
        <w:rPr>
          <w:rFonts w:ascii="Times New Roman" w:hAnsi="Times New Roman" w:cs="Times New Roman"/>
          <w:sz w:val="24"/>
        </w:rPr>
        <w:t xml:space="preserve">Realizar un estudio histórico del Derecho Internacional Humanitario y de su aplicación en </w:t>
      </w:r>
      <w:r w:rsidR="0015748A" w:rsidRPr="00516B96">
        <w:rPr>
          <w:rFonts w:ascii="Times New Roman" w:hAnsi="Times New Roman" w:cs="Times New Roman"/>
          <w:sz w:val="24"/>
        </w:rPr>
        <w:t xml:space="preserve">el conflicto de </w:t>
      </w:r>
      <w:r w:rsidRPr="00516B96">
        <w:rPr>
          <w:rFonts w:ascii="Times New Roman" w:hAnsi="Times New Roman" w:cs="Times New Roman"/>
          <w:sz w:val="24"/>
        </w:rPr>
        <w:t>la Antigua Yugoslavia.</w:t>
      </w:r>
    </w:p>
    <w:p w:rsidR="00B72267" w:rsidRPr="00516B96" w:rsidRDefault="00B72267" w:rsidP="00B72267">
      <w:pPr>
        <w:spacing w:line="360" w:lineRule="auto"/>
        <w:jc w:val="both"/>
        <w:rPr>
          <w:rFonts w:ascii="Times New Roman" w:hAnsi="Times New Roman" w:cs="Times New Roman"/>
          <w:sz w:val="24"/>
        </w:rPr>
      </w:pPr>
    </w:p>
    <w:p w:rsidR="00B72267" w:rsidRPr="00516B96" w:rsidRDefault="00B72267" w:rsidP="00B72267">
      <w:pPr>
        <w:spacing w:line="360" w:lineRule="auto"/>
        <w:jc w:val="both"/>
        <w:rPr>
          <w:rFonts w:ascii="Times New Roman" w:hAnsi="Times New Roman" w:cs="Times New Roman"/>
          <w:sz w:val="24"/>
        </w:rPr>
      </w:pPr>
      <w:r w:rsidRPr="00516B96">
        <w:rPr>
          <w:rFonts w:ascii="Times New Roman" w:hAnsi="Times New Roman" w:cs="Times New Roman"/>
          <w:sz w:val="24"/>
        </w:rPr>
        <w:t>Específicos:</w:t>
      </w:r>
    </w:p>
    <w:p w:rsidR="00B72267" w:rsidRPr="00516B96" w:rsidRDefault="00B72267" w:rsidP="00B72267">
      <w:pPr>
        <w:pStyle w:val="Prrafodelista"/>
        <w:numPr>
          <w:ilvl w:val="0"/>
          <w:numId w:val="25"/>
        </w:numPr>
        <w:spacing w:line="360" w:lineRule="auto"/>
        <w:jc w:val="both"/>
        <w:rPr>
          <w:rFonts w:ascii="Times New Roman" w:hAnsi="Times New Roman" w:cs="Times New Roman"/>
          <w:sz w:val="24"/>
        </w:rPr>
      </w:pPr>
      <w:r w:rsidRPr="00516B96">
        <w:rPr>
          <w:rFonts w:ascii="Times New Roman" w:hAnsi="Times New Roman" w:cs="Times New Roman"/>
          <w:sz w:val="24"/>
        </w:rPr>
        <w:t xml:space="preserve">Demostrar que la </w:t>
      </w:r>
      <w:r w:rsidRPr="00516B96">
        <w:rPr>
          <w:rFonts w:ascii="Times New Roman" w:hAnsi="Times New Roman" w:cs="Times New Roman"/>
          <w:sz w:val="24"/>
          <w:lang w:val="es-EC"/>
        </w:rPr>
        <w:t>normativa desarrollada en el Derecho Internacional Humanitario no es suficiente para parar las atrocidades de las</w:t>
      </w:r>
      <w:r w:rsidR="0015748A" w:rsidRPr="00516B96">
        <w:rPr>
          <w:rFonts w:ascii="Times New Roman" w:hAnsi="Times New Roman" w:cs="Times New Roman"/>
          <w:sz w:val="24"/>
          <w:lang w:val="es-EC"/>
        </w:rPr>
        <w:t xml:space="preserve"> g</w:t>
      </w:r>
      <w:r w:rsidRPr="00516B96">
        <w:rPr>
          <w:rFonts w:ascii="Times New Roman" w:hAnsi="Times New Roman" w:cs="Times New Roman"/>
          <w:sz w:val="24"/>
          <w:lang w:val="es-EC"/>
        </w:rPr>
        <w:t>uerras actuales.</w:t>
      </w:r>
    </w:p>
    <w:p w:rsidR="00B72267" w:rsidRPr="00516B96" w:rsidRDefault="00B72267" w:rsidP="00B72267">
      <w:pPr>
        <w:pStyle w:val="Prrafodelista"/>
        <w:spacing w:line="360" w:lineRule="auto"/>
        <w:jc w:val="both"/>
        <w:rPr>
          <w:rFonts w:ascii="Times New Roman" w:hAnsi="Times New Roman" w:cs="Times New Roman"/>
          <w:sz w:val="24"/>
        </w:rPr>
      </w:pPr>
    </w:p>
    <w:p w:rsidR="00B72267" w:rsidRPr="00516B96" w:rsidRDefault="00B72267" w:rsidP="00B72267">
      <w:pPr>
        <w:pStyle w:val="Prrafodelista"/>
        <w:numPr>
          <w:ilvl w:val="0"/>
          <w:numId w:val="25"/>
        </w:numPr>
        <w:spacing w:line="360" w:lineRule="auto"/>
        <w:jc w:val="both"/>
        <w:rPr>
          <w:rFonts w:ascii="Times New Roman" w:hAnsi="Times New Roman" w:cs="Times New Roman"/>
          <w:sz w:val="24"/>
        </w:rPr>
      </w:pPr>
      <w:r w:rsidRPr="00516B96">
        <w:rPr>
          <w:rFonts w:ascii="Times New Roman" w:hAnsi="Times New Roman" w:cs="Times New Roman"/>
          <w:sz w:val="24"/>
        </w:rPr>
        <w:t>Desarrollar un estudio crítico de la aplicación del Derecho Internacional Humanitario en los conflictos actuales.</w:t>
      </w:r>
    </w:p>
    <w:p w:rsidR="00B72267" w:rsidRPr="00516B96" w:rsidRDefault="00B72267" w:rsidP="0015368D">
      <w:pPr>
        <w:jc w:val="center"/>
        <w:rPr>
          <w:rFonts w:ascii="Times New Roman" w:hAnsi="Times New Roman" w:cs="Times New Roman"/>
          <w:b/>
          <w:sz w:val="24"/>
        </w:rPr>
      </w:pPr>
    </w:p>
    <w:p w:rsidR="00B72267" w:rsidRPr="00516B96" w:rsidRDefault="00B72267" w:rsidP="0015368D">
      <w:pPr>
        <w:jc w:val="center"/>
        <w:rPr>
          <w:rFonts w:ascii="Times New Roman" w:hAnsi="Times New Roman" w:cs="Times New Roman"/>
          <w:b/>
          <w:sz w:val="24"/>
        </w:rPr>
      </w:pPr>
    </w:p>
    <w:p w:rsidR="00B72267" w:rsidRPr="00516B96" w:rsidRDefault="00B72267" w:rsidP="0015368D">
      <w:pPr>
        <w:jc w:val="center"/>
        <w:rPr>
          <w:rFonts w:ascii="Times New Roman" w:hAnsi="Times New Roman" w:cs="Times New Roman"/>
          <w:b/>
          <w:sz w:val="24"/>
        </w:rPr>
      </w:pPr>
    </w:p>
    <w:p w:rsidR="00B72267" w:rsidRPr="00516B96" w:rsidRDefault="00B72267" w:rsidP="0015368D">
      <w:pPr>
        <w:jc w:val="center"/>
        <w:rPr>
          <w:rFonts w:ascii="Times New Roman" w:hAnsi="Times New Roman" w:cs="Times New Roman"/>
          <w:b/>
          <w:sz w:val="24"/>
        </w:rPr>
      </w:pPr>
    </w:p>
    <w:p w:rsidR="00B72267" w:rsidRPr="00516B96" w:rsidRDefault="00B72267" w:rsidP="0015368D">
      <w:pPr>
        <w:jc w:val="center"/>
        <w:rPr>
          <w:rFonts w:ascii="Times New Roman" w:hAnsi="Times New Roman" w:cs="Times New Roman"/>
          <w:b/>
          <w:sz w:val="24"/>
        </w:rPr>
      </w:pPr>
    </w:p>
    <w:p w:rsidR="00B72267" w:rsidRPr="00516B96" w:rsidRDefault="00B72267" w:rsidP="0015368D">
      <w:pPr>
        <w:jc w:val="center"/>
        <w:rPr>
          <w:rFonts w:ascii="Times New Roman" w:hAnsi="Times New Roman" w:cs="Times New Roman"/>
          <w:b/>
          <w:sz w:val="24"/>
        </w:rPr>
      </w:pPr>
    </w:p>
    <w:p w:rsidR="00B72267" w:rsidRPr="00516B96" w:rsidRDefault="00B72267" w:rsidP="0015368D">
      <w:pPr>
        <w:jc w:val="center"/>
        <w:rPr>
          <w:rFonts w:ascii="Times New Roman" w:hAnsi="Times New Roman" w:cs="Times New Roman"/>
          <w:b/>
          <w:sz w:val="24"/>
        </w:rPr>
      </w:pPr>
    </w:p>
    <w:p w:rsidR="00B72267" w:rsidRPr="00516B96" w:rsidRDefault="00B72267" w:rsidP="0029059D">
      <w:pPr>
        <w:spacing w:line="360" w:lineRule="auto"/>
        <w:jc w:val="center"/>
        <w:rPr>
          <w:rFonts w:ascii="Times New Roman" w:hAnsi="Times New Roman" w:cs="Times New Roman"/>
          <w:b/>
          <w:sz w:val="24"/>
          <w:szCs w:val="24"/>
        </w:rPr>
      </w:pPr>
    </w:p>
    <w:p w:rsidR="00B72267" w:rsidRPr="00516B96" w:rsidRDefault="00B72267" w:rsidP="0015368D">
      <w:pPr>
        <w:jc w:val="center"/>
        <w:rPr>
          <w:rFonts w:ascii="Times New Roman" w:hAnsi="Times New Roman" w:cs="Times New Roman"/>
          <w:b/>
          <w:sz w:val="24"/>
        </w:rPr>
      </w:pPr>
    </w:p>
    <w:p w:rsidR="00B72267" w:rsidRPr="00516B96" w:rsidRDefault="00B72267" w:rsidP="0015368D">
      <w:pPr>
        <w:jc w:val="center"/>
        <w:rPr>
          <w:rFonts w:ascii="Times New Roman" w:hAnsi="Times New Roman" w:cs="Times New Roman"/>
          <w:b/>
          <w:sz w:val="24"/>
        </w:rPr>
      </w:pPr>
    </w:p>
    <w:p w:rsidR="0029059D" w:rsidRPr="00516B96" w:rsidRDefault="0029059D" w:rsidP="0029059D">
      <w:pPr>
        <w:jc w:val="center"/>
        <w:rPr>
          <w:rFonts w:ascii="Times New Roman" w:hAnsi="Times New Roman" w:cs="Times New Roman"/>
          <w:b/>
          <w:sz w:val="24"/>
        </w:rPr>
      </w:pPr>
    </w:p>
    <w:p w:rsidR="000948A5" w:rsidRPr="00516B96" w:rsidRDefault="000948A5" w:rsidP="0029059D">
      <w:pPr>
        <w:jc w:val="center"/>
        <w:rPr>
          <w:rFonts w:ascii="Times New Roman" w:hAnsi="Times New Roman" w:cs="Times New Roman"/>
          <w:b/>
          <w:sz w:val="24"/>
        </w:rPr>
      </w:pPr>
    </w:p>
    <w:p w:rsidR="000948A5" w:rsidRPr="00516B96" w:rsidRDefault="000948A5" w:rsidP="0029059D">
      <w:pPr>
        <w:jc w:val="center"/>
        <w:rPr>
          <w:rFonts w:ascii="Times New Roman" w:hAnsi="Times New Roman" w:cs="Times New Roman"/>
          <w:b/>
          <w:sz w:val="24"/>
        </w:rPr>
      </w:pPr>
    </w:p>
    <w:p w:rsidR="000948A5" w:rsidRPr="00516B96" w:rsidRDefault="000948A5" w:rsidP="0029059D">
      <w:pPr>
        <w:jc w:val="center"/>
        <w:rPr>
          <w:rFonts w:ascii="Times New Roman" w:hAnsi="Times New Roman" w:cs="Times New Roman"/>
          <w:b/>
          <w:sz w:val="24"/>
        </w:rPr>
      </w:pPr>
    </w:p>
    <w:p w:rsidR="0029059D" w:rsidRPr="00516B96" w:rsidRDefault="0015368D" w:rsidP="0029059D">
      <w:pPr>
        <w:jc w:val="center"/>
        <w:rPr>
          <w:rFonts w:ascii="Times New Roman" w:hAnsi="Times New Roman" w:cs="Times New Roman"/>
          <w:b/>
          <w:sz w:val="24"/>
        </w:rPr>
      </w:pPr>
      <w:r w:rsidRPr="00516B96">
        <w:rPr>
          <w:rFonts w:ascii="Times New Roman" w:hAnsi="Times New Roman" w:cs="Times New Roman"/>
          <w:b/>
          <w:sz w:val="24"/>
        </w:rPr>
        <w:t>JUSTIFICACIÓN</w:t>
      </w:r>
    </w:p>
    <w:p w:rsidR="0029059D" w:rsidRPr="00516B96" w:rsidRDefault="0029059D" w:rsidP="0029059D">
      <w:pPr>
        <w:spacing w:line="360" w:lineRule="auto"/>
        <w:jc w:val="both"/>
        <w:rPr>
          <w:rFonts w:ascii="Times New Roman" w:hAnsi="Times New Roman" w:cs="Times New Roman"/>
          <w:sz w:val="24"/>
          <w:szCs w:val="24"/>
        </w:rPr>
      </w:pPr>
    </w:p>
    <w:p w:rsidR="0029059D" w:rsidRPr="00516B96" w:rsidRDefault="0029059D" w:rsidP="0029059D">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La infinidad de guerra</w:t>
      </w:r>
      <w:r w:rsidR="0015748A" w:rsidRPr="00516B96">
        <w:rPr>
          <w:rFonts w:ascii="Times New Roman" w:hAnsi="Times New Roman" w:cs="Times New Roman"/>
          <w:sz w:val="24"/>
          <w:szCs w:val="24"/>
        </w:rPr>
        <w:t>s y violaciones a los Derechos H</w:t>
      </w:r>
      <w:r w:rsidRPr="00516B96">
        <w:rPr>
          <w:rFonts w:ascii="Times New Roman" w:hAnsi="Times New Roman" w:cs="Times New Roman"/>
          <w:sz w:val="24"/>
          <w:szCs w:val="24"/>
        </w:rPr>
        <w:t>umanos que presenciamos en la actualidad retoman la importancia y actualidad del Derecho Internacional Humanitario.</w:t>
      </w:r>
    </w:p>
    <w:p w:rsidR="0029059D" w:rsidRPr="00516B96" w:rsidRDefault="0029059D" w:rsidP="0029059D">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Guerras internas o internacionales caracterizan el mundo de hoy, cargado de incertidumbres, signado por las crisis, impotente ante la falta de paradigmas. El sistema nacional, así como los sistemas internacionales no han sido capaces de construir un mundo de paz es por ello que el estudio del Derecho Internacional Humanitario y una mirada crítica a su forma de aplicación se hacen importantes dentro del desarrollo social de nuestro país y de toda la Comunidad Internacional.</w:t>
      </w:r>
    </w:p>
    <w:p w:rsidR="0029059D" w:rsidRPr="00516B96" w:rsidRDefault="0029059D" w:rsidP="0029059D">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Para ello es necesario el recuento histórico del Derecho Internacional Humanitario y d</w:t>
      </w:r>
      <w:r w:rsidR="0015748A" w:rsidRPr="00516B96">
        <w:rPr>
          <w:rFonts w:ascii="Times New Roman" w:hAnsi="Times New Roman" w:cs="Times New Roman"/>
          <w:sz w:val="24"/>
          <w:szCs w:val="24"/>
        </w:rPr>
        <w:t>el primer Tribunal de carácter i</w:t>
      </w:r>
      <w:r w:rsidRPr="00516B96">
        <w:rPr>
          <w:rFonts w:ascii="Times New Roman" w:hAnsi="Times New Roman" w:cs="Times New Roman"/>
          <w:sz w:val="24"/>
          <w:szCs w:val="24"/>
        </w:rPr>
        <w:t>nternacional para tratar crímenes de guerra –el Tribunal Internacional para la ex Yugoslavia- para entender los principios sobre los cuales se erige este Derecho y entender posteriormente el porqué de sus falencias al aplicarse a conflictos armados contemporáneos.</w:t>
      </w:r>
    </w:p>
    <w:p w:rsidR="0029059D" w:rsidRPr="00516B96" w:rsidRDefault="0029059D" w:rsidP="000948A5">
      <w:pPr>
        <w:rPr>
          <w:rFonts w:ascii="Times New Roman" w:hAnsi="Times New Roman" w:cs="Times New Roman"/>
          <w:b/>
          <w:sz w:val="24"/>
        </w:rPr>
      </w:pPr>
      <w:r w:rsidRPr="00516B96">
        <w:rPr>
          <w:rFonts w:ascii="Times New Roman" w:hAnsi="Times New Roman" w:cs="Times New Roman"/>
          <w:b/>
          <w:sz w:val="24"/>
        </w:rPr>
        <w:br w:type="page"/>
      </w:r>
    </w:p>
    <w:p w:rsidR="00D739FA" w:rsidRPr="00516B96" w:rsidRDefault="00D739FA" w:rsidP="00D739FA">
      <w:pPr>
        <w:spacing w:line="360" w:lineRule="auto"/>
        <w:jc w:val="center"/>
        <w:rPr>
          <w:rFonts w:ascii="Times New Roman" w:hAnsi="Times New Roman" w:cs="Times New Roman"/>
          <w:b/>
          <w:sz w:val="24"/>
        </w:rPr>
      </w:pPr>
      <w:r w:rsidRPr="00516B96">
        <w:rPr>
          <w:rFonts w:ascii="Times New Roman" w:hAnsi="Times New Roman" w:cs="Times New Roman"/>
          <w:b/>
          <w:sz w:val="24"/>
        </w:rPr>
        <w:lastRenderedPageBreak/>
        <w:t xml:space="preserve">CAPÍTULO I </w:t>
      </w:r>
    </w:p>
    <w:p w:rsidR="00D739FA" w:rsidRPr="00516B96" w:rsidRDefault="00D739FA" w:rsidP="00D739FA">
      <w:pPr>
        <w:spacing w:line="360" w:lineRule="auto"/>
        <w:jc w:val="center"/>
        <w:rPr>
          <w:rFonts w:ascii="Times New Roman" w:hAnsi="Times New Roman" w:cs="Times New Roman"/>
          <w:b/>
          <w:sz w:val="24"/>
        </w:rPr>
      </w:pPr>
      <w:r w:rsidRPr="00516B96">
        <w:rPr>
          <w:rFonts w:ascii="Times New Roman" w:hAnsi="Times New Roman" w:cs="Times New Roman"/>
          <w:b/>
          <w:sz w:val="24"/>
        </w:rPr>
        <w:t>EL DERECHO INTERNACIONAL HUMANITARIO</w:t>
      </w:r>
    </w:p>
    <w:p w:rsidR="00D739FA" w:rsidRPr="00516B96" w:rsidRDefault="00D739FA" w:rsidP="00D739FA">
      <w:pPr>
        <w:spacing w:line="360" w:lineRule="auto"/>
        <w:jc w:val="center"/>
        <w:rPr>
          <w:rFonts w:ascii="Times New Roman" w:hAnsi="Times New Roman" w:cs="Times New Roman"/>
          <w:b/>
          <w:sz w:val="24"/>
        </w:rPr>
      </w:pPr>
    </w:p>
    <w:p w:rsidR="00D739FA" w:rsidRPr="00516B96" w:rsidRDefault="00D739FA" w:rsidP="00D739FA">
      <w:pPr>
        <w:autoSpaceDE w:val="0"/>
        <w:autoSpaceDN w:val="0"/>
        <w:adjustRightInd w:val="0"/>
        <w:spacing w:after="0" w:line="240" w:lineRule="auto"/>
        <w:jc w:val="right"/>
        <w:rPr>
          <w:rFonts w:ascii="Times New Roman" w:hAnsi="Times New Roman" w:cs="Times New Roman"/>
          <w:i/>
          <w:iCs/>
          <w:sz w:val="16"/>
          <w:szCs w:val="16"/>
        </w:rPr>
      </w:pPr>
      <w:r w:rsidRPr="00516B96">
        <w:rPr>
          <w:rFonts w:ascii="Times New Roman" w:hAnsi="Times New Roman" w:cs="Times New Roman"/>
          <w:i/>
          <w:iCs/>
          <w:sz w:val="16"/>
          <w:szCs w:val="16"/>
        </w:rPr>
        <w:t>"</w:t>
      </w:r>
      <w:proofErr w:type="gramStart"/>
      <w:r w:rsidRPr="00516B96">
        <w:rPr>
          <w:rFonts w:ascii="Times New Roman" w:hAnsi="Times New Roman" w:cs="Times New Roman"/>
          <w:i/>
          <w:iCs/>
          <w:sz w:val="16"/>
          <w:szCs w:val="16"/>
        </w:rPr>
        <w:t>¿</w:t>
      </w:r>
      <w:proofErr w:type="gramEnd"/>
      <w:r w:rsidRPr="00516B96">
        <w:rPr>
          <w:rFonts w:ascii="Times New Roman" w:hAnsi="Times New Roman" w:cs="Times New Roman"/>
          <w:i/>
          <w:iCs/>
          <w:sz w:val="16"/>
          <w:szCs w:val="16"/>
        </w:rPr>
        <w:t>Quién creerá en la justicia de</w:t>
      </w:r>
    </w:p>
    <w:p w:rsidR="00D739FA" w:rsidRPr="00516B96" w:rsidRDefault="00D739FA" w:rsidP="00D739FA">
      <w:pPr>
        <w:autoSpaceDE w:val="0"/>
        <w:autoSpaceDN w:val="0"/>
        <w:adjustRightInd w:val="0"/>
        <w:spacing w:after="0" w:line="240" w:lineRule="auto"/>
        <w:jc w:val="right"/>
        <w:rPr>
          <w:rFonts w:ascii="Times New Roman" w:hAnsi="Times New Roman" w:cs="Times New Roman"/>
          <w:i/>
          <w:iCs/>
          <w:sz w:val="16"/>
          <w:szCs w:val="16"/>
        </w:rPr>
      </w:pPr>
      <w:proofErr w:type="gramStart"/>
      <w:r w:rsidRPr="00516B96">
        <w:rPr>
          <w:rFonts w:ascii="Times New Roman" w:hAnsi="Times New Roman" w:cs="Times New Roman"/>
          <w:i/>
          <w:iCs/>
          <w:sz w:val="16"/>
          <w:szCs w:val="16"/>
        </w:rPr>
        <w:t>vuestra</w:t>
      </w:r>
      <w:proofErr w:type="gramEnd"/>
      <w:r w:rsidRPr="00516B96">
        <w:rPr>
          <w:rFonts w:ascii="Times New Roman" w:hAnsi="Times New Roman" w:cs="Times New Roman"/>
          <w:i/>
          <w:iCs/>
          <w:sz w:val="16"/>
          <w:szCs w:val="16"/>
        </w:rPr>
        <w:t xml:space="preserve"> guerra, si la libran sin</w:t>
      </w:r>
    </w:p>
    <w:p w:rsidR="00D739FA" w:rsidRPr="00516B96" w:rsidRDefault="00D739FA" w:rsidP="00D739FA">
      <w:pPr>
        <w:autoSpaceDE w:val="0"/>
        <w:autoSpaceDN w:val="0"/>
        <w:adjustRightInd w:val="0"/>
        <w:spacing w:after="0" w:line="240" w:lineRule="auto"/>
        <w:jc w:val="right"/>
        <w:rPr>
          <w:rFonts w:ascii="Times New Roman" w:hAnsi="Times New Roman" w:cs="Times New Roman"/>
          <w:i/>
          <w:iCs/>
          <w:sz w:val="16"/>
          <w:szCs w:val="16"/>
        </w:rPr>
      </w:pPr>
      <w:proofErr w:type="gramStart"/>
      <w:r w:rsidRPr="00516B96">
        <w:rPr>
          <w:rFonts w:ascii="Times New Roman" w:hAnsi="Times New Roman" w:cs="Times New Roman"/>
          <w:i/>
          <w:iCs/>
          <w:sz w:val="16"/>
          <w:szCs w:val="16"/>
        </w:rPr>
        <w:t>mesura</w:t>
      </w:r>
      <w:proofErr w:type="gramEnd"/>
      <w:r w:rsidRPr="00516B96">
        <w:rPr>
          <w:rFonts w:ascii="Times New Roman" w:hAnsi="Times New Roman" w:cs="Times New Roman"/>
          <w:i/>
          <w:iCs/>
          <w:sz w:val="16"/>
          <w:szCs w:val="16"/>
        </w:rPr>
        <w:t>?"</w:t>
      </w:r>
    </w:p>
    <w:p w:rsidR="00D739FA" w:rsidRPr="00516B96" w:rsidRDefault="00D739FA" w:rsidP="00D739FA">
      <w:pPr>
        <w:spacing w:line="360" w:lineRule="auto"/>
        <w:jc w:val="right"/>
        <w:rPr>
          <w:rFonts w:ascii="Times New Roman" w:hAnsi="Times New Roman" w:cs="Times New Roman"/>
          <w:b/>
          <w:sz w:val="16"/>
          <w:szCs w:val="16"/>
        </w:rPr>
      </w:pPr>
      <w:r w:rsidRPr="00516B96">
        <w:rPr>
          <w:rFonts w:ascii="Times New Roman" w:hAnsi="Times New Roman" w:cs="Times New Roman"/>
          <w:sz w:val="16"/>
          <w:szCs w:val="16"/>
        </w:rPr>
        <w:t xml:space="preserve">François de La </w:t>
      </w:r>
      <w:proofErr w:type="spellStart"/>
      <w:r w:rsidRPr="00516B96">
        <w:rPr>
          <w:rFonts w:ascii="Times New Roman" w:hAnsi="Times New Roman" w:cs="Times New Roman"/>
          <w:sz w:val="16"/>
          <w:szCs w:val="16"/>
        </w:rPr>
        <w:t>Noue</w:t>
      </w:r>
      <w:proofErr w:type="spellEnd"/>
    </w:p>
    <w:p w:rsidR="00D739FA" w:rsidRPr="00516B96" w:rsidRDefault="00D739FA" w:rsidP="00D739FA">
      <w:pPr>
        <w:spacing w:line="360" w:lineRule="auto"/>
        <w:jc w:val="both"/>
        <w:rPr>
          <w:rFonts w:ascii="Times New Roman" w:hAnsi="Times New Roman" w:cs="Times New Roman"/>
          <w:sz w:val="24"/>
          <w:u w:val="single"/>
        </w:rPr>
      </w:pPr>
      <w:r w:rsidRPr="00516B96">
        <w:rPr>
          <w:rFonts w:ascii="Times New Roman" w:hAnsi="Times New Roman" w:cs="Times New Roman"/>
          <w:sz w:val="24"/>
        </w:rPr>
        <w:t xml:space="preserve">I.I. </w:t>
      </w:r>
      <w:r w:rsidRPr="00516B96">
        <w:rPr>
          <w:rFonts w:ascii="Times New Roman" w:hAnsi="Times New Roman" w:cs="Times New Roman"/>
          <w:sz w:val="24"/>
        </w:rPr>
        <w:tab/>
      </w:r>
      <w:r w:rsidRPr="00516B96">
        <w:rPr>
          <w:rFonts w:ascii="Times New Roman" w:hAnsi="Times New Roman" w:cs="Times New Roman"/>
          <w:sz w:val="24"/>
          <w:u w:val="single"/>
        </w:rPr>
        <w:t>Introducción</w:t>
      </w:r>
    </w:p>
    <w:p w:rsidR="00D739FA" w:rsidRPr="00516B96" w:rsidRDefault="00D739FA" w:rsidP="00D739FA">
      <w:pPr>
        <w:spacing w:line="360" w:lineRule="auto"/>
        <w:jc w:val="both"/>
        <w:rPr>
          <w:rFonts w:ascii="Times New Roman" w:hAnsi="Times New Roman" w:cs="Times New Roman"/>
          <w:sz w:val="24"/>
        </w:rPr>
      </w:pPr>
      <w:r w:rsidRPr="00516B96">
        <w:rPr>
          <w:rFonts w:ascii="Times New Roman" w:hAnsi="Times New Roman" w:cs="Times New Roman"/>
          <w:sz w:val="24"/>
        </w:rPr>
        <w:t>Desde siempre, los Estados y los pueblos que han empuñado las armas han afirmado hacerlo por una causa justa. Con demasiada frecuencia se han valido de ese argumento para negar toda conmiseración a sus adversarios y para justificar l</w:t>
      </w:r>
      <w:r w:rsidR="00DF6DA4">
        <w:rPr>
          <w:rFonts w:ascii="Times New Roman" w:hAnsi="Times New Roman" w:cs="Times New Roman"/>
          <w:sz w:val="24"/>
        </w:rPr>
        <w:t>o</w:t>
      </w:r>
      <w:r w:rsidRPr="00516B96">
        <w:rPr>
          <w:rFonts w:ascii="Times New Roman" w:hAnsi="Times New Roman" w:cs="Times New Roman"/>
          <w:sz w:val="24"/>
        </w:rPr>
        <w:t xml:space="preserve">s peores </w:t>
      </w:r>
      <w:r w:rsidR="00DF6DA4">
        <w:rPr>
          <w:rFonts w:ascii="Times New Roman" w:hAnsi="Times New Roman" w:cs="Times New Roman"/>
          <w:sz w:val="24"/>
        </w:rPr>
        <w:t>abusos</w:t>
      </w:r>
      <w:r w:rsidRPr="00516B96">
        <w:rPr>
          <w:rFonts w:ascii="Times New Roman" w:hAnsi="Times New Roman" w:cs="Times New Roman"/>
          <w:sz w:val="24"/>
        </w:rPr>
        <w:t>. Se acusaba al enemigo de sostener una causa injusta y se lo hacía responsable de las privaciones, los sufrimientos y el luto que toda guerra deja a su paso. Como la derrota bastaba para probar la culpabilidad de los vencidos, se los podía masacrar o someter a esclavitud, sea cual fuere su número.</w:t>
      </w:r>
    </w:p>
    <w:p w:rsidR="00D739FA" w:rsidRPr="00516B96" w:rsidRDefault="00D739FA" w:rsidP="00D739FA">
      <w:pPr>
        <w:spacing w:line="360" w:lineRule="auto"/>
        <w:jc w:val="both"/>
        <w:rPr>
          <w:rFonts w:ascii="Times New Roman" w:hAnsi="Times New Roman" w:cs="Times New Roman"/>
          <w:sz w:val="24"/>
        </w:rPr>
      </w:pPr>
      <w:r w:rsidRPr="00516B96">
        <w:rPr>
          <w:rFonts w:ascii="Times New Roman" w:hAnsi="Times New Roman" w:cs="Times New Roman"/>
          <w:sz w:val="24"/>
        </w:rPr>
        <w:t>"</w:t>
      </w:r>
      <w:r w:rsidRPr="00516B96">
        <w:rPr>
          <w:rFonts w:ascii="Times New Roman" w:hAnsi="Times New Roman" w:cs="Times New Roman"/>
          <w:i/>
          <w:iCs/>
          <w:sz w:val="24"/>
        </w:rPr>
        <w:t>Guerras santas", "guerras sagradas", "guerras justas"</w:t>
      </w:r>
      <w:r w:rsidRPr="00516B96">
        <w:rPr>
          <w:rFonts w:ascii="Times New Roman" w:hAnsi="Times New Roman" w:cs="Times New Roman"/>
          <w:sz w:val="24"/>
        </w:rPr>
        <w:t>, la Historia muestra que, por lo general, los beligerantes que, con prontitud, reivindican una causa trascendente resultan culpables de los peores excesos.</w:t>
      </w:r>
    </w:p>
    <w:p w:rsidR="00D739FA" w:rsidRPr="00516B96" w:rsidRDefault="00D739FA" w:rsidP="00D739FA">
      <w:pPr>
        <w:spacing w:line="360" w:lineRule="auto"/>
        <w:jc w:val="both"/>
        <w:rPr>
          <w:rFonts w:ascii="Times New Roman" w:hAnsi="Times New Roman" w:cs="Times New Roman"/>
          <w:sz w:val="24"/>
        </w:rPr>
      </w:pPr>
      <w:r w:rsidRPr="00516B96">
        <w:rPr>
          <w:rFonts w:ascii="Times New Roman" w:hAnsi="Times New Roman" w:cs="Times New Roman"/>
          <w:sz w:val="24"/>
        </w:rPr>
        <w:t xml:space="preserve">Así, </w:t>
      </w:r>
      <w:r w:rsidR="00516B96">
        <w:rPr>
          <w:rFonts w:ascii="Times New Roman" w:hAnsi="Times New Roman" w:cs="Times New Roman"/>
          <w:sz w:val="24"/>
        </w:rPr>
        <w:t>cronistas como</w:t>
      </w:r>
      <w:r w:rsidRPr="00516B96">
        <w:rPr>
          <w:rFonts w:ascii="Times New Roman" w:hAnsi="Times New Roman" w:cs="Times New Roman"/>
          <w:sz w:val="24"/>
        </w:rPr>
        <w:t xml:space="preserve"> </w:t>
      </w:r>
      <w:r w:rsidR="00516B96">
        <w:rPr>
          <w:rFonts w:ascii="Times New Roman" w:hAnsi="Times New Roman" w:cs="Times New Roman"/>
          <w:sz w:val="24"/>
        </w:rPr>
        <w:t xml:space="preserve">Peter </w:t>
      </w:r>
      <w:proofErr w:type="spellStart"/>
      <w:r w:rsidR="00516B96">
        <w:rPr>
          <w:rFonts w:ascii="Times New Roman" w:hAnsi="Times New Roman" w:cs="Times New Roman"/>
          <w:sz w:val="24"/>
        </w:rPr>
        <w:t>Partner</w:t>
      </w:r>
      <w:proofErr w:type="spellEnd"/>
      <w:r w:rsidR="00516B96">
        <w:rPr>
          <w:rFonts w:ascii="Times New Roman" w:hAnsi="Times New Roman" w:cs="Times New Roman"/>
          <w:sz w:val="24"/>
        </w:rPr>
        <w:t xml:space="preserve"> (2002) </w:t>
      </w:r>
      <w:r w:rsidRPr="00516B96">
        <w:rPr>
          <w:rFonts w:ascii="Times New Roman" w:hAnsi="Times New Roman" w:cs="Times New Roman"/>
          <w:sz w:val="24"/>
        </w:rPr>
        <w:t>relataron sin pestañear las masacres con las que los cruzados mancharon su victoria en la toma de Jerusalén. En Europa, las guerras de religión y, más tarde, la Guerra de los Treinta Años dieron lugar a crímenes espantosos, pero que demasiados teólogos, de uno y de otro lado, se apresuraron a justificar en nombre del Evangelio. No obstante, los horrores de los siglos pasados palidecen con respecto a las masacres y los crímenes a los que llevaron las cruzadas ideológicas del siglo XX: guerra civil rusa, guerra de España y Segunda Guerra Mundial.</w:t>
      </w:r>
    </w:p>
    <w:p w:rsidR="00D739FA" w:rsidRPr="00516B96" w:rsidRDefault="00D739FA" w:rsidP="00D739FA">
      <w:pPr>
        <w:spacing w:line="360" w:lineRule="auto"/>
        <w:jc w:val="both"/>
        <w:rPr>
          <w:rFonts w:ascii="Times New Roman" w:hAnsi="Times New Roman" w:cs="Times New Roman"/>
          <w:sz w:val="24"/>
        </w:rPr>
      </w:pPr>
      <w:r w:rsidRPr="00516B96">
        <w:rPr>
          <w:rFonts w:ascii="Times New Roman" w:hAnsi="Times New Roman" w:cs="Times New Roman"/>
          <w:sz w:val="24"/>
        </w:rPr>
        <w:t>Sin embargo, la Historia también enseña que todas las civilizaciones se han esforzado por imponer límites a la violencia, incluso a esa forma institucionalizada de violencia que se llama guerra, pues la limitación de la violencia es la esencia misma de la civilización.</w:t>
      </w:r>
    </w:p>
    <w:p w:rsidR="00D739FA" w:rsidRPr="00516B96" w:rsidRDefault="00D739FA" w:rsidP="00D739FA">
      <w:pPr>
        <w:spacing w:line="360" w:lineRule="auto"/>
        <w:jc w:val="both"/>
        <w:rPr>
          <w:rFonts w:ascii="Times New Roman" w:hAnsi="Times New Roman" w:cs="Times New Roman"/>
          <w:sz w:val="24"/>
        </w:rPr>
      </w:pPr>
      <w:r w:rsidRPr="00516B96">
        <w:rPr>
          <w:rFonts w:ascii="Times New Roman" w:hAnsi="Times New Roman" w:cs="Times New Roman"/>
          <w:sz w:val="24"/>
        </w:rPr>
        <w:lastRenderedPageBreak/>
        <w:t>Durante mucho tiempo, se trató de normas consuetudinarias, generalmente de inspiración religiosa, que eran respetadas por los pueblos que pertenecían al mismo grupo cultural y que honraban a los mismos dioses. Pero, a menudo, se olvidaban esas normas cuando había que librar batalla contra enemigos que no hablaban la misma lengua o que veneraban a otros dioses.</w:t>
      </w:r>
    </w:p>
    <w:p w:rsidR="00D739FA" w:rsidRPr="00516B96" w:rsidRDefault="0015748A" w:rsidP="00D739FA">
      <w:pPr>
        <w:spacing w:line="360" w:lineRule="auto"/>
        <w:jc w:val="both"/>
        <w:rPr>
          <w:rFonts w:ascii="Times New Roman" w:hAnsi="Times New Roman" w:cs="Times New Roman"/>
          <w:sz w:val="24"/>
        </w:rPr>
      </w:pPr>
      <w:r w:rsidRPr="00516B96">
        <w:rPr>
          <w:rFonts w:ascii="Times New Roman" w:hAnsi="Times New Roman" w:cs="Times New Roman"/>
          <w:sz w:val="24"/>
        </w:rPr>
        <w:t>Los padres del Derecho I</w:t>
      </w:r>
      <w:r w:rsidR="00D739FA" w:rsidRPr="00516B96">
        <w:rPr>
          <w:rFonts w:ascii="Times New Roman" w:hAnsi="Times New Roman" w:cs="Times New Roman"/>
          <w:sz w:val="24"/>
        </w:rPr>
        <w:t xml:space="preserve">nternacional contribuyeron de manera decisiva a la aprobación de normas destinadas a contener la violencia de la guerra. Al inscribir esas normas en el derecho positivo, es decir, en la práctica y la voluntad de los soberanos y los Estados, abrieron el camino para el reconocimiento de normas de alcance universal, capaces de trascender las líneas de fractura de las culturas y las religiones. </w:t>
      </w:r>
    </w:p>
    <w:p w:rsidR="00D739FA" w:rsidRPr="00516B96" w:rsidRDefault="00D739FA" w:rsidP="00D739FA">
      <w:pPr>
        <w:spacing w:line="360" w:lineRule="auto"/>
        <w:jc w:val="both"/>
        <w:rPr>
          <w:rFonts w:ascii="Times New Roman" w:hAnsi="Times New Roman" w:cs="Times New Roman"/>
          <w:sz w:val="24"/>
        </w:rPr>
      </w:pPr>
      <w:r w:rsidRPr="00516B96">
        <w:rPr>
          <w:rFonts w:ascii="Times New Roman" w:hAnsi="Times New Roman" w:cs="Times New Roman"/>
          <w:sz w:val="24"/>
        </w:rPr>
        <w:t>Si bien</w:t>
      </w:r>
      <w:r w:rsidR="0015748A" w:rsidRPr="00516B96">
        <w:rPr>
          <w:rFonts w:ascii="Times New Roman" w:hAnsi="Times New Roman" w:cs="Times New Roman"/>
          <w:sz w:val="24"/>
        </w:rPr>
        <w:t>,</w:t>
      </w:r>
      <w:r w:rsidRPr="00516B96">
        <w:rPr>
          <w:rFonts w:ascii="Times New Roman" w:hAnsi="Times New Roman" w:cs="Times New Roman"/>
          <w:sz w:val="24"/>
        </w:rPr>
        <w:t xml:space="preserve"> mantiene su adhesión a la doctrina escolástica de la guerra justa, </w:t>
      </w:r>
      <w:proofErr w:type="spellStart"/>
      <w:r w:rsidRPr="00516B96">
        <w:rPr>
          <w:rFonts w:ascii="Times New Roman" w:hAnsi="Times New Roman" w:cs="Times New Roman"/>
          <w:sz w:val="24"/>
        </w:rPr>
        <w:t>Grocio</w:t>
      </w:r>
      <w:proofErr w:type="spellEnd"/>
      <w:r w:rsidRPr="00516B96">
        <w:rPr>
          <w:rFonts w:ascii="Times New Roman" w:hAnsi="Times New Roman" w:cs="Times New Roman"/>
          <w:sz w:val="24"/>
        </w:rPr>
        <w:t xml:space="preserve"> (1583-164</w:t>
      </w:r>
      <w:r w:rsidR="0015748A" w:rsidRPr="00516B96">
        <w:rPr>
          <w:rFonts w:ascii="Times New Roman" w:hAnsi="Times New Roman" w:cs="Times New Roman"/>
          <w:sz w:val="24"/>
        </w:rPr>
        <w:t>5) sienta las bases de un D</w:t>
      </w:r>
      <w:r w:rsidRPr="00516B96">
        <w:rPr>
          <w:rFonts w:ascii="Times New Roman" w:hAnsi="Times New Roman" w:cs="Times New Roman"/>
          <w:sz w:val="24"/>
        </w:rPr>
        <w:t xml:space="preserve">erecho </w:t>
      </w:r>
      <w:r w:rsidR="0015748A" w:rsidRPr="00516B96">
        <w:rPr>
          <w:rFonts w:ascii="Times New Roman" w:hAnsi="Times New Roman" w:cs="Times New Roman"/>
          <w:sz w:val="24"/>
        </w:rPr>
        <w:t>I</w:t>
      </w:r>
      <w:r w:rsidRPr="00516B96">
        <w:rPr>
          <w:rFonts w:ascii="Times New Roman" w:hAnsi="Times New Roman" w:cs="Times New Roman"/>
          <w:sz w:val="24"/>
        </w:rPr>
        <w:t xml:space="preserve">nternacional basado en el </w:t>
      </w:r>
      <w:r w:rsidR="0015748A" w:rsidRPr="00516B96">
        <w:rPr>
          <w:rFonts w:ascii="Times New Roman" w:hAnsi="Times New Roman" w:cs="Times New Roman"/>
          <w:sz w:val="24"/>
        </w:rPr>
        <w:t>D</w:t>
      </w:r>
      <w:r w:rsidRPr="00516B96">
        <w:rPr>
          <w:rFonts w:ascii="Times New Roman" w:hAnsi="Times New Roman" w:cs="Times New Roman"/>
          <w:sz w:val="24"/>
        </w:rPr>
        <w:t xml:space="preserve">erecho </w:t>
      </w:r>
      <w:r w:rsidR="0015748A" w:rsidRPr="00516B96">
        <w:rPr>
          <w:rFonts w:ascii="Times New Roman" w:hAnsi="Times New Roman" w:cs="Times New Roman"/>
          <w:sz w:val="24"/>
        </w:rPr>
        <w:t>P</w:t>
      </w:r>
      <w:r w:rsidRPr="00516B96">
        <w:rPr>
          <w:rFonts w:ascii="Times New Roman" w:hAnsi="Times New Roman" w:cs="Times New Roman"/>
          <w:sz w:val="24"/>
        </w:rPr>
        <w:t>ositivo y fija así los primeros jalones que llevarán a la aprobación de leyes y costumbres de la guerra que están actualmente en vigor.</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Hasta mediados del siglo XIX, los acuerdos concertados para proteger a las víctimas de guerra sólo eran ocasionales y obligaban únicamente, a las partes contratantes, según formulas de estricta reciprocidad. En realidad, se trataba de acuerdos de capitulación militar, válidos, la mayoría de las veces, solamente mientras duraba el conflicto.</w:t>
      </w:r>
    </w:p>
    <w:p w:rsidR="00D739FA" w:rsidRPr="00516B96" w:rsidRDefault="00D739FA" w:rsidP="00D739FA">
      <w:pPr>
        <w:spacing w:line="360" w:lineRule="auto"/>
        <w:jc w:val="both"/>
        <w:rPr>
          <w:rFonts w:ascii="Times New Roman" w:hAnsi="Times New Roman" w:cs="Times New Roman"/>
          <w:sz w:val="24"/>
          <w:u w:val="single"/>
          <w:lang w:val="es-EC"/>
        </w:rPr>
      </w:pPr>
      <w:r w:rsidRPr="00516B96">
        <w:rPr>
          <w:rFonts w:ascii="Times New Roman" w:hAnsi="Times New Roman" w:cs="Times New Roman"/>
          <w:sz w:val="24"/>
          <w:lang w:val="es-EC"/>
        </w:rPr>
        <w:t>I.II.</w:t>
      </w:r>
      <w:r w:rsidRPr="00516B96">
        <w:rPr>
          <w:rFonts w:ascii="Times New Roman" w:hAnsi="Times New Roman" w:cs="Times New Roman"/>
          <w:sz w:val="24"/>
          <w:lang w:val="es-EC"/>
        </w:rPr>
        <w:tab/>
      </w:r>
      <w:r w:rsidRPr="00516B96">
        <w:rPr>
          <w:rFonts w:ascii="Times New Roman" w:hAnsi="Times New Roman" w:cs="Times New Roman"/>
          <w:sz w:val="24"/>
          <w:u w:val="single"/>
          <w:lang w:val="es-EC"/>
        </w:rPr>
        <w:t>Historia</w:t>
      </w:r>
    </w:p>
    <w:p w:rsidR="00D739FA" w:rsidRPr="00516B96" w:rsidRDefault="0015748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El D</w:t>
      </w:r>
      <w:r w:rsidR="00D739FA" w:rsidRPr="00516B96">
        <w:rPr>
          <w:rFonts w:ascii="Times New Roman" w:hAnsi="Times New Roman" w:cs="Times New Roman"/>
          <w:sz w:val="24"/>
          <w:lang w:val="es-EC"/>
        </w:rPr>
        <w:t xml:space="preserve">erecho </w:t>
      </w:r>
      <w:r w:rsidRPr="00516B96">
        <w:rPr>
          <w:rFonts w:ascii="Times New Roman" w:hAnsi="Times New Roman" w:cs="Times New Roman"/>
          <w:sz w:val="24"/>
          <w:lang w:val="es-EC"/>
        </w:rPr>
        <w:t>I</w:t>
      </w:r>
      <w:r w:rsidR="00D739FA" w:rsidRPr="00516B96">
        <w:rPr>
          <w:rFonts w:ascii="Times New Roman" w:hAnsi="Times New Roman" w:cs="Times New Roman"/>
          <w:sz w:val="24"/>
          <w:lang w:val="es-EC"/>
        </w:rPr>
        <w:t xml:space="preserve">nternacional </w:t>
      </w:r>
      <w:r w:rsidRPr="00516B96">
        <w:rPr>
          <w:rFonts w:ascii="Times New Roman" w:hAnsi="Times New Roman" w:cs="Times New Roman"/>
          <w:sz w:val="24"/>
          <w:lang w:val="es-EC"/>
        </w:rPr>
        <w:t>H</w:t>
      </w:r>
      <w:r w:rsidR="00D739FA" w:rsidRPr="00516B96">
        <w:rPr>
          <w:rFonts w:ascii="Times New Roman" w:hAnsi="Times New Roman" w:cs="Times New Roman"/>
          <w:sz w:val="24"/>
          <w:lang w:val="es-EC"/>
        </w:rPr>
        <w:t xml:space="preserve">umanitario se basa en los principios de humanidad, imparcialidad y neutralidad. Sus raíces se remontan a conceptos históricos de justicia establecidos en instrumentos como el Código de Hammurabi de Babilonia, el Código de Justiniano del Imperio Bizantino, y el Código de </w:t>
      </w:r>
      <w:proofErr w:type="spellStart"/>
      <w:r w:rsidR="00D739FA" w:rsidRPr="00516B96">
        <w:rPr>
          <w:rFonts w:ascii="Times New Roman" w:hAnsi="Times New Roman" w:cs="Times New Roman"/>
          <w:sz w:val="24"/>
          <w:lang w:val="es-EC"/>
        </w:rPr>
        <w:t>Lieber</w:t>
      </w:r>
      <w:proofErr w:type="spellEnd"/>
      <w:r w:rsidR="00D739FA" w:rsidRPr="00516B96">
        <w:rPr>
          <w:rFonts w:ascii="Times New Roman" w:hAnsi="Times New Roman" w:cs="Times New Roman"/>
          <w:sz w:val="24"/>
          <w:lang w:val="es-EC"/>
        </w:rPr>
        <w:t xml:space="preserve">, aplicado durante la Guerra Civil </w:t>
      </w:r>
      <w:r w:rsidRPr="00516B96">
        <w:rPr>
          <w:rFonts w:ascii="Times New Roman" w:hAnsi="Times New Roman" w:cs="Times New Roman"/>
          <w:sz w:val="24"/>
          <w:lang w:val="es-EC"/>
        </w:rPr>
        <w:t>E</w:t>
      </w:r>
      <w:r w:rsidR="00D739FA" w:rsidRPr="00516B96">
        <w:rPr>
          <w:rFonts w:ascii="Times New Roman" w:hAnsi="Times New Roman" w:cs="Times New Roman"/>
          <w:sz w:val="24"/>
          <w:lang w:val="es-EC"/>
        </w:rPr>
        <w:t>stadounidense.</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 xml:space="preserve">El desarrollo del </w:t>
      </w:r>
      <w:r w:rsidR="0015748A" w:rsidRPr="00516B96">
        <w:rPr>
          <w:rFonts w:ascii="Times New Roman" w:hAnsi="Times New Roman" w:cs="Times New Roman"/>
          <w:sz w:val="24"/>
          <w:lang w:val="es-EC"/>
        </w:rPr>
        <w:t>D</w:t>
      </w:r>
      <w:r w:rsidRPr="00516B96">
        <w:rPr>
          <w:rFonts w:ascii="Times New Roman" w:hAnsi="Times New Roman" w:cs="Times New Roman"/>
          <w:sz w:val="24"/>
          <w:lang w:val="es-EC"/>
        </w:rPr>
        <w:t xml:space="preserve">erecho </w:t>
      </w:r>
      <w:r w:rsidR="0015748A" w:rsidRPr="00516B96">
        <w:rPr>
          <w:rFonts w:ascii="Times New Roman" w:hAnsi="Times New Roman" w:cs="Times New Roman"/>
          <w:sz w:val="24"/>
          <w:lang w:val="es-EC"/>
        </w:rPr>
        <w:t>I</w:t>
      </w:r>
      <w:r w:rsidRPr="00516B96">
        <w:rPr>
          <w:rFonts w:ascii="Times New Roman" w:hAnsi="Times New Roman" w:cs="Times New Roman"/>
          <w:sz w:val="24"/>
          <w:lang w:val="es-EC"/>
        </w:rPr>
        <w:t xml:space="preserve">nternacional </w:t>
      </w:r>
      <w:r w:rsidR="0015748A" w:rsidRPr="00516B96">
        <w:rPr>
          <w:rFonts w:ascii="Times New Roman" w:hAnsi="Times New Roman" w:cs="Times New Roman"/>
          <w:sz w:val="24"/>
          <w:lang w:val="es-EC"/>
        </w:rPr>
        <w:t>H</w:t>
      </w:r>
      <w:r w:rsidRPr="00516B96">
        <w:rPr>
          <w:rFonts w:ascii="Times New Roman" w:hAnsi="Times New Roman" w:cs="Times New Roman"/>
          <w:sz w:val="24"/>
          <w:lang w:val="es-EC"/>
        </w:rPr>
        <w:t xml:space="preserve">umanitario moderno puede atribuirse a los esfuerzos de Henry </w:t>
      </w:r>
      <w:proofErr w:type="spellStart"/>
      <w:r w:rsidRPr="00516B96">
        <w:rPr>
          <w:rFonts w:ascii="Times New Roman" w:hAnsi="Times New Roman" w:cs="Times New Roman"/>
          <w:sz w:val="24"/>
          <w:lang w:val="es-EC"/>
        </w:rPr>
        <w:t>Dunant</w:t>
      </w:r>
      <w:proofErr w:type="spellEnd"/>
      <w:r w:rsidRPr="00516B96">
        <w:rPr>
          <w:rFonts w:ascii="Times New Roman" w:hAnsi="Times New Roman" w:cs="Times New Roman"/>
          <w:sz w:val="24"/>
          <w:lang w:val="es-EC"/>
        </w:rPr>
        <w:t xml:space="preserve">, un empresario suizo del siglo XIX. En 1859, observó las consecuencias de una sangrienta batalla entre los ejércitos de Francia y Austria en Solferino, Italia. A su retirada, los ejércitos dejaron el campo de batalla regado de hombres heridos y moribundos. Pese a los valerosos esfuerzos de </w:t>
      </w:r>
      <w:proofErr w:type="spellStart"/>
      <w:r w:rsidRPr="00516B96">
        <w:rPr>
          <w:rFonts w:ascii="Times New Roman" w:hAnsi="Times New Roman" w:cs="Times New Roman"/>
          <w:sz w:val="24"/>
          <w:lang w:val="es-EC"/>
        </w:rPr>
        <w:t>Dunant</w:t>
      </w:r>
      <w:proofErr w:type="spellEnd"/>
      <w:r w:rsidRPr="00516B96">
        <w:rPr>
          <w:rFonts w:ascii="Times New Roman" w:hAnsi="Times New Roman" w:cs="Times New Roman"/>
          <w:sz w:val="24"/>
          <w:lang w:val="es-EC"/>
        </w:rPr>
        <w:t xml:space="preserve"> destinados a movilizar ayuda para los soldados, miles de ellos murieron.</w:t>
      </w:r>
    </w:p>
    <w:p w:rsidR="00D739FA" w:rsidRPr="00516B96" w:rsidRDefault="00E0219F" w:rsidP="00D739FA">
      <w:pPr>
        <w:spacing w:line="360" w:lineRule="auto"/>
        <w:jc w:val="both"/>
        <w:rPr>
          <w:rFonts w:ascii="Times New Roman" w:hAnsi="Times New Roman" w:cs="Times New Roman"/>
          <w:sz w:val="24"/>
          <w:lang w:val="es-EC"/>
        </w:rPr>
      </w:pPr>
      <w:r>
        <w:rPr>
          <w:rFonts w:ascii="Times New Roman" w:hAnsi="Times New Roman" w:cs="Times New Roman"/>
          <w:sz w:val="24"/>
          <w:lang w:val="es-EC"/>
        </w:rPr>
        <w:lastRenderedPageBreak/>
        <w:t xml:space="preserve">En Un </w:t>
      </w:r>
      <w:proofErr w:type="spellStart"/>
      <w:r>
        <w:rPr>
          <w:rFonts w:ascii="Times New Roman" w:hAnsi="Times New Roman" w:cs="Times New Roman"/>
          <w:sz w:val="24"/>
          <w:lang w:val="es-EC"/>
        </w:rPr>
        <w:t>Souvenir</w:t>
      </w:r>
      <w:proofErr w:type="spellEnd"/>
      <w:r>
        <w:rPr>
          <w:rFonts w:ascii="Times New Roman" w:hAnsi="Times New Roman" w:cs="Times New Roman"/>
          <w:sz w:val="24"/>
          <w:lang w:val="es-EC"/>
        </w:rPr>
        <w:t xml:space="preserve"> de </w:t>
      </w:r>
      <w:proofErr w:type="spellStart"/>
      <w:r>
        <w:rPr>
          <w:rFonts w:ascii="Times New Roman" w:hAnsi="Times New Roman" w:cs="Times New Roman"/>
          <w:sz w:val="24"/>
          <w:lang w:val="es-EC"/>
        </w:rPr>
        <w:t>Solférino</w:t>
      </w:r>
      <w:proofErr w:type="spellEnd"/>
      <w:r>
        <w:rPr>
          <w:rFonts w:ascii="Times New Roman" w:hAnsi="Times New Roman" w:cs="Times New Roman"/>
          <w:sz w:val="24"/>
          <w:lang w:val="es-EC"/>
        </w:rPr>
        <w:t>,</w:t>
      </w:r>
      <w:r w:rsidR="00D739FA" w:rsidRPr="00516B96">
        <w:rPr>
          <w:rFonts w:ascii="Times New Roman" w:hAnsi="Times New Roman" w:cs="Times New Roman"/>
          <w:sz w:val="24"/>
          <w:lang w:val="es-EC"/>
        </w:rPr>
        <w:t xml:space="preserve"> el libro que escribió acerca de su experiencia, </w:t>
      </w:r>
      <w:proofErr w:type="spellStart"/>
      <w:r w:rsidR="00D739FA" w:rsidRPr="00516B96">
        <w:rPr>
          <w:rFonts w:ascii="Times New Roman" w:hAnsi="Times New Roman" w:cs="Times New Roman"/>
          <w:sz w:val="24"/>
          <w:lang w:val="es-EC"/>
        </w:rPr>
        <w:t>Dunant</w:t>
      </w:r>
      <w:proofErr w:type="spellEnd"/>
      <w:r w:rsidR="00D739FA" w:rsidRPr="00516B96">
        <w:rPr>
          <w:rFonts w:ascii="Times New Roman" w:hAnsi="Times New Roman" w:cs="Times New Roman"/>
          <w:sz w:val="24"/>
          <w:lang w:val="es-EC"/>
        </w:rPr>
        <w:t xml:space="preserve"> propuso que los grupos de socorro voluntarios recibieran protección en tiempos de guerra para atender a los heridos. A fin de actuar conforme a las sugerencias de </w:t>
      </w:r>
      <w:proofErr w:type="spellStart"/>
      <w:r w:rsidR="00D739FA" w:rsidRPr="00516B96">
        <w:rPr>
          <w:rFonts w:ascii="Times New Roman" w:hAnsi="Times New Roman" w:cs="Times New Roman"/>
          <w:sz w:val="24"/>
          <w:lang w:val="es-EC"/>
        </w:rPr>
        <w:t>Dunant</w:t>
      </w:r>
      <w:proofErr w:type="spellEnd"/>
      <w:r w:rsidR="00D739FA" w:rsidRPr="00516B96">
        <w:rPr>
          <w:rFonts w:ascii="Times New Roman" w:hAnsi="Times New Roman" w:cs="Times New Roman"/>
          <w:sz w:val="24"/>
          <w:lang w:val="es-EC"/>
        </w:rPr>
        <w:t xml:space="preserve">, en 1863 se constituyó un grupo denominado “Comité de los </w:t>
      </w:r>
      <w:r w:rsidR="0015748A" w:rsidRPr="00516B96">
        <w:rPr>
          <w:rFonts w:ascii="Times New Roman" w:hAnsi="Times New Roman" w:cs="Times New Roman"/>
          <w:sz w:val="24"/>
          <w:lang w:val="es-EC"/>
        </w:rPr>
        <w:t>C</w:t>
      </w:r>
      <w:r w:rsidR="00D739FA" w:rsidRPr="00516B96">
        <w:rPr>
          <w:rFonts w:ascii="Times New Roman" w:hAnsi="Times New Roman" w:cs="Times New Roman"/>
          <w:sz w:val="24"/>
          <w:lang w:val="es-EC"/>
        </w:rPr>
        <w:t>inco” (que más tarde se convirtió en el Comité Internacional de la Cruz Roja) en Ginebra. Varios meses más tarde, diplomáticos de 16 países, con la asistencia de representantes de los servicios médicos militares y sociedades humanitarias, negociaron una convención (tratado) constituida por 10 artículos que, entre otras disposiciones, establecen lo siguiente:</w:t>
      </w:r>
    </w:p>
    <w:p w:rsidR="00D739FA" w:rsidRPr="00516B96" w:rsidRDefault="00D739FA" w:rsidP="0015748A">
      <w:pPr>
        <w:spacing w:line="360" w:lineRule="auto"/>
        <w:ind w:left="708"/>
        <w:jc w:val="both"/>
        <w:rPr>
          <w:rFonts w:ascii="Times New Roman" w:hAnsi="Times New Roman" w:cs="Times New Roman"/>
          <w:sz w:val="24"/>
          <w:lang w:val="es-EC"/>
        </w:rPr>
      </w:pPr>
      <w:r w:rsidRPr="00516B96">
        <w:rPr>
          <w:rFonts w:ascii="Times New Roman" w:hAnsi="Times New Roman" w:cs="Times New Roman"/>
          <w:sz w:val="24"/>
          <w:lang w:val="es-EC"/>
        </w:rPr>
        <w:t>• Las ambulancias, los hospitales militares, y el personal que trabaja en ellos se considerarán neutrales y deberán protegerse durante las hostilidades.</w:t>
      </w:r>
    </w:p>
    <w:p w:rsidR="00D739FA" w:rsidRPr="00516B96" w:rsidRDefault="00D739FA" w:rsidP="0015748A">
      <w:pPr>
        <w:spacing w:line="360" w:lineRule="auto"/>
        <w:ind w:firstLine="708"/>
        <w:jc w:val="both"/>
        <w:rPr>
          <w:rFonts w:ascii="Times New Roman" w:hAnsi="Times New Roman" w:cs="Times New Roman"/>
          <w:sz w:val="24"/>
          <w:lang w:val="es-EC"/>
        </w:rPr>
      </w:pPr>
      <w:r w:rsidRPr="00516B96">
        <w:rPr>
          <w:rFonts w:ascii="Times New Roman" w:hAnsi="Times New Roman" w:cs="Times New Roman"/>
          <w:sz w:val="24"/>
          <w:lang w:val="es-EC"/>
        </w:rPr>
        <w:t>• Deberá brindarse protección a los civiles que asistan a los heridos.</w:t>
      </w:r>
    </w:p>
    <w:p w:rsidR="00D739FA" w:rsidRPr="00516B96" w:rsidRDefault="00D739FA" w:rsidP="0015748A">
      <w:pPr>
        <w:spacing w:line="360" w:lineRule="auto"/>
        <w:ind w:left="708"/>
        <w:jc w:val="both"/>
        <w:rPr>
          <w:rFonts w:ascii="Times New Roman" w:hAnsi="Times New Roman" w:cs="Times New Roman"/>
          <w:sz w:val="24"/>
          <w:lang w:val="es-EC"/>
        </w:rPr>
      </w:pPr>
      <w:r w:rsidRPr="00516B96">
        <w:rPr>
          <w:rFonts w:ascii="Times New Roman" w:hAnsi="Times New Roman" w:cs="Times New Roman"/>
          <w:sz w:val="24"/>
          <w:lang w:val="es-EC"/>
        </w:rPr>
        <w:t>• Cualquiera de las partes en el conflicto recogerá y atenderá a los combatientes heridos o enfermos.</w:t>
      </w:r>
    </w:p>
    <w:p w:rsidR="00D739FA" w:rsidRPr="00516B96" w:rsidRDefault="00D739FA" w:rsidP="0015748A">
      <w:pPr>
        <w:spacing w:line="360" w:lineRule="auto"/>
        <w:ind w:left="708"/>
        <w:jc w:val="both"/>
        <w:rPr>
          <w:rFonts w:ascii="Times New Roman" w:hAnsi="Times New Roman" w:cs="Times New Roman"/>
          <w:sz w:val="24"/>
          <w:lang w:val="es-EC"/>
        </w:rPr>
      </w:pPr>
      <w:r w:rsidRPr="00516B96">
        <w:rPr>
          <w:rFonts w:ascii="Times New Roman" w:hAnsi="Times New Roman" w:cs="Times New Roman"/>
          <w:sz w:val="24"/>
          <w:lang w:val="es-EC"/>
        </w:rPr>
        <w:t>• El símbolo de la cruz roja sobre fondo blanco, que invierte los colores de la bandera suiza, se empleará como emblema de protección para identificar al personal, los equipos y los centros médicos.</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 xml:space="preserve">Este tratado, conocido como “Convenio de Ginebra”, se convirtió en la piedra angular del </w:t>
      </w:r>
      <w:r w:rsidR="0015748A" w:rsidRPr="00516B96">
        <w:rPr>
          <w:rFonts w:ascii="Times New Roman" w:hAnsi="Times New Roman" w:cs="Times New Roman"/>
          <w:sz w:val="24"/>
          <w:lang w:val="es-EC"/>
        </w:rPr>
        <w:t>D</w:t>
      </w:r>
      <w:r w:rsidRPr="00516B96">
        <w:rPr>
          <w:rFonts w:ascii="Times New Roman" w:hAnsi="Times New Roman" w:cs="Times New Roman"/>
          <w:sz w:val="24"/>
          <w:lang w:val="es-EC"/>
        </w:rPr>
        <w:t xml:space="preserve">erecho </w:t>
      </w:r>
      <w:r w:rsidR="0015748A" w:rsidRPr="00516B96">
        <w:rPr>
          <w:rFonts w:ascii="Times New Roman" w:hAnsi="Times New Roman" w:cs="Times New Roman"/>
          <w:sz w:val="24"/>
          <w:lang w:val="es-EC"/>
        </w:rPr>
        <w:t>I</w:t>
      </w:r>
      <w:r w:rsidRPr="00516B96">
        <w:rPr>
          <w:rFonts w:ascii="Times New Roman" w:hAnsi="Times New Roman" w:cs="Times New Roman"/>
          <w:sz w:val="24"/>
          <w:lang w:val="es-EC"/>
        </w:rPr>
        <w:t xml:space="preserve">nternacional </w:t>
      </w:r>
      <w:r w:rsidR="0015748A" w:rsidRPr="00516B96">
        <w:rPr>
          <w:rFonts w:ascii="Times New Roman" w:hAnsi="Times New Roman" w:cs="Times New Roman"/>
          <w:sz w:val="24"/>
          <w:lang w:val="es-EC"/>
        </w:rPr>
        <w:t>H</w:t>
      </w:r>
      <w:r w:rsidRPr="00516B96">
        <w:rPr>
          <w:rFonts w:ascii="Times New Roman" w:hAnsi="Times New Roman" w:cs="Times New Roman"/>
          <w:sz w:val="24"/>
          <w:lang w:val="es-EC"/>
        </w:rPr>
        <w:t>umanitario moderno, que en la actualidad consta de cuatro convenios y dos protocolos adicionales. En conjunto, estos instrumentos representan los esfuerzos de la comunidad mundial moderna para proteger a las personas en casos de conflicto armado.</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Es por ello que la historia del D</w:t>
      </w:r>
      <w:r w:rsidR="0015748A" w:rsidRPr="00516B96">
        <w:rPr>
          <w:rFonts w:ascii="Times New Roman" w:hAnsi="Times New Roman" w:cs="Times New Roman"/>
          <w:sz w:val="24"/>
          <w:lang w:val="es-EC"/>
        </w:rPr>
        <w:t xml:space="preserve">erecho </w:t>
      </w:r>
      <w:r w:rsidRPr="00516B96">
        <w:rPr>
          <w:rFonts w:ascii="Times New Roman" w:hAnsi="Times New Roman" w:cs="Times New Roman"/>
          <w:sz w:val="24"/>
          <w:lang w:val="es-EC"/>
        </w:rPr>
        <w:t>I</w:t>
      </w:r>
      <w:r w:rsidR="0015748A" w:rsidRPr="00516B96">
        <w:rPr>
          <w:rFonts w:ascii="Times New Roman" w:hAnsi="Times New Roman" w:cs="Times New Roman"/>
          <w:sz w:val="24"/>
          <w:lang w:val="es-EC"/>
        </w:rPr>
        <w:t xml:space="preserve">nternacional </w:t>
      </w:r>
      <w:r w:rsidRPr="00516B96">
        <w:rPr>
          <w:rFonts w:ascii="Times New Roman" w:hAnsi="Times New Roman" w:cs="Times New Roman"/>
          <w:sz w:val="24"/>
          <w:lang w:val="es-EC"/>
        </w:rPr>
        <w:t>H</w:t>
      </w:r>
      <w:r w:rsidR="0015748A" w:rsidRPr="00516B96">
        <w:rPr>
          <w:rFonts w:ascii="Times New Roman" w:hAnsi="Times New Roman" w:cs="Times New Roman"/>
          <w:sz w:val="24"/>
          <w:lang w:val="es-EC"/>
        </w:rPr>
        <w:t>umanitario (DIH)</w:t>
      </w:r>
      <w:r w:rsidRPr="00516B96">
        <w:rPr>
          <w:rFonts w:ascii="Times New Roman" w:hAnsi="Times New Roman" w:cs="Times New Roman"/>
          <w:sz w:val="24"/>
          <w:lang w:val="es-EC"/>
        </w:rPr>
        <w:t xml:space="preserve"> se relaciona directamente con la historia de la Cruz Roja. </w:t>
      </w:r>
      <w:proofErr w:type="spellStart"/>
      <w:r w:rsidRPr="00516B96">
        <w:rPr>
          <w:rFonts w:ascii="Times New Roman" w:hAnsi="Times New Roman" w:cs="Times New Roman"/>
          <w:sz w:val="24"/>
          <w:lang w:val="es-EC"/>
        </w:rPr>
        <w:t>Dunant</w:t>
      </w:r>
      <w:proofErr w:type="spellEnd"/>
      <w:r w:rsidRPr="00516B96">
        <w:rPr>
          <w:rFonts w:ascii="Times New Roman" w:hAnsi="Times New Roman" w:cs="Times New Roman"/>
          <w:sz w:val="24"/>
          <w:lang w:val="es-EC"/>
        </w:rPr>
        <w:t xml:space="preserve"> propuso una solución; su idea fue paliar la carencia de los servicios sanitarios de los ejercicios preparando a socorristas voluntarios en tiempo de paz y obteniendo su </w:t>
      </w:r>
      <w:r w:rsidR="0015748A" w:rsidRPr="00516B96">
        <w:rPr>
          <w:rFonts w:ascii="Times New Roman" w:hAnsi="Times New Roman" w:cs="Times New Roman"/>
          <w:sz w:val="24"/>
          <w:lang w:val="es-EC"/>
        </w:rPr>
        <w:t>–</w:t>
      </w:r>
      <w:r w:rsidRPr="00516B96">
        <w:rPr>
          <w:rFonts w:ascii="Times New Roman" w:hAnsi="Times New Roman" w:cs="Times New Roman"/>
          <w:sz w:val="24"/>
          <w:lang w:val="es-EC"/>
        </w:rPr>
        <w:t>neutralización</w:t>
      </w:r>
      <w:r w:rsidR="0015748A" w:rsidRPr="00516B96">
        <w:rPr>
          <w:rFonts w:ascii="Times New Roman" w:hAnsi="Times New Roman" w:cs="Times New Roman"/>
          <w:sz w:val="24"/>
          <w:lang w:val="es-EC"/>
        </w:rPr>
        <w:t>-</w:t>
      </w:r>
      <w:r w:rsidRPr="00516B96">
        <w:rPr>
          <w:rFonts w:ascii="Times New Roman" w:hAnsi="Times New Roman" w:cs="Times New Roman"/>
          <w:sz w:val="24"/>
          <w:lang w:val="es-EC"/>
        </w:rPr>
        <w:t xml:space="preserve"> hasta en el campo de batalla.</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En adelante los militares heridos y enfermo ser</w:t>
      </w:r>
      <w:r w:rsidR="0015748A" w:rsidRPr="00516B96">
        <w:rPr>
          <w:rFonts w:ascii="Times New Roman" w:hAnsi="Times New Roman" w:cs="Times New Roman"/>
          <w:sz w:val="24"/>
          <w:lang w:val="es-EC"/>
        </w:rPr>
        <w:t>ía</w:t>
      </w:r>
      <w:r w:rsidRPr="00516B96">
        <w:rPr>
          <w:rFonts w:ascii="Times New Roman" w:hAnsi="Times New Roman" w:cs="Times New Roman"/>
          <w:sz w:val="24"/>
          <w:lang w:val="es-EC"/>
        </w:rPr>
        <w:t>n socorridos y asistidos sin distinción alguna de índole desfavorable, sea cual fuere el campo al que pertenezcan. Se respetar</w:t>
      </w:r>
      <w:r w:rsidR="0015748A" w:rsidRPr="00516B96">
        <w:rPr>
          <w:rFonts w:ascii="Times New Roman" w:hAnsi="Times New Roman" w:cs="Times New Roman"/>
          <w:sz w:val="24"/>
          <w:lang w:val="es-EC"/>
        </w:rPr>
        <w:t>ía</w:t>
      </w:r>
      <w:r w:rsidRPr="00516B96">
        <w:rPr>
          <w:rFonts w:ascii="Times New Roman" w:hAnsi="Times New Roman" w:cs="Times New Roman"/>
          <w:sz w:val="24"/>
          <w:lang w:val="es-EC"/>
        </w:rPr>
        <w:t xml:space="preserve"> al personal sanitario, el material y los establecimientos sanitarios, que ser</w:t>
      </w:r>
      <w:r w:rsidR="0015748A" w:rsidRPr="00516B96">
        <w:rPr>
          <w:rFonts w:ascii="Times New Roman" w:hAnsi="Times New Roman" w:cs="Times New Roman"/>
          <w:sz w:val="24"/>
          <w:lang w:val="es-EC"/>
        </w:rPr>
        <w:t>ía</w:t>
      </w:r>
      <w:r w:rsidRPr="00516B96">
        <w:rPr>
          <w:rFonts w:ascii="Times New Roman" w:hAnsi="Times New Roman" w:cs="Times New Roman"/>
          <w:sz w:val="24"/>
          <w:lang w:val="es-EC"/>
        </w:rPr>
        <w:t>n señalados mediante un signo distintivo una cruz roja sobre un fondo blanco.</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lastRenderedPageBreak/>
        <w:t>Del primer Convenio de Ginebra, firmado en 1864, nació el Derecho Internacional Humanitario. El año de 1899, se firma en la Haya un Convenio en el que se adaptan a la guerra marítima los principios del Convenio de Ginebra de 1864, y cuyas disposiciones se mejoran y contemplan en 1906.</w:t>
      </w:r>
    </w:p>
    <w:p w:rsidR="00D739FA" w:rsidRPr="00516B96" w:rsidRDefault="00E0219F" w:rsidP="00D739FA">
      <w:pPr>
        <w:spacing w:line="360" w:lineRule="auto"/>
        <w:jc w:val="both"/>
        <w:rPr>
          <w:rFonts w:ascii="Times New Roman" w:hAnsi="Times New Roman" w:cs="Times New Roman"/>
          <w:sz w:val="24"/>
          <w:lang w:val="es-EC"/>
        </w:rPr>
      </w:pPr>
      <w:r>
        <w:rPr>
          <w:rFonts w:ascii="Times New Roman" w:hAnsi="Times New Roman" w:cs="Times New Roman"/>
          <w:sz w:val="24"/>
          <w:lang w:val="es-EC"/>
        </w:rPr>
        <w:t>Según el Comité Internacional de Ginebra (2004) l</w:t>
      </w:r>
      <w:r w:rsidR="00D739FA" w:rsidRPr="00516B96">
        <w:rPr>
          <w:rFonts w:ascii="Times New Roman" w:hAnsi="Times New Roman" w:cs="Times New Roman"/>
          <w:sz w:val="24"/>
          <w:lang w:val="es-EC"/>
        </w:rPr>
        <w:t>a codificación del DIH a nivel universal comenzó en el siglo XIX. Desde entonces, los Estados han aceptado un conjunto de normas basado en la amarga experiencia de la guerra moderna, que mantiene un cuidadoso equilibrio entre las preocupaciones de carácter humanitario y las exigencias militares de los Estados.</w:t>
      </w:r>
    </w:p>
    <w:p w:rsidR="00D739FA" w:rsidRPr="00516B96" w:rsidRDefault="00D739FA" w:rsidP="005300D4">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 xml:space="preserve">En la misma medida en que ha crecido la </w:t>
      </w:r>
      <w:r w:rsidR="005300D4" w:rsidRPr="00516B96">
        <w:rPr>
          <w:rFonts w:ascii="Times New Roman" w:hAnsi="Times New Roman" w:cs="Times New Roman"/>
          <w:sz w:val="24"/>
          <w:lang w:val="es-EC"/>
        </w:rPr>
        <w:t>C</w:t>
      </w:r>
      <w:r w:rsidRPr="00516B96">
        <w:rPr>
          <w:rFonts w:ascii="Times New Roman" w:hAnsi="Times New Roman" w:cs="Times New Roman"/>
          <w:sz w:val="24"/>
          <w:lang w:val="es-EC"/>
        </w:rPr>
        <w:t xml:space="preserve">omunidad </w:t>
      </w:r>
      <w:r w:rsidR="005300D4" w:rsidRPr="00516B96">
        <w:rPr>
          <w:rFonts w:ascii="Times New Roman" w:hAnsi="Times New Roman" w:cs="Times New Roman"/>
          <w:sz w:val="24"/>
          <w:lang w:val="es-EC"/>
        </w:rPr>
        <w:t>I</w:t>
      </w:r>
      <w:r w:rsidRPr="00516B96">
        <w:rPr>
          <w:rFonts w:ascii="Times New Roman" w:hAnsi="Times New Roman" w:cs="Times New Roman"/>
          <w:sz w:val="24"/>
          <w:lang w:val="es-EC"/>
        </w:rPr>
        <w:t xml:space="preserve">nternacional, ha aumentado el número de Estados que ha contribuido al desarrollo del DIH. Actualmente, éste puede </w:t>
      </w:r>
      <w:r w:rsidR="005300D4" w:rsidRPr="00516B96">
        <w:rPr>
          <w:rFonts w:ascii="Times New Roman" w:hAnsi="Times New Roman" w:cs="Times New Roman"/>
          <w:sz w:val="24"/>
          <w:lang w:val="es-EC"/>
        </w:rPr>
        <w:t>considerarse como un D</w:t>
      </w:r>
      <w:r w:rsidRPr="00516B96">
        <w:rPr>
          <w:rFonts w:ascii="Times New Roman" w:hAnsi="Times New Roman" w:cs="Times New Roman"/>
          <w:sz w:val="24"/>
          <w:lang w:val="es-EC"/>
        </w:rPr>
        <w:t xml:space="preserve">erecho </w:t>
      </w:r>
      <w:r w:rsidR="005300D4" w:rsidRPr="00516B96">
        <w:rPr>
          <w:rFonts w:ascii="Times New Roman" w:hAnsi="Times New Roman" w:cs="Times New Roman"/>
          <w:sz w:val="24"/>
          <w:lang w:val="es-EC"/>
        </w:rPr>
        <w:t>verdaderamente universal, pues a pesar de que los Convenios de Ginebra entraron en vigor el 21 de octubre de 1950, Fueron ratificados paulatinamente a lo largo de las décadas: 74 Estados ratificaron los Convenios en la década de 1950, 48 Estados lo hicieron en la de 1960, 20 Estados, en la de 1970, y otros 20, en la de 1980; veintiséis Estados ratificaron los Convenios a comienzos de los años 1990, sobre todo después de la disolución de la Unión Soviética, Checoslovaquia y ex Yugoslavia. Y gracias a siete nuevas ratificaciones que se concretaron a partir del año 2000, el total de Estados Partes se elevó a 194, lo que significa que los Convenios de Ginebra ahora son aplicables universalmente</w:t>
      </w:r>
      <w:r w:rsidR="007D7741" w:rsidRPr="00516B96">
        <w:rPr>
          <w:rFonts w:ascii="Times New Roman" w:hAnsi="Times New Roman" w:cs="Times New Roman"/>
          <w:sz w:val="24"/>
          <w:lang w:val="es-EC"/>
        </w:rPr>
        <w:t>; los últimos Estados en ratificar su adhesión a los Convenios fueron Nauru y Montenegro</w:t>
      </w:r>
      <w:r w:rsidR="005300D4" w:rsidRPr="00516B96">
        <w:rPr>
          <w:rFonts w:ascii="Times New Roman" w:hAnsi="Times New Roman" w:cs="Times New Roman"/>
          <w:sz w:val="24"/>
          <w:lang w:val="es-EC"/>
        </w:rPr>
        <w:t>.</w:t>
      </w:r>
    </w:p>
    <w:p w:rsidR="00D739FA" w:rsidRPr="00516B96" w:rsidRDefault="00D739FA" w:rsidP="00D739FA">
      <w:pPr>
        <w:spacing w:line="360" w:lineRule="auto"/>
        <w:jc w:val="both"/>
        <w:rPr>
          <w:rFonts w:ascii="Times New Roman" w:hAnsi="Times New Roman" w:cs="Times New Roman"/>
          <w:i/>
          <w:sz w:val="24"/>
          <w:u w:val="single"/>
          <w:lang w:val="en-US"/>
        </w:rPr>
      </w:pPr>
      <w:r w:rsidRPr="00516B96">
        <w:rPr>
          <w:rFonts w:ascii="Times New Roman" w:hAnsi="Times New Roman" w:cs="Times New Roman"/>
          <w:sz w:val="24"/>
          <w:lang w:val="en-US"/>
        </w:rPr>
        <w:t>I.III.</w:t>
      </w:r>
      <w:r w:rsidRPr="00516B96">
        <w:rPr>
          <w:rFonts w:ascii="Times New Roman" w:hAnsi="Times New Roman" w:cs="Times New Roman"/>
          <w:sz w:val="24"/>
          <w:lang w:val="en-US"/>
        </w:rPr>
        <w:tab/>
      </w:r>
      <w:proofErr w:type="spellStart"/>
      <w:r w:rsidRPr="00516B96">
        <w:rPr>
          <w:rFonts w:ascii="Times New Roman" w:hAnsi="Times New Roman" w:cs="Times New Roman"/>
          <w:i/>
          <w:sz w:val="24"/>
          <w:u w:val="single"/>
          <w:lang w:val="en-US"/>
        </w:rPr>
        <w:t>Ius</w:t>
      </w:r>
      <w:proofErr w:type="spellEnd"/>
      <w:r w:rsidRPr="00516B96">
        <w:rPr>
          <w:rFonts w:ascii="Times New Roman" w:hAnsi="Times New Roman" w:cs="Times New Roman"/>
          <w:i/>
          <w:sz w:val="24"/>
          <w:u w:val="single"/>
          <w:lang w:val="en-US"/>
        </w:rPr>
        <w:t xml:space="preserve"> ad Bellum y </w:t>
      </w:r>
      <w:proofErr w:type="spellStart"/>
      <w:r w:rsidRPr="00516B96">
        <w:rPr>
          <w:rFonts w:ascii="Times New Roman" w:hAnsi="Times New Roman" w:cs="Times New Roman"/>
          <w:i/>
          <w:sz w:val="24"/>
          <w:u w:val="single"/>
          <w:lang w:val="en-US"/>
        </w:rPr>
        <w:t>Ius</w:t>
      </w:r>
      <w:proofErr w:type="spellEnd"/>
      <w:r w:rsidRPr="00516B96">
        <w:rPr>
          <w:rFonts w:ascii="Times New Roman" w:hAnsi="Times New Roman" w:cs="Times New Roman"/>
          <w:i/>
          <w:sz w:val="24"/>
          <w:u w:val="single"/>
          <w:lang w:val="en-US"/>
        </w:rPr>
        <w:t xml:space="preserve"> in Bello</w:t>
      </w:r>
    </w:p>
    <w:p w:rsidR="00D739FA" w:rsidRPr="00516B96" w:rsidRDefault="005300D4"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El Derecho Internacional H</w:t>
      </w:r>
      <w:r w:rsidR="00D739FA" w:rsidRPr="00516B96">
        <w:rPr>
          <w:rFonts w:ascii="Times New Roman" w:hAnsi="Times New Roman" w:cs="Times New Roman"/>
          <w:sz w:val="24"/>
          <w:lang w:val="es-EC"/>
        </w:rPr>
        <w:t xml:space="preserve">umanitario (DIH), o </w:t>
      </w:r>
      <w:proofErr w:type="spellStart"/>
      <w:r w:rsidR="00D739FA" w:rsidRPr="00516B96">
        <w:rPr>
          <w:rFonts w:ascii="Times New Roman" w:hAnsi="Times New Roman" w:cs="Times New Roman"/>
          <w:i/>
          <w:sz w:val="24"/>
          <w:lang w:val="es-EC"/>
        </w:rPr>
        <w:t>ius</w:t>
      </w:r>
      <w:proofErr w:type="spellEnd"/>
      <w:r w:rsidR="00D739FA" w:rsidRPr="00516B96">
        <w:rPr>
          <w:rFonts w:ascii="Times New Roman" w:hAnsi="Times New Roman" w:cs="Times New Roman"/>
          <w:i/>
          <w:sz w:val="24"/>
          <w:lang w:val="es-EC"/>
        </w:rPr>
        <w:t xml:space="preserve"> in bello</w:t>
      </w:r>
      <w:r w:rsidR="00D739FA" w:rsidRPr="00516B96">
        <w:rPr>
          <w:rFonts w:ascii="Times New Roman" w:hAnsi="Times New Roman" w:cs="Times New Roman"/>
          <w:sz w:val="24"/>
          <w:lang w:val="es-EC"/>
        </w:rPr>
        <w:t xml:space="preserve">, es el derecho que regula la forma en que se conducen las hostilidades. Su finalidad es estrictamente humanitaria, ya que procura limitar los sufrimientos causados por los conflictos armados. Es independiente de los motivos o las justificaciones de la guerra, que están regulados por el </w:t>
      </w:r>
      <w:proofErr w:type="spellStart"/>
      <w:r w:rsidR="00D739FA" w:rsidRPr="00516B96">
        <w:rPr>
          <w:rFonts w:ascii="Times New Roman" w:hAnsi="Times New Roman" w:cs="Times New Roman"/>
          <w:i/>
          <w:sz w:val="24"/>
          <w:lang w:val="es-EC"/>
        </w:rPr>
        <w:t>ius</w:t>
      </w:r>
      <w:proofErr w:type="spellEnd"/>
      <w:r w:rsidR="00D739FA" w:rsidRPr="00516B96">
        <w:rPr>
          <w:rFonts w:ascii="Times New Roman" w:hAnsi="Times New Roman" w:cs="Times New Roman"/>
          <w:i/>
          <w:sz w:val="24"/>
          <w:lang w:val="es-EC"/>
        </w:rPr>
        <w:t xml:space="preserve"> ad </w:t>
      </w:r>
      <w:proofErr w:type="spellStart"/>
      <w:r w:rsidR="00D739FA" w:rsidRPr="00516B96">
        <w:rPr>
          <w:rFonts w:ascii="Times New Roman" w:hAnsi="Times New Roman" w:cs="Times New Roman"/>
          <w:i/>
          <w:sz w:val="24"/>
          <w:lang w:val="es-EC"/>
        </w:rPr>
        <w:t>bellum</w:t>
      </w:r>
      <w:proofErr w:type="spellEnd"/>
      <w:r w:rsidR="00D739FA" w:rsidRPr="00516B96">
        <w:rPr>
          <w:rFonts w:ascii="Times New Roman" w:hAnsi="Times New Roman" w:cs="Times New Roman"/>
          <w:sz w:val="24"/>
          <w:lang w:val="es-EC"/>
        </w:rPr>
        <w:t>.</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 xml:space="preserve">La distinción clara entre el </w:t>
      </w:r>
      <w:proofErr w:type="spellStart"/>
      <w:r w:rsidRPr="00516B96">
        <w:rPr>
          <w:rFonts w:ascii="Times New Roman" w:hAnsi="Times New Roman" w:cs="Times New Roman"/>
          <w:i/>
          <w:sz w:val="24"/>
          <w:lang w:val="es-EC"/>
        </w:rPr>
        <w:t>ius</w:t>
      </w:r>
      <w:proofErr w:type="spellEnd"/>
      <w:r w:rsidRPr="00516B96">
        <w:rPr>
          <w:rFonts w:ascii="Times New Roman" w:hAnsi="Times New Roman" w:cs="Times New Roman"/>
          <w:i/>
          <w:sz w:val="24"/>
          <w:lang w:val="es-EC"/>
        </w:rPr>
        <w:t xml:space="preserve"> in bello</w:t>
      </w:r>
      <w:r w:rsidRPr="00516B96">
        <w:rPr>
          <w:rFonts w:ascii="Times New Roman" w:hAnsi="Times New Roman" w:cs="Times New Roman"/>
          <w:sz w:val="24"/>
          <w:lang w:val="es-EC"/>
        </w:rPr>
        <w:t xml:space="preserve"> y el </w:t>
      </w:r>
      <w:proofErr w:type="spellStart"/>
      <w:r w:rsidRPr="00516B96">
        <w:rPr>
          <w:rFonts w:ascii="Times New Roman" w:hAnsi="Times New Roman" w:cs="Times New Roman"/>
          <w:i/>
          <w:sz w:val="24"/>
          <w:lang w:val="es-EC"/>
        </w:rPr>
        <w:t>ius</w:t>
      </w:r>
      <w:proofErr w:type="spellEnd"/>
      <w:r w:rsidRPr="00516B96">
        <w:rPr>
          <w:rFonts w:ascii="Times New Roman" w:hAnsi="Times New Roman" w:cs="Times New Roman"/>
          <w:i/>
          <w:sz w:val="24"/>
          <w:lang w:val="es-EC"/>
        </w:rPr>
        <w:t xml:space="preserve"> ad </w:t>
      </w:r>
      <w:proofErr w:type="spellStart"/>
      <w:r w:rsidRPr="00516B96">
        <w:rPr>
          <w:rFonts w:ascii="Times New Roman" w:hAnsi="Times New Roman" w:cs="Times New Roman"/>
          <w:i/>
          <w:sz w:val="24"/>
          <w:lang w:val="es-EC"/>
        </w:rPr>
        <w:t>bellum</w:t>
      </w:r>
      <w:proofErr w:type="spellEnd"/>
      <w:r w:rsidRPr="00516B96">
        <w:rPr>
          <w:rFonts w:ascii="Times New Roman" w:hAnsi="Times New Roman" w:cs="Times New Roman"/>
          <w:sz w:val="24"/>
          <w:lang w:val="es-EC"/>
        </w:rPr>
        <w:t xml:space="preserve"> es comparativamente reciente. Esos términos no se utilizaron de forma recurrente en los d</w:t>
      </w:r>
      <w:r w:rsidR="007D7741" w:rsidRPr="00516B96">
        <w:rPr>
          <w:rFonts w:ascii="Times New Roman" w:hAnsi="Times New Roman" w:cs="Times New Roman"/>
          <w:sz w:val="24"/>
          <w:lang w:val="es-EC"/>
        </w:rPr>
        <w:t>ebates y los escritos sobre el Derecho de la G</w:t>
      </w:r>
      <w:r w:rsidRPr="00516B96">
        <w:rPr>
          <w:rFonts w:ascii="Times New Roman" w:hAnsi="Times New Roman" w:cs="Times New Roman"/>
          <w:sz w:val="24"/>
          <w:lang w:val="es-EC"/>
        </w:rPr>
        <w:t xml:space="preserve">uerra sino diez años después de la Segunda Guerra Mundial. Los </w:t>
      </w:r>
      <w:r w:rsidRPr="00516B96">
        <w:rPr>
          <w:rFonts w:ascii="Times New Roman" w:hAnsi="Times New Roman" w:cs="Times New Roman"/>
          <w:sz w:val="24"/>
          <w:lang w:val="es-EC"/>
        </w:rPr>
        <w:lastRenderedPageBreak/>
        <w:t>conceptos que entrañan ambos términos estaban presentes en los debates previos a esos acontecimientos, pero sin dudas no existía una clara distinción entre ellos</w:t>
      </w:r>
    </w:p>
    <w:p w:rsidR="00D739FA" w:rsidRPr="00516B96" w:rsidRDefault="007D7741"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La finalidad del D</w:t>
      </w:r>
      <w:r w:rsidR="00D739FA" w:rsidRPr="00516B96">
        <w:rPr>
          <w:rFonts w:ascii="Times New Roman" w:hAnsi="Times New Roman" w:cs="Times New Roman"/>
          <w:sz w:val="24"/>
          <w:lang w:val="es-EC"/>
        </w:rPr>
        <w:t xml:space="preserve">erecho </w:t>
      </w:r>
      <w:r w:rsidRPr="00516B96">
        <w:rPr>
          <w:rFonts w:ascii="Times New Roman" w:hAnsi="Times New Roman" w:cs="Times New Roman"/>
          <w:sz w:val="24"/>
          <w:lang w:val="es-EC"/>
        </w:rPr>
        <w:t>I</w:t>
      </w:r>
      <w:r w:rsidR="00D739FA" w:rsidRPr="00516B96">
        <w:rPr>
          <w:rFonts w:ascii="Times New Roman" w:hAnsi="Times New Roman" w:cs="Times New Roman"/>
          <w:sz w:val="24"/>
          <w:lang w:val="es-EC"/>
        </w:rPr>
        <w:t xml:space="preserve">nternacional </w:t>
      </w:r>
      <w:r w:rsidRPr="00516B96">
        <w:rPr>
          <w:rFonts w:ascii="Times New Roman" w:hAnsi="Times New Roman" w:cs="Times New Roman"/>
          <w:sz w:val="24"/>
          <w:lang w:val="es-EC"/>
        </w:rPr>
        <w:t>H</w:t>
      </w:r>
      <w:r w:rsidR="00D739FA" w:rsidRPr="00516B96">
        <w:rPr>
          <w:rFonts w:ascii="Times New Roman" w:hAnsi="Times New Roman" w:cs="Times New Roman"/>
          <w:sz w:val="24"/>
          <w:lang w:val="es-EC"/>
        </w:rPr>
        <w:t>umanitario es limitar el sufrimiento causado por la guerra, mediante la protección y la asistencia a las víctimas en la mayo</w:t>
      </w:r>
      <w:r w:rsidRPr="00516B96">
        <w:rPr>
          <w:rFonts w:ascii="Times New Roman" w:hAnsi="Times New Roman" w:cs="Times New Roman"/>
          <w:sz w:val="24"/>
          <w:lang w:val="es-EC"/>
        </w:rPr>
        <w:t>r medida posible. Por ello, el D</w:t>
      </w:r>
      <w:r w:rsidR="00D739FA" w:rsidRPr="00516B96">
        <w:rPr>
          <w:rFonts w:ascii="Times New Roman" w:hAnsi="Times New Roman" w:cs="Times New Roman"/>
          <w:sz w:val="24"/>
          <w:lang w:val="es-EC"/>
        </w:rPr>
        <w:t>erecho aborda la realidad de los conflicto</w:t>
      </w:r>
      <w:r w:rsidRPr="00516B96">
        <w:rPr>
          <w:rFonts w:ascii="Times New Roman" w:hAnsi="Times New Roman" w:cs="Times New Roman"/>
          <w:sz w:val="24"/>
          <w:lang w:val="es-EC"/>
        </w:rPr>
        <w:t>s</w:t>
      </w:r>
      <w:r w:rsidR="00D739FA" w:rsidRPr="00516B96">
        <w:rPr>
          <w:rFonts w:ascii="Times New Roman" w:hAnsi="Times New Roman" w:cs="Times New Roman"/>
          <w:sz w:val="24"/>
          <w:lang w:val="es-EC"/>
        </w:rPr>
        <w:t xml:space="preserve"> sin considerar las razones o la licitud del recurso a la fuerza. Regula sólo los aspectos del conflicto que son de interés humanitario. Es lo que se conoce como </w:t>
      </w:r>
      <w:proofErr w:type="spellStart"/>
      <w:r w:rsidR="00D739FA" w:rsidRPr="00516B96">
        <w:rPr>
          <w:rFonts w:ascii="Times New Roman" w:hAnsi="Times New Roman" w:cs="Times New Roman"/>
          <w:i/>
          <w:sz w:val="24"/>
          <w:lang w:val="es-EC"/>
        </w:rPr>
        <w:t>ius</w:t>
      </w:r>
      <w:proofErr w:type="spellEnd"/>
      <w:r w:rsidR="00D739FA" w:rsidRPr="00516B96">
        <w:rPr>
          <w:rFonts w:ascii="Times New Roman" w:hAnsi="Times New Roman" w:cs="Times New Roman"/>
          <w:i/>
          <w:sz w:val="24"/>
          <w:lang w:val="es-EC"/>
        </w:rPr>
        <w:t xml:space="preserve"> in bello</w:t>
      </w:r>
      <w:r w:rsidR="00D739FA" w:rsidRPr="00516B96">
        <w:rPr>
          <w:rFonts w:ascii="Times New Roman" w:hAnsi="Times New Roman" w:cs="Times New Roman"/>
          <w:sz w:val="24"/>
          <w:lang w:val="es-EC"/>
        </w:rPr>
        <w:t xml:space="preserve"> (el derecho en la guerra). Sus disposiciones se aplican a las partes beligerantes independientemente de las razones del conflicto o de la justicia o la injusticia de las causas que defiende cada parte.</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 xml:space="preserve">El </w:t>
      </w:r>
      <w:proofErr w:type="spellStart"/>
      <w:r w:rsidRPr="00516B96">
        <w:rPr>
          <w:rFonts w:ascii="Times New Roman" w:hAnsi="Times New Roman" w:cs="Times New Roman"/>
          <w:i/>
          <w:sz w:val="24"/>
          <w:lang w:val="es-EC"/>
        </w:rPr>
        <w:t>ius</w:t>
      </w:r>
      <w:proofErr w:type="spellEnd"/>
      <w:r w:rsidRPr="00516B96">
        <w:rPr>
          <w:rFonts w:ascii="Times New Roman" w:hAnsi="Times New Roman" w:cs="Times New Roman"/>
          <w:i/>
          <w:sz w:val="24"/>
          <w:lang w:val="es-EC"/>
        </w:rPr>
        <w:t xml:space="preserve"> ad </w:t>
      </w:r>
      <w:proofErr w:type="spellStart"/>
      <w:r w:rsidRPr="00516B96">
        <w:rPr>
          <w:rFonts w:ascii="Times New Roman" w:hAnsi="Times New Roman" w:cs="Times New Roman"/>
          <w:i/>
          <w:sz w:val="24"/>
          <w:lang w:val="es-EC"/>
        </w:rPr>
        <w:t>bellum</w:t>
      </w:r>
      <w:proofErr w:type="spellEnd"/>
      <w:r w:rsidRPr="00516B96">
        <w:rPr>
          <w:rFonts w:ascii="Times New Roman" w:hAnsi="Times New Roman" w:cs="Times New Roman"/>
          <w:sz w:val="24"/>
          <w:lang w:val="es-EC"/>
        </w:rPr>
        <w:t xml:space="preserve"> (el derecho sobre el empleo de la fuerza) o el </w:t>
      </w:r>
      <w:proofErr w:type="spellStart"/>
      <w:r w:rsidRPr="00516B96">
        <w:rPr>
          <w:rFonts w:ascii="Times New Roman" w:hAnsi="Times New Roman" w:cs="Times New Roman"/>
          <w:i/>
          <w:sz w:val="24"/>
          <w:lang w:val="es-EC"/>
        </w:rPr>
        <w:t>ius</w:t>
      </w:r>
      <w:proofErr w:type="spellEnd"/>
      <w:r w:rsidRPr="00516B96">
        <w:rPr>
          <w:rFonts w:ascii="Times New Roman" w:hAnsi="Times New Roman" w:cs="Times New Roman"/>
          <w:i/>
          <w:sz w:val="24"/>
          <w:lang w:val="es-EC"/>
        </w:rPr>
        <w:t xml:space="preserve"> contra </w:t>
      </w:r>
      <w:proofErr w:type="spellStart"/>
      <w:r w:rsidRPr="00516B96">
        <w:rPr>
          <w:rFonts w:ascii="Times New Roman" w:hAnsi="Times New Roman" w:cs="Times New Roman"/>
          <w:i/>
          <w:sz w:val="24"/>
          <w:lang w:val="es-EC"/>
        </w:rPr>
        <w:t>bellum</w:t>
      </w:r>
      <w:proofErr w:type="spellEnd"/>
      <w:r w:rsidRPr="00516B96">
        <w:rPr>
          <w:rFonts w:ascii="Times New Roman" w:hAnsi="Times New Roman" w:cs="Times New Roman"/>
          <w:i/>
          <w:sz w:val="24"/>
          <w:lang w:val="es-EC"/>
        </w:rPr>
        <w:t xml:space="preserve"> </w:t>
      </w:r>
      <w:r w:rsidRPr="00516B96">
        <w:rPr>
          <w:rFonts w:ascii="Times New Roman" w:hAnsi="Times New Roman" w:cs="Times New Roman"/>
          <w:sz w:val="24"/>
          <w:lang w:val="es-EC"/>
        </w:rPr>
        <w:t>(el derecho sobre la prevención de la guerra) procura limitar el recurso a la fuerza entre Estados.</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 xml:space="preserve">Es decir, “el </w:t>
      </w:r>
      <w:proofErr w:type="spellStart"/>
      <w:r w:rsidRPr="00516B96">
        <w:rPr>
          <w:rFonts w:ascii="Times New Roman" w:hAnsi="Times New Roman" w:cs="Times New Roman"/>
          <w:i/>
          <w:sz w:val="24"/>
          <w:lang w:val="es-EC"/>
        </w:rPr>
        <w:t>ius</w:t>
      </w:r>
      <w:proofErr w:type="spellEnd"/>
      <w:r w:rsidRPr="00516B96">
        <w:rPr>
          <w:rFonts w:ascii="Times New Roman" w:hAnsi="Times New Roman" w:cs="Times New Roman"/>
          <w:i/>
          <w:sz w:val="24"/>
          <w:lang w:val="es-EC"/>
        </w:rPr>
        <w:t xml:space="preserve"> ad </w:t>
      </w:r>
      <w:proofErr w:type="spellStart"/>
      <w:r w:rsidRPr="00516B96">
        <w:rPr>
          <w:rFonts w:ascii="Times New Roman" w:hAnsi="Times New Roman" w:cs="Times New Roman"/>
          <w:i/>
          <w:sz w:val="24"/>
          <w:lang w:val="es-EC"/>
        </w:rPr>
        <w:t>bellum</w:t>
      </w:r>
      <w:proofErr w:type="spellEnd"/>
      <w:r w:rsidRPr="00516B96">
        <w:rPr>
          <w:rFonts w:ascii="Times New Roman" w:hAnsi="Times New Roman" w:cs="Times New Roman"/>
          <w:sz w:val="24"/>
          <w:lang w:val="es-EC"/>
        </w:rPr>
        <w:t xml:space="preserve"> se refiere a la facultad de recurrir a la guerra o a la fuerza en general; el </w:t>
      </w:r>
      <w:proofErr w:type="spellStart"/>
      <w:r w:rsidRPr="00516B96">
        <w:rPr>
          <w:rFonts w:ascii="Times New Roman" w:hAnsi="Times New Roman" w:cs="Times New Roman"/>
          <w:i/>
          <w:sz w:val="24"/>
          <w:lang w:val="es-EC"/>
        </w:rPr>
        <w:t>ius</w:t>
      </w:r>
      <w:proofErr w:type="spellEnd"/>
      <w:r w:rsidRPr="00516B96">
        <w:rPr>
          <w:rFonts w:ascii="Times New Roman" w:hAnsi="Times New Roman" w:cs="Times New Roman"/>
          <w:i/>
          <w:sz w:val="24"/>
          <w:lang w:val="es-EC"/>
        </w:rPr>
        <w:t xml:space="preserve"> in bello</w:t>
      </w:r>
      <w:r w:rsidRPr="00516B96">
        <w:rPr>
          <w:rFonts w:ascii="Times New Roman" w:hAnsi="Times New Roman" w:cs="Times New Roman"/>
          <w:sz w:val="24"/>
          <w:lang w:val="es-EC"/>
        </w:rPr>
        <w:t xml:space="preserve"> rige la conducta de los beligerantes durante la guerra y, en un sentido más amplio, incluye también los derechos y las obligaciones de los neutrales”</w:t>
      </w:r>
      <w:r w:rsidR="00E0219F">
        <w:rPr>
          <w:rFonts w:ascii="Times New Roman" w:hAnsi="Times New Roman" w:cs="Times New Roman"/>
          <w:sz w:val="24"/>
          <w:lang w:val="es-EC"/>
        </w:rPr>
        <w:t xml:space="preserve"> (</w:t>
      </w:r>
      <w:proofErr w:type="spellStart"/>
      <w:r w:rsidR="00E0219F">
        <w:rPr>
          <w:rFonts w:ascii="Times New Roman" w:hAnsi="Times New Roman" w:cs="Times New Roman"/>
          <w:sz w:val="24"/>
          <w:lang w:val="es-EC"/>
        </w:rPr>
        <w:t>Kolb</w:t>
      </w:r>
      <w:proofErr w:type="spellEnd"/>
      <w:r w:rsidR="00E0219F">
        <w:rPr>
          <w:rFonts w:ascii="Times New Roman" w:hAnsi="Times New Roman" w:cs="Times New Roman"/>
          <w:sz w:val="24"/>
          <w:lang w:val="es-EC"/>
        </w:rPr>
        <w:t>, 1997)</w:t>
      </w:r>
      <w:r w:rsidRPr="00516B96">
        <w:rPr>
          <w:rFonts w:ascii="Times New Roman" w:hAnsi="Times New Roman" w:cs="Times New Roman"/>
          <w:sz w:val="24"/>
          <w:lang w:val="es-EC"/>
        </w:rPr>
        <w:t>.</w:t>
      </w:r>
    </w:p>
    <w:p w:rsidR="00D739FA" w:rsidRPr="00516B96" w:rsidRDefault="00D739FA" w:rsidP="00D739FA">
      <w:pPr>
        <w:spacing w:line="360" w:lineRule="auto"/>
        <w:jc w:val="both"/>
        <w:rPr>
          <w:rFonts w:ascii="Times New Roman" w:hAnsi="Times New Roman" w:cs="Times New Roman"/>
          <w:sz w:val="24"/>
          <w:u w:val="single"/>
        </w:rPr>
      </w:pPr>
      <w:r w:rsidRPr="00516B96">
        <w:rPr>
          <w:rFonts w:ascii="Times New Roman" w:hAnsi="Times New Roman" w:cs="Times New Roman"/>
          <w:sz w:val="24"/>
        </w:rPr>
        <w:t>I.IV.</w:t>
      </w:r>
      <w:r w:rsidRPr="00516B96">
        <w:rPr>
          <w:rFonts w:ascii="Times New Roman" w:hAnsi="Times New Roman" w:cs="Times New Roman"/>
          <w:sz w:val="24"/>
        </w:rPr>
        <w:tab/>
      </w:r>
      <w:r w:rsidRPr="00516B96">
        <w:rPr>
          <w:rFonts w:ascii="Times New Roman" w:hAnsi="Times New Roman" w:cs="Times New Roman"/>
          <w:sz w:val="24"/>
          <w:u w:val="single"/>
        </w:rPr>
        <w:t>El Derecho Internacional Humanitario</w:t>
      </w:r>
    </w:p>
    <w:p w:rsidR="00D739FA" w:rsidRPr="00516B96" w:rsidRDefault="007D7741" w:rsidP="00D739FA">
      <w:pPr>
        <w:spacing w:line="360" w:lineRule="auto"/>
        <w:jc w:val="both"/>
        <w:rPr>
          <w:rFonts w:ascii="Times New Roman" w:hAnsi="Times New Roman" w:cs="Times New Roman"/>
          <w:sz w:val="24"/>
        </w:rPr>
      </w:pPr>
      <w:r w:rsidRPr="00516B96">
        <w:rPr>
          <w:rFonts w:ascii="Times New Roman" w:hAnsi="Times New Roman" w:cs="Times New Roman"/>
          <w:sz w:val="24"/>
        </w:rPr>
        <w:t>El D</w:t>
      </w:r>
      <w:r w:rsidR="00D739FA" w:rsidRPr="00516B96">
        <w:rPr>
          <w:rFonts w:ascii="Times New Roman" w:hAnsi="Times New Roman" w:cs="Times New Roman"/>
          <w:sz w:val="24"/>
        </w:rPr>
        <w:t xml:space="preserve">erecho </w:t>
      </w:r>
      <w:r w:rsidRPr="00516B96">
        <w:rPr>
          <w:rFonts w:ascii="Times New Roman" w:hAnsi="Times New Roman" w:cs="Times New Roman"/>
          <w:sz w:val="24"/>
        </w:rPr>
        <w:t>I</w:t>
      </w:r>
      <w:r w:rsidR="00D739FA" w:rsidRPr="00516B96">
        <w:rPr>
          <w:rFonts w:ascii="Times New Roman" w:hAnsi="Times New Roman" w:cs="Times New Roman"/>
          <w:sz w:val="24"/>
        </w:rPr>
        <w:t xml:space="preserve">nternacional </w:t>
      </w:r>
      <w:r w:rsidRPr="00516B96">
        <w:rPr>
          <w:rFonts w:ascii="Times New Roman" w:hAnsi="Times New Roman" w:cs="Times New Roman"/>
          <w:sz w:val="24"/>
        </w:rPr>
        <w:t>H</w:t>
      </w:r>
      <w:r w:rsidR="00D739FA" w:rsidRPr="00516B96">
        <w:rPr>
          <w:rFonts w:ascii="Times New Roman" w:hAnsi="Times New Roman" w:cs="Times New Roman"/>
          <w:sz w:val="24"/>
        </w:rPr>
        <w:t>umanitario es un conjunto de normas que, por razones humanitarias, trata de limitar los efectos de los conflictos armados. Protege a las personas que no participan o que ya no participan en los combates y limita los medios y métodos de hacer la guerra. El DIH suele llamarse también "derecho de la guerra" y "derecho de los conflictos armados".</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 xml:space="preserve">El DIH es parte del </w:t>
      </w:r>
      <w:r w:rsidR="007D7741" w:rsidRPr="00516B96">
        <w:rPr>
          <w:rFonts w:ascii="Times New Roman" w:hAnsi="Times New Roman" w:cs="Times New Roman"/>
          <w:sz w:val="24"/>
          <w:lang w:val="es-EC"/>
        </w:rPr>
        <w:t>D</w:t>
      </w:r>
      <w:r w:rsidRPr="00516B96">
        <w:rPr>
          <w:rFonts w:ascii="Times New Roman" w:hAnsi="Times New Roman" w:cs="Times New Roman"/>
          <w:sz w:val="24"/>
          <w:lang w:val="es-EC"/>
        </w:rPr>
        <w:t xml:space="preserve">erecho </w:t>
      </w:r>
      <w:r w:rsidR="007D7741" w:rsidRPr="00516B96">
        <w:rPr>
          <w:rFonts w:ascii="Times New Roman" w:hAnsi="Times New Roman" w:cs="Times New Roman"/>
          <w:sz w:val="24"/>
          <w:lang w:val="es-EC"/>
        </w:rPr>
        <w:t>I</w:t>
      </w:r>
      <w:r w:rsidRPr="00516B96">
        <w:rPr>
          <w:rFonts w:ascii="Times New Roman" w:hAnsi="Times New Roman" w:cs="Times New Roman"/>
          <w:sz w:val="24"/>
          <w:lang w:val="es-EC"/>
        </w:rPr>
        <w:t xml:space="preserve">nternacional, que regula las relaciones entre los Estados. Está integrado por acuerdos firmados entre Estados –denominados tratados o convenios–, por el </w:t>
      </w:r>
      <w:r w:rsidR="007D7741" w:rsidRPr="00516B96">
        <w:rPr>
          <w:rFonts w:ascii="Times New Roman" w:hAnsi="Times New Roman" w:cs="Times New Roman"/>
          <w:sz w:val="24"/>
          <w:lang w:val="es-EC"/>
        </w:rPr>
        <w:t>D</w:t>
      </w:r>
      <w:r w:rsidRPr="00516B96">
        <w:rPr>
          <w:rFonts w:ascii="Times New Roman" w:hAnsi="Times New Roman" w:cs="Times New Roman"/>
          <w:sz w:val="24"/>
          <w:lang w:val="es-EC"/>
        </w:rPr>
        <w:t xml:space="preserve">erecho </w:t>
      </w:r>
      <w:r w:rsidR="007D7741" w:rsidRPr="00516B96">
        <w:rPr>
          <w:rFonts w:ascii="Times New Roman" w:hAnsi="Times New Roman" w:cs="Times New Roman"/>
          <w:sz w:val="24"/>
          <w:lang w:val="es-EC"/>
        </w:rPr>
        <w:t>C</w:t>
      </w:r>
      <w:r w:rsidRPr="00516B96">
        <w:rPr>
          <w:rFonts w:ascii="Times New Roman" w:hAnsi="Times New Roman" w:cs="Times New Roman"/>
          <w:sz w:val="24"/>
          <w:lang w:val="es-EC"/>
        </w:rPr>
        <w:t xml:space="preserve">onsuetudinario </w:t>
      </w:r>
      <w:r w:rsidR="007D7741" w:rsidRPr="00516B96">
        <w:rPr>
          <w:rFonts w:ascii="Times New Roman" w:hAnsi="Times New Roman" w:cs="Times New Roman"/>
          <w:sz w:val="24"/>
          <w:lang w:val="es-EC"/>
        </w:rPr>
        <w:t>I</w:t>
      </w:r>
      <w:r w:rsidRPr="00516B96">
        <w:rPr>
          <w:rFonts w:ascii="Times New Roman" w:hAnsi="Times New Roman" w:cs="Times New Roman"/>
          <w:sz w:val="24"/>
          <w:lang w:val="es-EC"/>
        </w:rPr>
        <w:t xml:space="preserve">nternacional que se compone a su vez de la práctica de los Estados que éstos reconocen como obligatoria, así como por principios generales del </w:t>
      </w:r>
      <w:r w:rsidR="007D7741" w:rsidRPr="00516B96">
        <w:rPr>
          <w:rFonts w:ascii="Times New Roman" w:hAnsi="Times New Roman" w:cs="Times New Roman"/>
          <w:sz w:val="24"/>
          <w:lang w:val="es-EC"/>
        </w:rPr>
        <w:t>D</w:t>
      </w:r>
      <w:r w:rsidRPr="00516B96">
        <w:rPr>
          <w:rFonts w:ascii="Times New Roman" w:hAnsi="Times New Roman" w:cs="Times New Roman"/>
          <w:sz w:val="24"/>
          <w:lang w:val="es-EC"/>
        </w:rPr>
        <w:t>erecho.</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El DIH se aplica en situaciones de conflicto armado. No determina si un Estado tiene o no tiene derecho a recurrir a la fuerza. Esta cuestión está regulada por una importante parte –pero distinta– del DIH, que figura en la Carta de las Naciones Unidas.</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lastRenderedPageBreak/>
        <w:t>El origen del DIH se remonta a las normas dictadas por las antiguas civilizaciones y religiones. La guerra siempre ha estado sujeta a ciertas leyes y costumbres.</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 xml:space="preserve">El DIH se encuentra esencialmente contenido en los cuatro </w:t>
      </w:r>
      <w:r w:rsidRPr="00516B96">
        <w:rPr>
          <w:rFonts w:ascii="Times New Roman" w:hAnsi="Times New Roman" w:cs="Times New Roman"/>
          <w:bCs/>
          <w:sz w:val="24"/>
          <w:lang w:val="es-EC"/>
        </w:rPr>
        <w:t>Convenios de Ginebra de 1949</w:t>
      </w:r>
      <w:r w:rsidRPr="00516B96">
        <w:rPr>
          <w:rFonts w:ascii="Times New Roman" w:hAnsi="Times New Roman" w:cs="Times New Roman"/>
          <w:sz w:val="24"/>
          <w:lang w:val="es-EC"/>
        </w:rPr>
        <w:t xml:space="preserve">, en los que son parte </w:t>
      </w:r>
      <w:r w:rsidR="007D7741" w:rsidRPr="00516B96">
        <w:rPr>
          <w:rFonts w:ascii="Times New Roman" w:hAnsi="Times New Roman" w:cs="Times New Roman"/>
          <w:sz w:val="24"/>
          <w:lang w:val="es-EC"/>
        </w:rPr>
        <w:t>los 194</w:t>
      </w:r>
      <w:r w:rsidRPr="00516B96">
        <w:rPr>
          <w:rFonts w:ascii="Times New Roman" w:hAnsi="Times New Roman" w:cs="Times New Roman"/>
          <w:sz w:val="24"/>
          <w:lang w:val="es-EC"/>
        </w:rPr>
        <w:t xml:space="preserve"> Estados</w:t>
      </w:r>
      <w:r w:rsidR="007D7741" w:rsidRPr="00516B96">
        <w:rPr>
          <w:rFonts w:ascii="Times New Roman" w:hAnsi="Times New Roman" w:cs="Times New Roman"/>
          <w:sz w:val="24"/>
          <w:lang w:val="es-EC"/>
        </w:rPr>
        <w:t xml:space="preserve"> del mundo</w:t>
      </w:r>
      <w:r w:rsidRPr="00516B96">
        <w:rPr>
          <w:rFonts w:ascii="Times New Roman" w:hAnsi="Times New Roman" w:cs="Times New Roman"/>
          <w:sz w:val="24"/>
          <w:lang w:val="es-EC"/>
        </w:rPr>
        <w:t xml:space="preserve">. Estos Convenios se completaron con otros dos tratados: los </w:t>
      </w:r>
      <w:r w:rsidRPr="00516B96">
        <w:rPr>
          <w:rFonts w:ascii="Times New Roman" w:hAnsi="Times New Roman" w:cs="Times New Roman"/>
          <w:bCs/>
          <w:sz w:val="24"/>
          <w:lang w:val="es-EC"/>
        </w:rPr>
        <w:t>Protocolos adicionales de 1977 relativos a la protección de las víctimas de los conflictos armados</w:t>
      </w:r>
      <w:r w:rsidR="007D7741" w:rsidRPr="00516B96">
        <w:rPr>
          <w:rFonts w:ascii="Times New Roman" w:hAnsi="Times New Roman" w:cs="Times New Roman"/>
          <w:bCs/>
          <w:sz w:val="24"/>
          <w:lang w:val="es-EC"/>
        </w:rPr>
        <w:t>; de acuerdo con el Comité Internacional de la Cruz Roja, sin embargo, cerca de 30 país no han firmado aún los Protocolos Adicionales de 1977 relativos a la protección de las víctimas en los conflictos armados.</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Hay asimismo otros textos que prohíben el uso de ciertas armas y tácticas militares o que protegen a ciertas categorías de personas o de bienes. Son principalmente:</w:t>
      </w:r>
    </w:p>
    <w:p w:rsidR="00D739FA" w:rsidRPr="00516B96" w:rsidRDefault="00D739FA" w:rsidP="00D739FA">
      <w:pPr>
        <w:pStyle w:val="Prrafodelista"/>
        <w:numPr>
          <w:ilvl w:val="0"/>
          <w:numId w:val="1"/>
        </w:num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La Convención de la Haya de 1954 para la protección de los bienes culturales en caso de conflicto armado y sus dos Protocolos;</w:t>
      </w:r>
    </w:p>
    <w:p w:rsidR="00D739FA" w:rsidRPr="00516B96" w:rsidRDefault="00D739FA" w:rsidP="00D739FA">
      <w:pPr>
        <w:pStyle w:val="Prrafodelista"/>
        <w:numPr>
          <w:ilvl w:val="0"/>
          <w:numId w:val="1"/>
        </w:num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La Convención de 1972 sobre Armas Bacteriológicas</w:t>
      </w:r>
    </w:p>
    <w:p w:rsidR="00D739FA" w:rsidRPr="00516B96" w:rsidRDefault="00D739FA" w:rsidP="00D739FA">
      <w:pPr>
        <w:pStyle w:val="Prrafodelista"/>
        <w:numPr>
          <w:ilvl w:val="0"/>
          <w:numId w:val="1"/>
        </w:num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La Convención de 1980 sobre Ciertas Armas Convencionales y sus cinco Protocolos;</w:t>
      </w:r>
    </w:p>
    <w:p w:rsidR="00D739FA" w:rsidRPr="00516B96" w:rsidRDefault="00D739FA" w:rsidP="00D739FA">
      <w:pPr>
        <w:pStyle w:val="Prrafodelista"/>
        <w:numPr>
          <w:ilvl w:val="0"/>
          <w:numId w:val="1"/>
        </w:num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La Convención de 1993 sobre Armas Químicas;</w:t>
      </w:r>
    </w:p>
    <w:p w:rsidR="00D739FA" w:rsidRPr="00516B96" w:rsidRDefault="00D739FA" w:rsidP="00D739FA">
      <w:pPr>
        <w:pStyle w:val="Prrafodelista"/>
        <w:numPr>
          <w:ilvl w:val="0"/>
          <w:numId w:val="1"/>
        </w:num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El Tratado de Ottawa de 1997 sobre las Minas Antipersonal;</w:t>
      </w:r>
    </w:p>
    <w:p w:rsidR="00D739FA" w:rsidRPr="00516B96" w:rsidRDefault="00D739FA" w:rsidP="00D739FA">
      <w:pPr>
        <w:pStyle w:val="Prrafodelista"/>
        <w:numPr>
          <w:ilvl w:val="0"/>
          <w:numId w:val="1"/>
        </w:num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El Protocolo facultativo de la Convención sobre los Derechos del Niño relativo a la participación de niños en los conflictos armados.</w:t>
      </w:r>
    </w:p>
    <w:p w:rsidR="00D739FA" w:rsidRPr="00516B96" w:rsidRDefault="00D739FA" w:rsidP="00EF68CB">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Ahora se aceptan muc</w:t>
      </w:r>
      <w:r w:rsidR="00EF68CB" w:rsidRPr="00516B96">
        <w:rPr>
          <w:rFonts w:ascii="Times New Roman" w:hAnsi="Times New Roman" w:cs="Times New Roman"/>
          <w:sz w:val="24"/>
          <w:lang w:val="es-EC"/>
        </w:rPr>
        <w:t>has disposiciones del DIH como D</w:t>
      </w:r>
      <w:r w:rsidRPr="00516B96">
        <w:rPr>
          <w:rFonts w:ascii="Times New Roman" w:hAnsi="Times New Roman" w:cs="Times New Roman"/>
          <w:sz w:val="24"/>
          <w:lang w:val="es-EC"/>
        </w:rPr>
        <w:t xml:space="preserve">erecho </w:t>
      </w:r>
      <w:r w:rsidR="00EF68CB" w:rsidRPr="00516B96">
        <w:rPr>
          <w:rFonts w:ascii="Times New Roman" w:hAnsi="Times New Roman" w:cs="Times New Roman"/>
          <w:sz w:val="24"/>
          <w:lang w:val="es-EC"/>
        </w:rPr>
        <w:t>C</w:t>
      </w:r>
      <w:r w:rsidRPr="00516B96">
        <w:rPr>
          <w:rFonts w:ascii="Times New Roman" w:hAnsi="Times New Roman" w:cs="Times New Roman"/>
          <w:sz w:val="24"/>
          <w:lang w:val="es-EC"/>
        </w:rPr>
        <w:t>onsuetudinario, es decir, como normas generales aplicables a todos los Estados.</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El DIH sólo se aplica en caso de conflicto armado. No cubre las situaciones de tensiones internas ni de disturbios interiores, como son los actos aislados de violencia. Sólo es aplicable cuando se ha desencadenado un conflicto y se aplica por igual a todas las partes, sin tener en cuenta quien lo inició.</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 xml:space="preserve">El DIH distingue entre conflicto armado internacional y conflicto armado sin carácter internacional. En los </w:t>
      </w:r>
      <w:r w:rsidRPr="00516B96">
        <w:rPr>
          <w:rFonts w:ascii="Times New Roman" w:hAnsi="Times New Roman" w:cs="Times New Roman"/>
          <w:bCs/>
          <w:sz w:val="24"/>
          <w:lang w:val="es-EC"/>
        </w:rPr>
        <w:t>conflictos</w:t>
      </w:r>
      <w:r w:rsidRPr="00516B96">
        <w:rPr>
          <w:rFonts w:ascii="Times New Roman" w:hAnsi="Times New Roman" w:cs="Times New Roman"/>
          <w:b/>
          <w:bCs/>
          <w:sz w:val="24"/>
          <w:lang w:val="es-EC"/>
        </w:rPr>
        <w:t xml:space="preserve"> </w:t>
      </w:r>
      <w:r w:rsidRPr="00516B96">
        <w:rPr>
          <w:rFonts w:ascii="Times New Roman" w:hAnsi="Times New Roman" w:cs="Times New Roman"/>
          <w:bCs/>
          <w:sz w:val="24"/>
          <w:lang w:val="es-EC"/>
        </w:rPr>
        <w:t xml:space="preserve">armados internacionales </w:t>
      </w:r>
      <w:r w:rsidRPr="00516B96">
        <w:rPr>
          <w:rFonts w:ascii="Times New Roman" w:hAnsi="Times New Roman" w:cs="Times New Roman"/>
          <w:sz w:val="24"/>
          <w:lang w:val="es-EC"/>
        </w:rPr>
        <w:t>se enfrentan, como mínimo, dos Estados. En ellos se deben observar muchas normas, incluidas las que figuran en los Convenios de Ginebra y en el Protocolo adicional I.</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lastRenderedPageBreak/>
        <w:t>En los conflictos armados sin carácter internacional se enfrentan, en el territorio de un mismo Estado, las fuerzas armadas regulares y grupos armados disidentes, o grupos armados entre sí. En ellos se aplica una serie más limitada de normas, en particular las disposiciones del artículo 3</w:t>
      </w:r>
      <w:r w:rsidRPr="00516B96">
        <w:rPr>
          <w:rStyle w:val="Refdenotaalpie"/>
          <w:rFonts w:ascii="Times New Roman" w:hAnsi="Times New Roman" w:cs="Times New Roman"/>
          <w:sz w:val="24"/>
          <w:lang w:val="es-EC"/>
        </w:rPr>
        <w:footnoteReference w:id="1"/>
      </w:r>
      <w:r w:rsidRPr="00516B96">
        <w:rPr>
          <w:rFonts w:ascii="Times New Roman" w:hAnsi="Times New Roman" w:cs="Times New Roman"/>
          <w:sz w:val="24"/>
          <w:lang w:val="es-EC"/>
        </w:rPr>
        <w:t xml:space="preserve"> común a los cuatro Convenios de Ginebra y el Protocolo adicional II.</w:t>
      </w:r>
    </w:p>
    <w:p w:rsidR="00D739FA" w:rsidRPr="00516B96" w:rsidRDefault="00EF68CB"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Por otra parte, e</w:t>
      </w:r>
      <w:r w:rsidR="00D739FA" w:rsidRPr="00516B96">
        <w:rPr>
          <w:rFonts w:ascii="Times New Roman" w:hAnsi="Times New Roman" w:cs="Times New Roman"/>
          <w:sz w:val="24"/>
          <w:lang w:val="es-EC"/>
        </w:rPr>
        <w:t xml:space="preserve">s importante hacer la distinción </w:t>
      </w:r>
      <w:r w:rsidRPr="00516B96">
        <w:rPr>
          <w:rFonts w:ascii="Times New Roman" w:hAnsi="Times New Roman" w:cs="Times New Roman"/>
          <w:sz w:val="24"/>
          <w:lang w:val="es-EC"/>
        </w:rPr>
        <w:t>entre D</w:t>
      </w:r>
      <w:r w:rsidR="00D739FA" w:rsidRPr="00516B96">
        <w:rPr>
          <w:rFonts w:ascii="Times New Roman" w:hAnsi="Times New Roman" w:cs="Times New Roman"/>
          <w:sz w:val="24"/>
          <w:lang w:val="es-EC"/>
        </w:rPr>
        <w:t xml:space="preserve">erecho </w:t>
      </w:r>
      <w:r w:rsidRPr="00516B96">
        <w:rPr>
          <w:rFonts w:ascii="Times New Roman" w:hAnsi="Times New Roman" w:cs="Times New Roman"/>
          <w:sz w:val="24"/>
          <w:lang w:val="es-EC"/>
        </w:rPr>
        <w:t>I</w:t>
      </w:r>
      <w:r w:rsidR="00D739FA" w:rsidRPr="00516B96">
        <w:rPr>
          <w:rFonts w:ascii="Times New Roman" w:hAnsi="Times New Roman" w:cs="Times New Roman"/>
          <w:sz w:val="24"/>
          <w:lang w:val="es-EC"/>
        </w:rPr>
        <w:t xml:space="preserve">nternacional </w:t>
      </w:r>
      <w:r w:rsidRPr="00516B96">
        <w:rPr>
          <w:rFonts w:ascii="Times New Roman" w:hAnsi="Times New Roman" w:cs="Times New Roman"/>
          <w:sz w:val="24"/>
          <w:lang w:val="es-EC"/>
        </w:rPr>
        <w:t>H</w:t>
      </w:r>
      <w:r w:rsidR="00D739FA" w:rsidRPr="00516B96">
        <w:rPr>
          <w:rFonts w:ascii="Times New Roman" w:hAnsi="Times New Roman" w:cs="Times New Roman"/>
          <w:sz w:val="24"/>
          <w:lang w:val="es-EC"/>
        </w:rPr>
        <w:t xml:space="preserve">umanitario y derecho de los derechos humanos. Aunque algunas de sus normas son similares, estas </w:t>
      </w:r>
      <w:r w:rsidRPr="00516B96">
        <w:rPr>
          <w:rFonts w:ascii="Times New Roman" w:hAnsi="Times New Roman" w:cs="Times New Roman"/>
          <w:sz w:val="24"/>
          <w:lang w:val="es-EC"/>
        </w:rPr>
        <w:t>dos ramas del Derecho I</w:t>
      </w:r>
      <w:r w:rsidR="00D739FA" w:rsidRPr="00516B96">
        <w:rPr>
          <w:rFonts w:ascii="Times New Roman" w:hAnsi="Times New Roman" w:cs="Times New Roman"/>
          <w:sz w:val="24"/>
          <w:lang w:val="es-EC"/>
        </w:rPr>
        <w:t xml:space="preserve">nternacional se han desarrollado por separado y figuran en tratados diferentes. En particular, el </w:t>
      </w:r>
      <w:r w:rsidRPr="00516B96">
        <w:rPr>
          <w:rFonts w:ascii="Times New Roman" w:hAnsi="Times New Roman" w:cs="Times New Roman"/>
          <w:sz w:val="24"/>
          <w:lang w:val="es-EC"/>
        </w:rPr>
        <w:t>D</w:t>
      </w:r>
      <w:r w:rsidR="00D739FA" w:rsidRPr="00516B96">
        <w:rPr>
          <w:rFonts w:ascii="Times New Roman" w:hAnsi="Times New Roman" w:cs="Times New Roman"/>
          <w:sz w:val="24"/>
          <w:lang w:val="es-EC"/>
        </w:rPr>
        <w:t xml:space="preserve">erecho de los </w:t>
      </w:r>
      <w:r w:rsidRPr="00516B96">
        <w:rPr>
          <w:rFonts w:ascii="Times New Roman" w:hAnsi="Times New Roman" w:cs="Times New Roman"/>
          <w:sz w:val="24"/>
          <w:lang w:val="es-EC"/>
        </w:rPr>
        <w:t>D</w:t>
      </w:r>
      <w:r w:rsidR="00D739FA" w:rsidRPr="00516B96">
        <w:rPr>
          <w:rFonts w:ascii="Times New Roman" w:hAnsi="Times New Roman" w:cs="Times New Roman"/>
          <w:sz w:val="24"/>
          <w:lang w:val="es-EC"/>
        </w:rPr>
        <w:t xml:space="preserve">erechos </w:t>
      </w:r>
      <w:r w:rsidRPr="00516B96">
        <w:rPr>
          <w:rFonts w:ascii="Times New Roman" w:hAnsi="Times New Roman" w:cs="Times New Roman"/>
          <w:sz w:val="24"/>
          <w:lang w:val="es-EC"/>
        </w:rPr>
        <w:t>H</w:t>
      </w:r>
      <w:r w:rsidR="00D739FA" w:rsidRPr="00516B96">
        <w:rPr>
          <w:rFonts w:ascii="Times New Roman" w:hAnsi="Times New Roman" w:cs="Times New Roman"/>
          <w:sz w:val="24"/>
          <w:lang w:val="es-EC"/>
        </w:rPr>
        <w:t>umanos, a diferencia del DIH, es aplicable en tiempo de paz y muchas de sus disposiciones pueden ser suspendidas durante un conflicto armado.</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Por otro lado, el DIH cubre dos ámbitos: en primer lugar, la protección de las personas que no participan o que ya no participan en las hostilidades y finalmente, una serie de restricciones de los medios de guerra, especialmente las armas, y de los métodos de guerra</w:t>
      </w:r>
      <w:r w:rsidRPr="00516B96">
        <w:rPr>
          <w:rFonts w:ascii="Times New Roman" w:hAnsi="Times New Roman" w:cs="Times New Roman"/>
          <w:i/>
          <w:iCs/>
          <w:sz w:val="24"/>
          <w:lang w:val="es-EC"/>
        </w:rPr>
        <w:t xml:space="preserve">, </w:t>
      </w:r>
      <w:r w:rsidRPr="00516B96">
        <w:rPr>
          <w:rFonts w:ascii="Times New Roman" w:hAnsi="Times New Roman" w:cs="Times New Roman"/>
          <w:sz w:val="24"/>
          <w:lang w:val="es-EC"/>
        </w:rPr>
        <w:t>como son ciertas tácticas militares.</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El DIH protege a las personas que no toman parte en las hostilidades, como son los civiles y el personal médico y religioso. Protege asimismo a las personas que ya no participan en los combates, por ejemplo, los combatientes heridos o enfermos, los náufragos y los prisioneros de guerra. Esas personas tienen derecho a que se respete su vida y su integridad física y moral, y se benefician de garantías judiciales. Serán, en todas las circunstancias, protegidas y tratadas con humanidad, sin distinción alguna de índole desfavorable.</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lastRenderedPageBreak/>
        <w:t xml:space="preserve">En particular, está prohibido matar o herir a un adversario que haya depuesto las armas o que esté fuera de combate. Los heridos y los enfermos serán recogidos y asistidos por la parte beligerante en cuyo poder estén. Se respetarán el personal y el material médico, los hospitales y las ambulancias. </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 xml:space="preserve">Normas específicas regulan asimismo las condiciones de detención de los prisioneros de guerra y el trato debido a los civiles que se hallan bajo la autoridad de la parte adversa, lo que incluye, en particular, su mantenimiento, atención médica y el derecho a corresponder con sus familiares. </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El DIH prevé, asimismo, algunos signos distintivos que se pueden emplear para identificar a las personas, los bienes y los lugares protegidos. Se trata principalmente de los emblemas de la cruz roja y de la media luna roja, así como los signos distintivos específicos de los bienes culturales y de la protección civil.</w:t>
      </w:r>
    </w:p>
    <w:p w:rsidR="00D739FA" w:rsidRPr="00516B96" w:rsidRDefault="00EF68CB"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Además,</w:t>
      </w:r>
      <w:r w:rsidR="00D739FA" w:rsidRPr="00516B96">
        <w:rPr>
          <w:rFonts w:ascii="Times New Roman" w:hAnsi="Times New Roman" w:cs="Times New Roman"/>
          <w:sz w:val="24"/>
          <w:lang w:val="es-EC"/>
        </w:rPr>
        <w:t xml:space="preserve"> el DIH prohíbe, entre otras cosas, los medios y los métodos militares que no distinguen entre las personas que participan en los combates y las personas que no toman parte en los combates, a fin de respetar la vida de la población civil, de las personas civiles y los bienes civiles; causan daños superfluos o sufrimientos innecesarios; y a los que causan daños graves y duraderos al medio ambiente.</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El DIH ha prohibido, pues, el uso de muchas armas, incluidas las balas explosivas, las armas químicas y biológicas, las armas láser que causan ceguera y las minas antipersonal.</w:t>
      </w:r>
    </w:p>
    <w:p w:rsidR="00D739FA" w:rsidRPr="00516B96" w:rsidRDefault="00D739FA" w:rsidP="00D739FA">
      <w:pPr>
        <w:spacing w:line="360" w:lineRule="auto"/>
        <w:jc w:val="both"/>
        <w:rPr>
          <w:rFonts w:ascii="Times New Roman" w:hAnsi="Times New Roman" w:cs="Times New Roman"/>
          <w:sz w:val="24"/>
          <w:u w:val="single"/>
        </w:rPr>
      </w:pPr>
      <w:r w:rsidRPr="00516B96">
        <w:rPr>
          <w:rFonts w:ascii="Times New Roman" w:hAnsi="Times New Roman" w:cs="Times New Roman"/>
          <w:sz w:val="24"/>
        </w:rPr>
        <w:t>I.V.</w:t>
      </w:r>
      <w:r w:rsidRPr="00516B96">
        <w:rPr>
          <w:rFonts w:ascii="Times New Roman" w:hAnsi="Times New Roman" w:cs="Times New Roman"/>
          <w:sz w:val="24"/>
        </w:rPr>
        <w:tab/>
      </w:r>
      <w:r w:rsidRPr="00516B96">
        <w:rPr>
          <w:rFonts w:ascii="Times New Roman" w:hAnsi="Times New Roman" w:cs="Times New Roman"/>
          <w:sz w:val="24"/>
          <w:u w:val="single"/>
        </w:rPr>
        <w:t>Principios del Derecho Internacional Humanitario</w:t>
      </w:r>
    </w:p>
    <w:p w:rsidR="00D739FA" w:rsidRPr="00516B96" w:rsidRDefault="001A0A85" w:rsidP="00D739FA">
      <w:pPr>
        <w:spacing w:line="360" w:lineRule="auto"/>
        <w:jc w:val="both"/>
        <w:rPr>
          <w:rFonts w:ascii="Times New Roman" w:hAnsi="Times New Roman" w:cs="Times New Roman"/>
          <w:sz w:val="24"/>
        </w:rPr>
      </w:pPr>
      <w:r>
        <w:rPr>
          <w:rFonts w:ascii="Times New Roman" w:hAnsi="Times New Roman" w:cs="Times New Roman"/>
          <w:sz w:val="24"/>
        </w:rPr>
        <w:t>El Comité Internacional de la Cruz Roja de España (2000) desarrolló l</w:t>
      </w:r>
      <w:r w:rsidR="00D739FA" w:rsidRPr="00516B96">
        <w:rPr>
          <w:rFonts w:ascii="Times New Roman" w:hAnsi="Times New Roman" w:cs="Times New Roman"/>
          <w:sz w:val="24"/>
        </w:rPr>
        <w:t xml:space="preserve">os Principios generales del Derecho Internacional Humanitario </w:t>
      </w:r>
      <w:r>
        <w:rPr>
          <w:rFonts w:ascii="Times New Roman" w:hAnsi="Times New Roman" w:cs="Times New Roman"/>
          <w:sz w:val="24"/>
        </w:rPr>
        <w:t xml:space="preserve">los cuales </w:t>
      </w:r>
      <w:r w:rsidR="00D739FA" w:rsidRPr="00516B96">
        <w:rPr>
          <w:rFonts w:ascii="Times New Roman" w:hAnsi="Times New Roman" w:cs="Times New Roman"/>
          <w:sz w:val="24"/>
        </w:rPr>
        <w:t>representan el mínimo de humanidad aplicable en todo tiempo, lugar y circunstancia y sirven, fundamentalmente, para interpretar las normas aplicables en los conflictos armados.</w:t>
      </w:r>
    </w:p>
    <w:p w:rsidR="00D739FA" w:rsidRPr="00516B96" w:rsidRDefault="00D739FA" w:rsidP="00D739FA">
      <w:pPr>
        <w:spacing w:line="360" w:lineRule="auto"/>
        <w:jc w:val="both"/>
        <w:rPr>
          <w:rFonts w:ascii="Times New Roman" w:hAnsi="Times New Roman" w:cs="Times New Roman"/>
          <w:sz w:val="24"/>
        </w:rPr>
      </w:pPr>
      <w:r w:rsidRPr="00516B96">
        <w:rPr>
          <w:rFonts w:ascii="Times New Roman" w:hAnsi="Times New Roman" w:cs="Times New Roman"/>
          <w:b/>
          <w:sz w:val="24"/>
        </w:rPr>
        <w:t xml:space="preserve">Principio de Humanidad.- </w:t>
      </w:r>
      <w:r w:rsidRPr="00516B96">
        <w:rPr>
          <w:rFonts w:ascii="Times New Roman" w:hAnsi="Times New Roman" w:cs="Times New Roman"/>
          <w:sz w:val="24"/>
        </w:rPr>
        <w:t xml:space="preserve">Se debe tratar con humanidad a todas aquellas personas que no participen en las hostilidades (incluso miembros de las Fuerzas armadas que hayan depuesto las armas y las personas que hayan quedado fuera de combate por enfermedad, herida, detención o cualquier otra causa). </w:t>
      </w:r>
    </w:p>
    <w:p w:rsidR="00D739FA" w:rsidRPr="00516B96" w:rsidRDefault="00D739FA" w:rsidP="00D739FA">
      <w:pPr>
        <w:spacing w:line="360" w:lineRule="auto"/>
        <w:jc w:val="both"/>
        <w:rPr>
          <w:rFonts w:ascii="Times New Roman" w:hAnsi="Times New Roman" w:cs="Times New Roman"/>
          <w:sz w:val="24"/>
        </w:rPr>
      </w:pPr>
      <w:r w:rsidRPr="00516B96">
        <w:rPr>
          <w:rFonts w:ascii="Times New Roman" w:hAnsi="Times New Roman" w:cs="Times New Roman"/>
          <w:b/>
          <w:sz w:val="24"/>
        </w:rPr>
        <w:lastRenderedPageBreak/>
        <w:t xml:space="preserve">Principio de Igualdad entre los Beligerantes.- </w:t>
      </w:r>
      <w:r w:rsidRPr="00516B96">
        <w:rPr>
          <w:rFonts w:ascii="Times New Roman" w:hAnsi="Times New Roman" w:cs="Times New Roman"/>
          <w:sz w:val="24"/>
        </w:rPr>
        <w:t xml:space="preserve">La aplicación del DIH no afecta al estatuto de las partes en conflicto, ya que el </w:t>
      </w:r>
      <w:proofErr w:type="spellStart"/>
      <w:r w:rsidRPr="00516B96">
        <w:rPr>
          <w:rFonts w:ascii="Times New Roman" w:hAnsi="Times New Roman" w:cs="Times New Roman"/>
          <w:i/>
          <w:sz w:val="24"/>
        </w:rPr>
        <w:t>ius</w:t>
      </w:r>
      <w:proofErr w:type="spellEnd"/>
      <w:r w:rsidRPr="00516B96">
        <w:rPr>
          <w:rFonts w:ascii="Times New Roman" w:hAnsi="Times New Roman" w:cs="Times New Roman"/>
          <w:i/>
          <w:sz w:val="24"/>
        </w:rPr>
        <w:t xml:space="preserve"> in bello</w:t>
      </w:r>
      <w:r w:rsidRPr="00516B96">
        <w:rPr>
          <w:rFonts w:ascii="Times New Roman" w:hAnsi="Times New Roman" w:cs="Times New Roman"/>
          <w:sz w:val="24"/>
        </w:rPr>
        <w:t xml:space="preserve"> es independiente del </w:t>
      </w:r>
      <w:proofErr w:type="spellStart"/>
      <w:r w:rsidRPr="00516B96">
        <w:rPr>
          <w:rFonts w:ascii="Times New Roman" w:hAnsi="Times New Roman" w:cs="Times New Roman"/>
          <w:i/>
          <w:sz w:val="24"/>
        </w:rPr>
        <w:t>ius</w:t>
      </w:r>
      <w:proofErr w:type="spellEnd"/>
      <w:r w:rsidRPr="00516B96">
        <w:rPr>
          <w:rFonts w:ascii="Times New Roman" w:hAnsi="Times New Roman" w:cs="Times New Roman"/>
          <w:i/>
          <w:sz w:val="24"/>
        </w:rPr>
        <w:t xml:space="preserve"> ad </w:t>
      </w:r>
      <w:proofErr w:type="spellStart"/>
      <w:r w:rsidRPr="00516B96">
        <w:rPr>
          <w:rFonts w:ascii="Times New Roman" w:hAnsi="Times New Roman" w:cs="Times New Roman"/>
          <w:i/>
          <w:sz w:val="24"/>
        </w:rPr>
        <w:t>bellum</w:t>
      </w:r>
      <w:proofErr w:type="spellEnd"/>
      <w:r w:rsidRPr="00516B96">
        <w:rPr>
          <w:rFonts w:ascii="Times New Roman" w:hAnsi="Times New Roman" w:cs="Times New Roman"/>
          <w:sz w:val="24"/>
        </w:rPr>
        <w:t>, de forma que una vez iniciado un conflicto armado se aplica de forma indiscriminada a todas las partes enfrentadas.</w:t>
      </w:r>
    </w:p>
    <w:p w:rsidR="00D739FA" w:rsidRPr="00516B96" w:rsidRDefault="00D739FA" w:rsidP="00D739FA">
      <w:pPr>
        <w:spacing w:line="360" w:lineRule="auto"/>
        <w:jc w:val="both"/>
        <w:rPr>
          <w:rFonts w:ascii="Times New Roman" w:hAnsi="Times New Roman" w:cs="Times New Roman"/>
          <w:sz w:val="24"/>
        </w:rPr>
      </w:pPr>
      <w:r w:rsidRPr="00516B96">
        <w:rPr>
          <w:rFonts w:ascii="Times New Roman" w:hAnsi="Times New Roman" w:cs="Times New Roman"/>
          <w:b/>
          <w:sz w:val="24"/>
        </w:rPr>
        <w:t xml:space="preserve">Principio de Necesidad Militar.- </w:t>
      </w:r>
      <w:r w:rsidRPr="00516B96">
        <w:rPr>
          <w:rFonts w:ascii="Times New Roman" w:hAnsi="Times New Roman" w:cs="Times New Roman"/>
          <w:sz w:val="24"/>
        </w:rPr>
        <w:t xml:space="preserve">El DIH establece un delicado equilibrio entre las necesidades de la guerra y los condicionamientos humanitarios, de forma que no se deben causar al adversario males desproporcionados en relación con el objetivo del conflicto armado, que es vencer al enemigo. Supone optar por el mal menor para no causar a la parte adversa mayor violencia que la exigida por el desarrollo de las hostilidades. </w:t>
      </w:r>
    </w:p>
    <w:p w:rsidR="00D739FA" w:rsidRPr="00516B96" w:rsidRDefault="00D739FA" w:rsidP="00D739FA">
      <w:pPr>
        <w:spacing w:line="360" w:lineRule="auto"/>
        <w:jc w:val="both"/>
        <w:rPr>
          <w:rFonts w:ascii="Times New Roman" w:hAnsi="Times New Roman" w:cs="Times New Roman"/>
          <w:sz w:val="24"/>
        </w:rPr>
      </w:pPr>
      <w:r w:rsidRPr="00516B96">
        <w:rPr>
          <w:rFonts w:ascii="Times New Roman" w:hAnsi="Times New Roman" w:cs="Times New Roman"/>
          <w:b/>
          <w:sz w:val="24"/>
        </w:rPr>
        <w:t xml:space="preserve">Principio de no Discriminación.- </w:t>
      </w:r>
      <w:r w:rsidRPr="00516B96">
        <w:rPr>
          <w:rFonts w:ascii="Times New Roman" w:hAnsi="Times New Roman" w:cs="Times New Roman"/>
          <w:sz w:val="24"/>
        </w:rPr>
        <w:t xml:space="preserve">Se prohíbe toda distinción desfavorable en la aplicación del DIH por razones de raza, color, sexo, lenguaje, religión o creencias, opiniones políticas o de otro género, nacionalidad u origen social, fortuna, nacimiento u otra condición o cualesquiera otros criterios análogos. No obstante, puede haber diferencias de trato, en beneficio de determinadas personas, con el fin de solucionar las desigualdades derivadas de su situación, necesidades o desamparo. </w:t>
      </w:r>
    </w:p>
    <w:p w:rsidR="00D739FA" w:rsidRPr="00516B96" w:rsidRDefault="00D739FA" w:rsidP="00D739FA">
      <w:pPr>
        <w:spacing w:line="360" w:lineRule="auto"/>
        <w:jc w:val="both"/>
        <w:rPr>
          <w:rFonts w:ascii="Times New Roman" w:hAnsi="Times New Roman" w:cs="Times New Roman"/>
          <w:sz w:val="24"/>
        </w:rPr>
      </w:pPr>
      <w:r w:rsidRPr="00516B96">
        <w:rPr>
          <w:rFonts w:ascii="Times New Roman" w:hAnsi="Times New Roman" w:cs="Times New Roman"/>
          <w:b/>
          <w:sz w:val="24"/>
        </w:rPr>
        <w:t xml:space="preserve">Principio del Derecho de Ginebra.- </w:t>
      </w:r>
      <w:r w:rsidRPr="00516B96">
        <w:rPr>
          <w:rFonts w:ascii="Times New Roman" w:hAnsi="Times New Roman" w:cs="Times New Roman"/>
          <w:sz w:val="24"/>
        </w:rPr>
        <w:t>Las personas fuera de combate y las personas civiles que no participan directamente en las hostilidades deben ser</w:t>
      </w:r>
      <w:r w:rsidR="00D36AA4" w:rsidRPr="00516B96">
        <w:rPr>
          <w:rFonts w:ascii="Times New Roman" w:hAnsi="Times New Roman" w:cs="Times New Roman"/>
          <w:sz w:val="24"/>
        </w:rPr>
        <w:t xml:space="preserve"> </w:t>
      </w:r>
      <w:proofErr w:type="gramStart"/>
      <w:r w:rsidRPr="00516B96">
        <w:rPr>
          <w:rFonts w:ascii="Times New Roman" w:hAnsi="Times New Roman" w:cs="Times New Roman"/>
          <w:sz w:val="24"/>
        </w:rPr>
        <w:t>respetadas</w:t>
      </w:r>
      <w:proofErr w:type="gramEnd"/>
      <w:r w:rsidRPr="00516B96">
        <w:rPr>
          <w:rFonts w:ascii="Times New Roman" w:hAnsi="Times New Roman" w:cs="Times New Roman"/>
          <w:sz w:val="24"/>
        </w:rPr>
        <w:t xml:space="preserve">, protegidas y tratadas con humanidad. Se refiere este principio a los heridos, enfermos, náufragos, prisioneros de guerra y población civil, víctimas de los conflictos armados. </w:t>
      </w:r>
    </w:p>
    <w:p w:rsidR="00D739FA" w:rsidRPr="00516B96" w:rsidRDefault="00D739FA" w:rsidP="00D739FA">
      <w:pPr>
        <w:spacing w:line="360" w:lineRule="auto"/>
        <w:jc w:val="both"/>
        <w:rPr>
          <w:rFonts w:ascii="Times New Roman" w:hAnsi="Times New Roman" w:cs="Times New Roman"/>
          <w:sz w:val="24"/>
        </w:rPr>
      </w:pPr>
      <w:r w:rsidRPr="00516B96">
        <w:rPr>
          <w:rFonts w:ascii="Times New Roman" w:hAnsi="Times New Roman" w:cs="Times New Roman"/>
          <w:b/>
          <w:sz w:val="24"/>
        </w:rPr>
        <w:t xml:space="preserve">Principio de Inmunidad.- </w:t>
      </w:r>
      <w:r w:rsidRPr="00516B96">
        <w:rPr>
          <w:rFonts w:ascii="Times New Roman" w:hAnsi="Times New Roman" w:cs="Times New Roman"/>
          <w:sz w:val="24"/>
        </w:rPr>
        <w:t xml:space="preserve">Las personas civiles y la población civil gozarán de la protección general contra los peligros que procedan de las acciones militares. No serán objeto de ataques la población civil como tal ni las personas civiles que no participen en las hostilidades. Se prohíben las represalias contra personas y bienes protegidos por el DIH. </w:t>
      </w:r>
    </w:p>
    <w:p w:rsidR="00D739FA" w:rsidRPr="00516B96" w:rsidRDefault="00D739FA" w:rsidP="00D739FA">
      <w:pPr>
        <w:spacing w:line="360" w:lineRule="auto"/>
        <w:jc w:val="both"/>
        <w:rPr>
          <w:rFonts w:ascii="Times New Roman" w:hAnsi="Times New Roman" w:cs="Times New Roman"/>
          <w:sz w:val="24"/>
        </w:rPr>
      </w:pPr>
      <w:r w:rsidRPr="00516B96">
        <w:rPr>
          <w:rFonts w:ascii="Times New Roman" w:hAnsi="Times New Roman" w:cs="Times New Roman"/>
          <w:b/>
          <w:sz w:val="24"/>
        </w:rPr>
        <w:t xml:space="preserve">Principio de Prioridad Humanitaria.- </w:t>
      </w:r>
      <w:r w:rsidRPr="00516B96">
        <w:rPr>
          <w:rFonts w:ascii="Times New Roman" w:hAnsi="Times New Roman" w:cs="Times New Roman"/>
          <w:sz w:val="24"/>
        </w:rPr>
        <w:t xml:space="preserve">En los supuestos de duda se debe conceder prioridad a los intereses de las víctimas sobre otras necesidades derivadas del desarrollo del conflicto armado. Las normas de DIH han sido elaboradas para garantizar la protección de los que sufren las consecuencias de la guerra y deben ser interpretadas de la forma más favorable a la defensa de sus intereses. </w:t>
      </w:r>
    </w:p>
    <w:p w:rsidR="00D739FA" w:rsidRPr="00516B96" w:rsidRDefault="00D739FA" w:rsidP="00D739FA">
      <w:pPr>
        <w:spacing w:line="360" w:lineRule="auto"/>
        <w:jc w:val="both"/>
        <w:rPr>
          <w:rFonts w:ascii="Times New Roman" w:hAnsi="Times New Roman" w:cs="Times New Roman"/>
          <w:sz w:val="24"/>
        </w:rPr>
      </w:pPr>
      <w:r w:rsidRPr="00516B96">
        <w:rPr>
          <w:rFonts w:ascii="Times New Roman" w:hAnsi="Times New Roman" w:cs="Times New Roman"/>
          <w:b/>
          <w:sz w:val="24"/>
        </w:rPr>
        <w:lastRenderedPageBreak/>
        <w:t xml:space="preserve">Principio de Distinción.- </w:t>
      </w:r>
      <w:r w:rsidRPr="00516B96">
        <w:rPr>
          <w:rFonts w:ascii="Times New Roman" w:hAnsi="Times New Roman" w:cs="Times New Roman"/>
          <w:sz w:val="24"/>
        </w:rPr>
        <w:t xml:space="preserve">Las partes en conflicto deben distinguir en todo momento entre la población y los combatientes. Los ataques deben ser dirigidos únicamente contra los combatientes y no contra la población civil. Se hará también distinción entre los bienes civiles y los objetivos militares. Los ataques no pueden ser dirigidos contra los bienes civiles. </w:t>
      </w:r>
    </w:p>
    <w:p w:rsidR="00D739FA" w:rsidRPr="00516B96" w:rsidRDefault="00D739FA" w:rsidP="00D739FA">
      <w:pPr>
        <w:spacing w:line="360" w:lineRule="auto"/>
        <w:jc w:val="both"/>
        <w:rPr>
          <w:rFonts w:ascii="Times New Roman" w:hAnsi="Times New Roman" w:cs="Times New Roman"/>
          <w:sz w:val="24"/>
        </w:rPr>
      </w:pPr>
      <w:r w:rsidRPr="00516B96">
        <w:rPr>
          <w:rFonts w:ascii="Times New Roman" w:hAnsi="Times New Roman" w:cs="Times New Roman"/>
          <w:b/>
          <w:sz w:val="24"/>
        </w:rPr>
        <w:t xml:space="preserve">Principio de Proporcionalidad.- </w:t>
      </w:r>
      <w:r w:rsidRPr="00516B96">
        <w:rPr>
          <w:rFonts w:ascii="Times New Roman" w:hAnsi="Times New Roman" w:cs="Times New Roman"/>
          <w:sz w:val="24"/>
        </w:rPr>
        <w:t xml:space="preserve">Se prohíben las armas y los métodos que causen a las personas civiles y a sus bienes daños excesivos con respecto a la ventaja militar concreta y directa prevista. Así, se prohíbe lanzar ataques cuando sea de prever que causarán incidentalmente muertos y heridos entra la población civil, o daños a bienes de carácter civil, o ambas cosas, que serían excesivos en relación con la ventaja militar prevista. </w:t>
      </w:r>
    </w:p>
    <w:p w:rsidR="00D739FA" w:rsidRPr="00516B96" w:rsidRDefault="00D739FA" w:rsidP="00D739FA">
      <w:pPr>
        <w:spacing w:line="360" w:lineRule="auto"/>
        <w:jc w:val="both"/>
        <w:rPr>
          <w:rFonts w:ascii="Times New Roman" w:hAnsi="Times New Roman" w:cs="Times New Roman"/>
          <w:sz w:val="24"/>
        </w:rPr>
      </w:pPr>
      <w:r w:rsidRPr="00516B96">
        <w:rPr>
          <w:rFonts w:ascii="Times New Roman" w:hAnsi="Times New Roman" w:cs="Times New Roman"/>
          <w:b/>
          <w:sz w:val="24"/>
        </w:rPr>
        <w:t xml:space="preserve">Principio de Limitación de la Acción Hostil.- </w:t>
      </w:r>
      <w:r w:rsidRPr="00516B96">
        <w:rPr>
          <w:rFonts w:ascii="Times New Roman" w:hAnsi="Times New Roman" w:cs="Times New Roman"/>
          <w:sz w:val="24"/>
        </w:rPr>
        <w:t>No es ilimitado el derecho de las partes en conflicto a elegir los medios y modos de combatir contra la aparte adversa. De manera que existen medios (armas) lícitos e ilícitos y formas de emplearlos (modos) permitidos o contrarios al DIH.</w:t>
      </w:r>
    </w:p>
    <w:p w:rsidR="00D739FA" w:rsidRPr="00516B96" w:rsidRDefault="00D739FA" w:rsidP="00D739FA">
      <w:pPr>
        <w:spacing w:line="360" w:lineRule="auto"/>
        <w:jc w:val="both"/>
        <w:rPr>
          <w:rFonts w:ascii="Times New Roman" w:hAnsi="Times New Roman" w:cs="Times New Roman"/>
          <w:sz w:val="24"/>
          <w:u w:val="single"/>
        </w:rPr>
      </w:pPr>
      <w:r w:rsidRPr="00516B96">
        <w:rPr>
          <w:rFonts w:ascii="Times New Roman" w:hAnsi="Times New Roman" w:cs="Times New Roman"/>
          <w:sz w:val="24"/>
        </w:rPr>
        <w:t>I. VI.</w:t>
      </w:r>
      <w:r w:rsidRPr="00516B96">
        <w:rPr>
          <w:rFonts w:ascii="Times New Roman" w:hAnsi="Times New Roman" w:cs="Times New Roman"/>
          <w:sz w:val="24"/>
        </w:rPr>
        <w:tab/>
      </w:r>
      <w:r w:rsidRPr="00516B96">
        <w:rPr>
          <w:rFonts w:ascii="Times New Roman" w:hAnsi="Times New Roman" w:cs="Times New Roman"/>
          <w:sz w:val="24"/>
          <w:u w:val="single"/>
        </w:rPr>
        <w:t>El Derecho Internacional Humanitario Consuetudinario</w:t>
      </w:r>
    </w:p>
    <w:p w:rsidR="00D739FA" w:rsidRPr="00516B96" w:rsidRDefault="00D36AA4" w:rsidP="00D739FA">
      <w:pPr>
        <w:spacing w:line="360" w:lineRule="auto"/>
        <w:jc w:val="both"/>
        <w:rPr>
          <w:rFonts w:ascii="Times New Roman" w:hAnsi="Times New Roman" w:cs="Times New Roman"/>
          <w:sz w:val="24"/>
        </w:rPr>
      </w:pPr>
      <w:r w:rsidRPr="00516B96">
        <w:rPr>
          <w:rFonts w:ascii="Times New Roman" w:hAnsi="Times New Roman" w:cs="Times New Roman"/>
          <w:sz w:val="24"/>
        </w:rPr>
        <w:t>El D</w:t>
      </w:r>
      <w:r w:rsidR="00D739FA" w:rsidRPr="00516B96">
        <w:rPr>
          <w:rFonts w:ascii="Times New Roman" w:hAnsi="Times New Roman" w:cs="Times New Roman"/>
          <w:sz w:val="24"/>
        </w:rPr>
        <w:t xml:space="preserve">erecho </w:t>
      </w:r>
      <w:r w:rsidRPr="00516B96">
        <w:rPr>
          <w:rFonts w:ascii="Times New Roman" w:hAnsi="Times New Roman" w:cs="Times New Roman"/>
          <w:sz w:val="24"/>
        </w:rPr>
        <w:t>I</w:t>
      </w:r>
      <w:r w:rsidR="00D739FA" w:rsidRPr="00516B96">
        <w:rPr>
          <w:rFonts w:ascii="Times New Roman" w:hAnsi="Times New Roman" w:cs="Times New Roman"/>
          <w:sz w:val="24"/>
        </w:rPr>
        <w:t xml:space="preserve">nternacional </w:t>
      </w:r>
      <w:r w:rsidRPr="00516B96">
        <w:rPr>
          <w:rFonts w:ascii="Times New Roman" w:hAnsi="Times New Roman" w:cs="Times New Roman"/>
          <w:sz w:val="24"/>
        </w:rPr>
        <w:t>C</w:t>
      </w:r>
      <w:r w:rsidR="00D739FA" w:rsidRPr="00516B96">
        <w:rPr>
          <w:rFonts w:ascii="Times New Roman" w:hAnsi="Times New Roman" w:cs="Times New Roman"/>
          <w:sz w:val="24"/>
        </w:rPr>
        <w:t xml:space="preserve">onsuetudinario está compuesto por normas que resultan de "una práctica general aceptada como derecho", cuya existencia es independiente del </w:t>
      </w:r>
      <w:r w:rsidRPr="00516B96">
        <w:rPr>
          <w:rFonts w:ascii="Times New Roman" w:hAnsi="Times New Roman" w:cs="Times New Roman"/>
          <w:sz w:val="24"/>
        </w:rPr>
        <w:t>D</w:t>
      </w:r>
      <w:r w:rsidR="00D739FA" w:rsidRPr="00516B96">
        <w:rPr>
          <w:rFonts w:ascii="Times New Roman" w:hAnsi="Times New Roman" w:cs="Times New Roman"/>
          <w:sz w:val="24"/>
        </w:rPr>
        <w:t xml:space="preserve">erecho </w:t>
      </w:r>
      <w:r w:rsidRPr="00516B96">
        <w:rPr>
          <w:rFonts w:ascii="Times New Roman" w:hAnsi="Times New Roman" w:cs="Times New Roman"/>
          <w:sz w:val="24"/>
        </w:rPr>
        <w:t>Convencional. El D</w:t>
      </w:r>
      <w:r w:rsidR="00D739FA" w:rsidRPr="00516B96">
        <w:rPr>
          <w:rFonts w:ascii="Times New Roman" w:hAnsi="Times New Roman" w:cs="Times New Roman"/>
          <w:sz w:val="24"/>
        </w:rPr>
        <w:t xml:space="preserve">erecho </w:t>
      </w:r>
      <w:r w:rsidRPr="00516B96">
        <w:rPr>
          <w:rFonts w:ascii="Times New Roman" w:hAnsi="Times New Roman" w:cs="Times New Roman"/>
          <w:sz w:val="24"/>
        </w:rPr>
        <w:t>I</w:t>
      </w:r>
      <w:r w:rsidR="00D739FA" w:rsidRPr="00516B96">
        <w:rPr>
          <w:rFonts w:ascii="Times New Roman" w:hAnsi="Times New Roman" w:cs="Times New Roman"/>
          <w:sz w:val="24"/>
        </w:rPr>
        <w:t xml:space="preserve">nternacional </w:t>
      </w:r>
      <w:r w:rsidRPr="00516B96">
        <w:rPr>
          <w:rFonts w:ascii="Times New Roman" w:hAnsi="Times New Roman" w:cs="Times New Roman"/>
          <w:sz w:val="24"/>
        </w:rPr>
        <w:t>H</w:t>
      </w:r>
      <w:r w:rsidR="00D739FA" w:rsidRPr="00516B96">
        <w:rPr>
          <w:rFonts w:ascii="Times New Roman" w:hAnsi="Times New Roman" w:cs="Times New Roman"/>
          <w:sz w:val="24"/>
        </w:rPr>
        <w:t xml:space="preserve">umanitario </w:t>
      </w:r>
      <w:r w:rsidRPr="00516B96">
        <w:rPr>
          <w:rFonts w:ascii="Times New Roman" w:hAnsi="Times New Roman" w:cs="Times New Roman"/>
          <w:sz w:val="24"/>
        </w:rPr>
        <w:t>C</w:t>
      </w:r>
      <w:r w:rsidR="00D739FA" w:rsidRPr="00516B96">
        <w:rPr>
          <w:rFonts w:ascii="Times New Roman" w:hAnsi="Times New Roman" w:cs="Times New Roman"/>
          <w:sz w:val="24"/>
        </w:rPr>
        <w:t>onsuetudinario (DIH consuetudinario) reviste una importancia fundamental en los conflictos armados contemporáneos</w:t>
      </w:r>
      <w:r w:rsidRPr="00516B96">
        <w:rPr>
          <w:rFonts w:ascii="Times New Roman" w:hAnsi="Times New Roman" w:cs="Times New Roman"/>
          <w:sz w:val="24"/>
        </w:rPr>
        <w:t>, porque llena las lagunas del Derecho C</w:t>
      </w:r>
      <w:r w:rsidR="00D739FA" w:rsidRPr="00516B96">
        <w:rPr>
          <w:rFonts w:ascii="Times New Roman" w:hAnsi="Times New Roman" w:cs="Times New Roman"/>
          <w:sz w:val="24"/>
        </w:rPr>
        <w:t>onvencional tanto en lo que respecta a los conflictos armados internacionales como no internacionales, por lo que fortalece de ese modo la protección de las víctimas.</w:t>
      </w:r>
    </w:p>
    <w:p w:rsidR="00D739FA" w:rsidRPr="00516B96" w:rsidRDefault="00D739FA" w:rsidP="00D739FA">
      <w:pPr>
        <w:spacing w:line="360" w:lineRule="auto"/>
        <w:jc w:val="both"/>
        <w:rPr>
          <w:rFonts w:ascii="Times New Roman" w:hAnsi="Times New Roman" w:cs="Times New Roman"/>
          <w:sz w:val="24"/>
        </w:rPr>
      </w:pPr>
      <w:r w:rsidRPr="00516B96">
        <w:rPr>
          <w:rFonts w:ascii="Times New Roman" w:hAnsi="Times New Roman" w:cs="Times New Roman"/>
          <w:sz w:val="24"/>
        </w:rPr>
        <w:t xml:space="preserve">En la publicación titulada </w:t>
      </w:r>
      <w:r w:rsidRPr="00516B96">
        <w:rPr>
          <w:rFonts w:ascii="Times New Roman" w:hAnsi="Times New Roman" w:cs="Times New Roman"/>
          <w:i/>
          <w:sz w:val="24"/>
        </w:rPr>
        <w:t>Estudio sobre el Derecho Internacional Humanitario Consuetudinario</w:t>
      </w:r>
      <w:r w:rsidRPr="00516B96">
        <w:rPr>
          <w:rFonts w:ascii="Times New Roman" w:hAnsi="Times New Roman" w:cs="Times New Roman"/>
          <w:sz w:val="24"/>
        </w:rPr>
        <w:t xml:space="preserve">, el autor, J. M. </w:t>
      </w:r>
      <w:proofErr w:type="spellStart"/>
      <w:r w:rsidRPr="00516B96">
        <w:rPr>
          <w:rFonts w:ascii="Times New Roman" w:hAnsi="Times New Roman" w:cs="Times New Roman"/>
          <w:sz w:val="24"/>
        </w:rPr>
        <w:t>Henckaerts</w:t>
      </w:r>
      <w:proofErr w:type="spellEnd"/>
      <w:r w:rsidRPr="00516B96">
        <w:rPr>
          <w:rFonts w:ascii="Times New Roman" w:hAnsi="Times New Roman" w:cs="Times New Roman"/>
          <w:sz w:val="24"/>
        </w:rPr>
        <w:t xml:space="preserve"> realiza un listado de las normas consuetudinarias del DIH que se practican a nivel mundial, de las cuales se citarán algunas a continuación.</w:t>
      </w:r>
    </w:p>
    <w:p w:rsidR="00D739FA" w:rsidRPr="00516B96" w:rsidRDefault="00D739FA" w:rsidP="00D739FA">
      <w:pPr>
        <w:spacing w:line="360" w:lineRule="auto"/>
        <w:jc w:val="both"/>
        <w:rPr>
          <w:rFonts w:ascii="Times New Roman" w:hAnsi="Times New Roman" w:cs="Times New Roman"/>
          <w:sz w:val="24"/>
        </w:rPr>
      </w:pPr>
      <w:r w:rsidRPr="00516B96">
        <w:rPr>
          <w:rFonts w:ascii="Times New Roman" w:hAnsi="Times New Roman" w:cs="Times New Roman"/>
          <w:sz w:val="24"/>
        </w:rPr>
        <w:t xml:space="preserve">El ámbito de aplicación de las normas </w:t>
      </w:r>
      <w:r w:rsidR="00260582">
        <w:rPr>
          <w:rFonts w:ascii="Times New Roman" w:hAnsi="Times New Roman" w:cs="Times New Roman"/>
          <w:sz w:val="24"/>
        </w:rPr>
        <w:t>consuetudinarias es aplicable tanto en conflictos armados internacionales como no internacionales, salvo algunas excepciones anotadas, las normas se aplican en ambos casos por igual</w:t>
      </w:r>
      <w:r w:rsidRPr="00516B96">
        <w:rPr>
          <w:rFonts w:ascii="Times New Roman" w:hAnsi="Times New Roman" w:cs="Times New Roman"/>
          <w:sz w:val="24"/>
        </w:rPr>
        <w:t>.</w:t>
      </w:r>
    </w:p>
    <w:p w:rsidR="00D739FA" w:rsidRPr="00516B96" w:rsidRDefault="00D739FA" w:rsidP="00D739FA">
      <w:pPr>
        <w:autoSpaceDE w:val="0"/>
        <w:autoSpaceDN w:val="0"/>
        <w:adjustRightInd w:val="0"/>
        <w:spacing w:after="0" w:line="360" w:lineRule="auto"/>
        <w:jc w:val="both"/>
        <w:rPr>
          <w:rFonts w:ascii="Times New Roman" w:hAnsi="Times New Roman" w:cs="Times New Roman"/>
          <w:sz w:val="24"/>
          <w:szCs w:val="24"/>
          <w:lang w:val="es-EC"/>
        </w:rPr>
      </w:pPr>
      <w:r w:rsidRPr="00516B96">
        <w:rPr>
          <w:rFonts w:ascii="Times New Roman" w:hAnsi="Times New Roman" w:cs="Times New Roman"/>
          <w:sz w:val="24"/>
          <w:szCs w:val="24"/>
          <w:lang w:val="es-EC"/>
        </w:rPr>
        <w:lastRenderedPageBreak/>
        <w:t>Sobre el Principio de Distinción, el DIH consuetudinario ha desarrollado, entre otras, las siguientes normas:</w:t>
      </w:r>
    </w:p>
    <w:p w:rsidR="00D739FA" w:rsidRPr="00516B96" w:rsidRDefault="00D739FA" w:rsidP="00D739FA">
      <w:pPr>
        <w:autoSpaceDE w:val="0"/>
        <w:autoSpaceDN w:val="0"/>
        <w:adjustRightInd w:val="0"/>
        <w:spacing w:after="0" w:line="240" w:lineRule="auto"/>
        <w:jc w:val="both"/>
        <w:rPr>
          <w:rFonts w:ascii="Times New Roman" w:hAnsi="Times New Roman" w:cs="Times New Roman"/>
          <w:sz w:val="24"/>
          <w:szCs w:val="24"/>
          <w:lang w:val="es-EC"/>
        </w:rPr>
      </w:pPr>
    </w:p>
    <w:p w:rsidR="00D739FA" w:rsidRPr="00516B96" w:rsidRDefault="00D739FA" w:rsidP="00D739FA">
      <w:pPr>
        <w:autoSpaceDE w:val="0"/>
        <w:autoSpaceDN w:val="0"/>
        <w:adjustRightInd w:val="0"/>
        <w:spacing w:line="360" w:lineRule="auto"/>
        <w:jc w:val="both"/>
        <w:rPr>
          <w:rFonts w:ascii="Times New Roman" w:hAnsi="Times New Roman" w:cs="Times New Roman"/>
          <w:sz w:val="24"/>
          <w:szCs w:val="24"/>
          <w:lang w:val="es-EC"/>
        </w:rPr>
      </w:pPr>
      <w:r w:rsidRPr="00516B96">
        <w:rPr>
          <w:rFonts w:ascii="Times New Roman" w:hAnsi="Times New Roman" w:cs="Times New Roman"/>
          <w:b/>
          <w:bCs/>
          <w:sz w:val="24"/>
          <w:szCs w:val="24"/>
          <w:lang w:val="es-EC"/>
        </w:rPr>
        <w:t>Norma 1</w:t>
      </w:r>
      <w:r w:rsidRPr="00516B96">
        <w:rPr>
          <w:rFonts w:ascii="Times New Roman" w:hAnsi="Times New Roman" w:cs="Times New Roman"/>
          <w:sz w:val="24"/>
          <w:szCs w:val="24"/>
          <w:lang w:val="es-EC"/>
        </w:rPr>
        <w:t xml:space="preserve">. Las partes en conflicto deberán distinguir en todo momento entre personas civiles y combatientes. Los ataques sólo podrán dirigirse contra combatientes. Los civiles no deben ser atacados. </w:t>
      </w:r>
    </w:p>
    <w:p w:rsidR="00D739FA" w:rsidRPr="00516B96" w:rsidRDefault="00D739FA" w:rsidP="00D739FA">
      <w:pPr>
        <w:autoSpaceDE w:val="0"/>
        <w:autoSpaceDN w:val="0"/>
        <w:adjustRightInd w:val="0"/>
        <w:spacing w:line="360" w:lineRule="auto"/>
        <w:jc w:val="both"/>
        <w:rPr>
          <w:rFonts w:ascii="Times New Roman" w:hAnsi="Times New Roman" w:cs="Times New Roman"/>
          <w:sz w:val="24"/>
          <w:szCs w:val="24"/>
          <w:lang w:val="es-EC"/>
        </w:rPr>
      </w:pPr>
      <w:r w:rsidRPr="00516B96">
        <w:rPr>
          <w:rFonts w:ascii="Times New Roman" w:hAnsi="Times New Roman" w:cs="Times New Roman"/>
          <w:b/>
          <w:bCs/>
          <w:sz w:val="24"/>
          <w:szCs w:val="24"/>
          <w:lang w:val="es-EC"/>
        </w:rPr>
        <w:t>Norma 2</w:t>
      </w:r>
      <w:r w:rsidRPr="00516B96">
        <w:rPr>
          <w:rFonts w:ascii="Times New Roman" w:hAnsi="Times New Roman" w:cs="Times New Roman"/>
          <w:sz w:val="24"/>
          <w:szCs w:val="24"/>
          <w:lang w:val="es-EC"/>
        </w:rPr>
        <w:t xml:space="preserve">. Quedan prohibidos los actos o las amenazas de violencia cuya finalidad principal sea aterrorizar a la población civil. </w:t>
      </w:r>
    </w:p>
    <w:p w:rsidR="00D739FA" w:rsidRPr="00516B96" w:rsidRDefault="00D739FA" w:rsidP="00D739FA">
      <w:pPr>
        <w:autoSpaceDE w:val="0"/>
        <w:autoSpaceDN w:val="0"/>
        <w:adjustRightInd w:val="0"/>
        <w:spacing w:line="360" w:lineRule="auto"/>
        <w:jc w:val="both"/>
        <w:rPr>
          <w:rFonts w:ascii="Times New Roman" w:hAnsi="Times New Roman" w:cs="Times New Roman"/>
          <w:sz w:val="24"/>
          <w:szCs w:val="24"/>
          <w:lang w:val="es-EC"/>
        </w:rPr>
      </w:pPr>
      <w:r w:rsidRPr="00516B96">
        <w:rPr>
          <w:rFonts w:ascii="Times New Roman" w:hAnsi="Times New Roman" w:cs="Times New Roman"/>
          <w:b/>
          <w:bCs/>
          <w:sz w:val="24"/>
          <w:szCs w:val="24"/>
          <w:lang w:val="es-EC"/>
        </w:rPr>
        <w:t xml:space="preserve">Norma 3. </w:t>
      </w:r>
      <w:r w:rsidRPr="00516B96">
        <w:rPr>
          <w:rFonts w:ascii="Times New Roman" w:hAnsi="Times New Roman" w:cs="Times New Roman"/>
          <w:sz w:val="24"/>
          <w:szCs w:val="24"/>
          <w:lang w:val="es-EC"/>
        </w:rPr>
        <w:t xml:space="preserve">Todos los miembros de las fuerzas armadas de una parte en conflicto son combatientes, excepto el personal sanitario y religioso. </w:t>
      </w:r>
    </w:p>
    <w:p w:rsidR="00D739FA" w:rsidRPr="00516B96" w:rsidRDefault="00D739FA" w:rsidP="00D739FA">
      <w:pPr>
        <w:autoSpaceDE w:val="0"/>
        <w:autoSpaceDN w:val="0"/>
        <w:adjustRightInd w:val="0"/>
        <w:spacing w:line="360" w:lineRule="auto"/>
        <w:jc w:val="both"/>
        <w:rPr>
          <w:rFonts w:ascii="Times New Roman" w:hAnsi="Times New Roman" w:cs="Times New Roman"/>
          <w:sz w:val="24"/>
          <w:szCs w:val="24"/>
          <w:lang w:val="es-EC"/>
        </w:rPr>
      </w:pPr>
      <w:r w:rsidRPr="00516B96">
        <w:rPr>
          <w:rFonts w:ascii="Times New Roman" w:hAnsi="Times New Roman" w:cs="Times New Roman"/>
          <w:b/>
          <w:bCs/>
          <w:sz w:val="24"/>
          <w:szCs w:val="24"/>
          <w:lang w:val="es-EC"/>
        </w:rPr>
        <w:t xml:space="preserve">Norma 4. </w:t>
      </w:r>
      <w:r w:rsidRPr="00516B96">
        <w:rPr>
          <w:rFonts w:ascii="Times New Roman" w:hAnsi="Times New Roman" w:cs="Times New Roman"/>
          <w:sz w:val="24"/>
          <w:szCs w:val="24"/>
          <w:lang w:val="es-EC"/>
        </w:rPr>
        <w:t xml:space="preserve">Las fuerzas armadas de una parte en conflicto se componen de todas las fuerzas, agrupaciones y unidades armadas y organizadas que estén bajo un mando responsable de la conducta de sus subordinados ante esa parte. </w:t>
      </w:r>
    </w:p>
    <w:p w:rsidR="00D739FA" w:rsidRPr="00516B96" w:rsidRDefault="00D739FA" w:rsidP="00D739FA">
      <w:pPr>
        <w:autoSpaceDE w:val="0"/>
        <w:autoSpaceDN w:val="0"/>
        <w:adjustRightInd w:val="0"/>
        <w:spacing w:line="360" w:lineRule="auto"/>
        <w:jc w:val="both"/>
        <w:rPr>
          <w:rFonts w:ascii="Times New Roman" w:hAnsi="Times New Roman" w:cs="Times New Roman"/>
          <w:sz w:val="24"/>
          <w:szCs w:val="24"/>
          <w:lang w:val="es-EC"/>
        </w:rPr>
      </w:pPr>
      <w:r w:rsidRPr="00516B96">
        <w:rPr>
          <w:rFonts w:ascii="Times New Roman" w:hAnsi="Times New Roman" w:cs="Times New Roman"/>
          <w:b/>
          <w:bCs/>
          <w:sz w:val="24"/>
          <w:szCs w:val="24"/>
          <w:lang w:val="es-EC"/>
        </w:rPr>
        <w:t>Norma 5</w:t>
      </w:r>
      <w:r w:rsidRPr="00516B96">
        <w:rPr>
          <w:rFonts w:ascii="Times New Roman" w:hAnsi="Times New Roman" w:cs="Times New Roman"/>
          <w:sz w:val="24"/>
          <w:szCs w:val="24"/>
          <w:lang w:val="es-EC"/>
        </w:rPr>
        <w:t xml:space="preserve">. Son personas civiles quienes no son miembros de las fuerzas armadas. La población civil comprende a todas las personas civiles. </w:t>
      </w:r>
    </w:p>
    <w:p w:rsidR="00D739FA" w:rsidRPr="00516B96" w:rsidRDefault="00D739FA" w:rsidP="00D739FA">
      <w:pPr>
        <w:spacing w:line="360" w:lineRule="auto"/>
        <w:jc w:val="both"/>
        <w:rPr>
          <w:rFonts w:ascii="Times New Roman" w:hAnsi="Times New Roman" w:cs="Times New Roman"/>
          <w:bCs/>
          <w:sz w:val="24"/>
          <w:szCs w:val="24"/>
          <w:lang w:val="es-EC"/>
        </w:rPr>
      </w:pPr>
      <w:r w:rsidRPr="00516B96">
        <w:rPr>
          <w:rFonts w:ascii="Times New Roman" w:hAnsi="Times New Roman" w:cs="Times New Roman"/>
          <w:bCs/>
          <w:sz w:val="24"/>
          <w:szCs w:val="24"/>
          <w:lang w:val="es-EC"/>
        </w:rPr>
        <w:t>Sobre las personas y los bienes especialmente protegidos se encuentran, entre otras las siguientes normas:</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6. </w:t>
      </w:r>
      <w:r w:rsidRPr="00516B96">
        <w:rPr>
          <w:rFonts w:ascii="Times New Roman" w:hAnsi="Times New Roman" w:cs="Times New Roman"/>
          <w:sz w:val="24"/>
          <w:lang w:val="es-EC"/>
        </w:rPr>
        <w:t xml:space="preserve">El personal sanitario exclusivamente destinado a tareas médicas será respetado y protegido en todas las circunstancias. Perderá su protección si, al margen de su función humanitaria, comete actos perjudiciales para el enemigo. </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7. </w:t>
      </w:r>
      <w:r w:rsidRPr="00516B96">
        <w:rPr>
          <w:rFonts w:ascii="Times New Roman" w:hAnsi="Times New Roman" w:cs="Times New Roman"/>
          <w:sz w:val="24"/>
          <w:lang w:val="es-EC"/>
        </w:rPr>
        <w:t xml:space="preserve">Queda prohibido castigar a alguien por realizar tareas médicas conformes con la deontología u obligar a una persona que ejerce una actividad médica a realizar actos contrarios a la deontología. </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8. </w:t>
      </w:r>
      <w:r w:rsidRPr="00516B96">
        <w:rPr>
          <w:rFonts w:ascii="Times New Roman" w:hAnsi="Times New Roman" w:cs="Times New Roman"/>
          <w:sz w:val="24"/>
          <w:lang w:val="es-EC"/>
        </w:rPr>
        <w:t xml:space="preserve">El personal religioso exclusivamente destinado a actividades religiosas será respetado y protegido en todas las circunstancias. Perderá su protección si, al margen de su función humanitaria, comete actos perjudiciales para el enemigo. </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9. </w:t>
      </w:r>
      <w:r w:rsidRPr="00516B96">
        <w:rPr>
          <w:rFonts w:ascii="Times New Roman" w:hAnsi="Times New Roman" w:cs="Times New Roman"/>
          <w:sz w:val="24"/>
          <w:lang w:val="es-EC"/>
        </w:rPr>
        <w:t>Las unidades sanitarias exclusivamente destinadas a tareas sanitarias serán respetadas y protegidas en todas las circunstancias. Perderán su protección si se utilizan, al margen de su función humanitaria, para cometer actos perjudiciales para el enemigo.</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lastRenderedPageBreak/>
        <w:t>Norma 10</w:t>
      </w:r>
      <w:r w:rsidR="001A0A85">
        <w:rPr>
          <w:rFonts w:ascii="Times New Roman" w:hAnsi="Times New Roman" w:cs="Times New Roman"/>
          <w:b/>
          <w:bCs/>
          <w:sz w:val="24"/>
          <w:lang w:val="es-EC"/>
        </w:rPr>
        <w:t xml:space="preserve">. </w:t>
      </w:r>
      <w:r w:rsidRPr="00516B96">
        <w:rPr>
          <w:rFonts w:ascii="Times New Roman" w:hAnsi="Times New Roman" w:cs="Times New Roman"/>
          <w:sz w:val="24"/>
          <w:lang w:val="es-EC"/>
        </w:rPr>
        <w:t xml:space="preserve">Los medios de transporte sanitarios exclusivamente destinados al transporte sanitario serán respetados y protegidos en todas las circunstancias. Perderán su protección si se utilizan, al margen de su función humanitaria, para cometer actos perjudiciales para el enemigo. </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11. </w:t>
      </w:r>
      <w:r w:rsidRPr="00516B96">
        <w:rPr>
          <w:rFonts w:ascii="Times New Roman" w:hAnsi="Times New Roman" w:cs="Times New Roman"/>
          <w:sz w:val="24"/>
          <w:lang w:val="es-EC"/>
        </w:rPr>
        <w:t xml:space="preserve">Quedan prohibidos los ataques directos contra el personal y los bienes sanitarios y religiosos que ostenten los signos distintivos estipulados en los Convenios de Ginebra de conformidad con el derecho internacional. </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Al respecto a los métodos específicos de guerra, el Derecho Internacional Humanitario ha desarrollado algunas normas, entre las cuales están:</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sz w:val="24"/>
          <w:lang w:val="es-EC"/>
        </w:rPr>
        <w:t>Norma 12.</w:t>
      </w:r>
      <w:r w:rsidRPr="00516B96">
        <w:rPr>
          <w:rFonts w:ascii="Times New Roman" w:hAnsi="Times New Roman" w:cs="Times New Roman"/>
          <w:sz w:val="24"/>
          <w:lang w:val="es-EC"/>
        </w:rPr>
        <w:t xml:space="preserve"> Queda prohibido ordenar que no se dé cuartel, amenazar con ello al adversario o conducir las hostilidades en función de tal decisión. </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sz w:val="24"/>
          <w:lang w:val="es-EC"/>
        </w:rPr>
        <w:t>Norma 13</w:t>
      </w:r>
      <w:r w:rsidRPr="00516B96">
        <w:rPr>
          <w:rFonts w:ascii="Times New Roman" w:hAnsi="Times New Roman" w:cs="Times New Roman"/>
          <w:sz w:val="24"/>
          <w:lang w:val="es-EC"/>
        </w:rPr>
        <w:t>. Queda prohibido, como método de guerra, hacer padecer hambre a la población civil.</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14. </w:t>
      </w:r>
      <w:r w:rsidRPr="00516B96">
        <w:rPr>
          <w:rFonts w:ascii="Times New Roman" w:hAnsi="Times New Roman" w:cs="Times New Roman"/>
          <w:sz w:val="24"/>
          <w:lang w:val="es-EC"/>
        </w:rPr>
        <w:t>Las estratagemas de guerra no están prohibidas, siempre que no infrinjan alguna norma del derecho internacional humanitario.</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sz w:val="24"/>
          <w:lang w:val="es-EC"/>
        </w:rPr>
        <w:t>Norma 15.</w:t>
      </w:r>
      <w:r w:rsidRPr="00516B96">
        <w:rPr>
          <w:rFonts w:ascii="Times New Roman" w:hAnsi="Times New Roman" w:cs="Times New Roman"/>
          <w:sz w:val="24"/>
          <w:lang w:val="es-EC"/>
        </w:rPr>
        <w:t xml:space="preserve"> Los mandos podrán entablar entre ellos contactos no hostiles, que deberán basarse en la buena fe, a través de cualquier medio de comunicación. </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sz w:val="24"/>
          <w:lang w:val="es-EC"/>
        </w:rPr>
        <w:t>Norma 16.</w:t>
      </w:r>
      <w:r w:rsidRPr="00516B96">
        <w:rPr>
          <w:rFonts w:ascii="Times New Roman" w:hAnsi="Times New Roman" w:cs="Times New Roman"/>
          <w:sz w:val="24"/>
          <w:lang w:val="es-EC"/>
        </w:rPr>
        <w:t xml:space="preserve"> Los parlamentarios son inviolables. </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Sobre las armas se han desarrollado, entre otras, las siguientes normas:</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17. </w:t>
      </w:r>
      <w:r w:rsidRPr="00516B96">
        <w:rPr>
          <w:rFonts w:ascii="Times New Roman" w:hAnsi="Times New Roman" w:cs="Times New Roman"/>
          <w:sz w:val="24"/>
          <w:lang w:val="es-EC"/>
        </w:rPr>
        <w:t>Queda prohibido el empleo de medios y métodos de guerra de tal índole que causen males superfluos o sufrimientos innecesarios.</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18. </w:t>
      </w:r>
      <w:r w:rsidRPr="00516B96">
        <w:rPr>
          <w:rFonts w:ascii="Times New Roman" w:hAnsi="Times New Roman" w:cs="Times New Roman"/>
          <w:sz w:val="24"/>
          <w:lang w:val="es-EC"/>
        </w:rPr>
        <w:t>Queda prohibido el empleo de armas de tal índole que sus efectos sean indiscriminados</w:t>
      </w:r>
      <w:r w:rsidR="00076F95">
        <w:rPr>
          <w:rFonts w:ascii="Times New Roman" w:hAnsi="Times New Roman" w:cs="Times New Roman"/>
          <w:sz w:val="24"/>
          <w:lang w:val="es-EC"/>
        </w:rPr>
        <w:t>.</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19. </w:t>
      </w:r>
      <w:r w:rsidRPr="00516B96">
        <w:rPr>
          <w:rFonts w:ascii="Times New Roman" w:hAnsi="Times New Roman" w:cs="Times New Roman"/>
          <w:sz w:val="24"/>
          <w:lang w:val="es-EC"/>
        </w:rPr>
        <w:t>Queda prohibido el empleo de veneno o de armas envenenadas.</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20. </w:t>
      </w:r>
      <w:r w:rsidRPr="00516B96">
        <w:rPr>
          <w:rFonts w:ascii="Times New Roman" w:hAnsi="Times New Roman" w:cs="Times New Roman"/>
          <w:sz w:val="24"/>
          <w:lang w:val="es-EC"/>
        </w:rPr>
        <w:t xml:space="preserve">Queda prohibido el empleo de armas biológicas. </w:t>
      </w:r>
    </w:p>
    <w:p w:rsidR="00076F95"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21. </w:t>
      </w:r>
      <w:r w:rsidRPr="00516B96">
        <w:rPr>
          <w:rFonts w:ascii="Times New Roman" w:hAnsi="Times New Roman" w:cs="Times New Roman"/>
          <w:sz w:val="24"/>
          <w:lang w:val="es-EC"/>
        </w:rPr>
        <w:t xml:space="preserve">Queda prohibido el empleo de armas químicas. </w:t>
      </w:r>
    </w:p>
    <w:p w:rsidR="00076F95" w:rsidRDefault="00076F95" w:rsidP="00D739FA">
      <w:pPr>
        <w:spacing w:line="360" w:lineRule="auto"/>
        <w:jc w:val="both"/>
        <w:rPr>
          <w:rFonts w:ascii="Times New Roman" w:hAnsi="Times New Roman" w:cs="Times New Roman"/>
          <w:sz w:val="24"/>
          <w:lang w:val="es-EC"/>
        </w:rPr>
      </w:pP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lastRenderedPageBreak/>
        <w:t>Refiriéndose al trato a civiles o personas fuera de combate el DIH Consuetudinario dice:</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22. </w:t>
      </w:r>
      <w:r w:rsidRPr="00516B96">
        <w:rPr>
          <w:rFonts w:ascii="Times New Roman" w:hAnsi="Times New Roman" w:cs="Times New Roman"/>
          <w:sz w:val="24"/>
          <w:lang w:val="es-EC"/>
        </w:rPr>
        <w:t xml:space="preserve">Las personas civiles y las personas fuera de combate serán tratadas con humanidad. </w:t>
      </w:r>
    </w:p>
    <w:p w:rsidR="00076F95"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23. </w:t>
      </w:r>
      <w:r w:rsidRPr="00516B96">
        <w:rPr>
          <w:rFonts w:ascii="Times New Roman" w:hAnsi="Times New Roman" w:cs="Times New Roman"/>
          <w:sz w:val="24"/>
          <w:lang w:val="es-EC"/>
        </w:rPr>
        <w:t xml:space="preserve">En la aplicación del derecho internacional humanitario, está prohibido hacer distinciones de índole desfavorable basadas en la raza, el color, el sexo, la lengua, la religión o las creencias, las opiniones políticas o de otro género, el origen nacional o social, la fortuna, el nacimiento u otra condición, o cualquier otro criterio análogo. </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24. </w:t>
      </w:r>
      <w:r w:rsidRPr="00516B96">
        <w:rPr>
          <w:rFonts w:ascii="Times New Roman" w:hAnsi="Times New Roman" w:cs="Times New Roman"/>
          <w:sz w:val="24"/>
          <w:lang w:val="es-EC"/>
        </w:rPr>
        <w:t>Los combatientes deben distinguirse de la población civil cuando estén participando en un ataque o en una operación militar previa a un ataque. Si no lo hacen, no tienen derecho al estatuto de prisionero de guerra. [CAI]</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25. </w:t>
      </w:r>
      <w:r w:rsidRPr="00516B96">
        <w:rPr>
          <w:rFonts w:ascii="Times New Roman" w:hAnsi="Times New Roman" w:cs="Times New Roman"/>
          <w:sz w:val="24"/>
          <w:lang w:val="es-EC"/>
        </w:rPr>
        <w:t xml:space="preserve">Cuando las circunstancias lo permitan, y en particular después de un combate, las partes en conflicto tomarán sin demora todas las medidas posibles para buscar, recoger y evacuar a los heridos, los enfermos y los náufragos sin distinción desfavorable alguna. </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26. </w:t>
      </w:r>
      <w:r w:rsidRPr="00516B96">
        <w:rPr>
          <w:rFonts w:ascii="Times New Roman" w:hAnsi="Times New Roman" w:cs="Times New Roman"/>
          <w:sz w:val="24"/>
          <w:lang w:val="es-EC"/>
        </w:rPr>
        <w:t xml:space="preserve">Cuando las circunstancias lo permitan, y en particular después de un combate, las partes en conflicto tomarán sin demora todas las medidas posibles para buscar, recoger y evacuar a los muertos sin distinción desfavorable alguna. </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Un tema muy importante desarrollado por el DIH Consuetudinario es la aplicación del mismo, del cual han resultado algunas normas tales como:</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27. </w:t>
      </w:r>
      <w:r w:rsidRPr="00516B96">
        <w:rPr>
          <w:rFonts w:ascii="Times New Roman" w:hAnsi="Times New Roman" w:cs="Times New Roman"/>
          <w:sz w:val="24"/>
          <w:lang w:val="es-EC"/>
        </w:rPr>
        <w:t xml:space="preserve">La obligación de respetar y hacer respetar el derecho internacional humanitario no depende de la reciprocidad. </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28. </w:t>
      </w:r>
      <w:r w:rsidRPr="00516B96">
        <w:rPr>
          <w:rFonts w:ascii="Times New Roman" w:hAnsi="Times New Roman" w:cs="Times New Roman"/>
          <w:sz w:val="24"/>
          <w:lang w:val="es-EC"/>
        </w:rPr>
        <w:t xml:space="preserve">Los Estados no alentarán las violaciones del derecho internacional humanitario por las partes en un conflicto armado. En la medida de lo posible, deberán ejercer su influencia para hacer que cesen esas violaciones. </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29. </w:t>
      </w:r>
      <w:r w:rsidRPr="00516B96">
        <w:rPr>
          <w:rFonts w:ascii="Times New Roman" w:hAnsi="Times New Roman" w:cs="Times New Roman"/>
          <w:sz w:val="24"/>
          <w:lang w:val="es-EC"/>
        </w:rPr>
        <w:t>Un Estado es responsable de las violaciones del derecho internacional</w:t>
      </w:r>
      <w:r w:rsidRPr="00516B96">
        <w:rPr>
          <w:rFonts w:ascii="Times New Roman" w:hAnsi="Times New Roman" w:cs="Times New Roman"/>
          <w:sz w:val="24"/>
          <w:lang w:val="es-EC"/>
        </w:rPr>
        <w:tab/>
        <w:t xml:space="preserve"> humanitario que le son imputables, en particular:</w:t>
      </w:r>
    </w:p>
    <w:p w:rsidR="00D739FA" w:rsidRPr="00516B96" w:rsidRDefault="00D739FA" w:rsidP="00D739FA">
      <w:pPr>
        <w:spacing w:line="360" w:lineRule="auto"/>
        <w:ind w:left="708"/>
        <w:jc w:val="both"/>
        <w:rPr>
          <w:rFonts w:ascii="Times New Roman" w:hAnsi="Times New Roman" w:cs="Times New Roman"/>
          <w:sz w:val="24"/>
          <w:lang w:val="es-EC"/>
        </w:rPr>
      </w:pPr>
      <w:r w:rsidRPr="00516B96">
        <w:rPr>
          <w:rFonts w:ascii="Times New Roman" w:hAnsi="Times New Roman" w:cs="Times New Roman"/>
          <w:sz w:val="24"/>
          <w:lang w:val="es-EC"/>
        </w:rPr>
        <w:t>(a) las violaciones cometidas por sus órganos, incluidas sus fuerzas armadas;</w:t>
      </w:r>
    </w:p>
    <w:p w:rsidR="00D739FA" w:rsidRPr="00516B96" w:rsidRDefault="00D739FA" w:rsidP="00D739FA">
      <w:pPr>
        <w:spacing w:line="360" w:lineRule="auto"/>
        <w:ind w:left="708"/>
        <w:jc w:val="both"/>
        <w:rPr>
          <w:rFonts w:ascii="Times New Roman" w:hAnsi="Times New Roman" w:cs="Times New Roman"/>
          <w:sz w:val="24"/>
          <w:lang w:val="es-EC"/>
        </w:rPr>
      </w:pPr>
      <w:r w:rsidRPr="00516B96">
        <w:rPr>
          <w:rFonts w:ascii="Times New Roman" w:hAnsi="Times New Roman" w:cs="Times New Roman"/>
          <w:sz w:val="24"/>
          <w:lang w:val="es-EC"/>
        </w:rPr>
        <w:lastRenderedPageBreak/>
        <w:t>(b) las violaciones cometidas por personas o entidades autorizadas a ejercer prerrogativas de su autoridad gubernativa;</w:t>
      </w:r>
    </w:p>
    <w:p w:rsidR="00D739FA" w:rsidRPr="00516B96" w:rsidRDefault="00D739FA" w:rsidP="00D739FA">
      <w:pPr>
        <w:spacing w:line="360" w:lineRule="auto"/>
        <w:ind w:left="708"/>
        <w:jc w:val="both"/>
        <w:rPr>
          <w:rFonts w:ascii="Times New Roman" w:hAnsi="Times New Roman" w:cs="Times New Roman"/>
          <w:sz w:val="24"/>
          <w:lang w:val="es-EC"/>
        </w:rPr>
      </w:pPr>
      <w:r w:rsidRPr="00516B96">
        <w:rPr>
          <w:rFonts w:ascii="Times New Roman" w:hAnsi="Times New Roman" w:cs="Times New Roman"/>
          <w:sz w:val="24"/>
          <w:lang w:val="es-EC"/>
        </w:rPr>
        <w:t>(c) las violaciones cometidas por personas o grupos que actúan de hecho obedeciendo sus instrucciones o bajo su dirección o control; y</w:t>
      </w:r>
    </w:p>
    <w:p w:rsidR="00D739FA" w:rsidRPr="00516B96" w:rsidRDefault="00D739FA" w:rsidP="00D739FA">
      <w:pPr>
        <w:spacing w:line="360" w:lineRule="auto"/>
        <w:ind w:left="708"/>
        <w:jc w:val="both"/>
        <w:rPr>
          <w:rFonts w:ascii="Times New Roman" w:hAnsi="Times New Roman" w:cs="Times New Roman"/>
          <w:sz w:val="24"/>
          <w:lang w:val="es-EC"/>
        </w:rPr>
      </w:pPr>
      <w:r w:rsidRPr="00516B96">
        <w:rPr>
          <w:rFonts w:ascii="Times New Roman" w:hAnsi="Times New Roman" w:cs="Times New Roman"/>
          <w:sz w:val="24"/>
          <w:lang w:val="es-EC"/>
        </w:rPr>
        <w:t xml:space="preserve">(d) las violaciones cometidas por personas o grupos privados que él reconoce y acepta como comportamiento propio. </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30. </w:t>
      </w:r>
      <w:r w:rsidRPr="00516B96">
        <w:rPr>
          <w:rFonts w:ascii="Times New Roman" w:hAnsi="Times New Roman" w:cs="Times New Roman"/>
          <w:sz w:val="24"/>
          <w:lang w:val="es-EC"/>
        </w:rPr>
        <w:t xml:space="preserve">El Estado responsable de violaciones del derecho internacional humanitario está obligado a reparar íntegramente la pérdida o la lesión causada. </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31. </w:t>
      </w:r>
      <w:r w:rsidRPr="00516B96">
        <w:rPr>
          <w:rFonts w:ascii="Times New Roman" w:hAnsi="Times New Roman" w:cs="Times New Roman"/>
          <w:sz w:val="24"/>
          <w:lang w:val="es-EC"/>
        </w:rPr>
        <w:t>Las personas que cometen crímenes de guerra son penalmente responsables de ellos.</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Norma 32. </w:t>
      </w:r>
      <w:r w:rsidRPr="00516B96">
        <w:rPr>
          <w:rFonts w:ascii="Times New Roman" w:hAnsi="Times New Roman" w:cs="Times New Roman"/>
          <w:sz w:val="24"/>
          <w:lang w:val="es-EC"/>
        </w:rPr>
        <w:t>Los jefes y otros mandos superiores son penalmente responsables de los crímenes de guerra cometidos en cumplimiento de sus órdenes.</w:t>
      </w:r>
    </w:p>
    <w:p w:rsidR="00D739FA" w:rsidRPr="00516B96" w:rsidRDefault="00D739FA" w:rsidP="00D739FA">
      <w:pPr>
        <w:spacing w:line="360" w:lineRule="auto"/>
        <w:jc w:val="both"/>
        <w:rPr>
          <w:rFonts w:ascii="Times New Roman" w:hAnsi="Times New Roman" w:cs="Times New Roman"/>
          <w:sz w:val="24"/>
          <w:u w:val="single"/>
          <w:lang w:val="es-EC"/>
        </w:rPr>
      </w:pPr>
      <w:r w:rsidRPr="00516B96">
        <w:rPr>
          <w:rFonts w:ascii="Times New Roman" w:hAnsi="Times New Roman" w:cs="Times New Roman"/>
          <w:sz w:val="24"/>
          <w:lang w:val="es-EC"/>
        </w:rPr>
        <w:t xml:space="preserve">I.VII. </w:t>
      </w:r>
      <w:r w:rsidRPr="00516B96">
        <w:rPr>
          <w:rFonts w:ascii="Times New Roman" w:hAnsi="Times New Roman" w:cs="Times New Roman"/>
          <w:sz w:val="24"/>
          <w:lang w:val="es-EC"/>
        </w:rPr>
        <w:tab/>
      </w:r>
      <w:r w:rsidRPr="00B76961">
        <w:rPr>
          <w:rFonts w:ascii="Times New Roman" w:hAnsi="Times New Roman" w:cs="Times New Roman"/>
          <w:sz w:val="24"/>
          <w:u w:val="single"/>
          <w:lang w:val="es-EC"/>
        </w:rPr>
        <w:t>C</w:t>
      </w:r>
      <w:r w:rsidRPr="00516B96">
        <w:rPr>
          <w:rFonts w:ascii="Times New Roman" w:hAnsi="Times New Roman" w:cs="Times New Roman"/>
          <w:sz w:val="24"/>
          <w:u w:val="single"/>
          <w:lang w:val="es-EC"/>
        </w:rPr>
        <w:t>onvenios de Ginebra</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Los principales instrumentos legales que constituyen el DIH son los Convenios de Ginebra de 1949, cuatro tratados internacionales que, hasta agosto de 2006, han sido universalmente adoptados por los 194 países del mundo</w:t>
      </w:r>
      <w:r w:rsidR="00F35A9E" w:rsidRPr="00516B96">
        <w:rPr>
          <w:rStyle w:val="Refdenotaalpie"/>
          <w:rFonts w:ascii="Times New Roman" w:hAnsi="Times New Roman" w:cs="Times New Roman"/>
          <w:sz w:val="24"/>
          <w:lang w:val="es-EC"/>
        </w:rPr>
        <w:footnoteReference w:id="2"/>
      </w:r>
      <w:r w:rsidRPr="00516B96">
        <w:rPr>
          <w:rFonts w:ascii="Times New Roman" w:hAnsi="Times New Roman" w:cs="Times New Roman"/>
          <w:sz w:val="24"/>
          <w:lang w:val="es-EC"/>
        </w:rPr>
        <w:t xml:space="preserve">. </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 xml:space="preserve">Estos Convenios incluyen normas específicas diseñadas para proteger a los combatientes (miembros de las fuerzas armadas) heridos, enfermos o náufragos, prisioneros de guerra, y civiles, así como personal médico, capellanes militares, y personal de apoyo civil de las fuerzas armadas. </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Los Protocolos Adicionales, que complementan los Convenios de Ginebra, amplían estas normas humanitarias.</w:t>
      </w:r>
    </w:p>
    <w:p w:rsidR="00D739FA" w:rsidRPr="00516B96" w:rsidRDefault="00D739FA" w:rsidP="00D739FA">
      <w:pPr>
        <w:spacing w:line="360" w:lineRule="auto"/>
        <w:jc w:val="both"/>
        <w:rPr>
          <w:rFonts w:ascii="Times New Roman" w:hAnsi="Times New Roman" w:cs="Times New Roman"/>
          <w:b/>
          <w:sz w:val="24"/>
          <w:lang w:val="es-EC"/>
        </w:rPr>
      </w:pPr>
      <w:r w:rsidRPr="00516B96">
        <w:rPr>
          <w:rFonts w:ascii="Times New Roman" w:hAnsi="Times New Roman" w:cs="Times New Roman"/>
          <w:b/>
          <w:sz w:val="24"/>
          <w:lang w:val="es-EC"/>
        </w:rPr>
        <w:t>Los Convenios de Ginebra de 1949 y sus Protocolos Adicionales</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 xml:space="preserve">En 1949, una conferencia diplomática internacional, sobre la base de los tratados anteriores para la protección de las víctimas de las guerras, revisó y actualizó estos instrumentos, creando cuatro nuevas convenciones constituidas por 429 artículos </w:t>
      </w:r>
      <w:r w:rsidRPr="00516B96">
        <w:rPr>
          <w:rFonts w:ascii="Times New Roman" w:hAnsi="Times New Roman" w:cs="Times New Roman"/>
          <w:sz w:val="24"/>
          <w:lang w:val="es-EC"/>
        </w:rPr>
        <w:lastRenderedPageBreak/>
        <w:t>conocidos como los Convenios de Ginebra del 12 de agosto de 1949. Los Protocolos Adicionales de 1977 y 2005 complementan los Convenios de Ginebra.</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Los Convenios de Ginebra se aplican en todos los casos de guerra declarada, o en cualquier otro conflicto armado entre países. Además, se aplican en aquéllos casos de ocupación parcial o total de un país por soldados de otro país, aun cuando no haya resistencia armada a esa ocupación.</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Los países que ratifican los Convenios de Ginebra deben respetar ciertos principios humanitarios e imponer sanciones legales contra quienes los violen. Los estados que ratificaron los Convenios se obligan a “dictar la legislación necesaria para establecer sanciones penales efectivas para las personas que cometan u ordenen la comisión cualquiera de las infracciones (violaciones)</w:t>
      </w:r>
      <w:r w:rsidR="000A5FBE" w:rsidRPr="00516B96">
        <w:rPr>
          <w:rFonts w:ascii="Times New Roman" w:hAnsi="Times New Roman" w:cs="Times New Roman"/>
          <w:sz w:val="24"/>
          <w:lang w:val="es-EC"/>
        </w:rPr>
        <w:t xml:space="preserve"> </w:t>
      </w:r>
      <w:r w:rsidRPr="00516B96">
        <w:rPr>
          <w:rFonts w:ascii="Times New Roman" w:hAnsi="Times New Roman" w:cs="Times New Roman"/>
          <w:sz w:val="24"/>
          <w:lang w:val="es-EC"/>
        </w:rPr>
        <w:t>graves”.</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A continuación, se incluye una descripción básica de los Convenios y los Protocolos.</w:t>
      </w:r>
    </w:p>
    <w:p w:rsidR="00D739FA" w:rsidRPr="00516B96" w:rsidRDefault="00D739FA" w:rsidP="00D739FA">
      <w:pPr>
        <w:spacing w:line="360" w:lineRule="auto"/>
        <w:jc w:val="both"/>
        <w:rPr>
          <w:rFonts w:ascii="Times New Roman" w:hAnsi="Times New Roman" w:cs="Times New Roman"/>
          <w:b/>
          <w:sz w:val="24"/>
          <w:lang w:val="es-EC"/>
        </w:rPr>
      </w:pPr>
      <w:r w:rsidRPr="00516B96">
        <w:rPr>
          <w:rFonts w:ascii="Times New Roman" w:hAnsi="Times New Roman" w:cs="Times New Roman"/>
          <w:b/>
          <w:sz w:val="24"/>
          <w:lang w:val="es-EC"/>
        </w:rPr>
        <w:t>El Primer Convenio de Ginebra</w:t>
      </w:r>
    </w:p>
    <w:p w:rsidR="00D739FA" w:rsidRPr="00516B96" w:rsidRDefault="00D739FA" w:rsidP="00D739FA">
      <w:pPr>
        <w:spacing w:line="360" w:lineRule="auto"/>
        <w:jc w:val="both"/>
        <w:rPr>
          <w:rFonts w:ascii="Times New Roman" w:hAnsi="Times New Roman" w:cs="Times New Roman"/>
          <w:i/>
          <w:sz w:val="24"/>
          <w:lang w:val="es-EC"/>
        </w:rPr>
      </w:pPr>
      <w:r w:rsidRPr="00516B96">
        <w:rPr>
          <w:rFonts w:ascii="Times New Roman" w:hAnsi="Times New Roman" w:cs="Times New Roman"/>
          <w:i/>
          <w:sz w:val="24"/>
          <w:lang w:val="es-EC"/>
        </w:rPr>
        <w:t>(Convenio de Ginebra para aliviar la suerte que corren los heridos y los enfermos de las Fuerzas Armadas en campaña, aprobado el 12 de agosto de 1949)</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El Primer Convenio de Ginebra protege a los soldados que no participan en las hostilidades (fuera de combate).</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Los 10 artículos de la versión original del Convenio de 1864 se han ampliado en el Primer Convenio de Ginebra de 1949 a 64 artículos que brindan protección a:</w:t>
      </w:r>
    </w:p>
    <w:p w:rsidR="00D739FA" w:rsidRPr="00516B96" w:rsidRDefault="00D739FA" w:rsidP="000A5FBE">
      <w:pPr>
        <w:spacing w:line="360" w:lineRule="auto"/>
        <w:ind w:firstLine="708"/>
        <w:jc w:val="both"/>
        <w:rPr>
          <w:rFonts w:ascii="Times New Roman" w:hAnsi="Times New Roman" w:cs="Times New Roman"/>
          <w:sz w:val="24"/>
          <w:lang w:val="es-EC"/>
        </w:rPr>
      </w:pPr>
      <w:r w:rsidRPr="00516B96">
        <w:rPr>
          <w:rFonts w:ascii="Times New Roman" w:hAnsi="Times New Roman" w:cs="Times New Roman"/>
          <w:sz w:val="24"/>
          <w:lang w:val="es-EC"/>
        </w:rPr>
        <w:t>• Soldados heridos y enfermos;</w:t>
      </w:r>
    </w:p>
    <w:p w:rsidR="00D739FA" w:rsidRPr="00516B96" w:rsidRDefault="00D739FA" w:rsidP="000A5FBE">
      <w:pPr>
        <w:spacing w:line="360" w:lineRule="auto"/>
        <w:ind w:firstLine="708"/>
        <w:jc w:val="both"/>
        <w:rPr>
          <w:rFonts w:ascii="Times New Roman" w:hAnsi="Times New Roman" w:cs="Times New Roman"/>
          <w:sz w:val="24"/>
          <w:lang w:val="es-EC"/>
        </w:rPr>
      </w:pPr>
      <w:r w:rsidRPr="00516B96">
        <w:rPr>
          <w:rFonts w:ascii="Times New Roman" w:hAnsi="Times New Roman" w:cs="Times New Roman"/>
          <w:sz w:val="24"/>
          <w:lang w:val="es-EC"/>
        </w:rPr>
        <w:t>• Personal, equipos y centros médicos;</w:t>
      </w:r>
    </w:p>
    <w:p w:rsidR="00D739FA" w:rsidRPr="00516B96" w:rsidRDefault="00D739FA" w:rsidP="000A5FBE">
      <w:pPr>
        <w:spacing w:line="360" w:lineRule="auto"/>
        <w:ind w:left="708"/>
        <w:jc w:val="both"/>
        <w:rPr>
          <w:rFonts w:ascii="Times New Roman" w:hAnsi="Times New Roman" w:cs="Times New Roman"/>
          <w:sz w:val="24"/>
          <w:lang w:val="es-EC"/>
        </w:rPr>
      </w:pPr>
      <w:r w:rsidRPr="00516B96">
        <w:rPr>
          <w:rFonts w:ascii="Times New Roman" w:hAnsi="Times New Roman" w:cs="Times New Roman"/>
          <w:sz w:val="24"/>
          <w:lang w:val="es-EC"/>
        </w:rPr>
        <w:t>• Personal de apoyo civil de los enfermos y heridos que acompañan a las fuerzas armadas;</w:t>
      </w:r>
    </w:p>
    <w:p w:rsidR="00D739FA" w:rsidRPr="00516B96" w:rsidRDefault="00D739FA" w:rsidP="000A5FBE">
      <w:pPr>
        <w:spacing w:line="360" w:lineRule="auto"/>
        <w:ind w:firstLine="708"/>
        <w:jc w:val="both"/>
        <w:rPr>
          <w:rFonts w:ascii="Times New Roman" w:hAnsi="Times New Roman" w:cs="Times New Roman"/>
          <w:sz w:val="24"/>
          <w:lang w:val="es-EC"/>
        </w:rPr>
      </w:pPr>
      <w:r w:rsidRPr="00516B96">
        <w:rPr>
          <w:rFonts w:ascii="Times New Roman" w:hAnsi="Times New Roman" w:cs="Times New Roman"/>
          <w:sz w:val="24"/>
          <w:lang w:val="es-EC"/>
        </w:rPr>
        <w:t>• Capellanes militares;</w:t>
      </w:r>
    </w:p>
    <w:p w:rsidR="00D739FA" w:rsidRPr="00516B96" w:rsidRDefault="00D739FA" w:rsidP="000A5FBE">
      <w:pPr>
        <w:spacing w:line="360" w:lineRule="auto"/>
        <w:ind w:left="708"/>
        <w:jc w:val="both"/>
        <w:rPr>
          <w:rFonts w:ascii="Times New Roman" w:hAnsi="Times New Roman" w:cs="Times New Roman"/>
          <w:sz w:val="24"/>
          <w:lang w:val="es-EC"/>
        </w:rPr>
      </w:pPr>
      <w:r w:rsidRPr="00516B96">
        <w:rPr>
          <w:rFonts w:ascii="Times New Roman" w:hAnsi="Times New Roman" w:cs="Times New Roman"/>
          <w:sz w:val="24"/>
          <w:lang w:val="es-EC"/>
        </w:rPr>
        <w:t>• Civiles que en forma espontánea toman las armas para repeler una invasión.</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Disposiciones específicas relacionadas con los heridos y enfermos:</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sz w:val="24"/>
          <w:lang w:val="es-EC"/>
        </w:rPr>
        <w:lastRenderedPageBreak/>
        <w:t>Art. 12.-</w:t>
      </w:r>
      <w:r w:rsidRPr="00516B96">
        <w:rPr>
          <w:rFonts w:ascii="Times New Roman" w:hAnsi="Times New Roman" w:cs="Times New Roman"/>
          <w:sz w:val="24"/>
          <w:lang w:val="es-EC"/>
        </w:rPr>
        <w:t xml:space="preserve"> Habrán de ser respetados y protegidos sin distinción alguna de índole desfavorable basada en el sexo, la raza, la nacionalidad, la religión, las opiniones políticas o en cualquier otro criterio análogo.</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sz w:val="24"/>
          <w:lang w:val="es-EC"/>
        </w:rPr>
        <w:t>Art. 12.-</w:t>
      </w:r>
      <w:r w:rsidRPr="00516B96">
        <w:rPr>
          <w:rFonts w:ascii="Times New Roman" w:hAnsi="Times New Roman" w:cs="Times New Roman"/>
          <w:sz w:val="24"/>
          <w:lang w:val="es-EC"/>
        </w:rPr>
        <w:t xml:space="preserve"> No podrán ser asesinados, exterminados ni sometidos a tortura o experimentos biológicos.</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sz w:val="24"/>
          <w:lang w:val="es-EC"/>
        </w:rPr>
        <w:t>Art. 15.-</w:t>
      </w:r>
      <w:r w:rsidRPr="00516B96">
        <w:rPr>
          <w:rFonts w:ascii="Times New Roman" w:hAnsi="Times New Roman" w:cs="Times New Roman"/>
          <w:sz w:val="24"/>
          <w:lang w:val="es-EC"/>
        </w:rPr>
        <w:t xml:space="preserve"> Recibirán atención adecuada.</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sz w:val="24"/>
          <w:lang w:val="es-EC"/>
        </w:rPr>
        <w:t>Art. 15.-</w:t>
      </w:r>
      <w:r w:rsidRPr="00516B96">
        <w:rPr>
          <w:rFonts w:ascii="Times New Roman" w:hAnsi="Times New Roman" w:cs="Times New Roman"/>
          <w:sz w:val="24"/>
          <w:lang w:val="es-EC"/>
        </w:rPr>
        <w:t xml:space="preserve"> Gozarán de protección contra el pillaje y los malos tratos.</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sz w:val="24"/>
          <w:lang w:val="es-EC"/>
        </w:rPr>
        <w:t>Arts.15-16.-</w:t>
      </w:r>
      <w:r w:rsidRPr="00516B96">
        <w:rPr>
          <w:rFonts w:ascii="Times New Roman" w:hAnsi="Times New Roman" w:cs="Times New Roman"/>
          <w:sz w:val="24"/>
          <w:lang w:val="es-EC"/>
        </w:rPr>
        <w:t xml:space="preserve"> En todo tiempo, y especialmente después de un combate, las partes en conflicto deberán buscar y recoger a los heridos y a los enfermos, y brindar la información a la Agencia Central de Búsquedas y de Actividades de Protección del Comité Internacional de la Cruz Roja (CICR).</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sz w:val="24"/>
          <w:lang w:val="es-EC"/>
        </w:rPr>
        <w:t>Art. 9.-</w:t>
      </w:r>
      <w:r w:rsidRPr="00516B96">
        <w:rPr>
          <w:rFonts w:ascii="Times New Roman" w:hAnsi="Times New Roman" w:cs="Times New Roman"/>
          <w:sz w:val="24"/>
          <w:lang w:val="es-EC"/>
        </w:rPr>
        <w:t xml:space="preserve"> Este Convenio, al igual que los demás, reconoce el derecho del CICR de asistir a los heridos y enfermos. Las sociedades nacionales de la Cruz Roja y la Media Luna. Roja, otras organizaciones imparciales de ayuda humanitaria autorizadas, y gobiernos neutrales también podrán brindar servicios humanitarios. Podrá solicitarse a los civiles locales que presten asistencia a los heridos y enfermos.</w:t>
      </w:r>
    </w:p>
    <w:p w:rsidR="00D739FA" w:rsidRPr="00516B96" w:rsidRDefault="00D739FA" w:rsidP="00D739FA">
      <w:pPr>
        <w:spacing w:line="360" w:lineRule="auto"/>
        <w:jc w:val="both"/>
        <w:rPr>
          <w:rFonts w:ascii="Times New Roman" w:hAnsi="Times New Roman" w:cs="Times New Roman"/>
          <w:b/>
          <w:sz w:val="24"/>
          <w:lang w:val="es-EC"/>
        </w:rPr>
      </w:pPr>
      <w:r w:rsidRPr="00516B96">
        <w:rPr>
          <w:rFonts w:ascii="Times New Roman" w:hAnsi="Times New Roman" w:cs="Times New Roman"/>
          <w:b/>
          <w:sz w:val="24"/>
          <w:lang w:val="es-EC"/>
        </w:rPr>
        <w:t>El Segundo Convenio de Ginebra</w:t>
      </w:r>
    </w:p>
    <w:p w:rsidR="00D739FA" w:rsidRPr="00516B96" w:rsidRDefault="00D739FA" w:rsidP="00D739FA">
      <w:pPr>
        <w:spacing w:line="360" w:lineRule="auto"/>
        <w:jc w:val="both"/>
        <w:rPr>
          <w:rFonts w:ascii="Times New Roman" w:hAnsi="Times New Roman" w:cs="Times New Roman"/>
          <w:i/>
          <w:iCs/>
          <w:sz w:val="24"/>
          <w:lang w:val="es-EC"/>
        </w:rPr>
      </w:pPr>
      <w:r w:rsidRPr="00516B96">
        <w:rPr>
          <w:rFonts w:ascii="Times New Roman" w:hAnsi="Times New Roman" w:cs="Times New Roman"/>
          <w:i/>
          <w:iCs/>
          <w:sz w:val="24"/>
          <w:lang w:val="es-EC"/>
        </w:rPr>
        <w:t>(Convenio de Ginebra para aliviar la suerte que corren los heridos, los enfermos y los náufragos de las Fuerzas Armadas en el mar, aprobado el 12 de agosto de 1949)</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El Segundo Convenio de Ginebra adapta las protecciones del Primer Convenio de Ginebra a las situaciones aplicables en el mar. Protege a los combatientes heridos y enfermos mientras se encuentran a bordo o en el mar.</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Sus 63 artículos se aplican a:</w:t>
      </w:r>
    </w:p>
    <w:p w:rsidR="00D739FA" w:rsidRPr="00516B96" w:rsidRDefault="00D739FA" w:rsidP="000A5FBE">
      <w:pPr>
        <w:spacing w:line="360" w:lineRule="auto"/>
        <w:ind w:firstLine="708"/>
        <w:jc w:val="both"/>
        <w:rPr>
          <w:rFonts w:ascii="Times New Roman" w:hAnsi="Times New Roman" w:cs="Times New Roman"/>
          <w:sz w:val="24"/>
          <w:lang w:val="es-EC"/>
        </w:rPr>
      </w:pPr>
      <w:r w:rsidRPr="00516B96">
        <w:rPr>
          <w:rFonts w:ascii="Times New Roman" w:hAnsi="Times New Roman" w:cs="Times New Roman"/>
          <w:sz w:val="24"/>
          <w:lang w:val="es-EC"/>
        </w:rPr>
        <w:t>• Miembros de las fuerzas armadas heridos, enfermos o náufragos;</w:t>
      </w:r>
    </w:p>
    <w:p w:rsidR="00D739FA" w:rsidRPr="00516B96" w:rsidRDefault="00D739FA" w:rsidP="000A5FBE">
      <w:pPr>
        <w:spacing w:line="360" w:lineRule="auto"/>
        <w:ind w:firstLine="708"/>
        <w:jc w:val="both"/>
        <w:rPr>
          <w:rFonts w:ascii="Times New Roman" w:hAnsi="Times New Roman" w:cs="Times New Roman"/>
          <w:sz w:val="24"/>
          <w:lang w:val="es-EC"/>
        </w:rPr>
      </w:pPr>
      <w:r w:rsidRPr="00516B96">
        <w:rPr>
          <w:rFonts w:ascii="Times New Roman" w:hAnsi="Times New Roman" w:cs="Times New Roman"/>
          <w:sz w:val="24"/>
          <w:lang w:val="es-EC"/>
        </w:rPr>
        <w:t>• Barcos hospitales y personal médico;</w:t>
      </w:r>
    </w:p>
    <w:p w:rsidR="000A5FBE" w:rsidRPr="00516B96" w:rsidRDefault="00D739FA" w:rsidP="000377BD">
      <w:pPr>
        <w:spacing w:line="360" w:lineRule="auto"/>
        <w:ind w:firstLine="708"/>
        <w:jc w:val="both"/>
        <w:rPr>
          <w:rFonts w:ascii="Times New Roman" w:hAnsi="Times New Roman" w:cs="Times New Roman"/>
          <w:sz w:val="24"/>
          <w:lang w:val="es-EC"/>
        </w:rPr>
      </w:pPr>
      <w:r w:rsidRPr="00516B96">
        <w:rPr>
          <w:rFonts w:ascii="Times New Roman" w:hAnsi="Times New Roman" w:cs="Times New Roman"/>
          <w:sz w:val="24"/>
          <w:lang w:val="es-EC"/>
        </w:rPr>
        <w:t>• Civiles que acompañan a las fuerzas armadas.</w:t>
      </w:r>
    </w:p>
    <w:p w:rsidR="000A5FBE" w:rsidRPr="00516B96" w:rsidRDefault="000A5FBE" w:rsidP="00D739FA">
      <w:pPr>
        <w:spacing w:line="360" w:lineRule="auto"/>
        <w:jc w:val="both"/>
        <w:rPr>
          <w:rFonts w:ascii="Times New Roman" w:hAnsi="Times New Roman" w:cs="Times New Roman"/>
          <w:sz w:val="24"/>
          <w:lang w:val="es-EC"/>
        </w:rPr>
      </w:pPr>
      <w:r w:rsidRPr="00516B96">
        <w:rPr>
          <w:rFonts w:ascii="Times New Roman" w:hAnsi="Times New Roman" w:cs="Times New Roman"/>
          <w:sz w:val="24"/>
          <w:lang w:val="es-EC"/>
        </w:rPr>
        <w:t>Disposiciones específicas:</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lastRenderedPageBreak/>
        <w:t xml:space="preserve">Arts. 12, 18.- </w:t>
      </w:r>
      <w:r w:rsidRPr="00516B96">
        <w:rPr>
          <w:rFonts w:ascii="Times New Roman" w:hAnsi="Times New Roman" w:cs="Times New Roman"/>
          <w:sz w:val="24"/>
          <w:lang w:val="es-EC"/>
        </w:rPr>
        <w:t>Este Convenio ordena a las partes en conflicto adoptar todas las medidas posibles para buscar y recoger a los heridos, enfermos y náufragos, y proporcionarles la asistencia necesaria. El término “naufragio” será aplicable a todo naufragio, sean cuales fueren las circunstancias en que se produzca, incluido el amaraje forzoso o la caída en el mar.</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 21.- </w:t>
      </w:r>
      <w:r w:rsidRPr="00516B96">
        <w:rPr>
          <w:rFonts w:ascii="Times New Roman" w:hAnsi="Times New Roman" w:cs="Times New Roman"/>
          <w:sz w:val="24"/>
          <w:lang w:val="es-EC"/>
        </w:rPr>
        <w:t>Las Partes en conflicto podrán hacer un llamamiento a la caridad de los capitanes de los barcos mercantes, de los yates o de las embarcaciones neutrales, para que tomen a bordo y asistan a heridos, enfermos o náufragos. En ningún caso serán capturados por brindar ayuda mientras se mantengan neutrales.</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Arts. 36-37.- </w:t>
      </w:r>
      <w:r w:rsidRPr="00516B96">
        <w:rPr>
          <w:rFonts w:ascii="Times New Roman" w:hAnsi="Times New Roman" w:cs="Times New Roman"/>
          <w:sz w:val="24"/>
          <w:lang w:val="es-EC"/>
        </w:rPr>
        <w:t>Se respetará y protegerá al personal religioso, médico y sanitario de los barcos hospitales y sus tripulaciones. Si fueran capturados, deberán ser devueltos lo antes posible.</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 22.- </w:t>
      </w:r>
      <w:r w:rsidRPr="00516B96">
        <w:rPr>
          <w:rFonts w:ascii="Times New Roman" w:hAnsi="Times New Roman" w:cs="Times New Roman"/>
          <w:sz w:val="24"/>
          <w:lang w:val="es-EC"/>
        </w:rPr>
        <w:t>En ningún caso los barcos hospitales se utilizarán con fines militares. No podrán ser atacados ni apresados. Los nombres y las características de los barcos hospitales deben notificarse a todas las partes en conflicto.</w:t>
      </w:r>
    </w:p>
    <w:p w:rsidR="00D739FA" w:rsidRPr="00516B96" w:rsidRDefault="00D739FA" w:rsidP="00D739FA">
      <w:pPr>
        <w:spacing w:line="360" w:lineRule="auto"/>
        <w:jc w:val="both"/>
        <w:rPr>
          <w:rFonts w:ascii="Times New Roman" w:hAnsi="Times New Roman" w:cs="Times New Roman"/>
          <w:sz w:val="24"/>
          <w:lang w:val="es-EC"/>
        </w:rPr>
      </w:pPr>
      <w:r w:rsidRPr="00516B96">
        <w:rPr>
          <w:rFonts w:ascii="Times New Roman" w:hAnsi="Times New Roman" w:cs="Times New Roman"/>
          <w:b/>
          <w:bCs/>
          <w:sz w:val="24"/>
          <w:lang w:val="es-EC"/>
        </w:rPr>
        <w:t xml:space="preserve">Art. 14.- </w:t>
      </w:r>
      <w:r w:rsidRPr="00516B96">
        <w:rPr>
          <w:rFonts w:ascii="Times New Roman" w:hAnsi="Times New Roman" w:cs="Times New Roman"/>
          <w:sz w:val="24"/>
          <w:lang w:val="es-EC"/>
        </w:rPr>
        <w:t>Si bien un barco de guerra no puede capturar al personal médico de un barco hospital, podrá retener a los heridos, enfermos y náufragos como prisioneros de guerra, si el estado de salud permite su traslado seguro y si el barco de guerra posee las instalaciones adecuadas para atenderlos.</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El Tercer Convenio de Ginebra</w:t>
      </w:r>
    </w:p>
    <w:p w:rsidR="00D739FA" w:rsidRPr="00516B96" w:rsidRDefault="00D739FA" w:rsidP="00D739FA">
      <w:pPr>
        <w:spacing w:line="360" w:lineRule="auto"/>
        <w:jc w:val="both"/>
        <w:rPr>
          <w:rFonts w:ascii="Times New Roman" w:hAnsi="Times New Roman" w:cs="Times New Roman"/>
          <w:bCs/>
          <w:i/>
          <w:iCs/>
          <w:sz w:val="24"/>
          <w:lang w:val="es-EC"/>
        </w:rPr>
      </w:pPr>
      <w:r w:rsidRPr="00516B96">
        <w:rPr>
          <w:rFonts w:ascii="Times New Roman" w:hAnsi="Times New Roman" w:cs="Times New Roman"/>
          <w:bCs/>
          <w:i/>
          <w:iCs/>
          <w:sz w:val="24"/>
          <w:lang w:val="es-EC"/>
        </w:rPr>
        <w:t>(Convenio de Ginebra relativo al trato debido a los prisioneros de guerra, aprobado el 12 de agosto de 1949)</w:t>
      </w:r>
    </w:p>
    <w:p w:rsidR="000377BD" w:rsidRPr="00516B96" w:rsidRDefault="00D739FA" w:rsidP="00D739FA">
      <w:pPr>
        <w:spacing w:line="360" w:lineRule="auto"/>
        <w:jc w:val="both"/>
        <w:rPr>
          <w:rFonts w:ascii="Times New Roman" w:hAnsi="Times New Roman" w:cs="Times New Roman"/>
          <w:bCs/>
          <w:sz w:val="24"/>
          <w:lang w:val="es-EC"/>
        </w:rPr>
      </w:pPr>
      <w:r w:rsidRPr="00516B96">
        <w:rPr>
          <w:rFonts w:ascii="Times New Roman" w:hAnsi="Times New Roman" w:cs="Times New Roman"/>
          <w:bCs/>
          <w:sz w:val="24"/>
          <w:lang w:val="es-EC"/>
        </w:rPr>
        <w:t xml:space="preserve">El Tercer Convenio de Ginebra contiene normas específicas relacionadas con el trato debido a los prisioneros de guerra. Los 143 artículos del Convenio establecen que los prisioneros de guerra deben recibir trato humanitario, alojamiento adecuado y alimentos, vestimenta y atención médica apropiados. </w:t>
      </w:r>
    </w:p>
    <w:p w:rsidR="00D739FA" w:rsidRPr="00516B96" w:rsidRDefault="00D739FA" w:rsidP="00D739FA">
      <w:pPr>
        <w:spacing w:line="360" w:lineRule="auto"/>
        <w:jc w:val="both"/>
        <w:rPr>
          <w:rFonts w:ascii="Times New Roman" w:hAnsi="Times New Roman" w:cs="Times New Roman"/>
          <w:bCs/>
          <w:i/>
          <w:iCs/>
          <w:sz w:val="24"/>
          <w:lang w:val="es-EC"/>
        </w:rPr>
      </w:pPr>
      <w:r w:rsidRPr="00516B96">
        <w:rPr>
          <w:rFonts w:ascii="Times New Roman" w:hAnsi="Times New Roman" w:cs="Times New Roman"/>
          <w:bCs/>
          <w:sz w:val="24"/>
          <w:lang w:val="es-EC"/>
        </w:rPr>
        <w:t>Además, sus disposiciones establecen pautas sobre el trabajo, la disciplina, la recreación y los juicios penales a los que se someterán los prisioneros. Los prisioneros de guerra incluyen a:</w:t>
      </w:r>
    </w:p>
    <w:p w:rsidR="00D739FA" w:rsidRPr="00516B96" w:rsidRDefault="00D739FA" w:rsidP="000377BD">
      <w:pPr>
        <w:spacing w:line="360" w:lineRule="auto"/>
        <w:ind w:firstLine="708"/>
        <w:jc w:val="both"/>
        <w:rPr>
          <w:rFonts w:ascii="Times New Roman" w:hAnsi="Times New Roman" w:cs="Times New Roman"/>
          <w:bCs/>
          <w:sz w:val="24"/>
          <w:lang w:val="es-EC"/>
        </w:rPr>
      </w:pPr>
      <w:r w:rsidRPr="00516B96">
        <w:rPr>
          <w:rFonts w:ascii="Times New Roman" w:hAnsi="Times New Roman" w:cs="Times New Roman"/>
          <w:bCs/>
          <w:sz w:val="24"/>
          <w:lang w:val="es-EC"/>
        </w:rPr>
        <w:lastRenderedPageBreak/>
        <w:t>• Los miembros de las fuerzas armadas;</w:t>
      </w:r>
    </w:p>
    <w:p w:rsidR="00D739FA" w:rsidRPr="00516B96" w:rsidRDefault="00D739FA" w:rsidP="000377BD">
      <w:pPr>
        <w:spacing w:line="360" w:lineRule="auto"/>
        <w:ind w:firstLine="708"/>
        <w:jc w:val="both"/>
        <w:rPr>
          <w:rFonts w:ascii="Times New Roman" w:hAnsi="Times New Roman" w:cs="Times New Roman"/>
          <w:bCs/>
          <w:sz w:val="24"/>
          <w:lang w:val="es-EC"/>
        </w:rPr>
      </w:pPr>
      <w:r w:rsidRPr="00516B96">
        <w:rPr>
          <w:rFonts w:ascii="Times New Roman" w:hAnsi="Times New Roman" w:cs="Times New Roman"/>
          <w:bCs/>
          <w:sz w:val="24"/>
          <w:lang w:val="es-EC"/>
        </w:rPr>
        <w:t>• Las milicias voluntarias, incluidos los movimientos de resistencia;</w:t>
      </w:r>
    </w:p>
    <w:p w:rsidR="00D739FA" w:rsidRPr="00516B96" w:rsidRDefault="00D739FA" w:rsidP="000377BD">
      <w:pPr>
        <w:spacing w:line="360" w:lineRule="auto"/>
        <w:ind w:firstLine="708"/>
        <w:jc w:val="both"/>
        <w:rPr>
          <w:rFonts w:ascii="Times New Roman" w:hAnsi="Times New Roman" w:cs="Times New Roman"/>
          <w:bCs/>
          <w:sz w:val="24"/>
          <w:lang w:val="es-EC"/>
        </w:rPr>
      </w:pPr>
      <w:r w:rsidRPr="00516B96">
        <w:rPr>
          <w:rFonts w:ascii="Times New Roman" w:hAnsi="Times New Roman" w:cs="Times New Roman"/>
          <w:bCs/>
          <w:sz w:val="24"/>
          <w:lang w:val="es-EC"/>
        </w:rPr>
        <w:t>• Los civiles que acompañan a las fuerzas armadas.</w:t>
      </w:r>
    </w:p>
    <w:p w:rsidR="00D739FA" w:rsidRPr="00516B96" w:rsidRDefault="00D739FA" w:rsidP="00D739FA">
      <w:pPr>
        <w:spacing w:line="360" w:lineRule="auto"/>
        <w:jc w:val="both"/>
        <w:rPr>
          <w:rFonts w:ascii="Times New Roman" w:hAnsi="Times New Roman" w:cs="Times New Roman"/>
          <w:bCs/>
          <w:sz w:val="24"/>
          <w:lang w:val="es-EC"/>
        </w:rPr>
      </w:pPr>
      <w:r w:rsidRPr="00516B96">
        <w:rPr>
          <w:rFonts w:ascii="Times New Roman" w:hAnsi="Times New Roman" w:cs="Times New Roman"/>
          <w:bCs/>
          <w:sz w:val="24"/>
          <w:lang w:val="es-EC"/>
        </w:rPr>
        <w:t>Disposiciones específicas:</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Arts. 70-72, 123.- </w:t>
      </w:r>
      <w:r w:rsidRPr="00516B96">
        <w:rPr>
          <w:rFonts w:ascii="Times New Roman" w:hAnsi="Times New Roman" w:cs="Times New Roman"/>
          <w:bCs/>
          <w:sz w:val="24"/>
          <w:lang w:val="es-EC"/>
        </w:rPr>
        <w:t>Los nombres de los prisioneros de guerra deberán enviarse de inmediato a la Agencia Central de Búsquedas del CICR. Los prisioneros de guerra estarán autorizados a intercambiar correspondencia con sus familiares y a recibir paquetes de suministros de socorro.</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Arts. 13-14, 16.- </w:t>
      </w:r>
      <w:r w:rsidRPr="00516B96">
        <w:rPr>
          <w:rFonts w:ascii="Times New Roman" w:hAnsi="Times New Roman" w:cs="Times New Roman"/>
          <w:bCs/>
          <w:sz w:val="24"/>
          <w:lang w:val="es-EC"/>
        </w:rPr>
        <w:t>Ningún prisionero de guerra podrá ser sometido a torturas o a experimentos médicos. Asimismo, los prisioneros de guerra deberán ser protegidos contra todo acto de violencia los insultos y la curiosidad pública.</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Arts. 25-27, 30.- </w:t>
      </w:r>
      <w:r w:rsidRPr="00516B96">
        <w:rPr>
          <w:rFonts w:ascii="Times New Roman" w:hAnsi="Times New Roman" w:cs="Times New Roman"/>
          <w:bCs/>
          <w:sz w:val="24"/>
          <w:lang w:val="es-EC"/>
        </w:rPr>
        <w:t>Los captores no deberán aplicar medidas de represalia ni ejercer discriminación contra los prisioneros basada en la raza, la nacionalidad, la religión, las opiniones políticas o en cualquier otra circunstancia.</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 23.- </w:t>
      </w:r>
      <w:r w:rsidRPr="00516B96">
        <w:rPr>
          <w:rFonts w:ascii="Times New Roman" w:hAnsi="Times New Roman" w:cs="Times New Roman"/>
          <w:bCs/>
          <w:sz w:val="24"/>
          <w:lang w:val="es-EC"/>
        </w:rPr>
        <w:t>Las mujeres deben ser tratadas con todas las consideraciones debidas a su sexo.</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 17.- </w:t>
      </w:r>
      <w:r w:rsidRPr="00516B96">
        <w:rPr>
          <w:rFonts w:ascii="Times New Roman" w:hAnsi="Times New Roman" w:cs="Times New Roman"/>
          <w:bCs/>
          <w:sz w:val="24"/>
          <w:lang w:val="es-EC"/>
        </w:rPr>
        <w:t>El prisionero de guerra no tendrá obligación de declarar más que su nombre y apellido, su rango, la fecha de nacimiento y su número de matrícula militar.</w:t>
      </w:r>
    </w:p>
    <w:p w:rsidR="00D739FA" w:rsidRPr="00516B96" w:rsidRDefault="00D739FA" w:rsidP="00D739FA">
      <w:pPr>
        <w:spacing w:line="360" w:lineRule="auto"/>
        <w:jc w:val="both"/>
        <w:rPr>
          <w:rFonts w:ascii="Times New Roman" w:hAnsi="Times New Roman" w:cs="Times New Roman"/>
          <w:bCs/>
          <w:sz w:val="24"/>
          <w:lang w:val="es-EC"/>
        </w:rPr>
      </w:pPr>
      <w:r w:rsidRPr="00516B96">
        <w:rPr>
          <w:rFonts w:ascii="Times New Roman" w:hAnsi="Times New Roman" w:cs="Times New Roman"/>
          <w:b/>
          <w:bCs/>
          <w:sz w:val="24"/>
          <w:lang w:val="es-EC"/>
        </w:rPr>
        <w:t xml:space="preserve">Arts. 50, 54.- </w:t>
      </w:r>
      <w:r w:rsidRPr="00516B96">
        <w:rPr>
          <w:rFonts w:ascii="Times New Roman" w:hAnsi="Times New Roman" w:cs="Times New Roman"/>
          <w:bCs/>
          <w:sz w:val="24"/>
          <w:lang w:val="es-EC"/>
        </w:rPr>
        <w:t>Los prisioneros de guerra deberán ser alojados en refugios limpios y adecuados, y recibir alimentos, ropa y asistencia médica necesaria para mantener buenas condiciones de salud. En ningún caso deberán retenerse en regiones donde queden expuestos al fuego, ni podrá utilizarse su presencia para proteger ciertos puntos o lugares contra los efectos de operaciones militares. Podrán ser obligados a realizar trabajos no militares en condiciones laborales razonables mediante el pago de una remuneración justa.</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Arts. 82, 84.- </w:t>
      </w:r>
      <w:r w:rsidRPr="00516B96">
        <w:rPr>
          <w:rFonts w:ascii="Times New Roman" w:hAnsi="Times New Roman" w:cs="Times New Roman"/>
          <w:bCs/>
          <w:sz w:val="24"/>
          <w:lang w:val="es-EC"/>
        </w:rPr>
        <w:t>Los prisioneros se encuentran sujetos a las leyes de sus captores y podrán ser juzgados por los tribunales de estos últimos. El captor deberá garantizar un trato justo, imparcial y la asistencia de un abogado competente para el prisionero.</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lastRenderedPageBreak/>
        <w:t xml:space="preserve">Arts. 109, 110.- </w:t>
      </w:r>
      <w:r w:rsidRPr="00516B96">
        <w:rPr>
          <w:rFonts w:ascii="Times New Roman" w:hAnsi="Times New Roman" w:cs="Times New Roman"/>
          <w:bCs/>
          <w:sz w:val="24"/>
          <w:lang w:val="es-EC"/>
        </w:rPr>
        <w:t>Los prisioneros de guerra gravemente heridos deberán repatriarse (trasladarse a su lugar de origen).</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 118.- </w:t>
      </w:r>
      <w:r w:rsidRPr="00516B96">
        <w:rPr>
          <w:rFonts w:ascii="Times New Roman" w:hAnsi="Times New Roman" w:cs="Times New Roman"/>
          <w:bCs/>
          <w:sz w:val="24"/>
          <w:lang w:val="es-EC"/>
        </w:rPr>
        <w:t>Al finalizar las hostilidades, todos los prisioneros de guerra deberán ser liberados y, si así lo solicitan, repatriarse sin demora.</w:t>
      </w:r>
    </w:p>
    <w:p w:rsidR="00F35A9E" w:rsidRPr="001A0A85" w:rsidRDefault="00D739FA" w:rsidP="00D739FA">
      <w:pPr>
        <w:spacing w:line="360" w:lineRule="auto"/>
        <w:jc w:val="both"/>
        <w:rPr>
          <w:rFonts w:ascii="Times New Roman" w:hAnsi="Times New Roman" w:cs="Times New Roman"/>
          <w:bCs/>
          <w:sz w:val="24"/>
          <w:lang w:val="es-EC"/>
        </w:rPr>
      </w:pPr>
      <w:r w:rsidRPr="00516B96">
        <w:rPr>
          <w:rFonts w:ascii="Times New Roman" w:hAnsi="Times New Roman" w:cs="Times New Roman"/>
          <w:b/>
          <w:bCs/>
          <w:sz w:val="24"/>
          <w:lang w:val="es-EC"/>
        </w:rPr>
        <w:t xml:space="preserve">Art. 125.- </w:t>
      </w:r>
      <w:r w:rsidRPr="00516B96">
        <w:rPr>
          <w:rFonts w:ascii="Times New Roman" w:hAnsi="Times New Roman" w:cs="Times New Roman"/>
          <w:bCs/>
          <w:sz w:val="24"/>
          <w:lang w:val="es-EC"/>
        </w:rPr>
        <w:t>El CICR tiene derechos especiales para llevar a cabo actividades humanitarias a favor de los prisioneros de guerra. El CICR u otras organizaciones imparciales de ayuda humanitaria autorizadas por las partes del conflicto podrán visitar a los prisioneros en forma privada, examinar las condiciones de cautiverio para verificar el cumplimiento de las normas establecidas en los Convenios, y entregar suministros de socorro.</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El Cuarto Convenio de Ginebra</w:t>
      </w:r>
    </w:p>
    <w:p w:rsidR="00D739FA" w:rsidRPr="00516B96" w:rsidRDefault="00D739FA" w:rsidP="00D739FA">
      <w:pPr>
        <w:spacing w:line="360" w:lineRule="auto"/>
        <w:jc w:val="both"/>
        <w:rPr>
          <w:rFonts w:ascii="Times New Roman" w:hAnsi="Times New Roman" w:cs="Times New Roman"/>
          <w:bCs/>
          <w:i/>
          <w:iCs/>
          <w:sz w:val="24"/>
          <w:lang w:val="es-EC"/>
        </w:rPr>
      </w:pPr>
      <w:r w:rsidRPr="00516B96">
        <w:rPr>
          <w:rFonts w:ascii="Times New Roman" w:hAnsi="Times New Roman" w:cs="Times New Roman"/>
          <w:bCs/>
          <w:i/>
          <w:iCs/>
          <w:sz w:val="24"/>
          <w:lang w:val="es-EC"/>
        </w:rPr>
        <w:t>(Convenio de Ginebra relativo a la protección debida a las personas civiles en tiempo de guerra, aprobado el 12 de agosto de 1949)</w:t>
      </w:r>
    </w:p>
    <w:p w:rsidR="00D739FA" w:rsidRPr="00516B96" w:rsidRDefault="00D739FA" w:rsidP="00D739FA">
      <w:pPr>
        <w:spacing w:line="360" w:lineRule="auto"/>
        <w:jc w:val="both"/>
        <w:rPr>
          <w:rFonts w:ascii="Times New Roman" w:hAnsi="Times New Roman" w:cs="Times New Roman"/>
          <w:bCs/>
          <w:i/>
          <w:iCs/>
          <w:sz w:val="24"/>
          <w:lang w:val="es-EC"/>
        </w:rPr>
      </w:pPr>
      <w:r w:rsidRPr="00516B96">
        <w:rPr>
          <w:rFonts w:ascii="Times New Roman" w:hAnsi="Times New Roman" w:cs="Times New Roman"/>
          <w:bCs/>
          <w:sz w:val="24"/>
          <w:lang w:val="es-EC"/>
        </w:rPr>
        <w:t>Los civiles que se encuentran en zonas de conflicto y territorios ocupados gozan de la protección conferida por los 159 artículos del cuarto Convenio de Ginebra.</w:t>
      </w:r>
    </w:p>
    <w:p w:rsidR="00D739FA" w:rsidRPr="00516B96" w:rsidRDefault="00D739FA" w:rsidP="00D739FA">
      <w:pPr>
        <w:spacing w:line="360" w:lineRule="auto"/>
        <w:jc w:val="both"/>
        <w:rPr>
          <w:rFonts w:ascii="Times New Roman" w:hAnsi="Times New Roman" w:cs="Times New Roman"/>
          <w:bCs/>
          <w:sz w:val="24"/>
          <w:lang w:val="es-EC"/>
        </w:rPr>
      </w:pPr>
      <w:r w:rsidRPr="00516B96">
        <w:rPr>
          <w:rFonts w:ascii="Times New Roman" w:hAnsi="Times New Roman" w:cs="Times New Roman"/>
          <w:bCs/>
          <w:sz w:val="24"/>
          <w:lang w:val="es-EC"/>
        </w:rPr>
        <w:t>Disposiciones específicas:</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Arts. 79-135.- </w:t>
      </w:r>
      <w:r w:rsidRPr="00516B96">
        <w:rPr>
          <w:rFonts w:ascii="Times New Roman" w:hAnsi="Times New Roman" w:cs="Times New Roman"/>
          <w:bCs/>
          <w:sz w:val="24"/>
          <w:lang w:val="es-EC"/>
        </w:rPr>
        <w:t>Si la seguridad lo permite, debe permitirse a los civiles desarrollar su vida con normalidad. No deben ser deportados ni detenidos, salvo por motivos imperativos de seguridad. Si la detención fuera necesaria, las condiciones deben ser como mínimo similares a las establecidas para los prisioneros de guerra.</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Arts. 33-34.- </w:t>
      </w:r>
      <w:r w:rsidRPr="00516B96">
        <w:rPr>
          <w:rFonts w:ascii="Times New Roman" w:hAnsi="Times New Roman" w:cs="Times New Roman"/>
          <w:bCs/>
          <w:sz w:val="24"/>
          <w:lang w:val="es-EC"/>
        </w:rPr>
        <w:t>Se prohíbe el pillaje, las medidas de represalia, la destrucción indiscriminada de bienes, y la toma de rehenes.</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 27.- </w:t>
      </w:r>
      <w:r w:rsidRPr="00516B96">
        <w:rPr>
          <w:rFonts w:ascii="Times New Roman" w:hAnsi="Times New Roman" w:cs="Times New Roman"/>
          <w:bCs/>
          <w:sz w:val="24"/>
          <w:lang w:val="es-EC"/>
        </w:rPr>
        <w:t>Deben respetarse la seguridad, el honor, los derechos familiares, las prácticas religiosas, los hábitos y las costumbres de los civiles.</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Arts. 32, 13.- </w:t>
      </w:r>
      <w:r w:rsidRPr="00516B96">
        <w:rPr>
          <w:rFonts w:ascii="Times New Roman" w:hAnsi="Times New Roman" w:cs="Times New Roman"/>
          <w:bCs/>
          <w:sz w:val="24"/>
          <w:lang w:val="es-EC"/>
        </w:rPr>
        <w:t>Se protege a los civiles contra el homicidio, la tortura, los tratos inhumanos y contra la discriminación basada en la raza, la nacionalidad, la religión o las opiniones políticas.</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Arts. 33, 49.- </w:t>
      </w:r>
      <w:r w:rsidRPr="00516B96">
        <w:rPr>
          <w:rFonts w:ascii="Times New Roman" w:hAnsi="Times New Roman" w:cs="Times New Roman"/>
          <w:bCs/>
          <w:sz w:val="24"/>
          <w:lang w:val="es-EC"/>
        </w:rPr>
        <w:t>No serán sometidos a castigos colectivos o deportaciones.</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lastRenderedPageBreak/>
        <w:t xml:space="preserve">Arts. 24, 25.- </w:t>
      </w:r>
      <w:r w:rsidRPr="00516B96">
        <w:rPr>
          <w:rFonts w:ascii="Times New Roman" w:hAnsi="Times New Roman" w:cs="Times New Roman"/>
          <w:bCs/>
          <w:sz w:val="24"/>
          <w:lang w:val="es-EC"/>
        </w:rPr>
        <w:t>Este Convenio dispone el cuidado de los niños que hayan quedado huérfanos o estén separados de su familia. La Agencia Central de Búsquedas y de Actividades de Protección del CICR también está autorizada para transmitir noticias familiares y brindar asistencia para la reunificación familiar, con la ayuda de las sociedades nacionales de la Cruz Roja y la Media Luna Roja.</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 14.- </w:t>
      </w:r>
      <w:r w:rsidRPr="00516B96">
        <w:rPr>
          <w:rFonts w:ascii="Times New Roman" w:hAnsi="Times New Roman" w:cs="Times New Roman"/>
          <w:bCs/>
          <w:sz w:val="24"/>
          <w:lang w:val="es-EC"/>
        </w:rPr>
        <w:t>Podrán establecerse zonas sanitarias y de seguridad para los heridos, enfermos, ancianos, niños menores de quince años de edad, mujeres embarazadas y madres de niños menores de siete años de edad.</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 18.- </w:t>
      </w:r>
      <w:r w:rsidRPr="00516B96">
        <w:rPr>
          <w:rFonts w:ascii="Times New Roman" w:hAnsi="Times New Roman" w:cs="Times New Roman"/>
          <w:bCs/>
          <w:sz w:val="24"/>
          <w:lang w:val="es-EC"/>
        </w:rPr>
        <w:t>Se ofrecerá protección a los hospitales civiles y a su personal.</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Arts. 55, 58.- </w:t>
      </w:r>
      <w:r w:rsidRPr="00516B96">
        <w:rPr>
          <w:rFonts w:ascii="Times New Roman" w:hAnsi="Times New Roman" w:cs="Times New Roman"/>
          <w:bCs/>
          <w:sz w:val="24"/>
          <w:lang w:val="es-EC"/>
        </w:rPr>
        <w:t>Se permitirá el envío de artículos médicos y objetos empleados para el culto religioso.</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 40.- </w:t>
      </w:r>
      <w:r w:rsidRPr="00516B96">
        <w:rPr>
          <w:rFonts w:ascii="Times New Roman" w:hAnsi="Times New Roman" w:cs="Times New Roman"/>
          <w:bCs/>
          <w:sz w:val="24"/>
          <w:lang w:val="es-EC"/>
        </w:rPr>
        <w:t>No se podrá obligar a los civiles a realizar trabajos relacionados con operaciones militares para una fuerza de ocupación.</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 54.- </w:t>
      </w:r>
      <w:r w:rsidRPr="00516B96">
        <w:rPr>
          <w:rFonts w:ascii="Times New Roman" w:hAnsi="Times New Roman" w:cs="Times New Roman"/>
          <w:bCs/>
          <w:sz w:val="24"/>
          <w:lang w:val="es-EC"/>
        </w:rPr>
        <w:t>Deberán recibir una remuneración justa por el trabajo asignado.</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 64.- </w:t>
      </w:r>
      <w:r w:rsidRPr="00516B96">
        <w:rPr>
          <w:rFonts w:ascii="Times New Roman" w:hAnsi="Times New Roman" w:cs="Times New Roman"/>
          <w:bCs/>
          <w:sz w:val="24"/>
          <w:lang w:val="es-EC"/>
        </w:rPr>
        <w:t>Las autoridades públicas podrán continuar cumpliendo sus funciones. Las leyes del territorio ocupado permanecerán en vigencia salvo que presenten una amenaza para la seguridad.</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 55.- </w:t>
      </w:r>
      <w:r w:rsidRPr="00516B96">
        <w:rPr>
          <w:rFonts w:ascii="Times New Roman" w:hAnsi="Times New Roman" w:cs="Times New Roman"/>
          <w:bCs/>
          <w:sz w:val="24"/>
          <w:lang w:val="es-EC"/>
        </w:rPr>
        <w:t>La potencia ocupante tiene el deber de abastecer a la población alimentos y artículos médicos necesarios y mantener los establecimientos médicos y de salud pública.</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 59.- </w:t>
      </w:r>
      <w:r w:rsidRPr="00516B96">
        <w:rPr>
          <w:rFonts w:ascii="Times New Roman" w:hAnsi="Times New Roman" w:cs="Times New Roman"/>
          <w:bCs/>
          <w:sz w:val="24"/>
          <w:lang w:val="es-EC"/>
        </w:rPr>
        <w:t>Cuando eso no sea posible, deberán facilitar los envíos de socorro por parte de organizaciones humanitarias imparciales, como el CICR. Se permitirá que la Cruz Roja u otras organizaciones imparciales de socorro humanitario autorizadas por las partes del conflicto continúen con sus actividades.</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Arts. 89-91.- </w:t>
      </w:r>
      <w:r w:rsidRPr="00516B96">
        <w:rPr>
          <w:rFonts w:ascii="Times New Roman" w:hAnsi="Times New Roman" w:cs="Times New Roman"/>
          <w:bCs/>
          <w:sz w:val="24"/>
          <w:lang w:val="es-EC"/>
        </w:rPr>
        <w:t>Los detenidos deben recibir alimentos, vestimenta y atención médica adecuada, así como protección de los peligros de la guerra.</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 106.- </w:t>
      </w:r>
      <w:r w:rsidRPr="00516B96">
        <w:rPr>
          <w:rFonts w:ascii="Times New Roman" w:hAnsi="Times New Roman" w:cs="Times New Roman"/>
          <w:bCs/>
          <w:sz w:val="24"/>
          <w:lang w:val="es-EC"/>
        </w:rPr>
        <w:t>La información acerca de los detenidos se enviará a la Agencia Central de Búsquedas.</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lastRenderedPageBreak/>
        <w:t xml:space="preserve">Arts. 108, 107.- </w:t>
      </w:r>
      <w:r w:rsidRPr="00516B96">
        <w:rPr>
          <w:rFonts w:ascii="Times New Roman" w:hAnsi="Times New Roman" w:cs="Times New Roman"/>
          <w:bCs/>
          <w:sz w:val="24"/>
          <w:lang w:val="es-EC"/>
        </w:rPr>
        <w:t>Los detenidos tienen el derecho de enviar y recibir correspondencia y recibir envíos de artículos de socorro.</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 132.- </w:t>
      </w:r>
      <w:r w:rsidRPr="00516B96">
        <w:rPr>
          <w:rFonts w:ascii="Times New Roman" w:hAnsi="Times New Roman" w:cs="Times New Roman"/>
          <w:bCs/>
          <w:sz w:val="24"/>
          <w:lang w:val="es-EC"/>
        </w:rPr>
        <w:t>Los niños, las mujeres embarazadas, las madres con bebés y los niños de corta edad, los heridos y enfermos, y quienes han sido detenidos por un largo período de tiempo deberán ser liberados con la mayor brevedad posible.</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Protocolos Adicionales a los Convenios de Ginebra de 1949 </w:t>
      </w:r>
    </w:p>
    <w:p w:rsidR="00D739FA" w:rsidRPr="00516B96" w:rsidRDefault="00D739FA" w:rsidP="00D739FA">
      <w:pPr>
        <w:spacing w:line="360" w:lineRule="auto"/>
        <w:jc w:val="both"/>
        <w:rPr>
          <w:rFonts w:ascii="Times New Roman" w:hAnsi="Times New Roman" w:cs="Times New Roman"/>
          <w:bCs/>
          <w:sz w:val="24"/>
          <w:lang w:val="es-EC"/>
        </w:rPr>
      </w:pPr>
      <w:r w:rsidRPr="00516B96">
        <w:rPr>
          <w:rFonts w:ascii="Times New Roman" w:hAnsi="Times New Roman" w:cs="Times New Roman"/>
          <w:bCs/>
          <w:sz w:val="24"/>
          <w:lang w:val="es-EC"/>
        </w:rPr>
        <w:t xml:space="preserve">En 1977, una conferencia diplomática internacional adoptó dos protocolos complementarios a los Convenios de Ginebra para brindar mayor protección a las víctimas de conflictos armados internos e internacionales. </w:t>
      </w:r>
    </w:p>
    <w:p w:rsidR="00D739FA" w:rsidRPr="00516B96" w:rsidRDefault="00D739FA" w:rsidP="00D739FA">
      <w:pPr>
        <w:spacing w:line="360" w:lineRule="auto"/>
        <w:jc w:val="both"/>
        <w:rPr>
          <w:rFonts w:ascii="Times New Roman" w:hAnsi="Times New Roman" w:cs="Times New Roman"/>
          <w:bCs/>
          <w:sz w:val="24"/>
          <w:lang w:val="es-EC"/>
        </w:rPr>
      </w:pPr>
      <w:r w:rsidRPr="00516B96">
        <w:rPr>
          <w:rFonts w:ascii="Times New Roman" w:hAnsi="Times New Roman" w:cs="Times New Roman"/>
          <w:bCs/>
          <w:sz w:val="24"/>
          <w:lang w:val="es-EC"/>
        </w:rPr>
        <w:t>Hasta el año 2006, 166 países han ratificado el Protocolo I, en tanto que 162 han ratificado el Protocolo II. No obstante, todo país que ha ratificado los Convenios de Ginebra pero no los Protocolos continúa obligado en virtud de todas las disposiciones de los Convenios.</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Protocolo I (102 artículos)</w:t>
      </w:r>
    </w:p>
    <w:p w:rsidR="00D739FA" w:rsidRPr="00516B96" w:rsidRDefault="00D739FA" w:rsidP="00D739FA">
      <w:pPr>
        <w:spacing w:line="360" w:lineRule="auto"/>
        <w:jc w:val="both"/>
        <w:rPr>
          <w:rFonts w:ascii="Times New Roman" w:hAnsi="Times New Roman" w:cs="Times New Roman"/>
          <w:bCs/>
          <w:i/>
          <w:iCs/>
          <w:sz w:val="24"/>
          <w:lang w:val="es-EC"/>
        </w:rPr>
      </w:pPr>
      <w:r w:rsidRPr="00516B96">
        <w:rPr>
          <w:rFonts w:ascii="Times New Roman" w:hAnsi="Times New Roman" w:cs="Times New Roman"/>
          <w:bCs/>
          <w:i/>
          <w:iCs/>
          <w:sz w:val="24"/>
          <w:lang w:val="es-EC"/>
        </w:rPr>
        <w:t>(Protocolo Adicional a los Convenios de Ginebra del 12 de agosto</w:t>
      </w:r>
      <w:r w:rsidR="002E2584" w:rsidRPr="00516B96">
        <w:rPr>
          <w:rFonts w:ascii="Times New Roman" w:hAnsi="Times New Roman" w:cs="Times New Roman"/>
          <w:bCs/>
          <w:i/>
          <w:iCs/>
          <w:sz w:val="24"/>
          <w:lang w:val="es-EC"/>
        </w:rPr>
        <w:t xml:space="preserve"> </w:t>
      </w:r>
      <w:r w:rsidRPr="00516B96">
        <w:rPr>
          <w:rFonts w:ascii="Times New Roman" w:hAnsi="Times New Roman" w:cs="Times New Roman"/>
          <w:bCs/>
          <w:i/>
          <w:iCs/>
          <w:sz w:val="24"/>
          <w:lang w:val="es-EC"/>
        </w:rPr>
        <w:t>de 1949 relativo a la protección de las víctimas de los conflictos armados internacionales)</w:t>
      </w:r>
    </w:p>
    <w:p w:rsidR="00D739FA" w:rsidRPr="00516B96" w:rsidRDefault="00D739FA" w:rsidP="00D739FA">
      <w:pPr>
        <w:spacing w:line="360" w:lineRule="auto"/>
        <w:jc w:val="both"/>
        <w:rPr>
          <w:rFonts w:ascii="Times New Roman" w:hAnsi="Times New Roman" w:cs="Times New Roman"/>
          <w:bCs/>
          <w:sz w:val="24"/>
          <w:lang w:val="es-EC"/>
        </w:rPr>
      </w:pPr>
      <w:r w:rsidRPr="00516B96">
        <w:rPr>
          <w:rFonts w:ascii="Times New Roman" w:hAnsi="Times New Roman" w:cs="Times New Roman"/>
          <w:bCs/>
          <w:sz w:val="24"/>
          <w:lang w:val="es-EC"/>
        </w:rPr>
        <w:t xml:space="preserve">El Protocolo I extiende la protección a la población civil así como al personal médico militar y civil en los conflictos armados internacionales. </w:t>
      </w:r>
    </w:p>
    <w:p w:rsidR="00D739FA" w:rsidRPr="00516B96" w:rsidRDefault="00D739FA" w:rsidP="00D739FA">
      <w:pPr>
        <w:spacing w:line="360" w:lineRule="auto"/>
        <w:jc w:val="both"/>
        <w:rPr>
          <w:rFonts w:ascii="Times New Roman" w:hAnsi="Times New Roman" w:cs="Times New Roman"/>
          <w:bCs/>
          <w:sz w:val="24"/>
          <w:lang w:val="es-EC"/>
        </w:rPr>
      </w:pPr>
      <w:r w:rsidRPr="00516B96">
        <w:rPr>
          <w:rFonts w:ascii="Times New Roman" w:hAnsi="Times New Roman" w:cs="Times New Roman"/>
          <w:bCs/>
          <w:sz w:val="24"/>
          <w:lang w:val="es-EC"/>
        </w:rPr>
        <w:t>Disposiciones específicas:</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Arts. 51, 54.- </w:t>
      </w:r>
      <w:r w:rsidRPr="00516B96">
        <w:rPr>
          <w:rFonts w:ascii="Times New Roman" w:hAnsi="Times New Roman" w:cs="Times New Roman"/>
          <w:bCs/>
          <w:sz w:val="24"/>
          <w:lang w:val="es-EC"/>
        </w:rPr>
        <w:t>Estas disposiciones prohíben los ataques indiscriminados contra la población civil y la destrucción de alimentos, agua y otros elementos necesarios para la supervivencia.</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Arts. 56, 53.- </w:t>
      </w:r>
      <w:r w:rsidRPr="00516B96">
        <w:rPr>
          <w:rFonts w:ascii="Times New Roman" w:hAnsi="Times New Roman" w:cs="Times New Roman"/>
          <w:bCs/>
          <w:sz w:val="24"/>
          <w:lang w:val="es-EC"/>
        </w:rPr>
        <w:t>Las presas, los diques y las centrales nucleares de energía eléctrica no podrán ser objeto de ataque, así como tampoco los objetos culturales y lugares de culto.</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Arts. 76-77 Arts. 15, 79.- </w:t>
      </w:r>
      <w:r w:rsidRPr="00516B96">
        <w:rPr>
          <w:rFonts w:ascii="Times New Roman" w:hAnsi="Times New Roman" w:cs="Times New Roman"/>
          <w:bCs/>
          <w:sz w:val="24"/>
          <w:lang w:val="es-EC"/>
        </w:rPr>
        <w:t>Se brindan protecciones especiales para las mujeres, los niños y el personal médico civil, y se establecen medidas de protección para los periodistas.</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lastRenderedPageBreak/>
        <w:t xml:space="preserve">Art. 77.- </w:t>
      </w:r>
      <w:r w:rsidRPr="00516B96">
        <w:rPr>
          <w:rFonts w:ascii="Times New Roman" w:hAnsi="Times New Roman" w:cs="Times New Roman"/>
          <w:bCs/>
          <w:sz w:val="24"/>
          <w:lang w:val="es-EC"/>
        </w:rPr>
        <w:t>Se prohíbe el reclutamiento de niños menores de 15 años de edad para las fuerzas armadas.</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Arts. 43-44.- </w:t>
      </w:r>
      <w:r w:rsidRPr="00516B96">
        <w:rPr>
          <w:rFonts w:ascii="Times New Roman" w:hAnsi="Times New Roman" w:cs="Times New Roman"/>
          <w:bCs/>
          <w:sz w:val="24"/>
          <w:lang w:val="es-EC"/>
        </w:rPr>
        <w:t>El Protocolo I procura aclarar la condición militar de los miembros de las fuerzas de guerrilla. Con este fin, sus disposiciones establecen el derecho de los miembros de las fuerzas disidentes que se encuentren bajo el mando de una autoridad central a ser reconocidos como combatientes y prisioneros de guerra. Tales combatientes no pueden ocultar el bando a que pertenecen; deben poder ser reconocidos como combatientes durante un ataque o sus preparativos.</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 35.- </w:t>
      </w:r>
      <w:r w:rsidRPr="00516B96">
        <w:rPr>
          <w:rFonts w:ascii="Times New Roman" w:hAnsi="Times New Roman" w:cs="Times New Roman"/>
          <w:bCs/>
          <w:sz w:val="24"/>
          <w:lang w:val="es-EC"/>
        </w:rPr>
        <w:t>Queda prohibido el empleo de armas “que causen males superfluos o sufrimientos innecesarios”, así como métodos o medios de hacer la guerra que causen “daños extensos, duraderos y graves al medio ambiente natural”.</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 85.- </w:t>
      </w:r>
      <w:r w:rsidRPr="00516B96">
        <w:rPr>
          <w:rFonts w:ascii="Times New Roman" w:hAnsi="Times New Roman" w:cs="Times New Roman"/>
          <w:bCs/>
          <w:sz w:val="24"/>
          <w:lang w:val="es-EC"/>
        </w:rPr>
        <w:t>Se considera crimen de guerra el uso de cualquiera de los emblemas protectores reconocidos por los Convenios de</w:t>
      </w:r>
      <w:r w:rsidRPr="00516B96">
        <w:rPr>
          <w:rFonts w:ascii="Times New Roman" w:hAnsi="Times New Roman" w:cs="Times New Roman"/>
          <w:b/>
          <w:bCs/>
          <w:sz w:val="24"/>
          <w:lang w:val="es-EC"/>
        </w:rPr>
        <w:t xml:space="preserve"> </w:t>
      </w:r>
      <w:r w:rsidRPr="00516B96">
        <w:rPr>
          <w:rFonts w:ascii="Times New Roman" w:hAnsi="Times New Roman" w:cs="Times New Roman"/>
          <w:bCs/>
          <w:sz w:val="24"/>
          <w:lang w:val="es-EC"/>
        </w:rPr>
        <w:t>Ginebra para engañar a las fuerzas oponentes o utilizar</w:t>
      </w:r>
      <w:r w:rsidRPr="00516B96">
        <w:rPr>
          <w:rFonts w:ascii="Times New Roman" w:hAnsi="Times New Roman" w:cs="Times New Roman"/>
          <w:b/>
          <w:bCs/>
          <w:sz w:val="24"/>
          <w:lang w:val="es-EC"/>
        </w:rPr>
        <w:t xml:space="preserve"> </w:t>
      </w:r>
      <w:r w:rsidRPr="00516B96">
        <w:rPr>
          <w:rFonts w:ascii="Times New Roman" w:hAnsi="Times New Roman" w:cs="Times New Roman"/>
          <w:bCs/>
          <w:sz w:val="24"/>
          <w:lang w:val="es-EC"/>
        </w:rPr>
        <w:t>otras formas de traición.</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Arts. 17, 81.- </w:t>
      </w:r>
      <w:r w:rsidRPr="00516B96">
        <w:rPr>
          <w:rFonts w:ascii="Times New Roman" w:hAnsi="Times New Roman" w:cs="Times New Roman"/>
          <w:bCs/>
          <w:sz w:val="24"/>
          <w:lang w:val="es-EC"/>
        </w:rPr>
        <w:t>Deberá permitirse al CICR, a las sociedades nacionales de</w:t>
      </w:r>
      <w:r w:rsidRPr="00516B96">
        <w:rPr>
          <w:rFonts w:ascii="Times New Roman" w:hAnsi="Times New Roman" w:cs="Times New Roman"/>
          <w:b/>
          <w:bCs/>
          <w:sz w:val="24"/>
          <w:lang w:val="es-EC"/>
        </w:rPr>
        <w:t xml:space="preserve"> </w:t>
      </w:r>
      <w:r w:rsidRPr="00516B96">
        <w:rPr>
          <w:rFonts w:ascii="Times New Roman" w:hAnsi="Times New Roman" w:cs="Times New Roman"/>
          <w:bCs/>
          <w:sz w:val="24"/>
          <w:lang w:val="es-EC"/>
        </w:rPr>
        <w:t>la Cruz Roja, o a otras organizaciones humanitarias</w:t>
      </w:r>
      <w:r w:rsidRPr="00516B96">
        <w:rPr>
          <w:rFonts w:ascii="Times New Roman" w:hAnsi="Times New Roman" w:cs="Times New Roman"/>
          <w:b/>
          <w:bCs/>
          <w:sz w:val="24"/>
          <w:lang w:val="es-EC"/>
        </w:rPr>
        <w:t xml:space="preserve"> </w:t>
      </w:r>
      <w:r w:rsidRPr="00516B96">
        <w:rPr>
          <w:rFonts w:ascii="Times New Roman" w:hAnsi="Times New Roman" w:cs="Times New Roman"/>
          <w:bCs/>
          <w:sz w:val="24"/>
          <w:lang w:val="es-EC"/>
        </w:rPr>
        <w:t>imparciales autorizadas por las partes en conflicto prestar asistencia.</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Protocolo II (28 artículos)</w:t>
      </w:r>
    </w:p>
    <w:p w:rsidR="00D739FA" w:rsidRPr="00516B96" w:rsidRDefault="00D739FA" w:rsidP="00D739FA">
      <w:pPr>
        <w:spacing w:line="360" w:lineRule="auto"/>
        <w:jc w:val="both"/>
        <w:rPr>
          <w:rFonts w:ascii="Times New Roman" w:hAnsi="Times New Roman" w:cs="Times New Roman"/>
          <w:bCs/>
          <w:i/>
          <w:iCs/>
          <w:sz w:val="24"/>
          <w:lang w:val="es-EC"/>
        </w:rPr>
      </w:pPr>
      <w:r w:rsidRPr="00516B96">
        <w:rPr>
          <w:rFonts w:ascii="Times New Roman" w:hAnsi="Times New Roman" w:cs="Times New Roman"/>
          <w:bCs/>
          <w:i/>
          <w:iCs/>
          <w:sz w:val="24"/>
          <w:lang w:val="es-EC"/>
        </w:rPr>
        <w:t>(Protocolo Adicional a los Convenios de Ginebra del 12 de agosto de 1949 relativo a la protección de las víctimas de los conflictos armados sin carácter internacional)</w:t>
      </w:r>
    </w:p>
    <w:p w:rsidR="00D739FA" w:rsidRPr="00516B96" w:rsidRDefault="00D739FA" w:rsidP="00D739FA">
      <w:pPr>
        <w:spacing w:line="360" w:lineRule="auto"/>
        <w:jc w:val="both"/>
        <w:rPr>
          <w:rFonts w:ascii="Times New Roman" w:hAnsi="Times New Roman" w:cs="Times New Roman"/>
          <w:bCs/>
          <w:sz w:val="24"/>
          <w:lang w:val="es-EC"/>
        </w:rPr>
      </w:pPr>
      <w:r w:rsidRPr="00516B96">
        <w:rPr>
          <w:rFonts w:ascii="Times New Roman" w:hAnsi="Times New Roman" w:cs="Times New Roman"/>
          <w:bCs/>
          <w:sz w:val="24"/>
          <w:lang w:val="es-EC"/>
        </w:rPr>
        <w:t>El Protocolo II amplía las protecciones otorgadas a las víctimas atrapadas en conflictos internos de alta intensidad, como guerras civiles. No se aplica a disturbios internos tales como motines, manifestaciones, y actos aislados de violencia. El Protocolo II amplía y complementa las protecciones sin carácter internacional incluidas en el artículo 3 común a los cuatro Convenios de Ginebra de 1949.</w:t>
      </w:r>
    </w:p>
    <w:p w:rsidR="00D739FA" w:rsidRPr="00516B96" w:rsidRDefault="00D739FA" w:rsidP="00D739FA">
      <w:pPr>
        <w:spacing w:line="360" w:lineRule="auto"/>
        <w:jc w:val="both"/>
        <w:rPr>
          <w:rFonts w:ascii="Times New Roman" w:hAnsi="Times New Roman" w:cs="Times New Roman"/>
          <w:bCs/>
          <w:sz w:val="24"/>
          <w:lang w:val="es-EC"/>
        </w:rPr>
      </w:pPr>
      <w:r w:rsidRPr="00516B96">
        <w:rPr>
          <w:rFonts w:ascii="Times New Roman" w:hAnsi="Times New Roman" w:cs="Times New Roman"/>
          <w:bCs/>
          <w:sz w:val="24"/>
          <w:lang w:val="es-EC"/>
        </w:rPr>
        <w:t>Disposiciones específicas:</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 4.- </w:t>
      </w:r>
      <w:r w:rsidRPr="00516B96">
        <w:rPr>
          <w:rFonts w:ascii="Times New Roman" w:hAnsi="Times New Roman" w:cs="Times New Roman"/>
          <w:bCs/>
          <w:sz w:val="24"/>
          <w:lang w:val="es-EC"/>
        </w:rPr>
        <w:t>Establece que las personas que no participen directamente en las hostilidades, o que hayan dejado de participar en ellas, tienen derecho a un trato respetuoso. Deberán tratarse con humanidad en toda circunstancia.</w:t>
      </w:r>
    </w:p>
    <w:p w:rsidR="00D739FA" w:rsidRPr="00516B96" w:rsidRDefault="00D739FA" w:rsidP="00D739FA">
      <w:pPr>
        <w:spacing w:line="360" w:lineRule="auto"/>
        <w:jc w:val="both"/>
        <w:rPr>
          <w:rFonts w:ascii="Times New Roman" w:hAnsi="Times New Roman" w:cs="Times New Roman"/>
          <w:bCs/>
          <w:sz w:val="24"/>
          <w:lang w:val="es-EC"/>
        </w:rPr>
      </w:pPr>
      <w:r w:rsidRPr="00516B96">
        <w:rPr>
          <w:rFonts w:ascii="Times New Roman" w:hAnsi="Times New Roman" w:cs="Times New Roman"/>
          <w:bCs/>
          <w:sz w:val="24"/>
          <w:lang w:val="es-EC"/>
        </w:rPr>
        <w:lastRenderedPageBreak/>
        <w:t>El Protocolo II prohíbe de forma específica la violencia contra la vida, la salud y el bienestar físico o mental de las personas. En particular, prohíbe los actos de homicidio y tratos crueles, el terrorismo, la toma de rehenes, la esclavitud, los atentados contra la dignidad personal, los castigos colectivos y el pillaje. Estas protecciones se consideran garantías fundamentales a favor de todas las personas.</w:t>
      </w:r>
    </w:p>
    <w:p w:rsidR="00D739FA" w:rsidRPr="00516B96" w:rsidRDefault="00D739FA" w:rsidP="00D739FA">
      <w:pPr>
        <w:spacing w:line="360" w:lineRule="auto"/>
        <w:jc w:val="both"/>
        <w:rPr>
          <w:rFonts w:ascii="Times New Roman" w:hAnsi="Times New Roman" w:cs="Times New Roman"/>
          <w:bCs/>
          <w:sz w:val="24"/>
          <w:lang w:val="es-EC"/>
        </w:rPr>
      </w:pPr>
      <w:r w:rsidRPr="00516B96">
        <w:rPr>
          <w:rFonts w:ascii="Times New Roman" w:hAnsi="Times New Roman" w:cs="Times New Roman"/>
          <w:b/>
          <w:bCs/>
          <w:sz w:val="24"/>
          <w:lang w:val="es-EC"/>
        </w:rPr>
        <w:t xml:space="preserve">Art. 4.- </w:t>
      </w:r>
      <w:r w:rsidRPr="00516B96">
        <w:rPr>
          <w:rFonts w:ascii="Times New Roman" w:hAnsi="Times New Roman" w:cs="Times New Roman"/>
          <w:bCs/>
          <w:sz w:val="24"/>
          <w:lang w:val="es-EC"/>
        </w:rPr>
        <w:t>Siempre que sea posible, se trasladará a los niños temporalmente a zonas más seguras y se procurará la reunión de éstos con sus familias.</w:t>
      </w:r>
    </w:p>
    <w:p w:rsidR="00D739FA" w:rsidRPr="00516B96" w:rsidRDefault="00D739FA" w:rsidP="00D739FA">
      <w:pPr>
        <w:spacing w:line="360" w:lineRule="auto"/>
        <w:jc w:val="both"/>
        <w:rPr>
          <w:rFonts w:ascii="Times New Roman" w:hAnsi="Times New Roman" w:cs="Times New Roman"/>
          <w:bCs/>
          <w:sz w:val="24"/>
          <w:lang w:val="es-EC"/>
        </w:rPr>
      </w:pPr>
      <w:r w:rsidRPr="00516B96">
        <w:rPr>
          <w:rFonts w:ascii="Times New Roman" w:hAnsi="Times New Roman" w:cs="Times New Roman"/>
          <w:b/>
          <w:bCs/>
          <w:sz w:val="24"/>
          <w:lang w:val="es-EC"/>
        </w:rPr>
        <w:t xml:space="preserve">Art. 5.- </w:t>
      </w:r>
      <w:r w:rsidRPr="00516B96">
        <w:rPr>
          <w:rFonts w:ascii="Times New Roman" w:hAnsi="Times New Roman" w:cs="Times New Roman"/>
          <w:bCs/>
          <w:sz w:val="24"/>
          <w:lang w:val="es-EC"/>
        </w:rPr>
        <w:t>Se garantiza a las personas confinadas o detenidas durante conflictos internos el mismo trato humanitario que se establece en los Convenios de Ginebra.</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Arts. 7 y 9.- </w:t>
      </w:r>
      <w:r w:rsidRPr="00516B96">
        <w:rPr>
          <w:rFonts w:ascii="Times New Roman" w:hAnsi="Times New Roman" w:cs="Times New Roman"/>
          <w:bCs/>
          <w:sz w:val="24"/>
          <w:lang w:val="es-EC"/>
        </w:rPr>
        <w:t>Refuerza la protección de los heridos, enfermos y náufragos, así como la del personal médico y religioso.</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Arts. 10-11 Arts. 13-14 Art. 16.- </w:t>
      </w:r>
      <w:r w:rsidRPr="00516B96">
        <w:rPr>
          <w:rFonts w:ascii="Times New Roman" w:hAnsi="Times New Roman" w:cs="Times New Roman"/>
          <w:bCs/>
          <w:sz w:val="24"/>
          <w:lang w:val="es-EC"/>
        </w:rPr>
        <w:t>Quedan prohibidos los ataques contra los civiles y contra los “bienes indispensables para la supervivencia de la población civil”, tales como las cosechas, las obras de riego o las fuentes de agua potable, los objetos culturales y los lugares de culto.</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 xml:space="preserve">Art. 18.- </w:t>
      </w:r>
      <w:r w:rsidRPr="00516B96">
        <w:rPr>
          <w:rFonts w:ascii="Times New Roman" w:hAnsi="Times New Roman" w:cs="Times New Roman"/>
          <w:bCs/>
          <w:sz w:val="24"/>
          <w:lang w:val="es-EC"/>
        </w:rPr>
        <w:t>Las organizaciones imparciales de socorro humanitario, como el CICR, podrán continuar ofreciendo sus servicios humanitarios.</w:t>
      </w:r>
    </w:p>
    <w:p w:rsidR="00D739FA" w:rsidRPr="00516B96" w:rsidRDefault="00D739FA" w:rsidP="00D739FA">
      <w:pPr>
        <w:spacing w:line="360" w:lineRule="auto"/>
        <w:jc w:val="both"/>
        <w:rPr>
          <w:rFonts w:ascii="Times New Roman" w:hAnsi="Times New Roman" w:cs="Times New Roman"/>
          <w:b/>
          <w:bCs/>
          <w:sz w:val="24"/>
          <w:lang w:val="es-EC"/>
        </w:rPr>
      </w:pPr>
      <w:r w:rsidRPr="00516B96">
        <w:rPr>
          <w:rFonts w:ascii="Times New Roman" w:hAnsi="Times New Roman" w:cs="Times New Roman"/>
          <w:b/>
          <w:bCs/>
          <w:sz w:val="24"/>
          <w:lang w:val="es-EC"/>
        </w:rPr>
        <w:t>Protocolo III</w:t>
      </w:r>
    </w:p>
    <w:p w:rsidR="00D739FA" w:rsidRPr="00516B96" w:rsidRDefault="00D739FA" w:rsidP="00D739FA">
      <w:pPr>
        <w:spacing w:line="360" w:lineRule="auto"/>
        <w:jc w:val="both"/>
        <w:rPr>
          <w:rFonts w:ascii="Times New Roman" w:hAnsi="Times New Roman" w:cs="Times New Roman"/>
          <w:bCs/>
          <w:i/>
          <w:iCs/>
          <w:sz w:val="24"/>
          <w:lang w:val="es-EC"/>
        </w:rPr>
      </w:pPr>
      <w:r w:rsidRPr="00516B96">
        <w:rPr>
          <w:rFonts w:ascii="Times New Roman" w:hAnsi="Times New Roman" w:cs="Times New Roman"/>
          <w:bCs/>
          <w:i/>
          <w:iCs/>
          <w:sz w:val="24"/>
          <w:lang w:val="es-EC"/>
        </w:rPr>
        <w:t>(Protocolo Adicional a los Convenios de Ginebra del 12 de agosto de 1949 relativo a la aprobación de un signo distintivo adicional)</w:t>
      </w:r>
    </w:p>
    <w:p w:rsidR="00D739FA" w:rsidRPr="00516B96" w:rsidRDefault="00D739FA" w:rsidP="00D739FA">
      <w:pPr>
        <w:spacing w:line="360" w:lineRule="auto"/>
        <w:jc w:val="both"/>
        <w:rPr>
          <w:rFonts w:ascii="Times New Roman" w:hAnsi="Times New Roman" w:cs="Times New Roman"/>
          <w:bCs/>
          <w:iCs/>
          <w:sz w:val="24"/>
          <w:lang w:val="es-EC"/>
        </w:rPr>
      </w:pPr>
      <w:r w:rsidRPr="00516B96">
        <w:rPr>
          <w:rFonts w:ascii="Times New Roman" w:hAnsi="Times New Roman" w:cs="Times New Roman"/>
          <w:bCs/>
          <w:iCs/>
          <w:sz w:val="24"/>
          <w:lang w:val="es-EC"/>
        </w:rPr>
        <w:t>En diciembre de 2005, se adoptó un Tercer Protocolo Adicional a los Convenios de Ginebra que establece otro emblema distintivo: el cristal rojo.</w:t>
      </w:r>
    </w:p>
    <w:p w:rsidR="00D739FA" w:rsidRPr="00516B96" w:rsidRDefault="00D739FA" w:rsidP="00D739FA">
      <w:pPr>
        <w:spacing w:line="360" w:lineRule="auto"/>
        <w:jc w:val="both"/>
        <w:rPr>
          <w:rFonts w:ascii="Times New Roman" w:hAnsi="Times New Roman" w:cs="Times New Roman"/>
          <w:bCs/>
          <w:iCs/>
          <w:sz w:val="24"/>
          <w:lang w:val="es-EC"/>
        </w:rPr>
      </w:pPr>
      <w:r w:rsidRPr="00516B96">
        <w:rPr>
          <w:rFonts w:ascii="Times New Roman" w:hAnsi="Times New Roman" w:cs="Times New Roman"/>
          <w:bCs/>
          <w:iCs/>
          <w:sz w:val="24"/>
          <w:lang w:val="es-EC"/>
        </w:rPr>
        <w:t>El cristal rojo es un emblema opcional, que goza de la misma consideración que la cruz roja y la media luna roja.</w:t>
      </w:r>
    </w:p>
    <w:p w:rsidR="001A0A85" w:rsidRDefault="00D739FA" w:rsidP="002E2584">
      <w:pPr>
        <w:spacing w:line="360" w:lineRule="auto"/>
        <w:jc w:val="both"/>
        <w:rPr>
          <w:rFonts w:ascii="Times New Roman" w:hAnsi="Times New Roman" w:cs="Times New Roman"/>
          <w:bCs/>
          <w:iCs/>
          <w:sz w:val="24"/>
          <w:lang w:val="es-EC"/>
        </w:rPr>
      </w:pPr>
      <w:r w:rsidRPr="00516B96">
        <w:rPr>
          <w:rFonts w:ascii="Times New Roman" w:hAnsi="Times New Roman" w:cs="Times New Roman"/>
          <w:bCs/>
          <w:iCs/>
          <w:sz w:val="24"/>
          <w:lang w:val="es-EC"/>
        </w:rPr>
        <w:t>El cristal rojo se utiliza en aquellos contextos en los que donde podría considerarse que otro emblema tiene connotaciones religiosas, culturales o políticas.</w:t>
      </w:r>
    </w:p>
    <w:p w:rsidR="00D5421B" w:rsidRDefault="00D5421B" w:rsidP="002E2584">
      <w:pPr>
        <w:spacing w:line="360" w:lineRule="auto"/>
        <w:jc w:val="both"/>
        <w:rPr>
          <w:rFonts w:ascii="Times New Roman" w:hAnsi="Times New Roman" w:cs="Times New Roman"/>
          <w:bCs/>
          <w:iCs/>
          <w:sz w:val="24"/>
          <w:lang w:val="es-EC"/>
        </w:rPr>
      </w:pPr>
    </w:p>
    <w:p w:rsidR="00076F95" w:rsidRPr="00516B96" w:rsidRDefault="00076F95" w:rsidP="002E2584">
      <w:pPr>
        <w:spacing w:line="360" w:lineRule="auto"/>
        <w:jc w:val="both"/>
        <w:rPr>
          <w:rFonts w:ascii="Times New Roman" w:hAnsi="Times New Roman" w:cs="Times New Roman"/>
          <w:bCs/>
          <w:iCs/>
          <w:sz w:val="24"/>
          <w:lang w:val="es-EC"/>
        </w:rPr>
      </w:pPr>
    </w:p>
    <w:p w:rsidR="00D739FA" w:rsidRPr="00516B96" w:rsidRDefault="002E2584" w:rsidP="002E2584">
      <w:pPr>
        <w:spacing w:line="360" w:lineRule="auto"/>
        <w:jc w:val="both"/>
        <w:rPr>
          <w:rFonts w:ascii="Times New Roman" w:hAnsi="Times New Roman" w:cs="Times New Roman"/>
          <w:bCs/>
          <w:iCs/>
          <w:sz w:val="24"/>
          <w:u w:val="single"/>
          <w:lang w:val="es-EC"/>
        </w:rPr>
      </w:pPr>
      <w:r w:rsidRPr="00516B96">
        <w:rPr>
          <w:rFonts w:ascii="Times New Roman" w:hAnsi="Times New Roman" w:cs="Times New Roman"/>
          <w:bCs/>
          <w:iCs/>
          <w:sz w:val="24"/>
          <w:lang w:val="es-EC"/>
        </w:rPr>
        <w:lastRenderedPageBreak/>
        <w:t>I. VIII.</w:t>
      </w:r>
      <w:r w:rsidRPr="00516B96">
        <w:rPr>
          <w:rFonts w:ascii="Times New Roman" w:hAnsi="Times New Roman" w:cs="Times New Roman"/>
          <w:bCs/>
          <w:iCs/>
          <w:sz w:val="24"/>
          <w:lang w:val="es-EC"/>
        </w:rPr>
        <w:tab/>
      </w:r>
      <w:r w:rsidR="001A0A85">
        <w:rPr>
          <w:rFonts w:ascii="Times New Roman" w:hAnsi="Times New Roman" w:cs="Times New Roman"/>
          <w:bCs/>
          <w:iCs/>
          <w:sz w:val="24"/>
          <w:lang w:val="es-EC"/>
        </w:rPr>
        <w:t xml:space="preserve"> </w:t>
      </w:r>
      <w:r w:rsidR="00D739FA" w:rsidRPr="00516B96">
        <w:rPr>
          <w:rFonts w:ascii="Times New Roman" w:hAnsi="Times New Roman" w:cs="Times New Roman"/>
          <w:bCs/>
          <w:iCs/>
          <w:sz w:val="24"/>
          <w:u w:val="single"/>
          <w:lang w:val="es-EC"/>
        </w:rPr>
        <w:t>Emblemas en virtud del Derecho Internacional Humanitario</w:t>
      </w:r>
    </w:p>
    <w:p w:rsidR="002E2584" w:rsidRPr="00516B96" w:rsidRDefault="00D739FA" w:rsidP="00D739FA">
      <w:pPr>
        <w:spacing w:line="360" w:lineRule="auto"/>
        <w:jc w:val="both"/>
        <w:rPr>
          <w:rFonts w:ascii="Times New Roman" w:hAnsi="Times New Roman" w:cs="Times New Roman"/>
          <w:bCs/>
          <w:iCs/>
          <w:sz w:val="24"/>
          <w:lang w:val="es-EC"/>
        </w:rPr>
      </w:pPr>
      <w:r w:rsidRPr="00516B96">
        <w:rPr>
          <w:rFonts w:ascii="Times New Roman" w:hAnsi="Times New Roman" w:cs="Times New Roman"/>
          <w:bCs/>
          <w:iCs/>
          <w:sz w:val="24"/>
          <w:lang w:val="es-EC"/>
        </w:rPr>
        <w:t xml:space="preserve">Los redactores del Convenio de Ginebra de 1864 previeron la necesidad de un símbolo universal de protección que pudiera reconocerse con facilidad en el campo de batalla. En honor al origen de esta iniciativa, el símbolo de una cruz roja sobre un fondo blanco, que invierte los colores de la bandera nacional suiza, se identificó como un emblema de protección en zonas de conflicto. </w:t>
      </w:r>
    </w:p>
    <w:p w:rsidR="00D739FA" w:rsidRPr="00516B96" w:rsidRDefault="00D739FA" w:rsidP="00D739FA">
      <w:pPr>
        <w:spacing w:line="360" w:lineRule="auto"/>
        <w:jc w:val="both"/>
        <w:rPr>
          <w:rFonts w:ascii="Times New Roman" w:hAnsi="Times New Roman" w:cs="Times New Roman"/>
          <w:bCs/>
          <w:iCs/>
          <w:sz w:val="24"/>
          <w:lang w:val="es-EC"/>
        </w:rPr>
      </w:pPr>
      <w:r w:rsidRPr="00516B96">
        <w:rPr>
          <w:rFonts w:ascii="Times New Roman" w:hAnsi="Times New Roman" w:cs="Times New Roman"/>
          <w:bCs/>
          <w:iCs/>
          <w:sz w:val="24"/>
          <w:lang w:val="es-EC"/>
        </w:rPr>
        <w:t>Tiempo después, los países reunidos en una conferencia diplomática en 1929 r</w:t>
      </w:r>
      <w:r w:rsidR="00D5421B">
        <w:rPr>
          <w:rFonts w:ascii="Times New Roman" w:hAnsi="Times New Roman" w:cs="Times New Roman"/>
          <w:bCs/>
          <w:iCs/>
          <w:sz w:val="24"/>
          <w:lang w:val="es-EC"/>
        </w:rPr>
        <w:t>econocieron los emblemas de la Cruz R</w:t>
      </w:r>
      <w:r w:rsidRPr="00516B96">
        <w:rPr>
          <w:rFonts w:ascii="Times New Roman" w:hAnsi="Times New Roman" w:cs="Times New Roman"/>
          <w:bCs/>
          <w:iCs/>
          <w:sz w:val="24"/>
          <w:lang w:val="es-EC"/>
        </w:rPr>
        <w:t>oja y el león y el sol rojos, aunque el león y el sol rojos han dejado de utilizarse. En diciembre de 2005 los gobiernos adoptaron el tercer Protocolo</w:t>
      </w:r>
      <w:r w:rsidR="00D5421B">
        <w:rPr>
          <w:rFonts w:ascii="Times New Roman" w:hAnsi="Times New Roman" w:cs="Times New Roman"/>
          <w:bCs/>
          <w:iCs/>
          <w:sz w:val="24"/>
          <w:lang w:val="es-EC"/>
        </w:rPr>
        <w:t xml:space="preserve"> </w:t>
      </w:r>
      <w:r w:rsidRPr="00516B96">
        <w:rPr>
          <w:rFonts w:ascii="Times New Roman" w:hAnsi="Times New Roman" w:cs="Times New Roman"/>
          <w:bCs/>
          <w:iCs/>
          <w:sz w:val="24"/>
          <w:lang w:val="es-EC"/>
        </w:rPr>
        <w:t>Adicional que añadió el cristal rojo. Aunque no se encuentra contemplado en los Convenios de Ginebra, el Escudo Rojo de David, utilizado por Israel, también es un emblema respetado.</w:t>
      </w:r>
    </w:p>
    <w:p w:rsidR="00D739FA" w:rsidRPr="00516B96" w:rsidRDefault="00D739FA" w:rsidP="00D739FA">
      <w:pPr>
        <w:spacing w:line="360" w:lineRule="auto"/>
        <w:jc w:val="both"/>
        <w:rPr>
          <w:rFonts w:ascii="Times New Roman" w:hAnsi="Times New Roman" w:cs="Times New Roman"/>
          <w:bCs/>
          <w:iCs/>
          <w:sz w:val="24"/>
          <w:lang w:val="es-EC"/>
        </w:rPr>
      </w:pPr>
      <w:r w:rsidRPr="00516B96">
        <w:rPr>
          <w:rFonts w:ascii="Times New Roman" w:hAnsi="Times New Roman" w:cs="Times New Roman"/>
          <w:bCs/>
          <w:iCs/>
          <w:sz w:val="24"/>
          <w:lang w:val="es-EC"/>
        </w:rPr>
        <w:t>En virtud de los Convenios de Ginebra, los tres signos distintivos de la cruz roja, la media luna roja y el cristal rojo tienen por finalidad identificar y proteger al personal médico y de socorro, los centros médicos civiles y militares, las unidades móviles y los barcos hospitales.</w:t>
      </w:r>
    </w:p>
    <w:p w:rsidR="00D739FA" w:rsidRPr="00516B96" w:rsidRDefault="00D739FA" w:rsidP="00D739FA">
      <w:pPr>
        <w:spacing w:line="360" w:lineRule="auto"/>
        <w:jc w:val="both"/>
        <w:rPr>
          <w:rFonts w:ascii="Times New Roman" w:hAnsi="Times New Roman" w:cs="Times New Roman"/>
          <w:bCs/>
          <w:iCs/>
          <w:sz w:val="24"/>
          <w:lang w:val="es-EC"/>
        </w:rPr>
      </w:pPr>
      <w:r w:rsidRPr="00516B96">
        <w:rPr>
          <w:rFonts w:ascii="Times New Roman" w:hAnsi="Times New Roman" w:cs="Times New Roman"/>
          <w:bCs/>
          <w:iCs/>
          <w:sz w:val="24"/>
          <w:lang w:val="es-EC"/>
        </w:rPr>
        <w:t xml:space="preserve">Además, se utilizan para identificar a los programas y las actividades de las sociedades nacionales de la Cruz Roja y la Media Luna Roja, junto con el símbolo del escudo rojo de David, que identifica a la </w:t>
      </w:r>
      <w:proofErr w:type="spellStart"/>
      <w:r w:rsidRPr="00516B96">
        <w:rPr>
          <w:rFonts w:ascii="Times New Roman" w:hAnsi="Times New Roman" w:cs="Times New Roman"/>
          <w:bCs/>
          <w:iCs/>
          <w:sz w:val="24"/>
          <w:lang w:val="es-EC"/>
        </w:rPr>
        <w:t>Magen</w:t>
      </w:r>
      <w:proofErr w:type="spellEnd"/>
      <w:r w:rsidRPr="00516B96">
        <w:rPr>
          <w:rFonts w:ascii="Times New Roman" w:hAnsi="Times New Roman" w:cs="Times New Roman"/>
          <w:bCs/>
          <w:iCs/>
          <w:sz w:val="24"/>
          <w:lang w:val="es-EC"/>
        </w:rPr>
        <w:t xml:space="preserve"> David </w:t>
      </w:r>
      <w:proofErr w:type="spellStart"/>
      <w:r w:rsidRPr="00516B96">
        <w:rPr>
          <w:rFonts w:ascii="Times New Roman" w:hAnsi="Times New Roman" w:cs="Times New Roman"/>
          <w:bCs/>
          <w:iCs/>
          <w:sz w:val="24"/>
          <w:lang w:val="es-EC"/>
        </w:rPr>
        <w:t>Adom</w:t>
      </w:r>
      <w:proofErr w:type="spellEnd"/>
      <w:r w:rsidRPr="00516B96">
        <w:rPr>
          <w:rFonts w:ascii="Times New Roman" w:hAnsi="Times New Roman" w:cs="Times New Roman"/>
          <w:bCs/>
          <w:iCs/>
          <w:sz w:val="24"/>
          <w:lang w:val="es-EC"/>
        </w:rPr>
        <w:t>, la sociedad humanitaria en Israel.</w:t>
      </w:r>
    </w:p>
    <w:p w:rsidR="00D739FA" w:rsidRPr="00516B96" w:rsidRDefault="00D739FA" w:rsidP="00D739FA">
      <w:pPr>
        <w:spacing w:line="360" w:lineRule="auto"/>
        <w:jc w:val="both"/>
        <w:rPr>
          <w:rFonts w:ascii="Times New Roman" w:hAnsi="Times New Roman" w:cs="Times New Roman"/>
          <w:bCs/>
          <w:iCs/>
          <w:sz w:val="24"/>
          <w:lang w:val="es-EC"/>
        </w:rPr>
      </w:pPr>
      <w:r w:rsidRPr="00516B96">
        <w:rPr>
          <w:rFonts w:ascii="Times New Roman" w:hAnsi="Times New Roman" w:cs="Times New Roman"/>
          <w:bCs/>
          <w:iCs/>
          <w:sz w:val="24"/>
          <w:lang w:val="es-EC"/>
        </w:rPr>
        <w:t>El conocimiento y la aceptación generalizada de estos emblemas humanitarios es crucial para salvar vidas y aliviar el sufrimiento.</w:t>
      </w:r>
    </w:p>
    <w:p w:rsidR="00D739FA" w:rsidRPr="00516B96" w:rsidRDefault="00D739FA">
      <w:pPr>
        <w:rPr>
          <w:rFonts w:ascii="Times New Roman" w:hAnsi="Times New Roman" w:cs="Times New Roman"/>
          <w:bCs/>
          <w:iCs/>
          <w:sz w:val="24"/>
          <w:lang w:val="es-EC"/>
        </w:rPr>
      </w:pPr>
      <w:r w:rsidRPr="00516B96">
        <w:rPr>
          <w:rFonts w:ascii="Times New Roman" w:hAnsi="Times New Roman" w:cs="Times New Roman"/>
          <w:bCs/>
          <w:iCs/>
          <w:sz w:val="24"/>
          <w:lang w:val="es-EC"/>
        </w:rPr>
        <w:br w:type="page"/>
      </w:r>
    </w:p>
    <w:p w:rsidR="00145AE9" w:rsidRPr="00516B96" w:rsidRDefault="00145AE9" w:rsidP="00145AE9">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CAPÍTULO II</w:t>
      </w:r>
    </w:p>
    <w:p w:rsidR="00145AE9" w:rsidRPr="00516B96" w:rsidRDefault="00145AE9" w:rsidP="00145AE9">
      <w:pPr>
        <w:spacing w:line="360" w:lineRule="auto"/>
        <w:jc w:val="center"/>
        <w:rPr>
          <w:rFonts w:ascii="Times New Roman" w:hAnsi="Times New Roman" w:cs="Times New Roman"/>
          <w:b/>
          <w:sz w:val="24"/>
          <w:szCs w:val="24"/>
        </w:rPr>
      </w:pPr>
    </w:p>
    <w:p w:rsidR="00145AE9" w:rsidRPr="00516B96" w:rsidRDefault="00145AE9" w:rsidP="00145AE9">
      <w:pPr>
        <w:spacing w:line="360" w:lineRule="auto"/>
        <w:jc w:val="center"/>
        <w:rPr>
          <w:rFonts w:ascii="Times New Roman" w:hAnsi="Times New Roman" w:cs="Times New Roman"/>
          <w:b/>
          <w:sz w:val="24"/>
          <w:szCs w:val="24"/>
        </w:rPr>
      </w:pPr>
      <w:r w:rsidRPr="00516B96">
        <w:rPr>
          <w:rFonts w:ascii="Times New Roman" w:hAnsi="Times New Roman" w:cs="Times New Roman"/>
          <w:b/>
          <w:sz w:val="24"/>
          <w:szCs w:val="24"/>
        </w:rPr>
        <w:t>EL DERECHO INTERNACIONAL HUMANITARIO Y LOS CONFLICTOS CONTEMPORÁNEOS</w:t>
      </w:r>
    </w:p>
    <w:p w:rsidR="00145AE9" w:rsidRPr="00516B96" w:rsidRDefault="00145AE9" w:rsidP="00145AE9">
      <w:pPr>
        <w:spacing w:after="0" w:line="240" w:lineRule="auto"/>
        <w:jc w:val="right"/>
        <w:rPr>
          <w:rFonts w:ascii="Times New Roman" w:eastAsia="Times New Roman" w:hAnsi="Times New Roman" w:cs="Times New Roman"/>
          <w:i/>
          <w:color w:val="333333"/>
          <w:sz w:val="16"/>
          <w:szCs w:val="16"/>
        </w:rPr>
      </w:pPr>
      <w:r w:rsidRPr="00516B96">
        <w:rPr>
          <w:rFonts w:ascii="Times New Roman" w:eastAsia="Times New Roman" w:hAnsi="Times New Roman" w:cs="Times New Roman"/>
          <w:i/>
          <w:color w:val="333333"/>
          <w:sz w:val="16"/>
          <w:szCs w:val="16"/>
        </w:rPr>
        <w:t xml:space="preserve">“La muerte de cualquier hombre me disminuye </w:t>
      </w:r>
    </w:p>
    <w:p w:rsidR="00145AE9" w:rsidRPr="00516B96" w:rsidRDefault="00145AE9" w:rsidP="00145AE9">
      <w:pPr>
        <w:spacing w:after="0" w:line="240" w:lineRule="auto"/>
        <w:jc w:val="right"/>
        <w:rPr>
          <w:rFonts w:ascii="Times New Roman" w:eastAsia="Times New Roman" w:hAnsi="Times New Roman" w:cs="Times New Roman"/>
          <w:i/>
          <w:color w:val="333333"/>
          <w:sz w:val="16"/>
          <w:szCs w:val="16"/>
        </w:rPr>
      </w:pPr>
      <w:proofErr w:type="gramStart"/>
      <w:r w:rsidRPr="00516B96">
        <w:rPr>
          <w:rFonts w:ascii="Times New Roman" w:eastAsia="Times New Roman" w:hAnsi="Times New Roman" w:cs="Times New Roman"/>
          <w:i/>
          <w:color w:val="333333"/>
          <w:sz w:val="16"/>
          <w:szCs w:val="16"/>
        </w:rPr>
        <w:t>porque</w:t>
      </w:r>
      <w:proofErr w:type="gramEnd"/>
      <w:r w:rsidRPr="00516B96">
        <w:rPr>
          <w:rFonts w:ascii="Times New Roman" w:eastAsia="Times New Roman" w:hAnsi="Times New Roman" w:cs="Times New Roman"/>
          <w:i/>
          <w:color w:val="333333"/>
          <w:sz w:val="16"/>
          <w:szCs w:val="16"/>
        </w:rPr>
        <w:t xml:space="preserve"> estoy ligado a la humanidad;</w:t>
      </w:r>
    </w:p>
    <w:p w:rsidR="00145AE9" w:rsidRPr="00516B96" w:rsidRDefault="00145AE9" w:rsidP="00145AE9">
      <w:pPr>
        <w:spacing w:after="0" w:line="240" w:lineRule="auto"/>
        <w:jc w:val="right"/>
        <w:rPr>
          <w:rFonts w:ascii="Times New Roman" w:eastAsia="Times New Roman" w:hAnsi="Times New Roman" w:cs="Times New Roman"/>
          <w:i/>
          <w:color w:val="333333"/>
          <w:sz w:val="16"/>
          <w:szCs w:val="16"/>
        </w:rPr>
      </w:pPr>
      <w:r w:rsidRPr="00516B96">
        <w:rPr>
          <w:rFonts w:ascii="Times New Roman" w:eastAsia="Times New Roman" w:hAnsi="Times New Roman" w:cs="Times New Roman"/>
          <w:i/>
          <w:color w:val="333333"/>
          <w:sz w:val="16"/>
          <w:szCs w:val="16"/>
        </w:rPr>
        <w:t xml:space="preserve"> </w:t>
      </w:r>
      <w:proofErr w:type="gramStart"/>
      <w:r w:rsidRPr="00516B96">
        <w:rPr>
          <w:rFonts w:ascii="Times New Roman" w:eastAsia="Times New Roman" w:hAnsi="Times New Roman" w:cs="Times New Roman"/>
          <w:i/>
          <w:color w:val="333333"/>
          <w:sz w:val="16"/>
          <w:szCs w:val="16"/>
        </w:rPr>
        <w:t>por</w:t>
      </w:r>
      <w:proofErr w:type="gramEnd"/>
      <w:r w:rsidRPr="00516B96">
        <w:rPr>
          <w:rFonts w:ascii="Times New Roman" w:eastAsia="Times New Roman" w:hAnsi="Times New Roman" w:cs="Times New Roman"/>
          <w:i/>
          <w:color w:val="333333"/>
          <w:sz w:val="16"/>
          <w:szCs w:val="16"/>
        </w:rPr>
        <w:t xml:space="preserve"> consiguiente nunca hagas preguntar por quién doblan las campanas: </w:t>
      </w:r>
    </w:p>
    <w:p w:rsidR="00145AE9" w:rsidRPr="00516B96" w:rsidRDefault="00145AE9" w:rsidP="00145AE9">
      <w:pPr>
        <w:spacing w:after="0" w:line="240" w:lineRule="auto"/>
        <w:jc w:val="right"/>
        <w:rPr>
          <w:rFonts w:ascii="Times New Roman" w:eastAsia="Times New Roman" w:hAnsi="Times New Roman" w:cs="Times New Roman"/>
          <w:i/>
          <w:color w:val="333333"/>
          <w:sz w:val="20"/>
          <w:szCs w:val="20"/>
        </w:rPr>
      </w:pPr>
      <w:proofErr w:type="gramStart"/>
      <w:r w:rsidRPr="00516B96">
        <w:rPr>
          <w:rFonts w:ascii="Times New Roman" w:eastAsia="Times New Roman" w:hAnsi="Times New Roman" w:cs="Times New Roman"/>
          <w:i/>
          <w:color w:val="333333"/>
          <w:sz w:val="16"/>
          <w:szCs w:val="16"/>
        </w:rPr>
        <w:t>están</w:t>
      </w:r>
      <w:proofErr w:type="gramEnd"/>
      <w:r w:rsidRPr="00516B96">
        <w:rPr>
          <w:rFonts w:ascii="Times New Roman" w:eastAsia="Times New Roman" w:hAnsi="Times New Roman" w:cs="Times New Roman"/>
          <w:i/>
          <w:color w:val="333333"/>
          <w:sz w:val="16"/>
          <w:szCs w:val="16"/>
        </w:rPr>
        <w:t xml:space="preserve"> doblando por ti”.</w:t>
      </w:r>
      <w:r w:rsidRPr="00516B96">
        <w:rPr>
          <w:rFonts w:ascii="Times New Roman" w:eastAsia="Times New Roman" w:hAnsi="Times New Roman" w:cs="Times New Roman"/>
          <w:i/>
          <w:color w:val="333333"/>
          <w:sz w:val="16"/>
          <w:szCs w:val="16"/>
        </w:rPr>
        <w:br/>
        <w:t xml:space="preserve">John </w:t>
      </w:r>
      <w:proofErr w:type="spellStart"/>
      <w:r w:rsidRPr="00516B96">
        <w:rPr>
          <w:rFonts w:ascii="Times New Roman" w:eastAsia="Times New Roman" w:hAnsi="Times New Roman" w:cs="Times New Roman"/>
          <w:i/>
          <w:color w:val="333333"/>
          <w:sz w:val="16"/>
          <w:szCs w:val="16"/>
        </w:rPr>
        <w:t>Donne</w:t>
      </w:r>
      <w:proofErr w:type="spellEnd"/>
      <w:r w:rsidRPr="00516B96">
        <w:rPr>
          <w:rFonts w:ascii="Times New Roman" w:eastAsia="Times New Roman" w:hAnsi="Times New Roman" w:cs="Times New Roman"/>
          <w:i/>
          <w:color w:val="333333"/>
          <w:sz w:val="20"/>
          <w:szCs w:val="20"/>
        </w:rPr>
        <w:t>.</w:t>
      </w:r>
    </w:p>
    <w:p w:rsidR="00145AE9" w:rsidRPr="00516B96" w:rsidRDefault="00145AE9" w:rsidP="00145AE9">
      <w:pPr>
        <w:spacing w:after="0" w:line="240" w:lineRule="auto"/>
        <w:jc w:val="right"/>
        <w:rPr>
          <w:rFonts w:ascii="Times New Roman" w:hAnsi="Times New Roman" w:cs="Times New Roman"/>
          <w:sz w:val="20"/>
          <w:szCs w:val="20"/>
        </w:rPr>
      </w:pPr>
    </w:p>
    <w:p w:rsidR="00145AE9" w:rsidRPr="00516B96" w:rsidRDefault="00145AE9" w:rsidP="00145AE9">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I</w:t>
      </w:r>
      <w:r>
        <w:rPr>
          <w:rFonts w:ascii="Times New Roman" w:hAnsi="Times New Roman" w:cs="Times New Roman"/>
          <w:sz w:val="24"/>
          <w:szCs w:val="24"/>
        </w:rPr>
        <w:t>I</w:t>
      </w:r>
      <w:r w:rsidRPr="00516B96">
        <w:rPr>
          <w:rFonts w:ascii="Times New Roman" w:hAnsi="Times New Roman" w:cs="Times New Roman"/>
          <w:sz w:val="24"/>
          <w:szCs w:val="24"/>
        </w:rPr>
        <w:t>. I.</w:t>
      </w:r>
      <w:r w:rsidRPr="00516B96">
        <w:rPr>
          <w:rFonts w:ascii="Times New Roman" w:hAnsi="Times New Roman" w:cs="Times New Roman"/>
          <w:sz w:val="24"/>
          <w:szCs w:val="24"/>
        </w:rPr>
        <w:tab/>
      </w:r>
      <w:r w:rsidRPr="00516B96">
        <w:rPr>
          <w:rFonts w:ascii="Times New Roman" w:hAnsi="Times New Roman" w:cs="Times New Roman"/>
          <w:sz w:val="24"/>
          <w:szCs w:val="24"/>
          <w:u w:val="single"/>
        </w:rPr>
        <w:t>Introducción</w:t>
      </w:r>
      <w:r w:rsidRPr="00516B96">
        <w:rPr>
          <w:rFonts w:ascii="Times New Roman" w:hAnsi="Times New Roman" w:cs="Times New Roman"/>
          <w:sz w:val="24"/>
          <w:szCs w:val="24"/>
        </w:rPr>
        <w:t>:</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En los últimos cinco años, más de 60 países se han visto afectados por conflictos armados interestatales o no internacionales en los que la población civil es la que se ha visto más afectada por los estragos y sufrimientos que han causado. De hecho, las personas civiles siguen siendo las primeras víctimas de las violaciones cometidas contra el Derecho Internacional Humanitario tanto por Estados como por grupos armados no estatales.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Las violaciones más frecuentes incluyen ataques deliberados contra personas civiles, destrucción de infraestructuras y bienes indispensables para su supervivencia, y desplazamientos forzados de población civil. Los métodos y medios de guerra indiscriminados empleados, especialmente en zonas pobladas, también han ocasionado sufrimientos a la población. Los combatientes no han tomado todas las precauciones factibles –ni en los ataques ni en relación con los efectos de los ataques– según lo dispuesto por el Derecho Internacional Humanitario y, por consiguiente, ha habido pérdidas innecesarias de vidas entre la población y de bienes de carácter civil. Las personas privadas de libertad también han sido víctimas de graves violaciones del Derecho Internacional Humanitario como el homicidio, la desaparición forzada, la tortura y otros tratos crueles, y los atentados contra la dignidad personal. Las mujeres, en especial, han sido víctimas de violaciones y otras formas de violencia sexual y, en algunos contextos, de forma masiva. El personal sanitario y los servicios e instalaciones de salud han sido atacados directamente o han visto el desempeño de sus funciones seriamente obstaculizado.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Asimismo, el uso abusivo de los emblemas protectores ha puesto en peligro, en última instancia, a todos los componentes del Movimiento de la Cruz Roja en el cumplimiento de su misión humanitaria. La inseguridad general sobre el terreno y la consiguiente falta de acceso a los grupos armados no estatales para lograr su aceptación y garantías de seguridad, así como la frecuente elección deliberada de los trabajadores humanitarios como objetivos de ataques o de secuestros, han impedido que la asistencia humanitaria llegue a las personas que la necesitan y han dejado a su suerte a cientos de miles de civiles.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A pesar de todo, algunos Gobiernos siguen negando la existencia de un Conflicto Armado no Internacional (CANI) en los respectivos territorios y, por consiguiente, la aplicación del Derecho Internacional Humanitario. Esto dificulta o hace imposible que entablen un diálogo con el Comité Internacional de la Cruz Roja (CICR) sobre el respeto de las obligaciones que el Derecho Internacional Humanitario les impone.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Otros se han mostrado renuentes a reconocer la necesidad de que el CICR y otros componentes del Movimiento traten con los grupos armados no estatales asuntos relacionados con la seguridad y el acceso a las víctimas, y para difundir el Derecho Internacional Humanitario y los principios humanitarios, por cuanto consideran que los grupos armados en cuestión son «organizaciones terroristas» o, en todo caso, ilegales.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En los años que han mediado desde que el CICR presentó su último informe e 2007, la Institución ha observado dos tendencias en los conflictos armados. El primero es la diversidad de situaciones de conflicto armado. Mientras que en unos conflictos se han desplegado la tecnología y los sistemas de armas más avanzados en enfrentamientos asimétricos, otros se han caracterizado por el uso de una baja tecnología y por un alto grado de fragmentación de los grupos armados contendientes.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Mientras que en los últimos años se han producido varios tipos nuevos de Conflictos Armados Internacionales (CAI), los CANI siguen siendo los más frecuentes. La causa principal ha sido la debilidad de los Estados que ha dejado margen a las milicias locales y a los grupos armados para actuar. Esto ha llevado a entornos donde el saqueo, el tráfico, la extorsión y los secuestros se han convertido en provechosas estrategias económicas que cuentan con el sustento de la violencia, así como de intereses </w:t>
      </w:r>
      <w:r w:rsidRPr="00516B96">
        <w:rPr>
          <w:rFonts w:ascii="Times New Roman" w:hAnsi="Times New Roman" w:cs="Times New Roman"/>
          <w:sz w:val="24"/>
          <w:szCs w:val="24"/>
        </w:rPr>
        <w:lastRenderedPageBreak/>
        <w:t>nacionales, regionales e internacionales, con todos los sufrimientos que ello lleva aparejado para las personas civiles. Los conflictos de baja intensidad se caracterizan a menudo por brutales formas de victimización y violencia, principalmente contra las personas civiles, para infundirles miedo, hacerse con su control y conseguir nuevos reclutas. Los choques directos entre grupos armados y fuerzas gubernamentales suelen ser ocasionales.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En cambio, son frecuentes las hostilidades en que se enfrentan grupos armados no estatales que operan en el interior de zonas pobladas contra fuerzas gubernamentales provistas de medios militares muy superiores a los de aquellos, y en que los civiles y las viviendas quedan expuestas a los enfrentamientos. La mezcla de los grupos armados con las personas civiles, en violación del Derecho Internacional Humanitario, ha sido utilizada por algunos ejércitos como justificación para eludir la obligación que impone el Derecho Internacional Humanitario (DIH) de tomar todas las precauciones posibles para reducir al mínimo los riesgos para los civiles. La guerra urbana ha planteado dificultades particulares a las fuerzas gubernamentales. Éstas han seguido utilizando con frecuencia métodos y medios de guerra diseñados para uso en campos de batalla abiertos y, por lo tanto, inadecuados a los entornos poblados, como ciertos tipos de poder aéreo y de artillería.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Al respecto, preocupan cada vez más las consecuencias del uso de la fuerza explosiva en zonas pobladas para las personas civiles y los bienes de carácter civil, que son los más afectados por las hostilidades.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Otra tendencia notable en los CANI contemporáneos es la progresiva dificultad para distinguir entre los enfrentamientos que tienen un fundamento ideológico y los que no, pues existen grupos armados no estatales que han surgido de la actividad criminal organizada.</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Cabe recordar que, a pesar de algunos puntos de vista contrarios, la motivación fundamental de la actividad de esos grupos no es un elemento que se tiene en cuenta para determinar jurídicamente si, según la definición del DIH, están implicados en un CANI.</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Las recientes situaciones de tensiones civiles en África del norte y en Oriente Medio se han transformado, en contextos como el de Libia, en conflictos armados no internacionales, en los que se enfrentan fuerzas gubernamentales a movimientos de oposición armada. En otros contextos, como Irak y Yemen, los disturbios civiles han tomado principio de conflictos armados ya existentes. Por esta razón, se ha planteado la cuestión de saber qué normas internacionales –DIH o principios y normas de los derechos humanos– rigen en situaciones particulares de violencia. Esta cuestión decisiva también se ha planteado con frecuencia en muchas otras situaciones de conflicto armado en distintos partes del mundo.</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La segunda característica notoria de los conflictos armados de los últimos años ha sido la </w:t>
      </w:r>
      <w:r w:rsidRPr="00516B96">
        <w:rPr>
          <w:rFonts w:ascii="Times New Roman" w:hAnsi="Times New Roman" w:cs="Times New Roman"/>
          <w:iCs/>
          <w:sz w:val="24"/>
          <w:szCs w:val="24"/>
        </w:rPr>
        <w:t>duración</w:t>
      </w:r>
      <w:r w:rsidRPr="00516B96">
        <w:rPr>
          <w:rFonts w:ascii="Times New Roman" w:hAnsi="Times New Roman" w:cs="Times New Roman"/>
          <w:i/>
          <w:iCs/>
          <w:sz w:val="24"/>
          <w:szCs w:val="24"/>
        </w:rPr>
        <w:t xml:space="preserve"> </w:t>
      </w:r>
      <w:r w:rsidRPr="00516B96">
        <w:rPr>
          <w:rFonts w:ascii="Times New Roman" w:hAnsi="Times New Roman" w:cs="Times New Roman"/>
          <w:sz w:val="24"/>
          <w:szCs w:val="24"/>
        </w:rPr>
        <w:t>de los mismos</w:t>
      </w:r>
      <w:r w:rsidRPr="00516B96">
        <w:rPr>
          <w:rFonts w:ascii="Times New Roman" w:hAnsi="Times New Roman" w:cs="Times New Roman"/>
          <w:i/>
          <w:iCs/>
          <w:sz w:val="24"/>
          <w:szCs w:val="24"/>
        </w:rPr>
        <w:t xml:space="preserve">. </w:t>
      </w:r>
      <w:r w:rsidRPr="00516B96">
        <w:rPr>
          <w:rFonts w:ascii="Times New Roman" w:hAnsi="Times New Roman" w:cs="Times New Roman"/>
          <w:sz w:val="24"/>
          <w:szCs w:val="24"/>
        </w:rPr>
        <w:t xml:space="preserve">Al respecto, vale la pena observar que el CICR despliega la mayoría de sus operaciones en países donde la Institución está presente desde hace ya dos, tres o cuatro décadas, como en Afganistán, Colombia, la República Democrática del Congo, Israel y territorios ocupados, Filipinas, Somalia y Sudán.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Estas situaciones prolongadas de conflicto armado, a menudo atizadas por razones económicas relacionadas con el acceso a recursos naturales, oscilan entre fases de alto y bajo grado de intensidad e inestabilidad, sin que logren encontrarse soluciones encaminadas a una paz duradera. Algunos conflictos armados, como el de Sri Lanka, han terminado en la victoria militar de una parte sobre otra, pero esto ha sido más la excepción que la regla. Muy pocos han quedado definitivamente resueltos mediante negociaciones de paz y, en varios casos, se han vuelto a desencadenar conflictos armados entre viejos enemigos a pesar de los armisticios y acuerdos de paz pactados.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Además, las diferencias entre Estados aún por resolver han tenido como consecuencia situaciones duraderas de ocupación a las que se aplican las normas del IV Convenio de Ginebra y del DIH consuetudinario, aunque pocas Potencias ocupantes, o ninguna, reconozcan que en su caso se aplique el derecho de la ocupación. A menos que se encuentren soluciones políticas a las causas iniciales de las ocupaciones que aún perduran, la población civil afectada por estas situaciones seguirá sufriendo las consecuencias del desposeimiento y de la violencia.</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II</w:t>
      </w:r>
      <w:r w:rsidRPr="00516B96">
        <w:rPr>
          <w:rFonts w:ascii="Times New Roman" w:hAnsi="Times New Roman" w:cs="Times New Roman"/>
          <w:sz w:val="24"/>
          <w:szCs w:val="24"/>
        </w:rPr>
        <w:t xml:space="preserve">. II. </w:t>
      </w:r>
      <w:r w:rsidRPr="00516B96">
        <w:rPr>
          <w:rFonts w:ascii="Times New Roman" w:hAnsi="Times New Roman" w:cs="Times New Roman"/>
          <w:sz w:val="24"/>
          <w:szCs w:val="24"/>
          <w:u w:val="single"/>
        </w:rPr>
        <w:t>Noción y Tipología de los Conflictos Armados</w:t>
      </w:r>
      <w:r w:rsidRPr="00516B96">
        <w:rPr>
          <w:rFonts w:ascii="Times New Roman" w:hAnsi="Times New Roman" w:cs="Times New Roman"/>
          <w:sz w:val="24"/>
          <w:szCs w:val="24"/>
        </w:rPr>
        <w:t>:</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Al tiempo que ha aumentado la complejidad práctica de los conflictos armados, como se señalado en la sección anterior, en los últimos años ha habido controversias jurídicas sobre la noción y la tipología de los conflictos armados. Se ha cuestionado, en especial, la adecuación:</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pStyle w:val="Prrafodelista"/>
        <w:numPr>
          <w:ilvl w:val="0"/>
          <w:numId w:val="14"/>
        </w:num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De los criterios corrientemente utilizados para determinar la existencia de un CAI,</w:t>
      </w:r>
    </w:p>
    <w:p w:rsidR="00145AE9" w:rsidRPr="00516B96" w:rsidRDefault="00145AE9" w:rsidP="00145AE9">
      <w:pPr>
        <w:pStyle w:val="Prrafodelista"/>
        <w:numPr>
          <w:ilvl w:val="0"/>
          <w:numId w:val="14"/>
        </w:num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De la actual clasificación de los conflictos armados, y en especial de los criterios para determinar la existencia de un CANI, y</w:t>
      </w:r>
    </w:p>
    <w:p w:rsidR="00145AE9" w:rsidRPr="00516B96" w:rsidRDefault="00145AE9" w:rsidP="00145AE9">
      <w:pPr>
        <w:pStyle w:val="Prrafodelista"/>
        <w:numPr>
          <w:ilvl w:val="0"/>
          <w:numId w:val="14"/>
        </w:num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Del DIH aplicable, así como de su aplicabilidad, en algunos casos.</w:t>
      </w:r>
    </w:p>
    <w:p w:rsidR="00145AE9" w:rsidRPr="00516B96" w:rsidRDefault="00145AE9" w:rsidP="00145AE9">
      <w:pPr>
        <w:autoSpaceDE w:val="0"/>
        <w:autoSpaceDN w:val="0"/>
        <w:adjustRightInd w:val="0"/>
        <w:spacing w:after="0" w:line="360" w:lineRule="auto"/>
        <w:jc w:val="both"/>
        <w:rPr>
          <w:rFonts w:ascii="Times New Roman" w:hAnsi="Times New Roman" w:cs="Times New Roman"/>
          <w:bCs/>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bCs/>
          <w:sz w:val="24"/>
          <w:szCs w:val="24"/>
        </w:rPr>
      </w:pPr>
      <w:r w:rsidRPr="00516B96">
        <w:rPr>
          <w:rFonts w:ascii="Times New Roman" w:hAnsi="Times New Roman" w:cs="Times New Roman"/>
          <w:bCs/>
          <w:sz w:val="24"/>
          <w:szCs w:val="24"/>
        </w:rPr>
        <w:t xml:space="preserve">1) Criterios para determinar la existencia de un conflicto armado internacional </w:t>
      </w:r>
    </w:p>
    <w:p w:rsidR="00145AE9" w:rsidRPr="00516B96" w:rsidRDefault="00145AE9" w:rsidP="00145AE9">
      <w:pPr>
        <w:autoSpaceDE w:val="0"/>
        <w:autoSpaceDN w:val="0"/>
        <w:adjustRightInd w:val="0"/>
        <w:spacing w:after="0" w:line="360" w:lineRule="auto"/>
        <w:jc w:val="both"/>
        <w:rPr>
          <w:rFonts w:ascii="Times New Roman" w:hAnsi="Times New Roman" w:cs="Times New Roman"/>
          <w:b/>
          <w:bCs/>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b/>
          <w:bCs/>
          <w:sz w:val="24"/>
          <w:szCs w:val="24"/>
        </w:rPr>
      </w:pPr>
      <w:r w:rsidRPr="00516B96">
        <w:rPr>
          <w:rFonts w:ascii="Times New Roman" w:hAnsi="Times New Roman" w:cs="Times New Roman"/>
          <w:sz w:val="24"/>
          <w:szCs w:val="24"/>
        </w:rPr>
        <w:t xml:space="preserve">Según el DIH, los CAI son los conflictos en que se enfrentan Estados </w:t>
      </w:r>
      <w:r>
        <w:rPr>
          <w:rFonts w:ascii="Times New Roman" w:hAnsi="Times New Roman" w:cs="Times New Roman"/>
          <w:sz w:val="24"/>
          <w:szCs w:val="24"/>
        </w:rPr>
        <w:t>[</w:t>
      </w:r>
      <w:r w:rsidRPr="00516B96">
        <w:rPr>
          <w:rFonts w:ascii="Times New Roman" w:hAnsi="Times New Roman" w:cs="Times New Roman"/>
          <w:sz w:val="24"/>
          <w:szCs w:val="24"/>
        </w:rPr>
        <w:t>o un Estado y un movimiento de liberación nacional siempre que se cumplan ciertas condiciones</w:t>
      </w:r>
      <w:r>
        <w:rPr>
          <w:rFonts w:ascii="Times New Roman" w:hAnsi="Times New Roman" w:cs="Times New Roman"/>
          <w:sz w:val="24"/>
          <w:szCs w:val="24"/>
        </w:rPr>
        <w:t>, tal como lo establece el Protocolo Adicional I, en sus artículos 1.4 y 96.3]</w:t>
      </w:r>
      <w:r w:rsidRPr="00516B96">
        <w:rPr>
          <w:rFonts w:ascii="Times New Roman" w:hAnsi="Times New Roman" w:cs="Times New Roman"/>
          <w:sz w:val="24"/>
          <w:szCs w:val="24"/>
        </w:rPr>
        <w:t xml:space="preserve">.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De conformidad con el artículo 2 común de los Convenios de Ginebra de 1949</w:t>
      </w:r>
      <w:r w:rsidRPr="00516B96">
        <w:rPr>
          <w:rStyle w:val="Refdenotaalpie"/>
          <w:rFonts w:ascii="Times New Roman" w:hAnsi="Times New Roman" w:cs="Times New Roman"/>
          <w:sz w:val="24"/>
          <w:szCs w:val="24"/>
        </w:rPr>
        <w:footnoteReference w:id="3"/>
      </w:r>
      <w:r w:rsidRPr="00516B96">
        <w:rPr>
          <w:rFonts w:ascii="Times New Roman" w:hAnsi="Times New Roman" w:cs="Times New Roman"/>
          <w:sz w:val="24"/>
          <w:szCs w:val="24"/>
        </w:rPr>
        <w:t xml:space="preserve">, las disposiciones de estos tratados se aplican en todos los casos de guerra declarada o de «cualquier otro conflicto armado que surja» entre dos o varios Estados Partes en esos Convenios, aunque uno de ellos no reconozca el estado de guerra. </w:t>
      </w:r>
      <w:r>
        <w:rPr>
          <w:rFonts w:ascii="Times New Roman" w:hAnsi="Times New Roman" w:cs="Times New Roman"/>
          <w:sz w:val="24"/>
          <w:szCs w:val="24"/>
        </w:rPr>
        <w:t>Cabe señalar que de conformidad con el Derecho Internacional Humanitario, la ocupación beligerante es una especie de conflicto armado internacional.</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Como explica Jean </w:t>
      </w:r>
      <w:proofErr w:type="spellStart"/>
      <w:r w:rsidRPr="00516B96">
        <w:rPr>
          <w:rFonts w:ascii="Times New Roman" w:hAnsi="Times New Roman" w:cs="Times New Roman"/>
          <w:sz w:val="24"/>
          <w:szCs w:val="24"/>
        </w:rPr>
        <w:t>Pictet</w:t>
      </w:r>
      <w:proofErr w:type="spellEnd"/>
      <w:r w:rsidRPr="00516B96">
        <w:rPr>
          <w:rFonts w:ascii="Times New Roman" w:hAnsi="Times New Roman" w:cs="Times New Roman"/>
          <w:sz w:val="24"/>
          <w:szCs w:val="24"/>
        </w:rPr>
        <w:t xml:space="preserve"> </w:t>
      </w:r>
      <w:r>
        <w:rPr>
          <w:rFonts w:ascii="Times New Roman" w:hAnsi="Times New Roman" w:cs="Times New Roman"/>
          <w:sz w:val="24"/>
          <w:szCs w:val="24"/>
        </w:rPr>
        <w:t xml:space="preserve">(1960) </w:t>
      </w:r>
      <w:r w:rsidRPr="00516B96">
        <w:rPr>
          <w:rFonts w:ascii="Times New Roman" w:hAnsi="Times New Roman" w:cs="Times New Roman"/>
          <w:sz w:val="24"/>
          <w:szCs w:val="24"/>
        </w:rPr>
        <w:t xml:space="preserve">en sus </w:t>
      </w:r>
      <w:r w:rsidRPr="00516B96">
        <w:rPr>
          <w:rFonts w:ascii="Times New Roman" w:hAnsi="Times New Roman" w:cs="Times New Roman"/>
          <w:i/>
          <w:sz w:val="24"/>
          <w:szCs w:val="24"/>
        </w:rPr>
        <w:t>Comentarios a los cuatro Convenios de Ginebra</w:t>
      </w:r>
      <w:r>
        <w:rPr>
          <w:rFonts w:ascii="Times New Roman" w:hAnsi="Times New Roman" w:cs="Times New Roman"/>
          <w:sz w:val="24"/>
          <w:szCs w:val="24"/>
        </w:rPr>
        <w:t>: “</w:t>
      </w:r>
      <w:r w:rsidRPr="00516B96">
        <w:rPr>
          <w:rFonts w:ascii="Times New Roman" w:hAnsi="Times New Roman" w:cs="Times New Roman"/>
          <w:sz w:val="24"/>
          <w:szCs w:val="24"/>
        </w:rPr>
        <w:t xml:space="preserve">Toda diferencia entre dos Estados que ocasione la intervención de fuerzas </w:t>
      </w:r>
      <w:r w:rsidRPr="00516B96">
        <w:rPr>
          <w:rFonts w:ascii="Times New Roman" w:hAnsi="Times New Roman" w:cs="Times New Roman"/>
          <w:sz w:val="24"/>
          <w:szCs w:val="24"/>
        </w:rPr>
        <w:lastRenderedPageBreak/>
        <w:t>armadas es un conflicto armado en el sentido del artículo 2 aunque una de las Partes niegue la existencia del estado de guerra. Ni la duración del conflicto ni la mortandad que éste cause influyen e</w:t>
      </w:r>
      <w:r>
        <w:rPr>
          <w:rFonts w:ascii="Times New Roman" w:hAnsi="Times New Roman" w:cs="Times New Roman"/>
          <w:sz w:val="24"/>
          <w:szCs w:val="24"/>
        </w:rPr>
        <w:t>n modo alguno en esa definición”</w:t>
      </w:r>
      <w:r w:rsidRPr="00516B96">
        <w:rPr>
          <w:rFonts w:ascii="Times New Roman" w:hAnsi="Times New Roman" w:cs="Times New Roman"/>
          <w:sz w:val="24"/>
          <w:szCs w:val="24"/>
        </w:rPr>
        <w:t>. En los años que han pasado desde que se aprobaron los Convenios, pocas veces se ha considerado que la duración o la intensidad sean elementos constitutivos para la existencia de un CAI.</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Últimamente, sin embargo, se ha puesto en tela de juicio este enfoque, indicando que las hostilidades deben alcanzar cierto grado de intensidad para poder calificarlas de conflicto armado, lo que significa que haría falta cumplir un criterio de intensidad para poder calificar un uso de la fuerza entre Estados como un CAI. Según esta opinión, los usos aislados o esporádicos de fuerza armada entre Estados son «incursiones fronterizas», «incidentes navales», «choques», y otras «provocaciones armadas» que no pueden ser clasificados como CAI a causa de la baja intensidad de violencia que acarrean. Por esta razón, esos Estados no las han clasificado explícitamente como CAI.</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Además de que domina la opinión jurídica contraria, se reconoce que debería mantenerse la ausencia de un requisito de umbral de intensidad para clasificar una situación como CAI, a fin de de evitar controversias de orden jurídico y político sobre si se ha alcanzado el umbral a la luz de los hechos específicos. Por lo que respecta a la protección, también hay razones convincentes para no relacionar la existencia de un CAI con un umbral de violencia.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Para ilustrar este punto de vista, basta un solo ejemplo: según el III Convenio de Ginebra, los miembros de las fuerzas armadas de un Estado que se opone a otro que son capturados por las fuerzas armadas del Estado adversario, llenan los requisitos para que les confiera el estatuto de prisioneros de guerra, independientemente de que haya realmente enfrentamientos entre los dos Estados. El estatuto de prisionero de guerra y el trato que éste debe recibir están bien definidos en el DIH, incluido el hecho de que un Prisionero de Guerra no será perseguido por actos de guerra lícitos. Es bastante evidente que el personal militar capturado no gozaría de una protección jurídica equivalente solo de conformidad con el Derecho interno del Estado detenedor, aunque este ordenamiento esté complementado con el Derecho Internacional de los Derechos Humanos.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El hecho de que en una situación particular un Estado no haga explícitamente alusión, por motivos políticos o de otra índole, a un CAI no es óbice para clasificarla jurídicamente como tal. La aplicación del Derecho de los conflictos armados internacionales fue separada hace muchas décadas de la necesidad de que se hicieran declaraciones oficiales, a fin de evitar que algún Estado pudiera negarse a ofrecer la protección que asigna ese Derecho. Este razonamiento conserva hoy toda su validez.</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bCs/>
          <w:sz w:val="24"/>
          <w:szCs w:val="24"/>
        </w:rPr>
      </w:pPr>
      <w:r w:rsidRPr="00516B96">
        <w:rPr>
          <w:rFonts w:ascii="Times New Roman" w:hAnsi="Times New Roman" w:cs="Times New Roman"/>
          <w:bCs/>
          <w:sz w:val="24"/>
          <w:szCs w:val="24"/>
        </w:rPr>
        <w:t>2) Clasificación de los conflictos armados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En debates recientes y actuales se ha planteado la cuestión de saber si la actual dicotomía del DIH, según la cual los conflictos armados están clasificados como internacionales y no internacionales, es suficiente para abordar nuevas situaciones de hecho, y si hace falta una nueva clasificación de los conflictos.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Cabe recordar que la distinción esencial entre conflicto armado internacional y no internacional es la calidad de las partes implicadas. Mientras que un CAI presupone el uso de fuerza armada entre dos o varios Estados</w:t>
      </w:r>
      <w:r w:rsidRPr="00516B96">
        <w:rPr>
          <w:rStyle w:val="Refdenotaalpie"/>
          <w:rFonts w:ascii="Times New Roman" w:hAnsi="Times New Roman" w:cs="Times New Roman"/>
          <w:sz w:val="24"/>
          <w:szCs w:val="24"/>
        </w:rPr>
        <w:footnoteReference w:id="4"/>
      </w:r>
      <w:r w:rsidRPr="00516B96">
        <w:rPr>
          <w:rFonts w:ascii="Times New Roman" w:hAnsi="Times New Roman" w:cs="Times New Roman"/>
          <w:sz w:val="24"/>
          <w:szCs w:val="24"/>
        </w:rPr>
        <w:t>, un CANI implica hostilidades entre un Estado y un grupo armado organizado no estatal (la parte no estatal), o entre grupos de esta índole.</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En la práctica no hay, aparentemente, ninguna situación de violencia armada entre partes organizadas que no pueda ser equiparada a una de las dos clasificaciones antes mencionadas. Lo que sí se observa es que predominan los CANI, y se puede decir que es una tipología que se ha extendido.</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Cabe recordar al menos dos criterios concretos para que una situación de violencia pueda ser entendida como un CANI según el artículo 3 común:</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pStyle w:val="Prrafodelista"/>
        <w:numPr>
          <w:ilvl w:val="0"/>
          <w:numId w:val="16"/>
        </w:num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Las partes implicadas deben tener cierto grado de organización, y</w:t>
      </w:r>
    </w:p>
    <w:p w:rsidR="00145AE9" w:rsidRPr="00516B96" w:rsidRDefault="00145AE9" w:rsidP="00145AE9">
      <w:pPr>
        <w:pStyle w:val="Prrafodelista"/>
        <w:numPr>
          <w:ilvl w:val="0"/>
          <w:numId w:val="16"/>
        </w:num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La violencia debe alcanzar cierto grado de intensidad.</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i) El artículo 3 común se refiere expresamente a «cada una de las partes en conflicto», dando a entender con ello que un requisito previo para su aplicación es la existencia de dos partes, como mínimo. Normalmente no es difícil establecer si existe una parte estatal, pero determinar si un grupo armado no estatal constituye una «parte» a efectos del artículo 3 común sí puede plantear dificultades sobre todo por la falta de claridad en los hechos concretos y, en algunas ocasiones, por la ausencia de voluntad</w:t>
      </w:r>
      <w:r w:rsidR="00FC4D37">
        <w:rPr>
          <w:rFonts w:ascii="Times New Roman" w:hAnsi="Times New Roman" w:cs="Times New Roman"/>
          <w:sz w:val="24"/>
          <w:szCs w:val="24"/>
        </w:rPr>
        <w:t xml:space="preserve"> </w:t>
      </w:r>
      <w:r w:rsidRPr="00516B96">
        <w:rPr>
          <w:rFonts w:ascii="Times New Roman" w:hAnsi="Times New Roman" w:cs="Times New Roman"/>
          <w:sz w:val="24"/>
          <w:szCs w:val="24"/>
        </w:rPr>
        <w:t>política de los Gobiernos de reconocer que están implicados en un CANI. Sin embargo, está ampliamente reconocido que por «parte no estatal en un CANI» se entiende un grupo armado con cierto grado de organización. La jurisprudencia internacional ha elaborado elementos indicativos que sirven de base para considerar el criterio de «organización». Estos incluyen la existencia de una estructura de mando, de normas y mecanismos de disciplina dentro del grupo armado, un centro de operaciones, la capacidad de procurarse, transportar y distribuir armas, la capacidad del grupo de planificar, coordinar y llevar a cabo operaciones militares, incluidos los movimientos de las tropas y la logística, capacidad para negociar y pactar acuerdos, por ejemplo un alto el fuego o un acuerdo de paz. Dicho de otra manera, a pesar de que el nivel de violencia en una situación concreta puede ser muy alto (en una situación de disturbios masivos, por ejemplo), no se puede hablar de CANI, a menos que una de las partes sea un grupo organizado.</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ii) El segundo criterio al que se recurre habitualmente para saber si hay un conflicto armado según el artículo 3 común es el grado de intensidad que la violencia debe alcanzar. Éste es también un criterio fáctico, cuya evaluación depende de un examen de lo que ocurre sobre el terreno. Según la jurisprudencia internacional, los elementos indicativos para la evaluación incluyen el número de enfrentamientos y la duración e intensidad de cada uno de ellos, el tipo de armas y de otros material militar utilizado, el número y el calibre de las municiones utilizadas, el número de personas y los tipos de fuerzas que participan en los enfrentamientos, el número de bajas, la extensión de la destrucción material y el número de civiles que huyen de las zonas de combate. Asimismo, la eventual intervención del Consejo de Seguridad de las Naciones Unidas puede dar una idea de la intensidad de un conflicto.</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Según el Tribunal Penal Internacional para ex Yugoslavia (TPIY), existe un CANI en el sentido del artículo 3 común cuando hay una violencia armada </w:t>
      </w:r>
      <w:r w:rsidRPr="00516B96">
        <w:rPr>
          <w:rFonts w:ascii="Times New Roman" w:hAnsi="Times New Roman" w:cs="Times New Roman"/>
          <w:iCs/>
          <w:sz w:val="24"/>
          <w:szCs w:val="24"/>
        </w:rPr>
        <w:t>prolongada</w:t>
      </w:r>
      <w:r w:rsidRPr="00516B96">
        <w:rPr>
          <w:rFonts w:ascii="Times New Roman" w:hAnsi="Times New Roman" w:cs="Times New Roman"/>
          <w:i/>
          <w:iCs/>
          <w:sz w:val="24"/>
          <w:szCs w:val="24"/>
        </w:rPr>
        <w:t xml:space="preserve"> </w:t>
      </w:r>
      <w:r w:rsidRPr="00516B96">
        <w:rPr>
          <w:rFonts w:ascii="Times New Roman" w:hAnsi="Times New Roman" w:cs="Times New Roman"/>
          <w:sz w:val="24"/>
          <w:szCs w:val="24"/>
        </w:rPr>
        <w:t xml:space="preserve"> entre </w:t>
      </w:r>
      <w:r w:rsidRPr="00516B96">
        <w:rPr>
          <w:rFonts w:ascii="Times New Roman" w:hAnsi="Times New Roman" w:cs="Times New Roman"/>
          <w:sz w:val="24"/>
          <w:szCs w:val="24"/>
        </w:rPr>
        <w:lastRenderedPageBreak/>
        <w:t>autoridades gubernamentales y grupos armados organizados, o entre estos grupos, en el territorio de un Estado. Las subsiguientes decisiones del Tribunal se han basado en esta definición, explicando que el requisito de «prolongado» es, de hecho, parte integrante del criterio de intensidad.</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i/>
          <w:iCs/>
          <w:sz w:val="24"/>
          <w:szCs w:val="24"/>
        </w:rPr>
      </w:pPr>
      <w:r w:rsidRPr="00516B96">
        <w:rPr>
          <w:rFonts w:ascii="Times New Roman" w:hAnsi="Times New Roman" w:cs="Times New Roman"/>
          <w:sz w:val="24"/>
          <w:szCs w:val="24"/>
        </w:rPr>
        <w:t xml:space="preserve">En este contexto, cabe señalar el </w:t>
      </w:r>
      <w:r w:rsidRPr="00516B96">
        <w:rPr>
          <w:rFonts w:ascii="Times New Roman" w:hAnsi="Times New Roman" w:cs="Times New Roman"/>
          <w:i/>
          <w:iCs/>
          <w:sz w:val="24"/>
          <w:szCs w:val="24"/>
        </w:rPr>
        <w:t>Documento de Opinión del CICR</w:t>
      </w:r>
      <w:r w:rsidRPr="00516B96">
        <w:rPr>
          <w:rFonts w:ascii="Times New Roman" w:hAnsi="Times New Roman" w:cs="Times New Roman"/>
          <w:sz w:val="24"/>
          <w:szCs w:val="24"/>
        </w:rPr>
        <w:t>, publicado en 2008, en el cual se definen los CANI como «</w:t>
      </w:r>
      <w:r w:rsidRPr="00516B96">
        <w:rPr>
          <w:rFonts w:ascii="Times New Roman" w:hAnsi="Times New Roman" w:cs="Times New Roman"/>
          <w:iCs/>
          <w:sz w:val="24"/>
          <w:szCs w:val="24"/>
        </w:rPr>
        <w:t xml:space="preserve">enfrentamientos armados prolongados </w:t>
      </w:r>
      <w:r w:rsidRPr="00516B96">
        <w:rPr>
          <w:rFonts w:ascii="Times New Roman" w:hAnsi="Times New Roman" w:cs="Times New Roman"/>
          <w:sz w:val="24"/>
          <w:szCs w:val="24"/>
        </w:rPr>
        <w:t xml:space="preserve">entre fuerzas armadas gubernamentales y las fuerzas de uno o más grupos armados, o entre estos grupos, que surgen en el territorio de un Estado (Parte en los Convenios de Ginebra). El enfrentamiento armado debe alcanzar </w:t>
      </w:r>
      <w:r w:rsidRPr="00516B96">
        <w:rPr>
          <w:rFonts w:ascii="Times New Roman" w:hAnsi="Times New Roman" w:cs="Times New Roman"/>
          <w:iCs/>
          <w:sz w:val="24"/>
          <w:szCs w:val="24"/>
        </w:rPr>
        <w:t xml:space="preserve">un nivel mínimo de intensidad </w:t>
      </w:r>
      <w:r w:rsidRPr="00516B96">
        <w:rPr>
          <w:rFonts w:ascii="Times New Roman" w:hAnsi="Times New Roman" w:cs="Times New Roman"/>
          <w:sz w:val="24"/>
          <w:szCs w:val="24"/>
        </w:rPr>
        <w:t xml:space="preserve">y las partes que participan en el conflicto deben poseer </w:t>
      </w:r>
      <w:r w:rsidRPr="00516B96">
        <w:rPr>
          <w:rFonts w:ascii="Times New Roman" w:hAnsi="Times New Roman" w:cs="Times New Roman"/>
          <w:iCs/>
          <w:sz w:val="24"/>
          <w:szCs w:val="24"/>
        </w:rPr>
        <w:t>un mínimo de organización</w:t>
      </w:r>
      <w:r w:rsidRPr="00516B96">
        <w:rPr>
          <w:rFonts w:ascii="Times New Roman" w:hAnsi="Times New Roman" w:cs="Times New Roman"/>
          <w:i/>
          <w:iCs/>
          <w:sz w:val="24"/>
          <w:szCs w:val="24"/>
        </w:rPr>
        <w:t>».</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pStyle w:val="Prrafodelista"/>
        <w:numPr>
          <w:ilvl w:val="0"/>
          <w:numId w:val="12"/>
        </w:numPr>
        <w:autoSpaceDE w:val="0"/>
        <w:autoSpaceDN w:val="0"/>
        <w:adjustRightInd w:val="0"/>
        <w:spacing w:after="0" w:line="360" w:lineRule="auto"/>
        <w:jc w:val="both"/>
        <w:rPr>
          <w:rFonts w:ascii="Times New Roman" w:hAnsi="Times New Roman" w:cs="Times New Roman"/>
          <w:i/>
          <w:iCs/>
          <w:sz w:val="24"/>
          <w:szCs w:val="24"/>
        </w:rPr>
      </w:pPr>
      <w:r w:rsidRPr="00516B96">
        <w:rPr>
          <w:rFonts w:ascii="Times New Roman" w:hAnsi="Times New Roman" w:cs="Times New Roman"/>
          <w:i/>
          <w:iCs/>
          <w:sz w:val="24"/>
          <w:szCs w:val="24"/>
        </w:rPr>
        <w:t xml:space="preserve">Tipología de los CANI según el artículo 3 común </w:t>
      </w:r>
    </w:p>
    <w:p w:rsidR="00145AE9" w:rsidRPr="00516B96" w:rsidRDefault="00145AE9" w:rsidP="00145AE9">
      <w:pPr>
        <w:pStyle w:val="Prrafodelista"/>
        <w:autoSpaceDE w:val="0"/>
        <w:autoSpaceDN w:val="0"/>
        <w:adjustRightInd w:val="0"/>
        <w:spacing w:after="0" w:line="360" w:lineRule="auto"/>
        <w:jc w:val="both"/>
        <w:rPr>
          <w:rFonts w:ascii="Times New Roman" w:hAnsi="Times New Roman" w:cs="Times New Roman"/>
          <w:i/>
          <w:iCs/>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Ha habido diferentes situaciones de hecho en los CANI que se rigen por el artículo 3 común, especialmente durante los últimos diez años. Un cambio esencial ha sido el incremento de los CANI con un elemento extraterritorial. Por esta razón, se ha cuestionado si la clasificación actual de los conflictos armados es suficiente. A continuación se traza una tipología de los conflictos armados actuales o recientes entre Estados y grupos armados no organizados, o entre grupos de esta índole, que pueden ser considerados CANI. Aunque se puede considerar que los cinco primeros tipos de CANI no provocan polémicas, los dos últimos siguen siendo objeto de controversia jurídica.</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En primer lugar, hoy sigue habiendo CANI tradicionales o «clásicos» que se rigen por el artículo 3 común, es decir aquellos en que las fuerzas armadas gubernamentales se enfrentan con uno o varios grupos armados organizados en el territorio de un solo Estado. Estos conflictos armados se rigen no sólo por el mencionado artículo, sino también por las normas del DIH consuetudinario.</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En segundo lugar, un conflicto armado en que se oponen dos o varios grupos armados organizados entre ellos puede ser considerado un subconjunto de CANI «clásico» cuando tiene lugar en el territorio de un solo Estado. Hay casos que incluyen tanto situaciones en las no hay una verdadera una autoridad estatal (es decir, una situación de Estado «fallido»), como situaciones en que coexisten un CANI entre dos o más grupos </w:t>
      </w:r>
      <w:r w:rsidRPr="00516B96">
        <w:rPr>
          <w:rFonts w:ascii="Times New Roman" w:hAnsi="Times New Roman" w:cs="Times New Roman"/>
          <w:sz w:val="24"/>
          <w:szCs w:val="24"/>
        </w:rPr>
        <w:lastRenderedPageBreak/>
        <w:t>armados organizados y un CAI dentro de las fronteras de un solo Estado. También en este caso, las disposiciones que deben aplicarse al CANI son las del artículo 3 común y las del DIH consuetudinario.</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En tercer lugar, también hay CANI que, tras desencadenarse en el territorio de un solo Estado entre fuerza armadas gubernamentales y uno o varios grupos armados organizados, se han «extendido» al territorio de Estados vecinos. Dejando de lado la cuestión jurídica respecto a la incursión en un territorio vecino por parte de fuerzas armadas extranjeras (violaciones de la soberanía y posibles reacciones de las fuerzas armadas del Estado vecino que podrían convertir los enfrentamientos en un CAI), se admite que las relaciones entre las partes en el conflicto que ha pasado del otro lado de una frontera, se sigue rigiendo, como mínimo, por el artículo 3 común y el DIH consuetudinario. Esta posición se basa en el entendimiento de que el desbordamiento de un CANI a un territorio vecino no puede tener por efecto eximir a las partes del cumplimiento de las obligaciones que les impone el DIH solo porque se ha pasado una frontera internacional. El consiguiente vacío jurídico privaría de protección tanto a los civiles posiblemente afectados por los enfrentamientos como a las personas que caen en poder del enemigo.</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En cuarto lugar, sobre todo durante los últimos diez años, han surgido CANI que podrían llenar los requisitos para ser considerados «multinacionales». Se trata de conflictos armados en que fuerzas armadas multinacionales combaten junto con las fuerzas armadas de un Estado «receptor» –en el territorio de este último– contra uno o varios grupos armados organizados. Dado que en el conflicto armado no se enfrentan dos o varios Estados o, dicho de otro modo, dado que todos los Estados que intervienen están de la misma parte, el conflicto debe ser clasificado como no internacional, sin tener en cuenta el componente internacional, el cual puede ser a veces significativo. Por ejemplo la situación en Afganistán (a pesar de que el conflicto armado fue, al comienzo, de índole internacional). La base jurídica aplicable está constituida por el artículo 3 común y el DIH consuetudinario.</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En quinto lugar, un subconjunto de CANI multinacionales está constituido por los conflictos en que las fuerzas de las Naciones Unidas o fuerzas bajo la égida de una organización regional (como la Unión Africana) son enviadas a apoyar a un Gobierno </w:t>
      </w:r>
      <w:r w:rsidRPr="00516B96">
        <w:rPr>
          <w:rFonts w:ascii="Times New Roman" w:hAnsi="Times New Roman" w:cs="Times New Roman"/>
          <w:sz w:val="24"/>
          <w:szCs w:val="24"/>
        </w:rPr>
        <w:lastRenderedPageBreak/>
        <w:t xml:space="preserve">«receptor» implicado en hostilidades contra uno o varios grupos armados organizados en su territorio. Esta situación plantea diversos cuestionamientos de orden jurídico en relación, por ejemplo, con el régimen que rige la conducta de la fuerza multinacional y la aplicabilidad de la Convención de 1994 sobre la Seguridad del Personal de las Naciones Unidas. Se admite que si las fuerzas de las Naciones Unidas o de una organización regional llegan a ser partes en un CANI, tienen la obligación de respetar las disposiciones del DIH, es decir, las del artículo 3 común y las del DIH consuetudinario.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En sexto lugar, se puede decir que existe un CANI («transfronterizo») cuando las fuerzas de un Estado han trabado hostilidades con una parte no estatal que opera a partir del territorio de un Estado «receptor» vecino, pero sin el control o apoyo de este Estado. La guerra de 2006 entre Israel y </w:t>
      </w:r>
      <w:proofErr w:type="spellStart"/>
      <w:r w:rsidRPr="00516B96">
        <w:rPr>
          <w:rFonts w:ascii="Times New Roman" w:hAnsi="Times New Roman" w:cs="Times New Roman"/>
          <w:sz w:val="24"/>
          <w:szCs w:val="24"/>
        </w:rPr>
        <w:t>Hezbolá</w:t>
      </w:r>
      <w:proofErr w:type="spellEnd"/>
      <w:r w:rsidRPr="00516B96">
        <w:rPr>
          <w:rFonts w:ascii="Times New Roman" w:hAnsi="Times New Roman" w:cs="Times New Roman"/>
          <w:sz w:val="24"/>
          <w:szCs w:val="24"/>
        </w:rPr>
        <w:t xml:space="preserve"> fue un caso bastante polémico tanto en los hechos como jurídicamente. Dio lugar a opiniones contrapuestas sobre la clasificación jurídica de las hostilidades ocurridas entonces.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Es posible clasificar esas opiniones en tres amplias categorías: 1) los enfrentamientos eran un CAI, 2) los enfrentamientos eran un CANI, y 3) había dos conflictos armados al mismo tiempo entre las diferentes partes: un CAI entre Israel y Líbano y un CANI entre Israel y </w:t>
      </w:r>
      <w:proofErr w:type="spellStart"/>
      <w:r w:rsidRPr="00516B96">
        <w:rPr>
          <w:rFonts w:ascii="Times New Roman" w:hAnsi="Times New Roman" w:cs="Times New Roman"/>
          <w:sz w:val="24"/>
          <w:szCs w:val="24"/>
        </w:rPr>
        <w:t>Hezbolá</w:t>
      </w:r>
      <w:proofErr w:type="spellEnd"/>
      <w:r w:rsidRPr="00516B96">
        <w:rPr>
          <w:rFonts w:ascii="Times New Roman" w:hAnsi="Times New Roman" w:cs="Times New Roman"/>
          <w:sz w:val="24"/>
          <w:szCs w:val="24"/>
        </w:rPr>
        <w:t xml:space="preserve">. El propósito de la «doble clasificación» era tener en cuenta la realidad sobre el terreno, que era la siguiente: gran parte de las hostilidades tuvieron lugar entre un Estado y un grupo armado organizado que combatía desde el otro lado de un límite internacional y cuyas acciones no podían ser atribuidas al Estado receptor. Una situación como ésta era difícilmente imaginable cuando se redactó el artículo 3 común; sin embargo, la tesis es que tanto el artículo 3 común como el DIH consuetudinario constituían la normativa jurídica aplicable a esas dos situaciones paralelas, además de que se aplicaba el derecho de los CAI entre los dos Estados.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Un séptimo y último tipo de CANI que, según algunas opiniones, existe actualmente, es un conflicto armado a través de muchos Estados entre Al Qaeda y sus «seguidores» y «adherentes» y los Estados Unidos («transnacional»).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Desde los ataques del 11 de septiembre de 2001, el CICR ha hablado de una «lucha contra el terrorismo» polifacética. Este esfuerzo conlleva toda una serie de medidas </w:t>
      </w:r>
      <w:r w:rsidRPr="00516B96">
        <w:rPr>
          <w:rFonts w:ascii="Times New Roman" w:hAnsi="Times New Roman" w:cs="Times New Roman"/>
          <w:sz w:val="24"/>
          <w:szCs w:val="24"/>
        </w:rPr>
        <w:lastRenderedPageBreak/>
        <w:t xml:space="preserve">contra el terrorismo que van de respuestas no violentas -como colecta de información de inteligencia, sanciones económicas, cooperación judicial y de otra índole–, hasta, en último extremo, el uso de la fuerza. En este último caso, el CICR ha analizado separadamente cada situación de violencia en la lucha contra el terrorismo para efectuar su clasificación jurídica. Algunas situaciones han sido clasificadas como CAI; en otros contextos, como CANI, mientras que se ha considerado que los diferentes actos de terrorismo que tienen lugar en el mundo son ajenos a un conflicto armado. Hay que tener presente que las normas del DIH que rigen el uso de la fuerza y la detención por razones de seguridad son menos restrictivas que las normas aplicables en situaciones ajenas a un conflicto armado, las cuales se rigen por otros ordenamientos jurídicos. </w:t>
      </w:r>
    </w:p>
    <w:p w:rsidR="00145AE9"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Como el Comité Internacional de la Cruz Roja señala en su informe presentado a la Conferencia Internacional de 2007, se considera inapropiado e innecesario aplicar el DIH a situaciones que no son de conflicto armado.</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pStyle w:val="Prrafodelista"/>
        <w:numPr>
          <w:ilvl w:val="0"/>
          <w:numId w:val="12"/>
        </w:numPr>
        <w:autoSpaceDE w:val="0"/>
        <w:autoSpaceDN w:val="0"/>
        <w:adjustRightInd w:val="0"/>
        <w:spacing w:after="0" w:line="360" w:lineRule="auto"/>
        <w:jc w:val="both"/>
        <w:rPr>
          <w:rFonts w:ascii="Times New Roman" w:hAnsi="Times New Roman" w:cs="Times New Roman"/>
          <w:i/>
          <w:iCs/>
          <w:sz w:val="24"/>
          <w:szCs w:val="24"/>
        </w:rPr>
      </w:pPr>
      <w:r w:rsidRPr="00516B96">
        <w:rPr>
          <w:rFonts w:ascii="Times New Roman" w:hAnsi="Times New Roman" w:cs="Times New Roman"/>
          <w:i/>
          <w:iCs/>
          <w:sz w:val="24"/>
          <w:szCs w:val="24"/>
        </w:rPr>
        <w:t>Clasificación de las situaciones de violencia como consecuencia del crimen organizado</w:t>
      </w:r>
    </w:p>
    <w:p w:rsidR="00145AE9" w:rsidRPr="00516B96" w:rsidRDefault="00145AE9" w:rsidP="00145AE9">
      <w:pPr>
        <w:pStyle w:val="Prrafodelista"/>
        <w:autoSpaceDE w:val="0"/>
        <w:autoSpaceDN w:val="0"/>
        <w:adjustRightInd w:val="0"/>
        <w:spacing w:after="0" w:line="360" w:lineRule="auto"/>
        <w:jc w:val="both"/>
        <w:rPr>
          <w:rFonts w:ascii="Times New Roman" w:hAnsi="Times New Roman" w:cs="Times New Roman"/>
          <w:i/>
          <w:iCs/>
          <w:sz w:val="24"/>
          <w:szCs w:val="24"/>
        </w:rPr>
      </w:pPr>
    </w:p>
    <w:p w:rsidR="00145AE9"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El fenómeno del crimen organizado como tal, que es complejo y polifacético, no entra en el ámbito de esta investigación. Sin embargo, se menciona a causa del actual cuestionamiento sobre su índole jurídica. Para los fines consiguientes se entiende por «crimen organizado» todas las que actividades ilícitas llevadas a cabo por organizaciones criminales y bandas territoriales, incluidas las actividades que tienen como consecuencia el recurso a la violencia armada.</w:t>
      </w:r>
      <w:r w:rsidRPr="00A6120C">
        <w:t xml:space="preserve"> </w:t>
      </w:r>
      <w:r w:rsidRPr="00A6120C">
        <w:rPr>
          <w:rFonts w:ascii="Times New Roman" w:hAnsi="Times New Roman" w:cs="Times New Roman"/>
          <w:sz w:val="24"/>
          <w:szCs w:val="24"/>
        </w:rPr>
        <w:t>Cabe señalar que todos los actos de violencia que un grupo armado no estatal organizado cometa en un CANI están normalmente prohibidos por los derechos internos. Por esta razón, es difícil hacer una distinción basada en la ilegalidad de las actividades</w:t>
      </w:r>
      <w:r w:rsidRPr="00516B96">
        <w:rPr>
          <w:rFonts w:ascii="Times New Roman" w:hAnsi="Times New Roman" w:cs="Times New Roman"/>
          <w:sz w:val="24"/>
          <w:szCs w:val="24"/>
        </w:rPr>
        <w:t xml:space="preserve"> </w:t>
      </w:r>
    </w:p>
    <w:p w:rsidR="00145AE9"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En algunos casos, ésta es el resultado de la lucha entre grupos armados que buscan hacerse con el control de mercados y/o territorio, a fin de mantener actividades ilegales. En muchos otros casos, la violencia puede ser la consecuencia de acciones emprendidas por Gobiernos para eliminar las organizaciones criminales o para volver a hacerse con el control del territorio por medio de fuerzas militares o de policía. En algunos contextos, los dos tipos de enfrentamiento armado han alcanzado un alto grado de </w:t>
      </w:r>
      <w:r w:rsidRPr="00516B96">
        <w:rPr>
          <w:rFonts w:ascii="Times New Roman" w:hAnsi="Times New Roman" w:cs="Times New Roman"/>
          <w:sz w:val="24"/>
          <w:szCs w:val="24"/>
        </w:rPr>
        <w:lastRenderedPageBreak/>
        <w:t xml:space="preserve">intensidad, a causa de la utilización de armas pesadas y por el número de bajas que han ocasionado. La cuestión es saber si la violencia a que da lugar el crimen organizado y la forma en que se responde a él se pueden considerar un conflicto armado según el DIH y, en especial, si los grupos armados implicados en el crimen organizado pueden ser partes en un conflicto armado.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La respuesta dependerá de los dos criterios principales utilizados para determinar la existencia de un CANI, señalados más arriba, a saber: el nivel de organización de las fuerzas implicadas y la intensidad de la violencia. Se puede decir que en muchos contextos se cumple el primer criterio. Los grupos criminales cuentan, a menudo, con una estructura de mando, un centro de operaciones, la capacidad de procurarse armas y de planificar operaciones, etc. En cuanto al criterio de intensidad de la violencia, determinar en la práctica si se ha alcanzado el umbral de un CANI es a veces más difícil. La evaluación debe hacerse analizando cada caso por separado, sopesando una serie de datos indicativos. Elementos pertinentes son, por ejemplo, la índole colectiva de los enfrentamientos o el hecho de que el Estado esté obligado a recurrir a sus fuerzas armadas para hacer frente a la situación.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También puede tenerse en cuenta la duración de los enfrentamientos armados y su frecuencia, la índole de las armas utilizadas, el desplazamiento de población, el control territorial por parte de grupos armados, la cantidad de víctimas y otros elementos análogos.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Según algunas opiniones, las características específicas de los grupos implicados en actividades estrictamente criminales militan contra el hecho de considerar que el crimen organizado y la forma en que debe responderse a éste sean considerados CANI. Según ellos, las situaciones en que los implicados son únicamente organizaciones criminales como «mafias» o bandas criminales no se clasifican como CANI, porque solo los grupos armados organizados que tengan objetivos políticos pueden ser una parte legítima en un CANI. Cabe señalar que este punto de vista no se fundamenta en una interpretación estrictamente jurídica.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Según el DIH, la motivación de los grupos organizados en una situación de violencia armada no es un criterio para determinar la existencia de un conflicto armado. En </w:t>
      </w:r>
      <w:r w:rsidRPr="00516B96">
        <w:rPr>
          <w:rFonts w:ascii="Times New Roman" w:hAnsi="Times New Roman" w:cs="Times New Roman"/>
          <w:sz w:val="24"/>
          <w:szCs w:val="24"/>
        </w:rPr>
        <w:lastRenderedPageBreak/>
        <w:t xml:space="preserve">primer lugar, incluir ese criterio significaría abrir la puerta a una cantidad de razones basadas en motivaciones posiblemente numerosas. En segundo lugar, el objetivo político es un criterio difícil de aplicar en muchos casos, ya que, en la práctica, las motivaciones reales de los grupos armados no siempre son fácilmente discernibles; y lo que vale como objetivo político sería materia de controversia. Por último, no siempre es clara la distinción entre organizaciones políticas y criminales, pues no es excepcional que las organizaciones que luchan por fines políticos realicen al mismo tiempo actividades criminales, y viceversa.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Huelga decir que la clasificación jurídica de la violencia tiene importantes consecuencias prácticas, puesto que determina la normativa jurídica aplicable, en especial las reglas que deben observarse en el uso de la fuerza. Si se considera que una situación alcanza el umbral de un CANI, se aplica el DIH relativo a la conducción de las hostilidades, y tanto las fuerzas gubernamentales como las organizaciones criminales partes en ese conflicto tienen la obligación de respetarlo. Si está por debajo del umbral de un CANI, las autoridades estatales deben respetar las normas internacionales de los Derechos Humanos que deben aplicarse en las operaciones de mantenimiento del orden público. Las organizaciones criminales no están obligadas a cumplir estas normas, pero sí a respetar el Derecho interno, incluida la legislación pertinente del Derecho Penal.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bCs/>
          <w:sz w:val="24"/>
          <w:szCs w:val="24"/>
        </w:rPr>
      </w:pPr>
      <w:r w:rsidRPr="00516B96">
        <w:rPr>
          <w:rFonts w:ascii="Times New Roman" w:hAnsi="Times New Roman" w:cs="Times New Roman"/>
          <w:bCs/>
          <w:sz w:val="24"/>
          <w:szCs w:val="24"/>
        </w:rPr>
        <w:t>3) Derecho aplicable</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A veces se ha puesto en tela de juicio la adecuación del DIH no solo por lo que respecta a su capacidad para cubrir las nuevas realidades de la violencia armada organizada en las clasificaciones que se utilizan actualmente, sino también a la existencia de un conjunto suficiente de normas substantivas y a su aplicabilidad a una situación concreta. La cuestión tiene más interés en el caso de los conflictos armados no internacionales que en los internacionales.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En general, no se pone en duda que los Convenios de Ginebra de 1949 y el Protocolo adicional I para los Estados Partes en éste, así como las normas del Derecho Internacional Humanitario Consuetudinario, siguen siendo una base de referencia útil para regular la conducta de los Estados que participan en un CAI.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Como se señala el Comité Internacional de la Cruz Roja en 2007, las normas y los principios básicos que rigen la conducción de las hostilidades y el trato que deben recibir las personas en poder del enemigo (los dos principales ámbitos del DIH), continúan reflejando un equilibro razonable y pragmático entre la exigencia de necesidad militar y las exigencias de humanidad. Las normas están redactadas de forma detallada y han resistido al paso del tiempo; asimismo están ampliamente aceptadas, como lo pone de relieve el hecho de que cada país del mundo es hoy Parte en los Convenios de Ginebra y de que casi todos son también Partes en el Protocolo adicional I. Se siguen completando los tratados fundamentales con otras codificaciones, especialmente en el ámbito de las armas. Esto no significa, por supuesto, que el derecho de los CAI no pueda ser mejorado mediante el esclarecimiento y/o la interpretación. Estados, organizaciones internacionales, el CICR, grupos de expertos y otros entes, incluidos tribunales y cortes nacionales e internacionales, despliegan esfuerzos con ese fin.</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Como es sabido, las disposiciones convencionales que rigen los CANI son mucho menos numerosas que las que regulan los CAI y no pueden responder forma adecuada a la multitud de cuestiones jurídicas y de protección que se plantean en la práctica. Se ha dicho que los CANI no están reglamentados de forma sustancial porque la aplicación del artículo 3 común está limitada, geográficamente, al territorio de un Estado parte en un conflicto armado. Esta opinión no es correcta porque las disposiciones de ese artículo son, sin duda alguna, normas de Derecho Consuetudinario y porque el DIH consuetudinario contiene muchas otras normas que son aplicables a un CANI. El Estudio que el CICR hizo sobre el Derecho Internacional Humanitario Consuetudinario, publicado en 2005 (en inglés, y en 2007, en español), a solicitud de la Conferencia Internacional celebrada diez años antes, llegó a la conclusión de que 148 normas consuetudinarias de 161 se aplicaban también en los CANI. Estas normas son una fuente adicional para determinar las obligaciones tanto de los Estados como de los grupos armados organizados no estatales.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Las normas del DIH Consuetudinario son muy importantes porque ofrecen una orientación jurídica a las partes en todos los tipos de CANI, incluidos los que tienen el elemento extraterritorial. En virtud del Derecho Consuetudinario, los principios y normas básicos del DIH que regulan la conducción de las hostilidades son, con muy </w:t>
      </w:r>
      <w:r w:rsidRPr="00516B96">
        <w:rPr>
          <w:rFonts w:ascii="Times New Roman" w:hAnsi="Times New Roman" w:cs="Times New Roman"/>
          <w:sz w:val="24"/>
          <w:szCs w:val="24"/>
        </w:rPr>
        <w:lastRenderedPageBreak/>
        <w:t xml:space="preserve">pocas excepciones, esencialmente idénticas para todos los conflictos, independientemente de la clasificación. Lo mismo vale por lo que respecta a las normas que regulan los diferentes aspectos de la detención, a excepción de las garantías procesales en caso de internamiento en un CANI. La opinión del CICR sobre la forma en que puede fortalecerse el derecho relativo a la detención se trata en el informe </w:t>
      </w:r>
      <w:r w:rsidRPr="00516B96">
        <w:rPr>
          <w:rFonts w:ascii="Times New Roman" w:hAnsi="Times New Roman" w:cs="Times New Roman"/>
          <w:i/>
          <w:iCs/>
          <w:sz w:val="24"/>
          <w:szCs w:val="24"/>
        </w:rPr>
        <w:t>El fortalecimiento de la protección jurídica de las víctimas de los conflictos armados</w:t>
      </w:r>
      <w:r w:rsidRPr="00516B96">
        <w:rPr>
          <w:rFonts w:ascii="Times New Roman" w:hAnsi="Times New Roman" w:cs="Times New Roman"/>
          <w:sz w:val="24"/>
          <w:szCs w:val="24"/>
        </w:rPr>
        <w:t>, en el cual se destacan también otros ámbitos del Derecho.</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Aunque determinar el Derecho aplicable es sin duda importante, lo es mucho más que los Estados reconozcan su aplicabilidad cuando se cumplen los criterios fácticos necesarios. En su informe de 2007 el CICR observaba la tendencia de algunos Estados a ampliar la aplicación de DIH a situaciones que, de hecho, no constituían conflictos armados.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Hoy se advierte otra tendencia igualmente preocupante, que adopta dos formas. Una es que algunos Estados rechazan la aplicabilidad del DIH a las situaciones que, de hecho, pueden constituir un CANI, y prefieren llamarlas operaciones de «lucha contra el terrorismo», las cuales están sujetas a otros regímenes de Derecho. La otra es que Estados que antes reconocían que actuaban en una situación de CANI contra un grupo armado no estatal, han repudiado esa clasificación, y también han declarado que, en lo sucesivo, aplicaban una normativa destinada a luchar contra el terrorismo.</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En ambos casos, el planteamiento parece basarse, esencialmente, en la presunción de que reconocer la existencia de un CANI (o su continuación) legitima a la parte no estatal otorgándole un estatuto jurídico particular. Cabe señalar que el DIH no corrobora esta presunción, ya que, según el artículo 3 común, la aplicación de sus disposiciones «no afectarán el estatuto jurídico de las Partes en conflicto -armado no internacional-».</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La finalidad del artículo 3 común es regular el trato que deben recibir las personas en poder del adversario, mientras que, como ya se ha señalado, otras normas del DIH consuetudinario aplicable a los CANI rigen la conducción de las hostilidades. Cuando los Estados niegan la aplicabilidad del DIH en un CANI, privan a las personas civiles y al propio personal que pueda estar detenido por una parte no estatal de la protección de la única rama del Derecho Internacional que inequívocamente impone obligaciones a </w:t>
      </w:r>
      <w:r w:rsidRPr="00516B96">
        <w:rPr>
          <w:rFonts w:ascii="Times New Roman" w:hAnsi="Times New Roman" w:cs="Times New Roman"/>
          <w:sz w:val="24"/>
          <w:szCs w:val="24"/>
        </w:rPr>
        <w:lastRenderedPageBreak/>
        <w:t xml:space="preserve">los grupos armados no estatales y cuya violación puede ser sancionada en el plano internacional.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Sin embargo, no se considera, en general, que los grupos armados no estatales estén obligados a respetar el Derecho de los Derechos Humanos, y su falta de voluntad para aplicar el Derecho interno en la práctica puede inferirse del hecho de que han tomado las armas contra el Estado. Sin embargo, la aplicabilidad del DIH a una situación determinada de ninguna manera obsta para que los miembros de la parte no estatal sigan estando legalmente sujetos al Derecho interno y puedan ser enjuiciados de conformidad con éste Derecho por los crímenes que puedan haber  cometido.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Precisamente en esto pensaban los redactores del artículo 3 común cuando establecieron que la aplicación de sus disposiciones no afecta el estatuto jurídico de las partes en conflicto, y es lo que se pasa por alto cuando se rechaza su aplicabilidad, en detrimento de las víctimas de los conflictos armados.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II</w:t>
      </w:r>
      <w:r w:rsidRPr="00516B96">
        <w:rPr>
          <w:rFonts w:ascii="Times New Roman" w:hAnsi="Times New Roman" w:cs="Times New Roman"/>
          <w:sz w:val="24"/>
          <w:szCs w:val="24"/>
        </w:rPr>
        <w:t xml:space="preserve">. III. </w:t>
      </w:r>
      <w:r w:rsidRPr="00516B96">
        <w:rPr>
          <w:rFonts w:ascii="Times New Roman" w:hAnsi="Times New Roman" w:cs="Times New Roman"/>
          <w:sz w:val="24"/>
          <w:szCs w:val="24"/>
          <w:u w:val="single"/>
        </w:rPr>
        <w:t>Crímenes en Nombre de la Libertad y la Seguridad</w:t>
      </w:r>
      <w:r w:rsidRPr="00516B96">
        <w:rPr>
          <w:rFonts w:ascii="Times New Roman" w:hAnsi="Times New Roman" w:cs="Times New Roman"/>
          <w:sz w:val="24"/>
          <w:szCs w:val="24"/>
        </w:rPr>
        <w:t>:</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pStyle w:val="Prrafodelista"/>
        <w:numPr>
          <w:ilvl w:val="0"/>
          <w:numId w:val="17"/>
        </w:num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El Terrorismo</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No existe una definición jurídica internacional exhaustiva del terrorismo. El DIH no lo define, pero sí prohíbe en forma explícita la mayoría de los actos cometidos contra las personas y los objetos civiles durante un conflicto armado que, si se cometiesen en tiempo de paz, normalmente se considerarían "actos terroristas".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El DIH ha afrontado el desafío representado por la tendencia de los Estados a etiquetar como terroristas todos los actos de guerra cometidos contra ellos por grupos armados, especialmente en conflictos armados no internacionales. Esta postura ha causado confusión en la diferenciación entre los actos de guerra legítimos, en particular los cometidos por insurgentes nacionales contra objetivos militares, y los actos de terrorismo.</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Existe considerable controversia en torno a la clasificación jurídica de la "guerra mundial contra el terrorismo". El CICR no opina que se esté librando una guerra </w:t>
      </w:r>
      <w:r w:rsidRPr="00516B96">
        <w:rPr>
          <w:rFonts w:ascii="Times New Roman" w:hAnsi="Times New Roman" w:cs="Times New Roman"/>
          <w:sz w:val="24"/>
          <w:szCs w:val="24"/>
        </w:rPr>
        <w:lastRenderedPageBreak/>
        <w:t>mundial. Prefiere aplicar un enfoque caso por caso. El CICR considera que aplicar el DIH a situaciones que no constituyen una guerra no es útil y que puede resultar peligroso.</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Uno de los principios básicos del DIH es que las personas que participan en un conflicto armado deben, en todo momento, distinguir entre civiles y combatientes, así como entre bienes civiles y objetivos militares. El DIH prohíbe los ataques intencionales o directos y los ataques indiscriminados contra personas o estructuras civiles. También se prohíben el uso de escudos humanos y la toma de rehenes. Cuando una situación de violencia equivale a un conflicto armado, el hecho de etiquetar esas acciones como "actos de terrorismo" no añade nada útil, puesto que de por sí constituyen crímenes de guerra en el marco del Derecho Internacional Humanitario.</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Además, el DIH también prohíbe expresamente que las partes en conflictos armados, como táctica de conducción de las hostilidades, cometan actos de terrorismo contra personas civiles que se encuentren en poder del adversario, así como los actos de violencia cuya finalidad sea aterrorizar a la población civil. Estas prohibiciones, que se refieren a actos cuyo único propósito es intimidar a la población civil, complementan las normas ya mencionadas cuya finalidad es proteger, en forma más general, la vida y los bienes de las personas civiles.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Una importante diferencia entre el DIH y el régimen jurídico aplicado al terrorismo es que el DIH se basa en que ciertos actos de violencia en la guerra -contra objetivos y personal militares- no están prohibidos. Sin embargo, cualquier acto de "terrorismo" está prohibido por definición y constituye un crimen. Estos dos regímenes jurídicos no deberían difuminarse, habida cuenta de sus diferentes. Esto es especialmente importante en situaciones de conflicto armado no internacional, en las cuales la designación de "terrorista" puede desincentivar más aún el respeto del DIH por los grupos armados organizados (que ya están sujetos a enjuiciamiento penal en el marco del derecho interno).</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Dentro de la llamada “Guerra Mundial contra el Terrorismo”, la mayoría de las medidas adoptadas por los Estados y otras entidades para prevenir o suprimir los actos de terrorismo no equivalen a un conflicto armado en el sentido práctico ni jurídico. Por </w:t>
      </w:r>
      <w:r w:rsidRPr="00516B96">
        <w:rPr>
          <w:rFonts w:ascii="Times New Roman" w:hAnsi="Times New Roman" w:cs="Times New Roman"/>
          <w:sz w:val="24"/>
          <w:szCs w:val="24"/>
        </w:rPr>
        <w:lastRenderedPageBreak/>
        <w:t>ello, sería más apropiado hablar de la lucha contra el terrorismo, que es una actividad multifacética y que a veces puede equipararse con un conflicto armado. En esas circunstancias, se aplican las normas del DIH que rigen los conflictos armados internacionales o no internacionales, según proceda. Todas las partes deben respetar el DIH; las normas sobre la conducción de las hostilidades y el trato debido a los heridos prisioneros y civiles se aplican a todos. El DIH no se aplica cuando se producen actos terroristas o cuando se detiene a personas sospechadas de terrorismo, fuera del marco de un conflicto armado.</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El enfoque caso por caso que el CICR utiliza en la categorización jurídica de las situaciones de violencia también se aplica para determinar el estatuto y los derechos de las personas detenidas en la lucha contra el terrorismo. Si son detenidas en un conflicto armado internacional, debe permitirse que el CICR acceda a esas personas de conformidad con las normas pertinentes del DIH. Cuando la lucha contra el terrorismo implica un conflicto armado no internacional, el CICR ofrece a las partes sus servicios humanitarios. Fuera de los conflictos armados, el CICR ejerce su derecho de iniciativa humanitaria para solicitar acceso a las personas detenidas.</w:t>
      </w:r>
    </w:p>
    <w:p w:rsidR="00145AE9" w:rsidRPr="00516B96" w:rsidRDefault="00145AE9" w:rsidP="00145AE9">
      <w:pPr>
        <w:pStyle w:val="Prrafodelista"/>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pStyle w:val="Prrafodelista"/>
        <w:numPr>
          <w:ilvl w:val="0"/>
          <w:numId w:val="17"/>
        </w:num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El caso de Líbano y Palestina</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lang w:val="es-EC"/>
        </w:rPr>
      </w:pPr>
      <w:r w:rsidRPr="00516B96">
        <w:rPr>
          <w:rFonts w:ascii="Times New Roman" w:hAnsi="Times New Roman" w:cs="Times New Roman"/>
          <w:sz w:val="24"/>
          <w:szCs w:val="24"/>
          <w:lang w:val="es-EC"/>
        </w:rPr>
        <w:t xml:space="preserve">El conflicto entre el Líbano e Israel hunde sus raíces en la decisión de Gran Bretaña de </w:t>
      </w:r>
      <w:r w:rsidRPr="00516B96">
        <w:rPr>
          <w:rFonts w:ascii="Times New Roman" w:hAnsi="Times New Roman" w:cs="Times New Roman"/>
          <w:bCs/>
          <w:sz w:val="24"/>
          <w:szCs w:val="24"/>
          <w:lang w:val="es-EC"/>
        </w:rPr>
        <w:t>abandonar Palestina en 1947</w:t>
      </w:r>
      <w:r w:rsidRPr="00516B96">
        <w:rPr>
          <w:rFonts w:ascii="Times New Roman" w:hAnsi="Times New Roman" w:cs="Times New Roman"/>
          <w:sz w:val="24"/>
          <w:szCs w:val="24"/>
          <w:lang w:val="es-EC"/>
        </w:rPr>
        <w:t>. En la 'Tierra Prometida' ya existían entonces enfrentamientos entre los habitantes autóctonos y los judíos que se habían ido asentando allí con la esperanza de crear un 'hogar nacional'.</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lang w:val="es-EC"/>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lang w:val="es-EC"/>
        </w:rPr>
      </w:pPr>
      <w:r w:rsidRPr="00516B96">
        <w:rPr>
          <w:rFonts w:ascii="Times New Roman" w:hAnsi="Times New Roman" w:cs="Times New Roman"/>
          <w:sz w:val="24"/>
          <w:szCs w:val="24"/>
          <w:lang w:val="es-EC"/>
        </w:rPr>
        <w:t xml:space="preserve">Con la retirada británica, la resolución del conflicto quedó en manos de las Naciones Unidas (ONU) que, para poner fin al problema, aprobó el 29 de noviembre de ese mismo año un </w:t>
      </w:r>
      <w:r w:rsidRPr="00516B96">
        <w:rPr>
          <w:rFonts w:ascii="Times New Roman" w:hAnsi="Times New Roman" w:cs="Times New Roman"/>
          <w:bCs/>
          <w:sz w:val="24"/>
          <w:szCs w:val="24"/>
          <w:lang w:val="es-EC"/>
        </w:rPr>
        <w:t>plan de partición del territorio en dos zonas: una israelí y otra palestina</w:t>
      </w:r>
      <w:r w:rsidRPr="00516B96">
        <w:rPr>
          <w:rFonts w:ascii="Times New Roman" w:hAnsi="Times New Roman" w:cs="Times New Roman"/>
          <w:sz w:val="24"/>
          <w:szCs w:val="24"/>
          <w:lang w:val="es-EC"/>
        </w:rPr>
        <w:t xml:space="preserve">. El 14 de mayo de 1948, David Ben </w:t>
      </w:r>
      <w:proofErr w:type="spellStart"/>
      <w:r w:rsidRPr="00516B96">
        <w:rPr>
          <w:rFonts w:ascii="Times New Roman" w:hAnsi="Times New Roman" w:cs="Times New Roman"/>
          <w:sz w:val="24"/>
          <w:szCs w:val="24"/>
          <w:lang w:val="es-EC"/>
        </w:rPr>
        <w:t>Gourion</w:t>
      </w:r>
      <w:proofErr w:type="spellEnd"/>
      <w:r w:rsidRPr="00516B96">
        <w:rPr>
          <w:rFonts w:ascii="Times New Roman" w:hAnsi="Times New Roman" w:cs="Times New Roman"/>
          <w:sz w:val="24"/>
          <w:szCs w:val="24"/>
          <w:lang w:val="es-EC"/>
        </w:rPr>
        <w:t xml:space="preserve"> proclamó el Estado de Israel, una decisión nunca aceptada por los palestinos.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lang w:val="es-EC"/>
        </w:rPr>
      </w:pPr>
      <w:r w:rsidRPr="00516B96">
        <w:rPr>
          <w:rFonts w:ascii="Times New Roman" w:hAnsi="Times New Roman" w:cs="Times New Roman"/>
          <w:sz w:val="24"/>
          <w:szCs w:val="24"/>
          <w:lang w:val="es-EC"/>
        </w:rPr>
        <w:lastRenderedPageBreak/>
        <w:t xml:space="preserve">El conflicto entre el Líbano e Israel se remonta a los años 70 y ha dado lugar a numerosas y sangrientas incursiones militares israelíes contra grupos armados palestinos y </w:t>
      </w:r>
      <w:proofErr w:type="spellStart"/>
      <w:r w:rsidRPr="00516B96">
        <w:rPr>
          <w:rFonts w:ascii="Times New Roman" w:hAnsi="Times New Roman" w:cs="Times New Roman"/>
          <w:sz w:val="24"/>
          <w:szCs w:val="24"/>
          <w:lang w:val="es-EC"/>
        </w:rPr>
        <w:t>Hizbulá</w:t>
      </w:r>
      <w:proofErr w:type="spellEnd"/>
      <w:r w:rsidRPr="00516B96">
        <w:rPr>
          <w:rStyle w:val="Refdenotaalpie"/>
          <w:rFonts w:ascii="Times New Roman" w:hAnsi="Times New Roman" w:cs="Times New Roman"/>
          <w:sz w:val="24"/>
          <w:szCs w:val="24"/>
          <w:lang w:val="es-EC"/>
        </w:rPr>
        <w:footnoteReference w:id="5"/>
      </w:r>
      <w:r w:rsidRPr="00516B96">
        <w:rPr>
          <w:rFonts w:ascii="Times New Roman" w:hAnsi="Times New Roman" w:cs="Times New Roman"/>
          <w:sz w:val="24"/>
          <w:szCs w:val="24"/>
          <w:lang w:val="es-EC"/>
        </w:rPr>
        <w:t>.</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lang w:val="es-EC"/>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La postulación de los ataques que realizó en el año 2006 el ejército israelí contra los pueblos de Palestina y Líbano, reflejó una serie de violaciones graves al Derecho Internacional Humanitario, se registraron varios actos de irrespeto sistematizado contra los Derechos Humanos utilizando como excusa la lucha contra el terrorismo.</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Las imágenes recibidas desde el Líbano y Palestina hablan por sí mismas, ellas dan cuenta de la magnitud del horror de la guerra. Los bombardeos y sus secuelas de víctimas inocentes, en especial mujeres y niños, dieron lugar a expresiones de sensibilidad por parte de pueblos, organizaciones sociales y algunos gobiernos en todo el mundo, exigiendo el cese inmediato de las agresiones, que se cumpla el Derecho Internacional Humanitario y se restablezcan los derechos conculcados al pueblo árabe.</w:t>
      </w:r>
    </w:p>
    <w:p w:rsidR="00145AE9" w:rsidRPr="00516B96" w:rsidRDefault="00145AE9" w:rsidP="00145AE9">
      <w:pPr>
        <w:autoSpaceDE w:val="0"/>
        <w:autoSpaceDN w:val="0"/>
        <w:adjustRightInd w:val="0"/>
        <w:spacing w:after="0" w:line="360" w:lineRule="auto"/>
        <w:jc w:val="both"/>
        <w:rPr>
          <w:rFonts w:ascii="Times New Roman" w:hAnsi="Times New Roman" w:cs="Times New Roman"/>
          <w:bCs/>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bCs/>
          <w:sz w:val="24"/>
          <w:szCs w:val="24"/>
        </w:rPr>
        <w:t>Según Amnistía Internacional los ataques ocurridos en el Líbano violaron el Derecho Internacional Humanitario, destacando</w:t>
      </w:r>
      <w:r w:rsidRPr="00516B96">
        <w:rPr>
          <w:rFonts w:ascii="Times New Roman" w:hAnsi="Times New Roman" w:cs="Times New Roman"/>
          <w:sz w:val="24"/>
          <w:szCs w:val="24"/>
        </w:rPr>
        <w:t>:</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ind w:left="708"/>
        <w:jc w:val="both"/>
        <w:rPr>
          <w:rFonts w:ascii="Times New Roman" w:hAnsi="Times New Roman" w:cs="Times New Roman"/>
          <w:sz w:val="24"/>
          <w:szCs w:val="24"/>
        </w:rPr>
      </w:pPr>
      <w:r w:rsidRPr="00516B96">
        <w:rPr>
          <w:rFonts w:ascii="Times New Roman" w:hAnsi="Times New Roman" w:cs="Times New Roman"/>
          <w:sz w:val="24"/>
          <w:szCs w:val="24"/>
        </w:rPr>
        <w:t xml:space="preserve">• El artículo 33 del </w:t>
      </w:r>
      <w:hyperlink r:id="rId9" w:history="1">
        <w:r w:rsidRPr="00516B96">
          <w:rPr>
            <w:rStyle w:val="Hipervnculo"/>
            <w:rFonts w:ascii="Times New Roman" w:hAnsi="Times New Roman" w:cs="Times New Roman"/>
            <w:bCs/>
            <w:color w:val="auto"/>
            <w:sz w:val="24"/>
            <w:szCs w:val="24"/>
            <w:u w:val="none"/>
          </w:rPr>
          <w:t>IV Convenio de Ginebra</w:t>
        </w:r>
      </w:hyperlink>
      <w:r w:rsidRPr="00516B96">
        <w:rPr>
          <w:rFonts w:ascii="Times New Roman" w:hAnsi="Times New Roman" w:cs="Times New Roman"/>
          <w:sz w:val="24"/>
          <w:szCs w:val="24"/>
        </w:rPr>
        <w:t xml:space="preserve"> que prohíbe en su artículo 33: "</w:t>
      </w:r>
      <w:r w:rsidRPr="00516B96">
        <w:rPr>
          <w:rFonts w:ascii="Times New Roman" w:hAnsi="Times New Roman" w:cs="Times New Roman"/>
          <w:iCs/>
          <w:sz w:val="24"/>
          <w:szCs w:val="24"/>
        </w:rPr>
        <w:t>los castigos colectivos, así como toda medida de intimidación o de terrorismo</w:t>
      </w:r>
      <w:r w:rsidRPr="00516B96">
        <w:rPr>
          <w:rFonts w:ascii="Times New Roman" w:hAnsi="Times New Roman" w:cs="Times New Roman"/>
          <w:sz w:val="24"/>
          <w:szCs w:val="24"/>
        </w:rPr>
        <w:t xml:space="preserve">", </w:t>
      </w:r>
    </w:p>
    <w:p w:rsidR="00145AE9" w:rsidRPr="00516B96" w:rsidRDefault="00145AE9" w:rsidP="00145AE9">
      <w:pPr>
        <w:autoSpaceDE w:val="0"/>
        <w:autoSpaceDN w:val="0"/>
        <w:adjustRightInd w:val="0"/>
        <w:spacing w:after="0" w:line="360" w:lineRule="auto"/>
        <w:ind w:left="708"/>
        <w:jc w:val="both"/>
        <w:rPr>
          <w:rFonts w:ascii="Times New Roman" w:hAnsi="Times New Roman" w:cs="Times New Roman"/>
          <w:iCs/>
          <w:sz w:val="24"/>
          <w:szCs w:val="24"/>
        </w:rPr>
      </w:pPr>
      <w:r w:rsidRPr="00516B96">
        <w:rPr>
          <w:rFonts w:ascii="Times New Roman" w:hAnsi="Times New Roman" w:cs="Times New Roman"/>
          <w:sz w:val="24"/>
          <w:szCs w:val="24"/>
        </w:rPr>
        <w:t>• El artículo 147 el cual señala expresamente la prohibición de: "</w:t>
      </w:r>
      <w:r w:rsidRPr="00516B96">
        <w:rPr>
          <w:rFonts w:ascii="Times New Roman" w:hAnsi="Times New Roman" w:cs="Times New Roman"/>
          <w:iCs/>
          <w:sz w:val="24"/>
          <w:szCs w:val="24"/>
        </w:rPr>
        <w:t>la destrucción y la apropiación de bienes no justificadas por necesidades militares y realizadas a gran escala de modo ilícito y arbitrario",</w:t>
      </w:r>
    </w:p>
    <w:p w:rsidR="00145AE9" w:rsidRPr="00516B96" w:rsidRDefault="00145AE9" w:rsidP="00145AE9">
      <w:pPr>
        <w:autoSpaceDE w:val="0"/>
        <w:autoSpaceDN w:val="0"/>
        <w:adjustRightInd w:val="0"/>
        <w:spacing w:after="0" w:line="360" w:lineRule="auto"/>
        <w:ind w:left="708"/>
        <w:jc w:val="both"/>
        <w:rPr>
          <w:rFonts w:ascii="Times New Roman" w:hAnsi="Times New Roman" w:cs="Times New Roman"/>
          <w:sz w:val="24"/>
          <w:szCs w:val="24"/>
        </w:rPr>
      </w:pPr>
      <w:r w:rsidRPr="00516B96">
        <w:rPr>
          <w:rFonts w:ascii="Times New Roman" w:hAnsi="Times New Roman" w:cs="Times New Roman"/>
          <w:i/>
          <w:iCs/>
          <w:sz w:val="24"/>
          <w:szCs w:val="24"/>
        </w:rPr>
        <w:t xml:space="preserve">• </w:t>
      </w:r>
      <w:r w:rsidRPr="00516B96">
        <w:rPr>
          <w:rFonts w:ascii="Times New Roman" w:hAnsi="Times New Roman" w:cs="Times New Roman"/>
          <w:sz w:val="24"/>
          <w:szCs w:val="24"/>
        </w:rPr>
        <w:t>La toma de rehenes y la</w:t>
      </w:r>
      <w:r w:rsidRPr="00516B96">
        <w:rPr>
          <w:rFonts w:ascii="Times New Roman" w:hAnsi="Times New Roman" w:cs="Times New Roman"/>
          <w:i/>
          <w:iCs/>
          <w:sz w:val="24"/>
          <w:szCs w:val="24"/>
        </w:rPr>
        <w:t xml:space="preserve"> </w:t>
      </w:r>
      <w:r w:rsidRPr="00516B96">
        <w:rPr>
          <w:rFonts w:ascii="Times New Roman" w:hAnsi="Times New Roman" w:cs="Times New Roman"/>
          <w:iCs/>
          <w:sz w:val="24"/>
          <w:szCs w:val="24"/>
        </w:rPr>
        <w:t>"tortura o los tratos inhumanos</w:t>
      </w:r>
      <w:r w:rsidRPr="00516B96">
        <w:rPr>
          <w:rFonts w:ascii="Times New Roman" w:hAnsi="Times New Roman" w:cs="Times New Roman"/>
          <w:sz w:val="24"/>
          <w:szCs w:val="24"/>
        </w:rPr>
        <w:t>" son infracciones graves de los Convenios de Ginebra y constituyen crímenes de guerra.</w:t>
      </w:r>
    </w:p>
    <w:p w:rsidR="00145AE9" w:rsidRPr="00516B96" w:rsidRDefault="00145AE9" w:rsidP="00145AE9">
      <w:pPr>
        <w:autoSpaceDE w:val="0"/>
        <w:autoSpaceDN w:val="0"/>
        <w:adjustRightInd w:val="0"/>
        <w:spacing w:after="0" w:line="360" w:lineRule="auto"/>
        <w:ind w:left="708"/>
        <w:jc w:val="both"/>
        <w:rPr>
          <w:rFonts w:ascii="Times New Roman" w:hAnsi="Times New Roman" w:cs="Times New Roman"/>
          <w:i/>
          <w:sz w:val="24"/>
          <w:szCs w:val="24"/>
        </w:rPr>
      </w:pPr>
      <w:r w:rsidRPr="00516B96">
        <w:rPr>
          <w:rFonts w:ascii="Times New Roman" w:hAnsi="Times New Roman" w:cs="Times New Roman"/>
          <w:sz w:val="24"/>
          <w:szCs w:val="24"/>
        </w:rPr>
        <w:t xml:space="preserve">• El artículo 48 del primer Protocolo Adicional a los Convenios de Ginebra dirigido al principio de </w:t>
      </w:r>
      <w:r w:rsidRPr="00516B96">
        <w:rPr>
          <w:rFonts w:ascii="Times New Roman" w:hAnsi="Times New Roman" w:cs="Times New Roman"/>
          <w:bCs/>
          <w:sz w:val="24"/>
          <w:szCs w:val="24"/>
        </w:rPr>
        <w:t>distinción</w:t>
      </w:r>
      <w:r w:rsidRPr="00516B96">
        <w:rPr>
          <w:rFonts w:ascii="Times New Roman" w:hAnsi="Times New Roman" w:cs="Times New Roman"/>
          <w:sz w:val="24"/>
          <w:szCs w:val="24"/>
        </w:rPr>
        <w:t>, que expresa: "</w:t>
      </w:r>
      <w:r w:rsidRPr="00516B96">
        <w:rPr>
          <w:rFonts w:ascii="Times New Roman" w:hAnsi="Times New Roman" w:cs="Times New Roman"/>
          <w:iCs/>
          <w:sz w:val="24"/>
          <w:szCs w:val="24"/>
        </w:rPr>
        <w:t>A fin de garantizar el respeto y la protección de la población civil y de los bienes de carácter civil, las Partes en conflicto harán distinción en todo momento entre población civil y combatientes, y entre bienes de carácter civil y objetivos militares y, en consecuencia, dirigirán sus operaciones únicamente contra objetivos militares</w:t>
      </w:r>
      <w:r w:rsidRPr="00516B96">
        <w:rPr>
          <w:rFonts w:ascii="Times New Roman" w:hAnsi="Times New Roman" w:cs="Times New Roman"/>
          <w:sz w:val="24"/>
          <w:szCs w:val="24"/>
        </w:rPr>
        <w:t>".</w:t>
      </w:r>
    </w:p>
    <w:p w:rsidR="00145AE9" w:rsidRPr="00516B96" w:rsidRDefault="00145AE9" w:rsidP="00145AE9">
      <w:pPr>
        <w:autoSpaceDE w:val="0"/>
        <w:autoSpaceDN w:val="0"/>
        <w:adjustRightInd w:val="0"/>
        <w:spacing w:after="0" w:line="360" w:lineRule="auto"/>
        <w:ind w:left="708"/>
        <w:jc w:val="both"/>
        <w:rPr>
          <w:rFonts w:ascii="Times New Roman" w:hAnsi="Times New Roman" w:cs="Times New Roman"/>
          <w:sz w:val="24"/>
          <w:szCs w:val="24"/>
        </w:rPr>
      </w:pPr>
      <w:r w:rsidRPr="00516B96">
        <w:rPr>
          <w:rFonts w:ascii="Times New Roman" w:hAnsi="Times New Roman" w:cs="Times New Roman"/>
          <w:sz w:val="24"/>
          <w:szCs w:val="24"/>
        </w:rPr>
        <w:lastRenderedPageBreak/>
        <w:t xml:space="preserve">• El artículo 8 del </w:t>
      </w:r>
      <w:r w:rsidRPr="00516B96">
        <w:rPr>
          <w:rFonts w:ascii="Times New Roman" w:hAnsi="Times New Roman" w:cs="Times New Roman"/>
          <w:bCs/>
          <w:sz w:val="24"/>
          <w:szCs w:val="24"/>
        </w:rPr>
        <w:t>Estatuto de Roma de la Corte Penal Internacional</w:t>
      </w:r>
      <w:r w:rsidRPr="00516B96">
        <w:rPr>
          <w:rFonts w:ascii="Times New Roman" w:hAnsi="Times New Roman" w:cs="Times New Roman"/>
          <w:sz w:val="24"/>
          <w:szCs w:val="24"/>
        </w:rPr>
        <w:t xml:space="preserve"> dedicado a tipificar los crímenes de guerra, en su punto 2.b.i que señala: “</w:t>
      </w:r>
      <w:r w:rsidRPr="00516B96">
        <w:rPr>
          <w:rFonts w:ascii="Times New Roman" w:hAnsi="Times New Roman" w:cs="Times New Roman"/>
          <w:iCs/>
          <w:sz w:val="24"/>
          <w:szCs w:val="24"/>
        </w:rPr>
        <w:t>Dirigir intencionalmente ataques contra la población civil en cuanto tal o contra civiles que no participen directamente en las hostilidades</w:t>
      </w:r>
      <w:r w:rsidRPr="00516B96">
        <w:rPr>
          <w:rFonts w:ascii="Times New Roman" w:hAnsi="Times New Roman" w:cs="Times New Roman"/>
          <w:sz w:val="24"/>
          <w:szCs w:val="24"/>
        </w:rPr>
        <w:t>”; y en su punto 2.b.ii que reza: “</w:t>
      </w:r>
      <w:r w:rsidRPr="00516B96">
        <w:rPr>
          <w:rFonts w:ascii="Times New Roman" w:hAnsi="Times New Roman" w:cs="Times New Roman"/>
          <w:iCs/>
          <w:sz w:val="24"/>
          <w:szCs w:val="24"/>
        </w:rPr>
        <w:t>Dirigir intencionalmente ataques contra objetos civiles, es decir, objetos que no son objetivos militares</w:t>
      </w:r>
      <w:r w:rsidRPr="00516B96">
        <w:rPr>
          <w:rFonts w:ascii="Times New Roman" w:hAnsi="Times New Roman" w:cs="Times New Roman"/>
          <w:sz w:val="24"/>
          <w:szCs w:val="24"/>
        </w:rPr>
        <w:t>;”</w:t>
      </w:r>
    </w:p>
    <w:p w:rsidR="00145AE9" w:rsidRPr="00516B96" w:rsidRDefault="00145AE9" w:rsidP="00145AE9">
      <w:pPr>
        <w:autoSpaceDE w:val="0"/>
        <w:autoSpaceDN w:val="0"/>
        <w:adjustRightInd w:val="0"/>
        <w:spacing w:after="0" w:line="360" w:lineRule="auto"/>
        <w:ind w:left="708"/>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Los ataques deliberados del Ejército Israelí contra infraestructura civil del Líbano destruyeron:</w:t>
      </w:r>
    </w:p>
    <w:p w:rsidR="00145AE9" w:rsidRPr="00516B96" w:rsidRDefault="00145AE9" w:rsidP="00145AE9">
      <w:pPr>
        <w:autoSpaceDE w:val="0"/>
        <w:autoSpaceDN w:val="0"/>
        <w:adjustRightInd w:val="0"/>
        <w:spacing w:after="0" w:line="360" w:lineRule="auto"/>
        <w:ind w:left="708"/>
        <w:jc w:val="both"/>
        <w:rPr>
          <w:rFonts w:ascii="Times New Roman" w:hAnsi="Times New Roman" w:cs="Times New Roman"/>
          <w:sz w:val="24"/>
          <w:szCs w:val="24"/>
        </w:rPr>
      </w:pPr>
      <w:r w:rsidRPr="00516B96">
        <w:rPr>
          <w:rFonts w:ascii="Times New Roman" w:hAnsi="Times New Roman" w:cs="Times New Roman"/>
          <w:sz w:val="24"/>
          <w:szCs w:val="24"/>
        </w:rPr>
        <w:t>• El aeropuerto internacional de Beirut,</w:t>
      </w:r>
    </w:p>
    <w:p w:rsidR="00145AE9" w:rsidRPr="00516B96" w:rsidRDefault="00145AE9" w:rsidP="00145AE9">
      <w:pPr>
        <w:autoSpaceDE w:val="0"/>
        <w:autoSpaceDN w:val="0"/>
        <w:adjustRightInd w:val="0"/>
        <w:spacing w:after="0" w:line="360" w:lineRule="auto"/>
        <w:ind w:left="708"/>
        <w:jc w:val="both"/>
        <w:rPr>
          <w:rFonts w:ascii="Times New Roman" w:hAnsi="Times New Roman" w:cs="Times New Roman"/>
          <w:sz w:val="24"/>
          <w:szCs w:val="24"/>
        </w:rPr>
      </w:pPr>
      <w:r w:rsidRPr="00516B96">
        <w:rPr>
          <w:rFonts w:ascii="Times New Roman" w:hAnsi="Times New Roman" w:cs="Times New Roman"/>
          <w:sz w:val="24"/>
          <w:szCs w:val="24"/>
        </w:rPr>
        <w:t xml:space="preserve">• 1 central eléctrica, </w:t>
      </w:r>
    </w:p>
    <w:p w:rsidR="00145AE9" w:rsidRPr="00516B96" w:rsidRDefault="00145AE9" w:rsidP="00145AE9">
      <w:pPr>
        <w:autoSpaceDE w:val="0"/>
        <w:autoSpaceDN w:val="0"/>
        <w:adjustRightInd w:val="0"/>
        <w:spacing w:after="0" w:line="360" w:lineRule="auto"/>
        <w:ind w:left="708"/>
        <w:jc w:val="both"/>
        <w:rPr>
          <w:rFonts w:ascii="Times New Roman" w:hAnsi="Times New Roman" w:cs="Times New Roman"/>
          <w:sz w:val="24"/>
          <w:szCs w:val="24"/>
        </w:rPr>
      </w:pPr>
      <w:r w:rsidRPr="00516B96">
        <w:rPr>
          <w:rFonts w:ascii="Times New Roman" w:hAnsi="Times New Roman" w:cs="Times New Roman"/>
          <w:sz w:val="24"/>
          <w:szCs w:val="24"/>
        </w:rPr>
        <w:t xml:space="preserve">• La sede de la cadena de televisión, Al Manar, en Beirut, y su estación repetidora de </w:t>
      </w:r>
      <w:proofErr w:type="spellStart"/>
      <w:r w:rsidRPr="00516B96">
        <w:rPr>
          <w:rFonts w:ascii="Times New Roman" w:hAnsi="Times New Roman" w:cs="Times New Roman"/>
          <w:sz w:val="24"/>
          <w:szCs w:val="24"/>
        </w:rPr>
        <w:t>Baalbek</w:t>
      </w:r>
      <w:proofErr w:type="spellEnd"/>
      <w:r w:rsidRPr="00516B96">
        <w:rPr>
          <w:rFonts w:ascii="Times New Roman" w:hAnsi="Times New Roman" w:cs="Times New Roman"/>
          <w:sz w:val="24"/>
          <w:szCs w:val="24"/>
        </w:rPr>
        <w:t xml:space="preserve">.  </w:t>
      </w:r>
    </w:p>
    <w:p w:rsidR="00145AE9" w:rsidRPr="00516B96" w:rsidRDefault="00145AE9" w:rsidP="00145AE9">
      <w:pPr>
        <w:autoSpaceDE w:val="0"/>
        <w:autoSpaceDN w:val="0"/>
        <w:adjustRightInd w:val="0"/>
        <w:spacing w:after="0" w:line="360" w:lineRule="auto"/>
        <w:ind w:left="708"/>
        <w:jc w:val="both"/>
        <w:rPr>
          <w:rFonts w:ascii="Times New Roman" w:hAnsi="Times New Roman" w:cs="Times New Roman"/>
          <w:sz w:val="24"/>
          <w:szCs w:val="24"/>
        </w:rPr>
      </w:pPr>
      <w:r w:rsidRPr="00516B96">
        <w:rPr>
          <w:rFonts w:ascii="Times New Roman" w:hAnsi="Times New Roman" w:cs="Times New Roman"/>
          <w:sz w:val="24"/>
          <w:szCs w:val="24"/>
        </w:rPr>
        <w:t xml:space="preserve">• Las informaciones de prensa señalaron que los aviones militares israelíes demolieron el último puente que quedaba en pie.  </w:t>
      </w:r>
    </w:p>
    <w:p w:rsidR="00145AE9" w:rsidRPr="00516B96" w:rsidRDefault="00145AE9" w:rsidP="00145AE9">
      <w:pPr>
        <w:autoSpaceDE w:val="0"/>
        <w:autoSpaceDN w:val="0"/>
        <w:adjustRightInd w:val="0"/>
        <w:spacing w:after="0" w:line="360" w:lineRule="auto"/>
        <w:ind w:left="708"/>
        <w:jc w:val="both"/>
        <w:rPr>
          <w:rFonts w:ascii="Times New Roman" w:hAnsi="Times New Roman" w:cs="Times New Roman"/>
          <w:sz w:val="24"/>
          <w:szCs w:val="24"/>
        </w:rPr>
      </w:pPr>
      <w:r w:rsidRPr="00516B96">
        <w:rPr>
          <w:rFonts w:ascii="Times New Roman" w:hAnsi="Times New Roman" w:cs="Times New Roman"/>
          <w:sz w:val="24"/>
          <w:szCs w:val="24"/>
        </w:rPr>
        <w:t>• También fueron destruidos por los bombardeos un faro y el puerto marítimo de la capital.</w:t>
      </w:r>
    </w:p>
    <w:p w:rsidR="00145AE9" w:rsidRPr="00516B96" w:rsidRDefault="00145AE9" w:rsidP="00145AE9">
      <w:pPr>
        <w:autoSpaceDE w:val="0"/>
        <w:autoSpaceDN w:val="0"/>
        <w:adjustRightInd w:val="0"/>
        <w:spacing w:after="0" w:line="360" w:lineRule="auto"/>
        <w:ind w:left="708"/>
        <w:jc w:val="both"/>
        <w:rPr>
          <w:rFonts w:ascii="Times New Roman" w:hAnsi="Times New Roman" w:cs="Times New Roman"/>
          <w:sz w:val="24"/>
          <w:szCs w:val="24"/>
        </w:rPr>
      </w:pPr>
      <w:r w:rsidRPr="00516B96">
        <w:rPr>
          <w:rFonts w:ascii="Times New Roman" w:hAnsi="Times New Roman" w:cs="Times New Roman"/>
          <w:sz w:val="24"/>
          <w:szCs w:val="24"/>
        </w:rPr>
        <w:t xml:space="preserve">• Peligró el alimento para la población al haber sido tomados como blanco los silos de granos en el puerto marítimo. </w:t>
      </w:r>
    </w:p>
    <w:p w:rsidR="00145AE9" w:rsidRPr="00516B96" w:rsidRDefault="00145AE9" w:rsidP="00145AE9">
      <w:pPr>
        <w:autoSpaceDE w:val="0"/>
        <w:autoSpaceDN w:val="0"/>
        <w:adjustRightInd w:val="0"/>
        <w:spacing w:after="0" w:line="360" w:lineRule="auto"/>
        <w:ind w:left="708"/>
        <w:jc w:val="both"/>
        <w:rPr>
          <w:rFonts w:ascii="Times New Roman" w:hAnsi="Times New Roman" w:cs="Times New Roman"/>
          <w:sz w:val="24"/>
          <w:szCs w:val="24"/>
        </w:rPr>
      </w:pPr>
      <w:r w:rsidRPr="00516B96">
        <w:rPr>
          <w:rFonts w:ascii="Times New Roman" w:hAnsi="Times New Roman" w:cs="Times New Roman"/>
          <w:sz w:val="24"/>
          <w:szCs w:val="24"/>
        </w:rPr>
        <w:t xml:space="preserve">• La zona turística fue afectada considerablemente por los bombardeos. </w:t>
      </w:r>
    </w:p>
    <w:p w:rsidR="00145AE9" w:rsidRPr="00516B96" w:rsidRDefault="00145AE9" w:rsidP="00145AE9">
      <w:pPr>
        <w:autoSpaceDE w:val="0"/>
        <w:autoSpaceDN w:val="0"/>
        <w:adjustRightInd w:val="0"/>
        <w:spacing w:after="0" w:line="360" w:lineRule="auto"/>
        <w:jc w:val="both"/>
        <w:rPr>
          <w:rFonts w:ascii="Times New Roman" w:hAnsi="Times New Roman" w:cs="Times New Roman"/>
          <w:b/>
          <w:bCs/>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bCs/>
          <w:sz w:val="24"/>
          <w:szCs w:val="24"/>
        </w:rPr>
        <w:t xml:space="preserve">Cabe mencionar que Israel también violó las regulaciones sobre el uso de armas; </w:t>
      </w:r>
      <w:r w:rsidRPr="00516B96">
        <w:rPr>
          <w:rFonts w:ascii="Times New Roman" w:hAnsi="Times New Roman" w:cs="Times New Roman"/>
          <w:sz w:val="24"/>
          <w:szCs w:val="24"/>
        </w:rPr>
        <w:t xml:space="preserve">Estados Unidos, principal proveedor de armas de Israel, tiene leyes que prohíben expresamente el uso que Israel dio a las mismas en el Líbano. De acuerdo a Stephen </w:t>
      </w:r>
      <w:proofErr w:type="spellStart"/>
      <w:r w:rsidRPr="00516B96">
        <w:rPr>
          <w:rFonts w:ascii="Times New Roman" w:hAnsi="Times New Roman" w:cs="Times New Roman"/>
          <w:sz w:val="24"/>
          <w:szCs w:val="24"/>
        </w:rPr>
        <w:t>Zunes</w:t>
      </w:r>
      <w:proofErr w:type="spellEnd"/>
      <w:r w:rsidRPr="00516B96">
        <w:rPr>
          <w:rFonts w:ascii="Times New Roman" w:hAnsi="Times New Roman" w:cs="Times New Roman"/>
          <w:sz w:val="24"/>
          <w:szCs w:val="24"/>
        </w:rPr>
        <w:t>, profesor de política de la Universidad de San Francisco entrevistado por IPS "La sección 4 de la Ley de Control de Exportación de Armas estadounidense limita el uso de equipo militar vendido a gobiernos extranjeros a la seguridad interna y la legítima defensa propia (…) Como los ataques contra la infraestructura civil y los centros poblados de Líbano van claramente más allá de la legítima defensa propia, Estados Unidos está obligado a suspender las transferencias de armas a Israel".</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También desde el Líbano fue denunciado el uso por parte de Israel de armas prohibidas por la Convención sobre Armas Químicas, como las bombas de fósforo empleadas en el sur del Líbano.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Los ataques contra bienes civiles y la falta de protección a la población civil violaron normas del Derecho Internacional Humanitario. La detención de representantes electos por un pueblo es una injerencia en la política interna de otro Estado. Los ataques de Israel a Líbano y Gaza fueron una infracción flagrante del Derecho Internacional Humanitario y constituyen crímenes de guerra.</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pStyle w:val="Prrafodelista"/>
        <w:numPr>
          <w:ilvl w:val="0"/>
          <w:numId w:val="17"/>
        </w:num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El caso de Irak</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La Guerra de Irak, también conocida como Guerra en Irak, Segunda Guerra del Golfo u Operación Libertad Iraquí en Estados Unidos, Operación </w:t>
      </w:r>
      <w:proofErr w:type="spellStart"/>
      <w:r w:rsidRPr="00516B96">
        <w:rPr>
          <w:rFonts w:ascii="Times New Roman" w:hAnsi="Times New Roman" w:cs="Times New Roman"/>
          <w:sz w:val="24"/>
          <w:szCs w:val="24"/>
        </w:rPr>
        <w:t>Telic</w:t>
      </w:r>
      <w:proofErr w:type="spellEnd"/>
      <w:r w:rsidRPr="00516B96">
        <w:rPr>
          <w:rFonts w:ascii="Times New Roman" w:hAnsi="Times New Roman" w:cs="Times New Roman"/>
          <w:sz w:val="24"/>
          <w:szCs w:val="24"/>
        </w:rPr>
        <w:t xml:space="preserve"> en el Reino Unido y, en otros ámbitos, ocupación de Irak, fue un conflicto que comenzó 20 de marzo de 2003 y finalizó el 18 de diciembre de 2012. Tras finalizar la guerra, se dio paso a una operación de entrenamiento de las tropas iraquíes para combatir la insurgencia y el terrorismo. Esta operación se dio a conocer como Operación Nuevo Amanecer.</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La principal justificación para esta operación que ofrecieron el Presidente de los Estados Unidos, George W. Bush y sus aliados en la coalición, fue la afirmación de que Irak poseía y estaba desarrollando armas de destrucción masiva (ADM), violando un convenio de 1991. Funcionarios de los Estados Unidos sostuvieron, que Irak representaba una inminente, urgente e inmediata amenaza a los Estados Unidos, a su pueblo y a sus aliados, así como a sus intereses.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Las informaciones de los medios alternativos sobre el comportamiento de las autoridades norteamericanas en la guerra contra Irak colocan varios temas para la reflexión y el debate en torno a esta guerra.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El sitio Web </w:t>
      </w:r>
      <w:proofErr w:type="spellStart"/>
      <w:r w:rsidRPr="00516B96">
        <w:rPr>
          <w:rFonts w:ascii="Times New Roman" w:hAnsi="Times New Roman" w:cs="Times New Roman"/>
          <w:sz w:val="24"/>
          <w:szCs w:val="24"/>
        </w:rPr>
        <w:t>Wikileaks</w:t>
      </w:r>
      <w:proofErr w:type="spellEnd"/>
      <w:r w:rsidRPr="00516B96">
        <w:rPr>
          <w:rFonts w:ascii="Times New Roman" w:hAnsi="Times New Roman" w:cs="Times New Roman"/>
          <w:sz w:val="24"/>
          <w:szCs w:val="24"/>
        </w:rPr>
        <w:t xml:space="preserve"> presentó los crímenes de guerra que se perpetraron desde hace más de 7 años contra ese pueblo. Se pone al descubierto una sistemática acción de violación contra los Derechos Humanos y contra el Derecho Internacional Humanitario.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Repetidos crímenes de guerra que fueron cometidos a diario y en diferentes lugares contra la población civil por parte de los soldados estadounidenses; ingleses, iraquíes y de otras nacionalidades de la alianza invasora. Torturas y asesinatos a granel, ejecutados </w:t>
      </w:r>
      <w:r w:rsidRPr="00516B96">
        <w:rPr>
          <w:rFonts w:ascii="Times New Roman" w:hAnsi="Times New Roman" w:cs="Times New Roman"/>
          <w:sz w:val="24"/>
          <w:szCs w:val="24"/>
        </w:rPr>
        <w:lastRenderedPageBreak/>
        <w:t xml:space="preserve">conscientemente por quienes representaban las fuerzas del bien, el orden, la paz y el futuro. En pleno siglo XXI el mundo se encontró en presencia de una crueldad que, además, se cometió en nombre del combate contra el mal y el abuso que simbolizaba </w:t>
      </w:r>
      <w:proofErr w:type="spellStart"/>
      <w:r w:rsidRPr="00516B96">
        <w:rPr>
          <w:rFonts w:ascii="Times New Roman" w:hAnsi="Times New Roman" w:cs="Times New Roman"/>
          <w:sz w:val="24"/>
          <w:szCs w:val="24"/>
        </w:rPr>
        <w:t>Sadam</w:t>
      </w:r>
      <w:proofErr w:type="spellEnd"/>
      <w:r w:rsidRPr="00516B96">
        <w:rPr>
          <w:rFonts w:ascii="Times New Roman" w:hAnsi="Times New Roman" w:cs="Times New Roman"/>
          <w:sz w:val="24"/>
          <w:szCs w:val="24"/>
        </w:rPr>
        <w:t xml:space="preserve"> Hussein.  Saddam Hussein y su régimen estaban acusados de violación a gran escala de los Derechos Humanos, de haber utilizado armas químicas contra la población kurda en los años 1980, y de haber reprimido de manera sangrienta la revuelta de los kurdos y los </w:t>
      </w:r>
      <w:proofErr w:type="spellStart"/>
      <w:r w:rsidRPr="00516B96">
        <w:rPr>
          <w:rFonts w:ascii="Times New Roman" w:hAnsi="Times New Roman" w:cs="Times New Roman"/>
          <w:sz w:val="24"/>
          <w:szCs w:val="24"/>
        </w:rPr>
        <w:t>chiítas</w:t>
      </w:r>
      <w:proofErr w:type="spellEnd"/>
      <w:r w:rsidRPr="00516B96">
        <w:rPr>
          <w:rFonts w:ascii="Times New Roman" w:hAnsi="Times New Roman" w:cs="Times New Roman"/>
          <w:sz w:val="24"/>
          <w:szCs w:val="24"/>
        </w:rPr>
        <w:t xml:space="preserve"> luego de la guerra del Golfo en 1991.</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Según organizaciones de defensa de los Derechos Humanos, varias decenas de miles de iraquíes desaparecieron durante el régimen de Saddam Hussein, que también está acusado de haber utilizado gases durante la guerra contra Irán que duró desde 1980 hasta 1988.</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Sin embargo, los descubrimientos posteriores han evidenciado, sin posibilidad de ocultarlo; que Irak era un país seriamente empobrecido cuando fue atacado; que no tenía posesión de ningún arma de destrucción masiva y que, incluso su capacidad militar convencional de defensa era bastante precaria y que no constituía amenaza seria para ningún país ya que se encontraba con graves limitaciones económicas.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Más tarde se descubrió; con los cientos de miles de muertos civiles y con la masiva destrucción de la civilización iraquí perpetrada por los invasores; que con todo lo autoritario, abusivo y corrupto que era el régimen de </w:t>
      </w:r>
      <w:proofErr w:type="spellStart"/>
      <w:r w:rsidRPr="00516B96">
        <w:rPr>
          <w:rFonts w:ascii="Times New Roman" w:hAnsi="Times New Roman" w:cs="Times New Roman"/>
          <w:sz w:val="24"/>
          <w:szCs w:val="24"/>
        </w:rPr>
        <w:t>Sadam</w:t>
      </w:r>
      <w:proofErr w:type="spellEnd"/>
      <w:r w:rsidRPr="00516B96">
        <w:rPr>
          <w:rFonts w:ascii="Times New Roman" w:hAnsi="Times New Roman" w:cs="Times New Roman"/>
          <w:sz w:val="24"/>
          <w:szCs w:val="24"/>
        </w:rPr>
        <w:t xml:space="preserve"> Hussein no habría sido capaz de producir tal matanza y destrucción que en los siete años de la invasión produjeron los invasores; incluso, John Pace, el ex director de la oficina de derechos humanos de la misión de la ONU en Irak, manifestó que: “las violaciones de Derechos Humanos en Irak son tan frecuentes ahora como bajo Saddam Hussein, a medida que la anarquía y la violencia sectaria se adueñan del país”.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pStyle w:val="Prrafodelista"/>
        <w:numPr>
          <w:ilvl w:val="0"/>
          <w:numId w:val="17"/>
        </w:num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El caso de Libia</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Mientras el líder libio </w:t>
      </w:r>
      <w:proofErr w:type="spellStart"/>
      <w:r w:rsidRPr="00516B96">
        <w:rPr>
          <w:rFonts w:ascii="Times New Roman" w:hAnsi="Times New Roman" w:cs="Times New Roman"/>
          <w:sz w:val="24"/>
          <w:szCs w:val="24"/>
        </w:rPr>
        <w:t>Muammar</w:t>
      </w:r>
      <w:proofErr w:type="spellEnd"/>
      <w:r w:rsidRPr="00516B96">
        <w:rPr>
          <w:rFonts w:ascii="Times New Roman" w:hAnsi="Times New Roman" w:cs="Times New Roman"/>
          <w:sz w:val="24"/>
          <w:szCs w:val="24"/>
        </w:rPr>
        <w:t xml:space="preserve"> al-Gadafi luchaba con todas sus fuerzas por mantenerse al frente de poder en Libia, los manifestantes continuaban con sus protestas exigiendo el fin de los abusos que durante 42 años había marcado su Gobierno. Los grupos de Derechos Humanos y opositores a Gadafi denunciaron que a lo largo de la </w:t>
      </w:r>
      <w:r w:rsidRPr="00516B96">
        <w:rPr>
          <w:rFonts w:ascii="Times New Roman" w:hAnsi="Times New Roman" w:cs="Times New Roman"/>
          <w:sz w:val="24"/>
          <w:szCs w:val="24"/>
        </w:rPr>
        <w:lastRenderedPageBreak/>
        <w:t xml:space="preserve">década de los 70 las fuerzas policiales y de seguridad arrestaron a cientos de libios que se opusieron a Gadafi o que eran susceptibles de hacerlo.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Manifestaciones estudiantiles fueron reprimidas con gran dureza por las autoridades en lo que se convirtió en baños de sangres. Los opositores fueron detenidos, encarcelados, y en algunos casos dados por desaparecidos. La televisión libia se hizo eco de ejecuciones, ahorcamientos y sentencias. En 1976 Gadafi autorizó la ejecución de 22 oficiales que habían participado en un intento de golpe de Estado, además de ejecutar a varios civiles.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En 1980 las autoridades aprobaron una política de ejecuciones extrajudiciales para todos aquellos opositores en el exilio, a los que se calificó de "perros callejeros". Según un artículo de 2009 en la revista 'Forbes' escrito por el activista de los derechos </w:t>
      </w:r>
      <w:proofErr w:type="spellStart"/>
      <w:r w:rsidRPr="00516B96">
        <w:rPr>
          <w:rFonts w:ascii="Times New Roman" w:hAnsi="Times New Roman" w:cs="Times New Roman"/>
          <w:sz w:val="24"/>
          <w:szCs w:val="24"/>
        </w:rPr>
        <w:t>Eljahmi</w:t>
      </w:r>
      <w:proofErr w:type="spellEnd"/>
      <w:r w:rsidRPr="00516B96">
        <w:rPr>
          <w:rFonts w:ascii="Times New Roman" w:hAnsi="Times New Roman" w:cs="Times New Roman"/>
          <w:sz w:val="24"/>
          <w:szCs w:val="24"/>
        </w:rPr>
        <w:t xml:space="preserve">, el entonces subdirector de </w:t>
      </w:r>
      <w:proofErr w:type="spellStart"/>
      <w:r w:rsidRPr="00516B96">
        <w:rPr>
          <w:rFonts w:ascii="Times New Roman" w:hAnsi="Times New Roman" w:cs="Times New Roman"/>
          <w:sz w:val="24"/>
          <w:szCs w:val="24"/>
        </w:rPr>
        <w:t>Gaddafi</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Abdel</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Salam</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Jalloud</w:t>
      </w:r>
      <w:proofErr w:type="spellEnd"/>
      <w:r w:rsidRPr="00516B96">
        <w:rPr>
          <w:rFonts w:ascii="Times New Roman" w:hAnsi="Times New Roman" w:cs="Times New Roman"/>
          <w:sz w:val="24"/>
          <w:szCs w:val="24"/>
        </w:rPr>
        <w:t xml:space="preserve"> emitió una justificación pública en 1980 para el asesinato de disidentes en el extranjero. El intento de un golpe de Estado en mayo de 1984, aparentemente montado por los exiliados, acabó con miles de activistas encarcelados y cientos de ejecutados.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Según Amnistía Internacional, el Gobierno instituyó "arrestos masivos, detenciones arbitrarias, desapariciones, la tortura y la pena de muerte".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En 1993, después de un fallido golpe de Estado en el que hubo militares implicados, Gadafi comenzó una purga militar, eliminando a posibles rivales y sustituyéndolos por los leales al régimen.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En lo que los críticos llaman, los actos más sangrientos de represión, más de 1.000 prisioneros fueron asesinados a tiros por las fuerzas de seguridad el 28 y 29 de junio de 1996 en la prisión de Abu </w:t>
      </w:r>
      <w:proofErr w:type="spellStart"/>
      <w:r w:rsidRPr="00516B96">
        <w:rPr>
          <w:rFonts w:ascii="Times New Roman" w:hAnsi="Times New Roman" w:cs="Times New Roman"/>
          <w:sz w:val="24"/>
          <w:szCs w:val="24"/>
        </w:rPr>
        <w:t>Salim</w:t>
      </w:r>
      <w:proofErr w:type="spellEnd"/>
      <w:r w:rsidRPr="00516B96">
        <w:rPr>
          <w:rFonts w:ascii="Times New Roman" w:hAnsi="Times New Roman" w:cs="Times New Roman"/>
          <w:sz w:val="24"/>
          <w:szCs w:val="24"/>
        </w:rPr>
        <w:t xml:space="preserve">, según Human </w:t>
      </w:r>
      <w:proofErr w:type="spellStart"/>
      <w:r w:rsidRPr="00516B96">
        <w:rPr>
          <w:rFonts w:ascii="Times New Roman" w:hAnsi="Times New Roman" w:cs="Times New Roman"/>
          <w:sz w:val="24"/>
          <w:szCs w:val="24"/>
        </w:rPr>
        <w:t>Rights</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Watch</w:t>
      </w:r>
      <w:proofErr w:type="spellEnd"/>
      <w:r w:rsidRPr="00516B96">
        <w:rPr>
          <w:rFonts w:ascii="Times New Roman" w:hAnsi="Times New Roman" w:cs="Times New Roman"/>
          <w:sz w:val="24"/>
          <w:szCs w:val="24"/>
        </w:rPr>
        <w:t xml:space="preserve">.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Durante años, los funcionarios libios negaron los asesinatos en Abu </w:t>
      </w:r>
      <w:proofErr w:type="spellStart"/>
      <w:r w:rsidRPr="00516B96">
        <w:rPr>
          <w:rFonts w:ascii="Times New Roman" w:hAnsi="Times New Roman" w:cs="Times New Roman"/>
          <w:sz w:val="24"/>
          <w:szCs w:val="24"/>
        </w:rPr>
        <w:t>Salim</w:t>
      </w:r>
      <w:proofErr w:type="spellEnd"/>
      <w:r w:rsidRPr="00516B96">
        <w:rPr>
          <w:rFonts w:ascii="Times New Roman" w:hAnsi="Times New Roman" w:cs="Times New Roman"/>
          <w:sz w:val="24"/>
          <w:szCs w:val="24"/>
        </w:rPr>
        <w:t>. El primer reconocimiento público fue en abril de 2004, cuando Gadafi dijo que los asesinatos tuvieron lugar allí, y que las familias de los presos tenían derecho a saber lo que ocurrió.</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 xml:space="preserve">Es así que el 19 de marzo de 2011 algunas naciones occidentales comenzaron el tercer conflicto armado internacional contra un país musulmán en la última década. Se esmeraron por utilizar la Resolución 1973 del Consejo de Seguridad de la ONU que autorizaba el eventual ataque contra el pueblo de Libia, pero si se aplica el Derecho Internacional Humanitario a los hechos se observa que en realidad el uso de la fuerza es ilegal.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A diferencia de las manifestaciones no violentas en Egipto, Túnez, Bahréin, Yemen y otros sitios en el mundo árabe, las manifestaciones que comenzaron en Libia el 17 de febrero degeneraron en unos días en una guerra civil. Ambas partes tenían tanques, cazabombarderos, armas antiaéreas y artillería pesada. Las fuerzas gubernamentales consistían sobre todo de militares entrenados, mientras la oposición armada consistía de soldados desertores y numerosos civiles que habían tomado las armas.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A medida que la guerra civil aumentaba en intensidad, la Comunidad Internacional consideró actuar en apoyo a la oposición armada. El 17 de marzo de 2011, el Consejo de Seguridad de la ONU adoptó la Resolución 1973. Y a las 42 horas comenzó un ataque contra las tropas del gobierno libio dirigido, según el ministro de Defensa británico William </w:t>
      </w:r>
      <w:proofErr w:type="spellStart"/>
      <w:r w:rsidRPr="00516B96">
        <w:rPr>
          <w:rFonts w:ascii="Times New Roman" w:hAnsi="Times New Roman" w:cs="Times New Roman"/>
          <w:sz w:val="24"/>
          <w:szCs w:val="24"/>
        </w:rPr>
        <w:t>Hague</w:t>
      </w:r>
      <w:proofErr w:type="spellEnd"/>
      <w:r w:rsidRPr="00516B96">
        <w:rPr>
          <w:rFonts w:ascii="Times New Roman" w:hAnsi="Times New Roman" w:cs="Times New Roman"/>
          <w:sz w:val="24"/>
          <w:szCs w:val="24"/>
        </w:rPr>
        <w:t xml:space="preserve">, a matar al dirigente libio.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Cerca del mediodía hora local en Washington, DC, el sábado 19 de marzo, los cazabombarderos franceses lanzaron ataques contra objetivos descritos como tanques y sistemas de defensa aérea. Unas horas después, los barcos de guerra estadounidenses comenzaron a lanzar misiles de crucero contra objetivos libios.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Inmediatamente después del inicio de los ataques aéreos, Rusia, China y el secretario general de la Liga Árabe, el egipcio </w:t>
      </w:r>
      <w:proofErr w:type="spellStart"/>
      <w:r w:rsidRPr="00516B96">
        <w:rPr>
          <w:rFonts w:ascii="Times New Roman" w:hAnsi="Times New Roman" w:cs="Times New Roman"/>
          <w:sz w:val="24"/>
          <w:szCs w:val="24"/>
        </w:rPr>
        <w:t>Amr</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Moussa</w:t>
      </w:r>
      <w:proofErr w:type="spellEnd"/>
      <w:r w:rsidRPr="00516B96">
        <w:rPr>
          <w:rFonts w:ascii="Times New Roman" w:hAnsi="Times New Roman" w:cs="Times New Roman"/>
          <w:sz w:val="24"/>
          <w:szCs w:val="24"/>
        </w:rPr>
        <w:t xml:space="preserve">, condenaron la pérdida de vidas civiles causada por los bombardeos. Después del primer día de bombardeos se informó de la muerte de más de cuatro docenas de civiles, incluyendo mujeres y niños.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Los ataques tuvieron lugar después de que el Consejo de Seguridad de la ONU adoptara la Resolución 1973. Como respuesta a esa resolución el gobierno libio declaró oficialmente un alto el fuego en la guerra civil que libraba contra los rebeldes armados con base en </w:t>
      </w:r>
      <w:proofErr w:type="spellStart"/>
      <w:r w:rsidRPr="00516B96">
        <w:rPr>
          <w:rFonts w:ascii="Times New Roman" w:hAnsi="Times New Roman" w:cs="Times New Roman"/>
          <w:sz w:val="24"/>
          <w:szCs w:val="24"/>
        </w:rPr>
        <w:t>Bengasi</w:t>
      </w:r>
      <w:proofErr w:type="spellEnd"/>
      <w:r w:rsidRPr="00516B96">
        <w:rPr>
          <w:rFonts w:ascii="Times New Roman" w:hAnsi="Times New Roman" w:cs="Times New Roman"/>
          <w:sz w:val="24"/>
          <w:szCs w:val="24"/>
        </w:rPr>
        <w:t xml:space="preserve">. Libia anunció también que había cerrado su espacio aéreo. Los </w:t>
      </w:r>
      <w:r w:rsidRPr="00516B96">
        <w:rPr>
          <w:rFonts w:ascii="Times New Roman" w:hAnsi="Times New Roman" w:cs="Times New Roman"/>
          <w:sz w:val="24"/>
          <w:szCs w:val="24"/>
        </w:rPr>
        <w:lastRenderedPageBreak/>
        <w:t xml:space="preserve">dirigentes occidentales reaccionaron ante estas acciones del gobierno libio afirmando que no se podía creer en ellas y argumentando que los combates continuaban.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La Resolución 1973 se adoptó según el Capítulo VII de la Carta de la ONU con 10 votos a favor, ninguno en contra y cinco abstenciones. A favor votaron los miembros permanentes del Consejo de Seguridad: EE.UU., Gran Bretaña, Francia, y los miembros no permanentes Bosnia y Herzegovina, Colombia, Gabón, el Líbano, Nigeria, Portugal y Sudáfrica. Se abstuvieron los miembros permanentes Rusia y China y los miembros no permanentes Alemania, Brasil e India.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El gobierno libio no tuvo un representante presente en la reunión después de que a su embajador oficial, el ex presidente de la Asamblea General </w:t>
      </w:r>
      <w:proofErr w:type="spellStart"/>
      <w:r w:rsidRPr="00516B96">
        <w:rPr>
          <w:rFonts w:ascii="Times New Roman" w:hAnsi="Times New Roman" w:cs="Times New Roman"/>
          <w:sz w:val="24"/>
          <w:szCs w:val="24"/>
        </w:rPr>
        <w:t>Ali</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Abdel-Salam</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Treki</w:t>
      </w:r>
      <w:proofErr w:type="spellEnd"/>
      <w:r w:rsidRPr="00516B96">
        <w:rPr>
          <w:rFonts w:ascii="Times New Roman" w:hAnsi="Times New Roman" w:cs="Times New Roman"/>
          <w:sz w:val="24"/>
          <w:szCs w:val="24"/>
        </w:rPr>
        <w:t xml:space="preserve">, se le negó la entrada en EE.UU. No obstante, aunque oficialmente había sido relevado de su cargo más de una semana antes por desertar a la oposición, el ex representante permanente adjunto Ibrahim </w:t>
      </w:r>
      <w:proofErr w:type="spellStart"/>
      <w:r w:rsidRPr="00516B96">
        <w:rPr>
          <w:rFonts w:ascii="Times New Roman" w:hAnsi="Times New Roman" w:cs="Times New Roman"/>
          <w:sz w:val="24"/>
          <w:szCs w:val="24"/>
        </w:rPr>
        <w:t>Dabbashi</w:t>
      </w:r>
      <w:proofErr w:type="spellEnd"/>
      <w:r w:rsidRPr="00516B96">
        <w:rPr>
          <w:rFonts w:ascii="Times New Roman" w:hAnsi="Times New Roman" w:cs="Times New Roman"/>
          <w:sz w:val="24"/>
          <w:szCs w:val="24"/>
        </w:rPr>
        <w:t xml:space="preserve">, estuvo presente en la operación mediática del Consejo de Seguridad del miércoles para hacer una declaración y responder preguntas.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pStyle w:val="Prrafodelista"/>
        <w:numPr>
          <w:ilvl w:val="0"/>
          <w:numId w:val="17"/>
        </w:num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El Caso de Siria:</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La Guerra Civil Siria es un conflicto en forma de una rebelión popular, enfrentamientos sociales y políticos, lucha armada y ataques terroristas que está ocurriendo en Siria. Se inició el 26 de enero de 2011, influida por otras protestas simultaneas en la región, exigiendo profundos cambios en los gobiernos y que han sido descritas como "sin precedentes". Como en Túnez, Egipto y Libia, parte de los manifestantes demandan más libertades y plena democracia, así como también un mayor respeto de los Derechos Humanos.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De acuerdo a los Comités de Coordinación Local sirios, desde el comienzo de las manifestaciones, las tropas sirias y fuerzas de seguridad asesinaron unos 7.000 civiles, y otros miles resultaron heridos. Las bajas entre las fuerzas leales al gobierno de </w:t>
      </w:r>
      <w:proofErr w:type="spellStart"/>
      <w:r w:rsidRPr="00516B96">
        <w:rPr>
          <w:rFonts w:ascii="Times New Roman" w:hAnsi="Times New Roman" w:cs="Times New Roman"/>
          <w:sz w:val="24"/>
          <w:szCs w:val="24"/>
        </w:rPr>
        <w:t>Bashar</w:t>
      </w:r>
      <w:proofErr w:type="spellEnd"/>
      <w:r w:rsidRPr="00516B96">
        <w:rPr>
          <w:rFonts w:ascii="Times New Roman" w:hAnsi="Times New Roman" w:cs="Times New Roman"/>
          <w:sz w:val="24"/>
          <w:szCs w:val="24"/>
        </w:rPr>
        <w:t xml:space="preserve"> al-Assad por las acciones de los rebeldes superan los 2.000 fallecidos, según el gobierno sirio. También se encuentran detenidas o desaparecidas entre 9.000 y 15.000 personas. Además, 75.000 personas se han visto obligadas a abandonar sus ciudades para buscar un refugio y huir de la represión, de las cuales 25.000 han emigrado a otros países.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 xml:space="preserve">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Como respuesta a la mayor rebelión popular que tuvo lugar en el país, las fuerzas de seguridad sirias dispararon contra cientos de manifestantes, e hirieron a otros tantos. El Secretario General de las Naciones Unidas, </w:t>
      </w:r>
      <w:proofErr w:type="spellStart"/>
      <w:r w:rsidRPr="00516B96">
        <w:rPr>
          <w:rFonts w:ascii="Times New Roman" w:hAnsi="Times New Roman" w:cs="Times New Roman"/>
          <w:sz w:val="24"/>
          <w:szCs w:val="24"/>
        </w:rPr>
        <w:t>Ban</w:t>
      </w:r>
      <w:proofErr w:type="spellEnd"/>
      <w:r w:rsidRPr="00516B96">
        <w:rPr>
          <w:rFonts w:ascii="Times New Roman" w:hAnsi="Times New Roman" w:cs="Times New Roman"/>
          <w:sz w:val="24"/>
          <w:szCs w:val="24"/>
        </w:rPr>
        <w:t xml:space="preserve"> Ki-</w:t>
      </w:r>
      <w:proofErr w:type="spellStart"/>
      <w:r w:rsidRPr="00516B96">
        <w:rPr>
          <w:rFonts w:ascii="Times New Roman" w:hAnsi="Times New Roman" w:cs="Times New Roman"/>
          <w:sz w:val="24"/>
          <w:szCs w:val="24"/>
        </w:rPr>
        <w:t>moon</w:t>
      </w:r>
      <w:proofErr w:type="spellEnd"/>
      <w:r w:rsidRPr="00516B96">
        <w:rPr>
          <w:rFonts w:ascii="Times New Roman" w:hAnsi="Times New Roman" w:cs="Times New Roman"/>
          <w:sz w:val="24"/>
          <w:szCs w:val="24"/>
        </w:rPr>
        <w:t>, condenó el uso de fuerza contra los manifestantes catalogándola como "inaceptable". A partir de abril de 2012, por decisión del Consejo de Seguridad, se desplegó en el país la Misión de Supervisión de las Naciones Unidas en Siria (UNMISS) para verificar el cese de la violencia y el cumplimiento de acuerdos.</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Sin embargo, desde la invasión la OTAN sólo probó las capacidades y disposición de las fuerzas sirias, la prueba fue superada por Siria, y asimilada por Turquía. El mundo supo que el resultado del intento de destruir al régimen sirio, no se obtendría fácilmente.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Luego de observar los resultados de las distintas invasiones que se han perpetrado en los Estados árabes, invasiones que han sido logradas con autorización de la ONU a fin de alcanzar la paz y el respeto a los Derechos Humanos, se puede pensar que el evitar la invasión de Siria por los ejércitos de EE.UU. y la OTAN, debe ser una celebración mundial, dado que implica el reimpulso del Derecho Internacional Humanitario, en el trato y resolución de los conflictos internacionales por una vía que no incluya más violencia y muerte. </w:t>
      </w:r>
    </w:p>
    <w:p w:rsidR="00145AE9" w:rsidRPr="00516B96" w:rsidRDefault="00145AE9" w:rsidP="00145AE9">
      <w:pPr>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pStyle w:val="Prrafodelista"/>
        <w:numPr>
          <w:ilvl w:val="0"/>
          <w:numId w:val="17"/>
        </w:numPr>
        <w:autoSpaceDE w:val="0"/>
        <w:autoSpaceDN w:val="0"/>
        <w:adjustRightInd w:val="0"/>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El Bloqueo a Cuba</w:t>
      </w:r>
    </w:p>
    <w:p w:rsidR="00145AE9" w:rsidRPr="00516B96" w:rsidRDefault="00145AE9" w:rsidP="00145AE9">
      <w:pPr>
        <w:pStyle w:val="Prrafodelista"/>
        <w:autoSpaceDE w:val="0"/>
        <w:autoSpaceDN w:val="0"/>
        <w:adjustRightInd w:val="0"/>
        <w:spacing w:after="0" w:line="360" w:lineRule="auto"/>
        <w:jc w:val="both"/>
        <w:rPr>
          <w:rFonts w:ascii="Times New Roman" w:hAnsi="Times New Roman" w:cs="Times New Roman"/>
          <w:sz w:val="24"/>
          <w:szCs w:val="24"/>
        </w:rPr>
      </w:pPr>
    </w:p>
    <w:p w:rsidR="00145AE9" w:rsidRPr="00516B96" w:rsidRDefault="00145AE9" w:rsidP="00145AE9">
      <w:pPr>
        <w:spacing w:after="192" w:line="360" w:lineRule="auto"/>
        <w:jc w:val="both"/>
        <w:rPr>
          <w:rFonts w:ascii="Times New Roman" w:eastAsia="Times New Roman" w:hAnsi="Times New Roman" w:cs="Times New Roman"/>
          <w:sz w:val="24"/>
          <w:szCs w:val="24"/>
        </w:rPr>
      </w:pPr>
      <w:r w:rsidRPr="00516B96">
        <w:rPr>
          <w:rFonts w:ascii="Times New Roman" w:eastAsia="Times New Roman" w:hAnsi="Times New Roman" w:cs="Times New Roman"/>
          <w:sz w:val="24"/>
          <w:szCs w:val="24"/>
        </w:rPr>
        <w:t>Las sanciones económicas unilaterales que Estados Unidos impone a Cuba desde 1960. Se establecieron en plena Guerra Fría con el objetivo de derrocar al gobierno revolucionario de Fidel Castro cuyas reformas económicas y sociales no eran del agrado de la administración Eisenhower de la época. Más de medio siglo después, mientras que la Unión Soviética desapareció y que la Guerra Fría no es más que un viejo recuerdo, Washington persiste en mantener un estado de sitio económico que asfixia a todas las categorías de la población cubana y que afecta en primer lugar a los sectores más vulnerables a saber las mujeres, los ancianos y los niños.</w:t>
      </w:r>
    </w:p>
    <w:p w:rsidR="00145AE9" w:rsidRPr="00516B96" w:rsidRDefault="00145AE9" w:rsidP="00145AE9">
      <w:pPr>
        <w:spacing w:after="192" w:line="360" w:lineRule="auto"/>
        <w:jc w:val="both"/>
        <w:rPr>
          <w:rFonts w:ascii="Times New Roman" w:eastAsia="Times New Roman" w:hAnsi="Times New Roman" w:cs="Times New Roman"/>
          <w:sz w:val="24"/>
          <w:szCs w:val="24"/>
        </w:rPr>
      </w:pPr>
      <w:r w:rsidRPr="00516B96">
        <w:rPr>
          <w:rFonts w:ascii="Times New Roman" w:eastAsia="Times New Roman" w:hAnsi="Times New Roman" w:cs="Times New Roman"/>
          <w:sz w:val="24"/>
          <w:szCs w:val="24"/>
        </w:rPr>
        <w:t xml:space="preserve">El bloqueo se extiende a todas las áreas de la economía, evitando cualquier intento de desarrollo cubano; así el área de las medicinas no queda atrás, alrededor del 80% de las </w:t>
      </w:r>
      <w:r w:rsidRPr="00516B96">
        <w:rPr>
          <w:rFonts w:ascii="Times New Roman" w:eastAsia="Times New Roman" w:hAnsi="Times New Roman" w:cs="Times New Roman"/>
          <w:sz w:val="24"/>
          <w:szCs w:val="24"/>
        </w:rPr>
        <w:lastRenderedPageBreak/>
        <w:t xml:space="preserve">patentes en el sector médico proceden de las multinacionales farmacéuticas estadounidenses y de sus filiales, lo que las ubica en una situación de casi monopolio. Cuba no puede acceder a esas medicinas por las restricciones que impone el gobierno estadounidense. </w:t>
      </w:r>
    </w:p>
    <w:p w:rsidR="00145AE9" w:rsidRPr="00516B96" w:rsidRDefault="00145AE9" w:rsidP="00145AE9">
      <w:pPr>
        <w:spacing w:after="192" w:line="360" w:lineRule="auto"/>
        <w:jc w:val="both"/>
        <w:rPr>
          <w:rFonts w:ascii="Times New Roman" w:eastAsia="Times New Roman" w:hAnsi="Times New Roman" w:cs="Times New Roman"/>
          <w:sz w:val="24"/>
          <w:szCs w:val="24"/>
        </w:rPr>
      </w:pPr>
      <w:r w:rsidRPr="00516B96">
        <w:rPr>
          <w:rFonts w:ascii="Times New Roman" w:eastAsia="Times New Roman" w:hAnsi="Times New Roman" w:cs="Times New Roman"/>
          <w:sz w:val="24"/>
          <w:szCs w:val="24"/>
        </w:rPr>
        <w:t>Ahora bien, hay que saber que el Derecho Internacional Humanitario prohíbe todo tipo de restricción a la libre circulación de alimentos y de medicinas, incluso en tiempo de guerra; sin embargo, con la excusa de que no existe un conflicto “oficial” el Derecho Internacional Humanitario no puede hacer nada, aún cuando muchas personas mueran como resultado de este bloqueo económico.</w:t>
      </w:r>
    </w:p>
    <w:p w:rsidR="00145AE9" w:rsidRDefault="00145AE9">
      <w:pPr>
        <w:rPr>
          <w:rFonts w:ascii="Times New Roman" w:hAnsi="Times New Roman" w:cs="Times New Roman"/>
          <w:b/>
          <w:sz w:val="24"/>
          <w:szCs w:val="24"/>
        </w:rPr>
      </w:pPr>
      <w:r>
        <w:rPr>
          <w:rFonts w:ascii="Times New Roman" w:hAnsi="Times New Roman" w:cs="Times New Roman"/>
          <w:b/>
          <w:sz w:val="24"/>
          <w:szCs w:val="24"/>
        </w:rPr>
        <w:br w:type="page"/>
      </w:r>
    </w:p>
    <w:p w:rsidR="00D739FA" w:rsidRPr="00516B96" w:rsidRDefault="00D739FA" w:rsidP="00D739FA">
      <w:pPr>
        <w:spacing w:line="360" w:lineRule="auto"/>
        <w:jc w:val="center"/>
        <w:rPr>
          <w:rFonts w:ascii="Times New Roman" w:hAnsi="Times New Roman" w:cs="Times New Roman"/>
          <w:b/>
          <w:sz w:val="24"/>
          <w:szCs w:val="24"/>
        </w:rPr>
      </w:pPr>
      <w:r w:rsidRPr="00516B96">
        <w:rPr>
          <w:rFonts w:ascii="Times New Roman" w:hAnsi="Times New Roman" w:cs="Times New Roman"/>
          <w:b/>
          <w:sz w:val="24"/>
          <w:szCs w:val="24"/>
        </w:rPr>
        <w:lastRenderedPageBreak/>
        <w:t>CAPÍTULO II</w:t>
      </w:r>
      <w:r w:rsidR="00145AE9">
        <w:rPr>
          <w:rFonts w:ascii="Times New Roman" w:hAnsi="Times New Roman" w:cs="Times New Roman"/>
          <w:b/>
          <w:sz w:val="24"/>
          <w:szCs w:val="24"/>
        </w:rPr>
        <w:t>I</w:t>
      </w:r>
    </w:p>
    <w:p w:rsidR="00D739FA" w:rsidRPr="00516B96" w:rsidRDefault="00D739FA" w:rsidP="00D739FA">
      <w:pPr>
        <w:spacing w:line="360" w:lineRule="auto"/>
        <w:jc w:val="center"/>
        <w:rPr>
          <w:rFonts w:ascii="Times New Roman" w:hAnsi="Times New Roman" w:cs="Times New Roman"/>
          <w:b/>
          <w:sz w:val="24"/>
          <w:szCs w:val="24"/>
        </w:rPr>
      </w:pPr>
      <w:r w:rsidRPr="00516B96">
        <w:rPr>
          <w:rFonts w:ascii="Times New Roman" w:hAnsi="Times New Roman" w:cs="Times New Roman"/>
          <w:b/>
          <w:sz w:val="24"/>
          <w:szCs w:val="24"/>
        </w:rPr>
        <w:t>LA GUERRA EN YUGOSLAVIA</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I</w:t>
      </w:r>
      <w:r w:rsidR="00145AE9">
        <w:rPr>
          <w:rFonts w:ascii="Times New Roman" w:hAnsi="Times New Roman" w:cs="Times New Roman"/>
          <w:sz w:val="24"/>
          <w:szCs w:val="24"/>
        </w:rPr>
        <w:t>I</w:t>
      </w:r>
      <w:r w:rsidRPr="00516B96">
        <w:rPr>
          <w:rFonts w:ascii="Times New Roman" w:hAnsi="Times New Roman" w:cs="Times New Roman"/>
          <w:sz w:val="24"/>
          <w:szCs w:val="24"/>
        </w:rPr>
        <w:t>I. I.</w:t>
      </w:r>
      <w:r w:rsidRPr="00516B96">
        <w:rPr>
          <w:rFonts w:ascii="Times New Roman" w:hAnsi="Times New Roman" w:cs="Times New Roman"/>
          <w:sz w:val="24"/>
          <w:szCs w:val="24"/>
        </w:rPr>
        <w:tab/>
      </w:r>
      <w:r w:rsidRPr="00516B96">
        <w:rPr>
          <w:rFonts w:ascii="Times New Roman" w:hAnsi="Times New Roman" w:cs="Times New Roman"/>
          <w:sz w:val="24"/>
          <w:szCs w:val="24"/>
          <w:u w:val="single"/>
        </w:rPr>
        <w:t>Reseña Histórica</w:t>
      </w:r>
      <w:r w:rsidRPr="00516B96">
        <w:rPr>
          <w:rFonts w:ascii="Times New Roman" w:hAnsi="Times New Roman" w:cs="Times New Roman"/>
          <w:sz w:val="24"/>
          <w:szCs w:val="24"/>
        </w:rPr>
        <w:t>:</w:t>
      </w:r>
    </w:p>
    <w:p w:rsidR="008140A5"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La antigua Yugoslavia se encuentra ubicada en la región de los Balcanes; estaba conformada por los </w:t>
      </w:r>
      <w:r w:rsidR="00E868B9">
        <w:rPr>
          <w:rFonts w:ascii="Times New Roman" w:hAnsi="Times New Roman" w:cs="Times New Roman"/>
          <w:sz w:val="24"/>
          <w:szCs w:val="24"/>
        </w:rPr>
        <w:t>p</w:t>
      </w:r>
      <w:r w:rsidRPr="00516B96">
        <w:rPr>
          <w:rFonts w:ascii="Times New Roman" w:hAnsi="Times New Roman" w:cs="Times New Roman"/>
          <w:sz w:val="24"/>
          <w:szCs w:val="24"/>
        </w:rPr>
        <w:t>aíses de Macedonia, Eslovenia, Bosnia Herzegovina, Montenegro Serbia y la provincia de Kosovo. Cabe anotar que en Eslovenia, Macedonia, Croacia y Montenegro predomina</w:t>
      </w:r>
      <w:r w:rsidR="00E868B9">
        <w:rPr>
          <w:rFonts w:ascii="Times New Roman" w:hAnsi="Times New Roman" w:cs="Times New Roman"/>
          <w:sz w:val="24"/>
          <w:szCs w:val="24"/>
        </w:rPr>
        <w:t>ba</w:t>
      </w:r>
      <w:r w:rsidRPr="00516B96">
        <w:rPr>
          <w:rFonts w:ascii="Times New Roman" w:hAnsi="Times New Roman" w:cs="Times New Roman"/>
          <w:sz w:val="24"/>
          <w:szCs w:val="24"/>
        </w:rPr>
        <w:t xml:space="preserve"> la religión católica; en Ko</w:t>
      </w:r>
      <w:r w:rsidR="00E868B9">
        <w:rPr>
          <w:rFonts w:ascii="Times New Roman" w:hAnsi="Times New Roman" w:cs="Times New Roman"/>
          <w:sz w:val="24"/>
          <w:szCs w:val="24"/>
        </w:rPr>
        <w:t>sovo y Bosnia la gran mayoría era</w:t>
      </w:r>
      <w:r w:rsidRPr="00516B96">
        <w:rPr>
          <w:rFonts w:ascii="Times New Roman" w:hAnsi="Times New Roman" w:cs="Times New Roman"/>
          <w:sz w:val="24"/>
          <w:szCs w:val="24"/>
        </w:rPr>
        <w:t xml:space="preserve"> musulmana y en Serbia prima</w:t>
      </w:r>
      <w:r w:rsidR="00E868B9">
        <w:rPr>
          <w:rFonts w:ascii="Times New Roman" w:hAnsi="Times New Roman" w:cs="Times New Roman"/>
          <w:sz w:val="24"/>
          <w:szCs w:val="24"/>
        </w:rPr>
        <w:t>ba</w:t>
      </w:r>
      <w:r w:rsidRPr="00516B96">
        <w:rPr>
          <w:rFonts w:ascii="Times New Roman" w:hAnsi="Times New Roman" w:cs="Times New Roman"/>
          <w:sz w:val="24"/>
          <w:szCs w:val="24"/>
        </w:rPr>
        <w:t xml:space="preserve"> la iglesia ortodoxa.</w:t>
      </w:r>
    </w:p>
    <w:p w:rsidR="00D739FA" w:rsidRPr="00516B96" w:rsidRDefault="00DE62CB"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E</w:t>
      </w:r>
      <w:r w:rsidR="00D739FA" w:rsidRPr="00516B96">
        <w:rPr>
          <w:rFonts w:ascii="Times New Roman" w:hAnsi="Times New Roman" w:cs="Times New Roman"/>
          <w:sz w:val="24"/>
          <w:szCs w:val="24"/>
        </w:rPr>
        <w:t>l proceso de separación ocurrió durante la lucha étnica desatada en la década de los 90, y que ha sido catalogado como el cuarto genocidio de minorías en Europa, después de la masacre de armenios en la Primera Guerra Mundial;</w:t>
      </w:r>
      <w:r w:rsidR="000D6453">
        <w:rPr>
          <w:rFonts w:ascii="Times New Roman" w:hAnsi="Times New Roman" w:cs="Times New Roman"/>
          <w:sz w:val="24"/>
          <w:szCs w:val="24"/>
        </w:rPr>
        <w:t xml:space="preserve"> y las masacres de </w:t>
      </w:r>
      <w:r w:rsidR="00D739FA" w:rsidRPr="00516B96">
        <w:rPr>
          <w:rFonts w:ascii="Times New Roman" w:hAnsi="Times New Roman" w:cs="Times New Roman"/>
          <w:sz w:val="24"/>
          <w:szCs w:val="24"/>
        </w:rPr>
        <w:t xml:space="preserve"> judíos y gitanos a finales de la década de los 30 y principios de los 40</w:t>
      </w:r>
      <w:r w:rsidR="00B679C7">
        <w:rPr>
          <w:rFonts w:ascii="Times New Roman" w:hAnsi="Times New Roman" w:cs="Times New Roman"/>
          <w:sz w:val="24"/>
          <w:szCs w:val="24"/>
        </w:rPr>
        <w:t xml:space="preserve"> </w:t>
      </w:r>
      <w:r w:rsidR="000D6453">
        <w:rPr>
          <w:rFonts w:ascii="Times New Roman" w:hAnsi="Times New Roman" w:cs="Times New Roman"/>
          <w:sz w:val="24"/>
          <w:szCs w:val="24"/>
        </w:rPr>
        <w:t xml:space="preserve">respectivamente </w:t>
      </w:r>
      <w:r w:rsidR="00B679C7">
        <w:rPr>
          <w:rFonts w:ascii="Times New Roman" w:hAnsi="Times New Roman" w:cs="Times New Roman"/>
          <w:sz w:val="24"/>
          <w:szCs w:val="24"/>
        </w:rPr>
        <w:t>(Quiñonez, 2004)</w:t>
      </w:r>
      <w:r w:rsidR="00D739FA" w:rsidRPr="00516B96">
        <w:rPr>
          <w:rFonts w:ascii="Times New Roman" w:hAnsi="Times New Roman" w:cs="Times New Roman"/>
          <w:sz w:val="24"/>
          <w:szCs w:val="24"/>
        </w:rPr>
        <w:t>.</w:t>
      </w:r>
    </w:p>
    <w:p w:rsidR="008140A5" w:rsidRPr="00516B96" w:rsidRDefault="008140A5"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La situación conflictiva en los Balcanes se originó con una rivalidad que comenzó el milenio antepasado. En la Edad Media la península Balcánica se convirtió en una zona fronteriza entre los Imperios Austrohúngaro y Otomano; que encontraban sus fronteras en la actual República de Bosnia, sembrando así la semilla de las diferencias raciales irreconciliables que se alimentaría de la rivalidad entre los pueblos eslavos, tomando en cuenta además, que los croatas son mayoritariamente católicos, los serbios orto</w:t>
      </w:r>
      <w:r w:rsidR="001A0A85">
        <w:rPr>
          <w:rFonts w:ascii="Times New Roman" w:hAnsi="Times New Roman" w:cs="Times New Roman"/>
          <w:sz w:val="24"/>
          <w:szCs w:val="24"/>
        </w:rPr>
        <w:t xml:space="preserve">doxos y los bosnios musulmanes. </w:t>
      </w:r>
    </w:p>
    <w:p w:rsidR="008140A5" w:rsidRPr="00516B96" w:rsidRDefault="008140A5"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Siendo siempre una zona conflictiva, fue aquí donde se inició la Primera Guerra Mundial tras el asesinato del archiduque Francisco Fernando, heredero de la corona austrohúngara en la ciudad de Sarajevo, capital bosnia. Al término de la guerra se fundó Yugoslavia, que significa: país de eslavos del s</w:t>
      </w:r>
      <w:r w:rsidR="000D6453">
        <w:rPr>
          <w:rFonts w:ascii="Times New Roman" w:hAnsi="Times New Roman" w:cs="Times New Roman"/>
          <w:sz w:val="24"/>
          <w:szCs w:val="24"/>
        </w:rPr>
        <w:t xml:space="preserve">ur; por el rey </w:t>
      </w:r>
      <w:proofErr w:type="spellStart"/>
      <w:r w:rsidR="000D6453">
        <w:rPr>
          <w:rFonts w:ascii="Times New Roman" w:hAnsi="Times New Roman" w:cs="Times New Roman"/>
          <w:sz w:val="24"/>
          <w:szCs w:val="24"/>
        </w:rPr>
        <w:t>Aleksandar</w:t>
      </w:r>
      <w:proofErr w:type="spellEnd"/>
      <w:r w:rsidR="000D6453">
        <w:rPr>
          <w:rFonts w:ascii="Times New Roman" w:hAnsi="Times New Roman" w:cs="Times New Roman"/>
          <w:sz w:val="24"/>
          <w:szCs w:val="24"/>
        </w:rPr>
        <w:t xml:space="preserve"> </w:t>
      </w:r>
      <w:proofErr w:type="spellStart"/>
      <w:r w:rsidR="000D6453">
        <w:rPr>
          <w:rFonts w:ascii="Times New Roman" w:hAnsi="Times New Roman" w:cs="Times New Roman"/>
          <w:sz w:val="24"/>
          <w:szCs w:val="24"/>
        </w:rPr>
        <w:t>Karag</w:t>
      </w:r>
      <w:r w:rsidRPr="00516B96">
        <w:rPr>
          <w:rFonts w:ascii="Times New Roman" w:hAnsi="Times New Roman" w:cs="Times New Roman"/>
          <w:sz w:val="24"/>
          <w:szCs w:val="24"/>
        </w:rPr>
        <w:t>e</w:t>
      </w:r>
      <w:r w:rsidR="000D6453">
        <w:rPr>
          <w:rFonts w:ascii="Times New Roman" w:hAnsi="Times New Roman" w:cs="Times New Roman"/>
          <w:sz w:val="24"/>
          <w:szCs w:val="24"/>
        </w:rPr>
        <w:t>o</w:t>
      </w:r>
      <w:r w:rsidRPr="00516B96">
        <w:rPr>
          <w:rFonts w:ascii="Times New Roman" w:hAnsi="Times New Roman" w:cs="Times New Roman"/>
          <w:sz w:val="24"/>
          <w:szCs w:val="24"/>
        </w:rPr>
        <w:t>rgevich</w:t>
      </w:r>
      <w:proofErr w:type="spellEnd"/>
      <w:r w:rsidRPr="00516B96">
        <w:rPr>
          <w:rFonts w:ascii="Times New Roman" w:hAnsi="Times New Roman" w:cs="Times New Roman"/>
          <w:sz w:val="24"/>
          <w:szCs w:val="24"/>
        </w:rPr>
        <w:t xml:space="preserve">, el 1 de diciembre de 1918. </w:t>
      </w:r>
    </w:p>
    <w:p w:rsidR="008140A5" w:rsidRPr="00516B96" w:rsidRDefault="008140A5"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El conflicto geopolítico al que se enfrentó la monarquía yugoslava fue el enfrentamiento entre dos formas de ordenamiento social: centralismo serbio y </w:t>
      </w:r>
      <w:proofErr w:type="spellStart"/>
      <w:r w:rsidRPr="00516B96">
        <w:rPr>
          <w:rFonts w:ascii="Times New Roman" w:hAnsi="Times New Roman" w:cs="Times New Roman"/>
          <w:sz w:val="24"/>
          <w:szCs w:val="24"/>
        </w:rPr>
        <w:t>confederalismo</w:t>
      </w:r>
      <w:proofErr w:type="spellEnd"/>
      <w:r w:rsidRPr="00516B96">
        <w:rPr>
          <w:rFonts w:ascii="Times New Roman" w:hAnsi="Times New Roman" w:cs="Times New Roman"/>
          <w:sz w:val="24"/>
          <w:szCs w:val="24"/>
        </w:rPr>
        <w:t xml:space="preserve"> croata</w:t>
      </w:r>
      <w:r w:rsidRPr="00516B96">
        <w:rPr>
          <w:rStyle w:val="Refdenotaalpie"/>
          <w:rFonts w:ascii="Times New Roman" w:hAnsi="Times New Roman" w:cs="Times New Roman"/>
          <w:sz w:val="24"/>
          <w:szCs w:val="24"/>
        </w:rPr>
        <w:footnoteReference w:id="6"/>
      </w:r>
      <w:r w:rsidRPr="00516B96">
        <w:rPr>
          <w:rFonts w:ascii="Times New Roman" w:hAnsi="Times New Roman" w:cs="Times New Roman"/>
          <w:sz w:val="24"/>
          <w:szCs w:val="24"/>
        </w:rPr>
        <w:t xml:space="preserve">. El predominio del centralismo serbio provocó el descontento de los demás grupos </w:t>
      </w:r>
      <w:r w:rsidRPr="00516B96">
        <w:rPr>
          <w:rFonts w:ascii="Times New Roman" w:hAnsi="Times New Roman" w:cs="Times New Roman"/>
          <w:sz w:val="24"/>
          <w:szCs w:val="24"/>
        </w:rPr>
        <w:lastRenderedPageBreak/>
        <w:t xml:space="preserve">étnicos que no deseaban vivir bajo el ideario </w:t>
      </w:r>
      <w:proofErr w:type="spellStart"/>
      <w:r w:rsidRPr="00516B96">
        <w:rPr>
          <w:rFonts w:ascii="Times New Roman" w:hAnsi="Times New Roman" w:cs="Times New Roman"/>
          <w:sz w:val="24"/>
          <w:szCs w:val="24"/>
        </w:rPr>
        <w:t>panserbio</w:t>
      </w:r>
      <w:proofErr w:type="spellEnd"/>
      <w:r w:rsidRPr="00516B96">
        <w:rPr>
          <w:rFonts w:ascii="Times New Roman" w:hAnsi="Times New Roman" w:cs="Times New Roman"/>
          <w:sz w:val="24"/>
          <w:szCs w:val="24"/>
        </w:rPr>
        <w:t>; es decir, bajo el dominio de la Gran Serbia, súbditos de un rey serbio, con una capital serbia (Belgrado), gobernados por primeros ministros serbios, etc.</w:t>
      </w:r>
    </w:p>
    <w:p w:rsidR="008140A5" w:rsidRPr="00516B96" w:rsidRDefault="008140A5"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El rey </w:t>
      </w:r>
      <w:proofErr w:type="spellStart"/>
      <w:r w:rsidRPr="00516B96">
        <w:rPr>
          <w:rFonts w:ascii="Times New Roman" w:hAnsi="Times New Roman" w:cs="Times New Roman"/>
          <w:sz w:val="24"/>
          <w:szCs w:val="24"/>
        </w:rPr>
        <w:t>Aleksandar</w:t>
      </w:r>
      <w:proofErr w:type="spellEnd"/>
      <w:r w:rsidRPr="00516B96">
        <w:rPr>
          <w:rFonts w:ascii="Times New Roman" w:hAnsi="Times New Roman" w:cs="Times New Roman"/>
          <w:sz w:val="24"/>
          <w:szCs w:val="24"/>
        </w:rPr>
        <w:t xml:space="preserve"> I intentó resolver el conflicto a través de un proyecto político basado en el nacionalismo yugoslavo, promulgó una constitución en 1931 e instauró un parlamento bicameral, además dividió el territorio en nueve regiones.</w:t>
      </w:r>
      <w:r w:rsidRPr="00516B96">
        <w:rPr>
          <w:rStyle w:val="Refdenotaalpie"/>
          <w:rFonts w:ascii="Times New Roman" w:hAnsi="Times New Roman" w:cs="Times New Roman"/>
          <w:sz w:val="24"/>
          <w:szCs w:val="24"/>
        </w:rPr>
        <w:footnoteReference w:id="7"/>
      </w:r>
      <w:r w:rsidR="000D6453">
        <w:rPr>
          <w:rFonts w:ascii="Times New Roman" w:hAnsi="Times New Roman" w:cs="Times New Roman"/>
          <w:sz w:val="24"/>
          <w:szCs w:val="24"/>
        </w:rPr>
        <w:t xml:space="preserve"> Su proyecto político fracasó</w:t>
      </w:r>
      <w:r w:rsidRPr="00516B96">
        <w:rPr>
          <w:rFonts w:ascii="Times New Roman" w:hAnsi="Times New Roman" w:cs="Times New Roman"/>
          <w:sz w:val="24"/>
          <w:szCs w:val="24"/>
        </w:rPr>
        <w:t xml:space="preserve"> y el rey fue asesinado en Marsella el 9 de octubre de 1934.</w:t>
      </w:r>
    </w:p>
    <w:p w:rsidR="008140A5" w:rsidRPr="00516B96" w:rsidRDefault="008140A5"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Le sucedió en el trono su hijo Pedro II, que por su edad no podía gobernar el país así que el hermano de </w:t>
      </w:r>
      <w:proofErr w:type="spellStart"/>
      <w:r w:rsidRPr="00516B96">
        <w:rPr>
          <w:rFonts w:ascii="Times New Roman" w:hAnsi="Times New Roman" w:cs="Times New Roman"/>
          <w:sz w:val="24"/>
          <w:szCs w:val="24"/>
        </w:rPr>
        <w:t>Aleksandar</w:t>
      </w:r>
      <w:proofErr w:type="spellEnd"/>
      <w:r w:rsidRPr="00516B96">
        <w:rPr>
          <w:rFonts w:ascii="Times New Roman" w:hAnsi="Times New Roman" w:cs="Times New Roman"/>
          <w:sz w:val="24"/>
          <w:szCs w:val="24"/>
        </w:rPr>
        <w:t xml:space="preserve"> I, </w:t>
      </w:r>
      <w:proofErr w:type="spellStart"/>
      <w:r w:rsidRPr="00516B96">
        <w:rPr>
          <w:rFonts w:ascii="Times New Roman" w:hAnsi="Times New Roman" w:cs="Times New Roman"/>
          <w:sz w:val="24"/>
          <w:szCs w:val="24"/>
        </w:rPr>
        <w:t>Pavle</w:t>
      </w:r>
      <w:proofErr w:type="spellEnd"/>
      <w:r w:rsidRPr="00516B96">
        <w:rPr>
          <w:rFonts w:ascii="Times New Roman" w:hAnsi="Times New Roman" w:cs="Times New Roman"/>
          <w:sz w:val="24"/>
          <w:szCs w:val="24"/>
        </w:rPr>
        <w:t xml:space="preserve"> se volvió regente del país, con la inestabilidad política de ese momento se gestó un grupo ultra nacionalista y separatista croata liderado por Ante </w:t>
      </w:r>
      <w:proofErr w:type="spellStart"/>
      <w:r w:rsidRPr="00516B96">
        <w:rPr>
          <w:rFonts w:ascii="Times New Roman" w:hAnsi="Times New Roman" w:cs="Times New Roman"/>
          <w:sz w:val="24"/>
          <w:szCs w:val="24"/>
        </w:rPr>
        <w:t>Pavlevic</w:t>
      </w:r>
      <w:proofErr w:type="spellEnd"/>
      <w:r w:rsidRPr="00516B96">
        <w:rPr>
          <w:rFonts w:ascii="Times New Roman" w:hAnsi="Times New Roman" w:cs="Times New Roman"/>
          <w:sz w:val="24"/>
          <w:szCs w:val="24"/>
        </w:rPr>
        <w:t>, a partir de entonces la política exterior yugoslava tomó una carácter casi fascista.</w:t>
      </w:r>
    </w:p>
    <w:p w:rsidR="008140A5" w:rsidRPr="00516B96" w:rsidRDefault="008140A5"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Como consecuencia, durante la Segunda Guerra Mundial, Yugoslavia se unió a los países del Eje, excepto por una pequeña minoría serbia que al notar la inminente caída alemana, creció y lucho contra el nazismo. Este pequeño grupo estuvo encabezado por </w:t>
      </w:r>
      <w:proofErr w:type="spellStart"/>
      <w:r w:rsidRPr="00516B96">
        <w:rPr>
          <w:rFonts w:ascii="Times New Roman" w:hAnsi="Times New Roman" w:cs="Times New Roman"/>
          <w:sz w:val="24"/>
          <w:szCs w:val="24"/>
        </w:rPr>
        <w:t>Josip</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Broz</w:t>
      </w:r>
      <w:proofErr w:type="spellEnd"/>
      <w:r w:rsidRPr="00516B96">
        <w:rPr>
          <w:rFonts w:ascii="Times New Roman" w:hAnsi="Times New Roman" w:cs="Times New Roman"/>
          <w:sz w:val="24"/>
          <w:szCs w:val="24"/>
        </w:rPr>
        <w:t xml:space="preserve"> Tito, un dirigente de orígenes multiétnicos que a posteriori se reflejarían en lo que fue Yugoslavia.</w:t>
      </w:r>
    </w:p>
    <w:p w:rsidR="008140A5" w:rsidRPr="00516B96" w:rsidRDefault="008140A5"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Tito fue el único dirigente que desde 1945 hasta su muerte en 1980, logró unificar, aunque de manera somera a Yugoslavia imponiendo un régimen socialista que al romper con los soviéticos se volvió disidente. Las diferencias raciales estuvieron siempre presentes en Yugoslavia, aunque durante el mandato de Tito fueron más o menos encubiertas, más no extintas.</w:t>
      </w:r>
    </w:p>
    <w:p w:rsidR="008140A5" w:rsidRPr="00516B96" w:rsidRDefault="008140A5"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Tito propuso un modelo yugoslavo de autogestión socialista que significaba una amplia descentralización de Belgrado, lo que trazó las bases de un futuro federalismo yugoslavo. Los primeros síntomas de la desintegración yugoslava comenzaron durante los años setenta con una crisis económica que hundió al país y dio paso al resurgimiento de los nacionalismos históricos existentes en la zona, que a la par con la crisis desembocó en la polarización de las posturas de las repúblicas más importantes: Serbia y Croacia.</w:t>
      </w:r>
    </w:p>
    <w:p w:rsidR="006E7F21" w:rsidRPr="00516B96" w:rsidRDefault="008140A5"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 xml:space="preserve">Como consecuencia la federación perdió cohesión, autoridad interna y prestigio internacional. El mismo Tito promulgó una constitución en 1974 e instauró una nueva estructura para el poder ejecutivo; un sistema rotativo conformado por el presidente de la república y por la presidencia colegiada compuesta por nueve personas: un presidente por cada república y </w:t>
      </w:r>
      <w:r w:rsidR="006E7F21" w:rsidRPr="00516B96">
        <w:rPr>
          <w:rFonts w:ascii="Times New Roman" w:hAnsi="Times New Roman" w:cs="Times New Roman"/>
          <w:sz w:val="24"/>
          <w:szCs w:val="24"/>
        </w:rPr>
        <w:t xml:space="preserve">tres representantes por la </w:t>
      </w:r>
      <w:r w:rsidRPr="00516B96">
        <w:rPr>
          <w:rFonts w:ascii="Times New Roman" w:hAnsi="Times New Roman" w:cs="Times New Roman"/>
          <w:sz w:val="24"/>
          <w:szCs w:val="24"/>
        </w:rPr>
        <w:t>provincia autónoma</w:t>
      </w:r>
      <w:r w:rsidR="006E7F21" w:rsidRPr="00516B96">
        <w:rPr>
          <w:rFonts w:ascii="Times New Roman" w:hAnsi="Times New Roman" w:cs="Times New Roman"/>
          <w:sz w:val="24"/>
          <w:szCs w:val="24"/>
        </w:rPr>
        <w:t xml:space="preserve"> y el</w:t>
      </w:r>
      <w:r w:rsidRPr="00516B96">
        <w:rPr>
          <w:rFonts w:ascii="Times New Roman" w:hAnsi="Times New Roman" w:cs="Times New Roman"/>
          <w:sz w:val="24"/>
          <w:szCs w:val="24"/>
        </w:rPr>
        <w:t xml:space="preserve"> Secretari</w:t>
      </w:r>
      <w:r w:rsidR="006E7F21" w:rsidRPr="00516B96">
        <w:rPr>
          <w:rFonts w:ascii="Times New Roman" w:hAnsi="Times New Roman" w:cs="Times New Roman"/>
          <w:sz w:val="24"/>
          <w:szCs w:val="24"/>
        </w:rPr>
        <w:t xml:space="preserve">o General de la Liga Comunista Yugoslava. </w:t>
      </w:r>
      <w:r w:rsidRPr="00516B96">
        <w:rPr>
          <w:rFonts w:ascii="Times New Roman" w:hAnsi="Times New Roman" w:cs="Times New Roman"/>
          <w:sz w:val="24"/>
          <w:szCs w:val="24"/>
        </w:rPr>
        <w:t xml:space="preserve">Este cambio significó la transición de la </w:t>
      </w:r>
      <w:r w:rsidR="00B679C7">
        <w:rPr>
          <w:rFonts w:ascii="Times New Roman" w:hAnsi="Times New Roman" w:cs="Times New Roman"/>
          <w:sz w:val="24"/>
          <w:szCs w:val="24"/>
        </w:rPr>
        <w:t xml:space="preserve">federación a una confederación. </w:t>
      </w:r>
    </w:p>
    <w:p w:rsidR="006E7F21" w:rsidRPr="00516B96" w:rsidRDefault="008140A5"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A partir de 1980 tres sucesos agravan la situación yugoslava: muere Tito, la crisis económica se acentúa y se recr</w:t>
      </w:r>
      <w:r w:rsidR="006E7F21" w:rsidRPr="00516B96">
        <w:rPr>
          <w:rFonts w:ascii="Times New Roman" w:hAnsi="Times New Roman" w:cs="Times New Roman"/>
          <w:sz w:val="24"/>
          <w:szCs w:val="24"/>
        </w:rPr>
        <w:t>udecen los conflictos étnicos y e</w:t>
      </w:r>
      <w:r w:rsidRPr="00516B96">
        <w:rPr>
          <w:rFonts w:ascii="Times New Roman" w:hAnsi="Times New Roman" w:cs="Times New Roman"/>
          <w:sz w:val="24"/>
          <w:szCs w:val="24"/>
        </w:rPr>
        <w:t>n 1986 aparece en la escena política Slobodan Milosevic, como máximo dirigente de Serbia y mayúsculo repre</w:t>
      </w:r>
      <w:r w:rsidR="006E7F21" w:rsidRPr="00516B96">
        <w:rPr>
          <w:rFonts w:ascii="Times New Roman" w:hAnsi="Times New Roman" w:cs="Times New Roman"/>
          <w:sz w:val="24"/>
          <w:szCs w:val="24"/>
        </w:rPr>
        <w:t xml:space="preserve">sentante del ideario </w:t>
      </w:r>
      <w:proofErr w:type="spellStart"/>
      <w:r w:rsidR="006E7F21" w:rsidRPr="00516B96">
        <w:rPr>
          <w:rFonts w:ascii="Times New Roman" w:hAnsi="Times New Roman" w:cs="Times New Roman"/>
          <w:sz w:val="24"/>
          <w:szCs w:val="24"/>
        </w:rPr>
        <w:t>panserbio</w:t>
      </w:r>
      <w:proofErr w:type="spellEnd"/>
      <w:r w:rsidR="006E7F21" w:rsidRPr="00516B96">
        <w:rPr>
          <w:rFonts w:ascii="Times New Roman" w:hAnsi="Times New Roman" w:cs="Times New Roman"/>
          <w:sz w:val="24"/>
          <w:szCs w:val="24"/>
        </w:rPr>
        <w:t xml:space="preserve">. </w:t>
      </w:r>
    </w:p>
    <w:p w:rsidR="006E7F21" w:rsidRPr="00516B96" w:rsidRDefault="008140A5"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La guerra estalló </w:t>
      </w:r>
      <w:r w:rsidR="00E868B9">
        <w:rPr>
          <w:rFonts w:ascii="Times New Roman" w:hAnsi="Times New Roman" w:cs="Times New Roman"/>
          <w:sz w:val="24"/>
          <w:szCs w:val="24"/>
        </w:rPr>
        <w:t>en 1991, cuando la fracción serb</w:t>
      </w:r>
      <w:r w:rsidRPr="00516B96">
        <w:rPr>
          <w:rFonts w:ascii="Times New Roman" w:hAnsi="Times New Roman" w:cs="Times New Roman"/>
          <w:sz w:val="24"/>
          <w:szCs w:val="24"/>
        </w:rPr>
        <w:t xml:space="preserve">ia se negó a aceptar a </w:t>
      </w:r>
      <w:proofErr w:type="spellStart"/>
      <w:r w:rsidRPr="00516B96">
        <w:rPr>
          <w:rFonts w:ascii="Times New Roman" w:hAnsi="Times New Roman" w:cs="Times New Roman"/>
          <w:sz w:val="24"/>
          <w:szCs w:val="24"/>
        </w:rPr>
        <w:t>Stipe</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Mesic</w:t>
      </w:r>
      <w:proofErr w:type="spellEnd"/>
      <w:r w:rsidRPr="00516B96">
        <w:rPr>
          <w:rFonts w:ascii="Times New Roman" w:hAnsi="Times New Roman" w:cs="Times New Roman"/>
          <w:sz w:val="24"/>
          <w:szCs w:val="24"/>
        </w:rPr>
        <w:t xml:space="preserve"> como primer ministro y exigió la independencia de Krajina, territorio croata habitado básicamente por serbios. El 25 de junio de ese año Eslovenia y Croacia declaran vía plebiscito su independencia, el 8 de septiembre Macedonia negoció </w:t>
      </w:r>
      <w:r w:rsidR="006E7F21" w:rsidRPr="00516B96">
        <w:rPr>
          <w:rFonts w:ascii="Times New Roman" w:hAnsi="Times New Roman" w:cs="Times New Roman"/>
          <w:sz w:val="24"/>
          <w:szCs w:val="24"/>
        </w:rPr>
        <w:t>pacíficamente su independencia.</w:t>
      </w:r>
    </w:p>
    <w:p w:rsidR="006E7F21" w:rsidRPr="00516B96" w:rsidRDefault="008140A5"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El 9 de febrero de 1992 los musulmanes y croatas de Bosnia declararon unilateralmente su independencia. En ese mismo año Alemania y el Vaticano primero, la Comunidad Europea y EUA después, reconocieron a los nuevos est</w:t>
      </w:r>
      <w:r w:rsidR="006E7F21" w:rsidRPr="00516B96">
        <w:rPr>
          <w:rFonts w:ascii="Times New Roman" w:hAnsi="Times New Roman" w:cs="Times New Roman"/>
          <w:sz w:val="24"/>
          <w:szCs w:val="24"/>
        </w:rPr>
        <w:t xml:space="preserve">ados de Eslovenia y Croacia. </w:t>
      </w:r>
    </w:p>
    <w:p w:rsidR="006E7F21" w:rsidRPr="00516B96" w:rsidRDefault="008140A5"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En mayo de ese mismo año Eslovenia, Croac</w:t>
      </w:r>
      <w:r w:rsidR="006E7F21" w:rsidRPr="00516B96">
        <w:rPr>
          <w:rFonts w:ascii="Times New Roman" w:hAnsi="Times New Roman" w:cs="Times New Roman"/>
          <w:sz w:val="24"/>
          <w:szCs w:val="24"/>
        </w:rPr>
        <w:t xml:space="preserve">ia y Bosnia- Herzegovina fueron </w:t>
      </w:r>
      <w:r w:rsidRPr="00516B96">
        <w:rPr>
          <w:rFonts w:ascii="Times New Roman" w:hAnsi="Times New Roman" w:cs="Times New Roman"/>
          <w:sz w:val="24"/>
          <w:szCs w:val="24"/>
        </w:rPr>
        <w:t xml:space="preserve">aceptados como miembros de la ONU. Una vez desaparecida la República Socialista Federal Yugoslava, Serbia y Montenegro proclamaron la República </w:t>
      </w:r>
      <w:r w:rsidR="006E7F21" w:rsidRPr="00516B96">
        <w:rPr>
          <w:rFonts w:ascii="Times New Roman" w:hAnsi="Times New Roman" w:cs="Times New Roman"/>
          <w:sz w:val="24"/>
          <w:szCs w:val="24"/>
        </w:rPr>
        <w:t xml:space="preserve">Federal de Yugoslavia. </w:t>
      </w:r>
    </w:p>
    <w:p w:rsidR="006E7F21" w:rsidRPr="00516B96" w:rsidRDefault="008140A5"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Después de sangrientas guerras civiles entre Serbia, Croacia y Bosnia, en 1995 se firmaron los tratados de paz de Dayton, Ohio (EUA) </w:t>
      </w:r>
      <w:r w:rsidR="006E7F21" w:rsidRPr="00516B96">
        <w:rPr>
          <w:rFonts w:ascii="Times New Roman" w:hAnsi="Times New Roman" w:cs="Times New Roman"/>
          <w:sz w:val="24"/>
          <w:szCs w:val="24"/>
        </w:rPr>
        <w:t>por</w:t>
      </w:r>
      <w:r w:rsidRPr="00516B96">
        <w:rPr>
          <w:rFonts w:ascii="Times New Roman" w:hAnsi="Times New Roman" w:cs="Times New Roman"/>
          <w:sz w:val="24"/>
          <w:szCs w:val="24"/>
        </w:rPr>
        <w:t xml:space="preserve"> intervención de Estados Unidos y la OTAN (Organización del</w:t>
      </w:r>
      <w:r w:rsidR="006E7F21" w:rsidRPr="00516B96">
        <w:rPr>
          <w:rFonts w:ascii="Times New Roman" w:hAnsi="Times New Roman" w:cs="Times New Roman"/>
          <w:sz w:val="24"/>
          <w:szCs w:val="24"/>
        </w:rPr>
        <w:t xml:space="preserve"> Tratado del Atlántico Norte). </w:t>
      </w:r>
    </w:p>
    <w:p w:rsidR="008140A5" w:rsidRPr="00516B96" w:rsidRDefault="008140A5"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Sin embargo, la violencia se traslado a Koso</w:t>
      </w:r>
      <w:r w:rsidR="006E7F21" w:rsidRPr="00516B96">
        <w:rPr>
          <w:rFonts w:ascii="Times New Roman" w:hAnsi="Times New Roman" w:cs="Times New Roman"/>
          <w:sz w:val="24"/>
          <w:szCs w:val="24"/>
        </w:rPr>
        <w:t xml:space="preserve">vo, dando como consecuencia una </w:t>
      </w:r>
      <w:r w:rsidRPr="00516B96">
        <w:rPr>
          <w:rFonts w:ascii="Times New Roman" w:hAnsi="Times New Roman" w:cs="Times New Roman"/>
          <w:sz w:val="24"/>
          <w:szCs w:val="24"/>
        </w:rPr>
        <w:t>nueva guerra que com</w:t>
      </w:r>
      <w:r w:rsidR="00E868B9">
        <w:rPr>
          <w:rFonts w:ascii="Times New Roman" w:hAnsi="Times New Roman" w:cs="Times New Roman"/>
          <w:sz w:val="24"/>
          <w:szCs w:val="24"/>
        </w:rPr>
        <w:t>enzó en 1998 y terminó</w:t>
      </w:r>
      <w:r w:rsidRPr="00516B96">
        <w:rPr>
          <w:rFonts w:ascii="Times New Roman" w:hAnsi="Times New Roman" w:cs="Times New Roman"/>
          <w:sz w:val="24"/>
          <w:szCs w:val="24"/>
        </w:rPr>
        <w:t xml:space="preserve"> hasta febrero de 1999, con las negociaciones de paz de </w:t>
      </w:r>
      <w:proofErr w:type="spellStart"/>
      <w:r w:rsidRPr="00516B96">
        <w:rPr>
          <w:rFonts w:ascii="Times New Roman" w:hAnsi="Times New Roman" w:cs="Times New Roman"/>
          <w:sz w:val="24"/>
          <w:szCs w:val="24"/>
        </w:rPr>
        <w:t>Rambouillet</w:t>
      </w:r>
      <w:proofErr w:type="spellEnd"/>
      <w:r w:rsidRPr="00516B96">
        <w:rPr>
          <w:rFonts w:ascii="Times New Roman" w:hAnsi="Times New Roman" w:cs="Times New Roman"/>
          <w:sz w:val="24"/>
          <w:szCs w:val="24"/>
        </w:rPr>
        <w:t xml:space="preserve">, Francia. En el 2001 Slobodan </w:t>
      </w:r>
      <w:r w:rsidR="006E7F21" w:rsidRPr="00516B96">
        <w:rPr>
          <w:rFonts w:ascii="Times New Roman" w:hAnsi="Times New Roman" w:cs="Times New Roman"/>
          <w:sz w:val="24"/>
          <w:szCs w:val="24"/>
        </w:rPr>
        <w:t>Milosevic</w:t>
      </w:r>
      <w:r w:rsidRPr="00516B96">
        <w:rPr>
          <w:rFonts w:ascii="Times New Roman" w:hAnsi="Times New Roman" w:cs="Times New Roman"/>
          <w:sz w:val="24"/>
          <w:szCs w:val="24"/>
        </w:rPr>
        <w:t xml:space="preserve"> fue entregado al Tribunal Penal Internacional para la Antigua Yugoslavia (TPI), acusado de cometer genocidio, crímenes de guerras y de lesa humanidad, permaneció allí hasta su muerte en marzo de 2006.</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II</w:t>
      </w:r>
      <w:r w:rsidR="00145AE9">
        <w:rPr>
          <w:rFonts w:ascii="Times New Roman" w:hAnsi="Times New Roman" w:cs="Times New Roman"/>
          <w:sz w:val="24"/>
          <w:szCs w:val="24"/>
        </w:rPr>
        <w:t>I</w:t>
      </w:r>
      <w:r w:rsidRPr="00516B96">
        <w:rPr>
          <w:rFonts w:ascii="Times New Roman" w:hAnsi="Times New Roman" w:cs="Times New Roman"/>
          <w:sz w:val="24"/>
          <w:szCs w:val="24"/>
        </w:rPr>
        <w:t>. I</w:t>
      </w:r>
      <w:r w:rsidR="006E7F21" w:rsidRPr="00516B96">
        <w:rPr>
          <w:rFonts w:ascii="Times New Roman" w:hAnsi="Times New Roman" w:cs="Times New Roman"/>
          <w:sz w:val="24"/>
          <w:szCs w:val="24"/>
        </w:rPr>
        <w:t>I</w:t>
      </w:r>
      <w:r w:rsidRPr="00516B96">
        <w:rPr>
          <w:rFonts w:ascii="Times New Roman" w:hAnsi="Times New Roman" w:cs="Times New Roman"/>
          <w:sz w:val="24"/>
          <w:szCs w:val="24"/>
        </w:rPr>
        <w:t>.</w:t>
      </w:r>
      <w:r w:rsidRPr="00516B96">
        <w:rPr>
          <w:rFonts w:ascii="Times New Roman" w:hAnsi="Times New Roman" w:cs="Times New Roman"/>
          <w:sz w:val="24"/>
          <w:szCs w:val="24"/>
        </w:rPr>
        <w:tab/>
      </w:r>
      <w:r w:rsidRPr="00516B96">
        <w:rPr>
          <w:rFonts w:ascii="Times New Roman" w:hAnsi="Times New Roman" w:cs="Times New Roman"/>
          <w:sz w:val="24"/>
          <w:szCs w:val="24"/>
          <w:u w:val="single"/>
        </w:rPr>
        <w:t>El Ataque a Eslovenia y Croacia</w:t>
      </w:r>
      <w:r w:rsidRPr="00516B96">
        <w:rPr>
          <w:rFonts w:ascii="Times New Roman" w:hAnsi="Times New Roman" w:cs="Times New Roman"/>
          <w:sz w:val="24"/>
          <w:szCs w:val="24"/>
        </w:rPr>
        <w:t>:</w:t>
      </w:r>
    </w:p>
    <w:p w:rsidR="00557E59"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Para 1990 se había trazado el destino independiente de varias repúblicas, y hacia el mismo año, parecía que los únicos conceptos que quedaban de la idea de Yug</w:t>
      </w:r>
      <w:r w:rsidR="00E868B9">
        <w:rPr>
          <w:rFonts w:ascii="Times New Roman" w:hAnsi="Times New Roman" w:cs="Times New Roman"/>
          <w:sz w:val="24"/>
          <w:szCs w:val="24"/>
        </w:rPr>
        <w:t>oslavia eran la liga local de fú</w:t>
      </w:r>
      <w:r w:rsidRPr="00516B96">
        <w:rPr>
          <w:rFonts w:ascii="Times New Roman" w:hAnsi="Times New Roman" w:cs="Times New Roman"/>
          <w:sz w:val="24"/>
          <w:szCs w:val="24"/>
        </w:rPr>
        <w:t xml:space="preserve">tbol y el Ejército federal yugoslavo [JNA]. </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En un último intento de mantener unido al Estado, generales de alto rango llevaron a cabo una junta con los representantes diplomáticos de cada república, pero la audiencia resultó un fracaso. La escisión de Yugoslavia se formalizó con la negativa de croatas y bosnios a </w:t>
      </w:r>
      <w:proofErr w:type="spellStart"/>
      <w:r w:rsidRPr="00516B96">
        <w:rPr>
          <w:rFonts w:ascii="Times New Roman" w:hAnsi="Times New Roman" w:cs="Times New Roman"/>
          <w:sz w:val="24"/>
          <w:szCs w:val="24"/>
        </w:rPr>
        <w:t>recentralizar</w:t>
      </w:r>
      <w:proofErr w:type="spellEnd"/>
      <w:r w:rsidRPr="00516B96">
        <w:rPr>
          <w:rFonts w:ascii="Times New Roman" w:hAnsi="Times New Roman" w:cs="Times New Roman"/>
          <w:sz w:val="24"/>
          <w:szCs w:val="24"/>
        </w:rPr>
        <w:t xml:space="preserve"> el poder militar estatal. Y dado que naturalmente el mando central del JNA se encontraba en Belgrado, capital del Estado yugoslavo (y de la república serbia), la mayor parte del complejo militar fue a parar a manos de generales serbios leales a Slobodan Milosevic. La historia de las guerras en Eslovenia, Croacia y Bosnia-Herzegovina es también la historia del desmantelamiento del complejo militar yugoslavo.</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Los serbios constituían la mayor parte de los elementos de infantería en el JNA, y a principios de los 90, la institución era cada vez más obediente a las órdenes de Milosevic. Por ese tiempo los eslovenos, bosnios y croatas, concordantes en cuanto a su rechazo de las pretensiones serbias, habían desertado del Ejército federal para evitar que los usaran en los ataques a Croacia y Eslovenia y en una posible guerra contra Bosnia. Este acto supuso un enorme error estratégico ya que los serbios terminaron quedándose con casi todas las armas y con todos los puntos militares de importancia en el territorio de Yugoslavia</w:t>
      </w:r>
      <w:r w:rsidR="00B679C7">
        <w:rPr>
          <w:rFonts w:ascii="Times New Roman" w:hAnsi="Times New Roman" w:cs="Times New Roman"/>
          <w:sz w:val="24"/>
          <w:szCs w:val="24"/>
        </w:rPr>
        <w:t xml:space="preserve"> (</w:t>
      </w:r>
      <w:proofErr w:type="spellStart"/>
      <w:r w:rsidR="00B679C7">
        <w:rPr>
          <w:rFonts w:ascii="Times New Roman" w:hAnsi="Times New Roman" w:cs="Times New Roman"/>
          <w:sz w:val="24"/>
          <w:szCs w:val="24"/>
        </w:rPr>
        <w:t>Denitch</w:t>
      </w:r>
      <w:proofErr w:type="spellEnd"/>
      <w:r w:rsidR="00B679C7">
        <w:rPr>
          <w:rFonts w:ascii="Times New Roman" w:hAnsi="Times New Roman" w:cs="Times New Roman"/>
          <w:sz w:val="24"/>
          <w:szCs w:val="24"/>
        </w:rPr>
        <w:t>, 1995)</w:t>
      </w:r>
      <w:r w:rsidRPr="00516B96">
        <w:rPr>
          <w:rFonts w:ascii="Times New Roman" w:hAnsi="Times New Roman" w:cs="Times New Roman"/>
          <w:sz w:val="24"/>
          <w:szCs w:val="24"/>
        </w:rPr>
        <w:t>.</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Las nuevas milicias de cada república y los grupos paramilitares se vieron obligados a solicitar excedentes del mercado negro de armas que estaba naciendo en Europa del Este. Eslovenos y croatas proclamaron la independencia de su país a mediados de 1991, y la Unión Europea, comenzando por Alemania, reconoció la independencia de estas repúblicas en el mes de junio. Inmediatamente, la dirigencia serbia se organizó para emprender una ofensiva militar en ambos países. La agresión a Eslovenia fue la que dio inicio al conflicto armado de los Balcanes. Pero pareciera que la intención de Slobodan Milosevic no iba más allá de intimidar a las nuevas autoridades eslovenas, ya que a falta de objetivos concretos para los serbios en el Ejército yugoslavo, la ofensiva apenas tuvo una corta duración de diez días.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 xml:space="preserve">En cambio, el objetivo de la ‘Gran Serbia’ pasaba por Croacia. Tras su intervención en Eslovenia, los soldados del Ejército yugoslavo se movieron en dirección al sur. Desde julio de 1991 emprendieron una agresión a Croacia con el objetivo de apoderarse de las regiones habitadas por serbios, intentando formar una pinza desde el este y sur del país con ataques a los principales centros urbanos. Pero la estrategia militar de los serbios estaba condenada al fracaso. La experiencia de Israel en Líbano hacia 1982, cuando mediante bombardeos indiscriminados se propuso tomar Beirut con una notable falta de éxito, había demostrado que una enorme superioridad en armamento y contingente militar no bastaba para tomar una ciudad completa. </w:t>
      </w:r>
      <w:r w:rsidR="001B5586">
        <w:rPr>
          <w:rFonts w:ascii="Times New Roman" w:hAnsi="Times New Roman" w:cs="Times New Roman"/>
          <w:sz w:val="24"/>
          <w:szCs w:val="24"/>
        </w:rPr>
        <w:t>Según Jiménez Castillo (</w:t>
      </w:r>
      <w:r w:rsidR="00231BFF">
        <w:rPr>
          <w:rFonts w:ascii="Times New Roman" w:hAnsi="Times New Roman" w:cs="Times New Roman"/>
          <w:sz w:val="24"/>
          <w:szCs w:val="24"/>
        </w:rPr>
        <w:t>1994</w:t>
      </w:r>
      <w:r w:rsidR="001B5586">
        <w:rPr>
          <w:rFonts w:ascii="Times New Roman" w:hAnsi="Times New Roman" w:cs="Times New Roman"/>
          <w:sz w:val="24"/>
          <w:szCs w:val="24"/>
        </w:rPr>
        <w:t>) “l</w:t>
      </w:r>
      <w:r w:rsidRPr="00516B96">
        <w:rPr>
          <w:rFonts w:ascii="Times New Roman" w:hAnsi="Times New Roman" w:cs="Times New Roman"/>
          <w:sz w:val="24"/>
          <w:szCs w:val="24"/>
        </w:rPr>
        <w:t>a pinza serbia vendría a cometer el mismo error que los israelíes, mientras las agencias internacionales de noticias comenzaban a transmitir las primeras imágenes de ciudades incendiadas y cadáveres esparcidos en vívidos colores</w:t>
      </w:r>
      <w:r w:rsidR="001B5586">
        <w:rPr>
          <w:rFonts w:ascii="Times New Roman" w:hAnsi="Times New Roman" w:cs="Times New Roman"/>
          <w:sz w:val="24"/>
          <w:szCs w:val="24"/>
        </w:rPr>
        <w:t>”</w:t>
      </w:r>
      <w:r w:rsidRPr="00516B96">
        <w:rPr>
          <w:rFonts w:ascii="Times New Roman" w:hAnsi="Times New Roman" w:cs="Times New Roman"/>
          <w:sz w:val="24"/>
          <w:szCs w:val="24"/>
        </w:rPr>
        <w:t>.</w:t>
      </w:r>
    </w:p>
    <w:p w:rsidR="00D739FA" w:rsidRPr="00516B96" w:rsidRDefault="00D739FA" w:rsidP="00D739FA">
      <w:pPr>
        <w:spacing w:line="360" w:lineRule="auto"/>
        <w:jc w:val="both"/>
        <w:rPr>
          <w:rFonts w:ascii="Times New Roman" w:hAnsi="Times New Roman" w:cs="Times New Roman"/>
          <w:sz w:val="24"/>
          <w:szCs w:val="24"/>
        </w:rPr>
      </w:pPr>
      <w:proofErr w:type="spellStart"/>
      <w:r w:rsidRPr="00516B96">
        <w:rPr>
          <w:rFonts w:ascii="Times New Roman" w:hAnsi="Times New Roman" w:cs="Times New Roman"/>
          <w:sz w:val="24"/>
          <w:szCs w:val="24"/>
        </w:rPr>
        <w:t>Vukovar</w:t>
      </w:r>
      <w:proofErr w:type="spellEnd"/>
      <w:r w:rsidRPr="00516B96">
        <w:rPr>
          <w:rFonts w:ascii="Times New Roman" w:hAnsi="Times New Roman" w:cs="Times New Roman"/>
          <w:sz w:val="24"/>
          <w:szCs w:val="24"/>
        </w:rPr>
        <w:t xml:space="preserve">, una ciudad al noreste de Croacia fronteriza con Serbia, fue la primera en recibir los estragos del bombardeo generalizado. </w:t>
      </w:r>
      <w:proofErr w:type="spellStart"/>
      <w:r w:rsidRPr="00516B96">
        <w:rPr>
          <w:rFonts w:ascii="Times New Roman" w:hAnsi="Times New Roman" w:cs="Times New Roman"/>
          <w:sz w:val="24"/>
          <w:szCs w:val="24"/>
        </w:rPr>
        <w:t>Vukovar</w:t>
      </w:r>
      <w:proofErr w:type="spellEnd"/>
      <w:r w:rsidRPr="00516B96">
        <w:rPr>
          <w:rFonts w:ascii="Times New Roman" w:hAnsi="Times New Roman" w:cs="Times New Roman"/>
          <w:sz w:val="24"/>
          <w:szCs w:val="24"/>
        </w:rPr>
        <w:t xml:space="preserve"> era defendida por milicias locales pobremente armadas, en tanto que Milosevic la consideraba el primer </w:t>
      </w:r>
      <w:proofErr w:type="gramStart"/>
      <w:r w:rsidRPr="00516B96">
        <w:rPr>
          <w:rFonts w:ascii="Times New Roman" w:hAnsi="Times New Roman" w:cs="Times New Roman"/>
          <w:sz w:val="24"/>
          <w:szCs w:val="24"/>
        </w:rPr>
        <w:t>paso</w:t>
      </w:r>
      <w:proofErr w:type="gramEnd"/>
      <w:r w:rsidRPr="00516B96">
        <w:rPr>
          <w:rFonts w:ascii="Times New Roman" w:hAnsi="Times New Roman" w:cs="Times New Roman"/>
          <w:sz w:val="24"/>
          <w:szCs w:val="24"/>
        </w:rPr>
        <w:t xml:space="preserve"> en la conquista del territorio croata habitado por serbios. Pero la resistencia se prolongó por semanas. Cuando la ciudad finalmente cayó, el 19 de noviembre de 1991, había sido destruida en un 95%, y el costo militar para el JNA fue muy alto. La mayoría de los residentes habían huido; los pocos que se quedaron, en su mayoría ancianos, fueron obligados a otorgar sus pertenencias</w:t>
      </w:r>
      <w:r w:rsidR="00231BFF">
        <w:rPr>
          <w:rFonts w:ascii="Times New Roman" w:hAnsi="Times New Roman" w:cs="Times New Roman"/>
          <w:sz w:val="24"/>
          <w:szCs w:val="24"/>
        </w:rPr>
        <w:t xml:space="preserve"> (Jiménez, 1994</w:t>
      </w:r>
      <w:r w:rsidR="001B5586">
        <w:rPr>
          <w:rFonts w:ascii="Times New Roman" w:hAnsi="Times New Roman" w:cs="Times New Roman"/>
          <w:sz w:val="24"/>
          <w:szCs w:val="24"/>
        </w:rPr>
        <w:t>)</w:t>
      </w:r>
      <w:r w:rsidRPr="00516B96">
        <w:rPr>
          <w:rFonts w:ascii="Times New Roman" w:hAnsi="Times New Roman" w:cs="Times New Roman"/>
          <w:sz w:val="24"/>
          <w:szCs w:val="24"/>
        </w:rPr>
        <w:t>.</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Otras ciudades del norte del país, como </w:t>
      </w:r>
      <w:proofErr w:type="spellStart"/>
      <w:r w:rsidRPr="00516B96">
        <w:rPr>
          <w:rFonts w:ascii="Times New Roman" w:hAnsi="Times New Roman" w:cs="Times New Roman"/>
          <w:sz w:val="24"/>
          <w:szCs w:val="24"/>
        </w:rPr>
        <w:t>Osijek</w:t>
      </w:r>
      <w:proofErr w:type="spellEnd"/>
      <w:r w:rsidRPr="00516B96">
        <w:rPr>
          <w:rFonts w:ascii="Times New Roman" w:hAnsi="Times New Roman" w:cs="Times New Roman"/>
          <w:sz w:val="24"/>
          <w:szCs w:val="24"/>
        </w:rPr>
        <w:t xml:space="preserve"> y la capital Zagreb, fueron </w:t>
      </w:r>
      <w:proofErr w:type="gramStart"/>
      <w:r w:rsidRPr="00516B96">
        <w:rPr>
          <w:rFonts w:ascii="Times New Roman" w:hAnsi="Times New Roman" w:cs="Times New Roman"/>
          <w:sz w:val="24"/>
          <w:szCs w:val="24"/>
        </w:rPr>
        <w:t>blanco</w:t>
      </w:r>
      <w:proofErr w:type="gramEnd"/>
      <w:r w:rsidRPr="00516B96">
        <w:rPr>
          <w:rFonts w:ascii="Times New Roman" w:hAnsi="Times New Roman" w:cs="Times New Roman"/>
          <w:sz w:val="24"/>
          <w:szCs w:val="24"/>
        </w:rPr>
        <w:t xml:space="preserve"> de ataques aislados, en apariencia sin ningún objetivo claro. Mientras tanto, a unos 300 kilómetros al sur se gestaba otro asedio de grandes proporciones. </w:t>
      </w:r>
      <w:r w:rsidR="00D07C6D">
        <w:rPr>
          <w:rFonts w:ascii="Times New Roman" w:hAnsi="Times New Roman" w:cs="Times New Roman"/>
          <w:sz w:val="24"/>
          <w:szCs w:val="24"/>
        </w:rPr>
        <w:t>Para Jiménez Castillo (1994) “l</w:t>
      </w:r>
      <w:r w:rsidRPr="00516B96">
        <w:rPr>
          <w:rFonts w:ascii="Times New Roman" w:hAnsi="Times New Roman" w:cs="Times New Roman"/>
          <w:sz w:val="24"/>
          <w:szCs w:val="24"/>
        </w:rPr>
        <w:t xml:space="preserve">os serbios voltearon los ojos. Entre sus planes militares estaba la conquista de </w:t>
      </w:r>
      <w:proofErr w:type="spellStart"/>
      <w:r w:rsidRPr="00516B96">
        <w:rPr>
          <w:rFonts w:ascii="Times New Roman" w:hAnsi="Times New Roman" w:cs="Times New Roman"/>
          <w:sz w:val="24"/>
          <w:szCs w:val="24"/>
        </w:rPr>
        <w:t>Dubrovnik</w:t>
      </w:r>
      <w:proofErr w:type="spellEnd"/>
      <w:r w:rsidRPr="00516B96">
        <w:rPr>
          <w:rFonts w:ascii="Times New Roman" w:hAnsi="Times New Roman" w:cs="Times New Roman"/>
          <w:sz w:val="24"/>
          <w:szCs w:val="24"/>
        </w:rPr>
        <w:t xml:space="preserve">, un verdadero museo medieval en la costa de Dalmacia, frente al litoral italiano. Ciudad fundada en el siglo VII y declarada en 1979 patrimonio de la humanidad, y por lo tanto, una zona desmilitarizada”. </w:t>
      </w:r>
      <w:proofErr w:type="spellStart"/>
      <w:r w:rsidRPr="00516B96">
        <w:rPr>
          <w:rFonts w:ascii="Times New Roman" w:hAnsi="Times New Roman" w:cs="Times New Roman"/>
          <w:sz w:val="24"/>
          <w:szCs w:val="24"/>
        </w:rPr>
        <w:t>Dubrovnik</w:t>
      </w:r>
      <w:proofErr w:type="spellEnd"/>
      <w:r w:rsidRPr="00516B96">
        <w:rPr>
          <w:rFonts w:ascii="Times New Roman" w:hAnsi="Times New Roman" w:cs="Times New Roman"/>
          <w:sz w:val="24"/>
          <w:szCs w:val="24"/>
        </w:rPr>
        <w:t xml:space="preserve"> poseía una mención especial por la UNESCO y por lo tanto debió haber sido respetada, pero en los continuos ataques serbios, que comenzaron en agosto de 1991, diariamente caían cerca de 1600 proyectiles con efecto destructivo.</w:t>
      </w:r>
    </w:p>
    <w:p w:rsidR="00557E59"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El 30 de septiembre, el Ejército yugoslavo destruyó la pequeña aldea de </w:t>
      </w:r>
      <w:proofErr w:type="spellStart"/>
      <w:r w:rsidRPr="00516B96">
        <w:rPr>
          <w:rFonts w:ascii="Times New Roman" w:hAnsi="Times New Roman" w:cs="Times New Roman"/>
          <w:sz w:val="24"/>
          <w:szCs w:val="24"/>
        </w:rPr>
        <w:t>Ravno</w:t>
      </w:r>
      <w:proofErr w:type="spellEnd"/>
      <w:r w:rsidRPr="00516B96">
        <w:rPr>
          <w:rFonts w:ascii="Times New Roman" w:hAnsi="Times New Roman" w:cs="Times New Roman"/>
          <w:sz w:val="24"/>
          <w:szCs w:val="24"/>
        </w:rPr>
        <w:t xml:space="preserve">, localizada en Bosnia-Herzegovina y habitada por croatas. Las tropas del JNA estaban </w:t>
      </w:r>
      <w:r w:rsidRPr="00516B96">
        <w:rPr>
          <w:rFonts w:ascii="Times New Roman" w:hAnsi="Times New Roman" w:cs="Times New Roman"/>
          <w:sz w:val="24"/>
          <w:szCs w:val="24"/>
        </w:rPr>
        <w:lastRenderedPageBreak/>
        <w:t xml:space="preserve">haciendo la guerra en Croacia y durante el curso de su asedio a </w:t>
      </w:r>
      <w:proofErr w:type="spellStart"/>
      <w:r w:rsidRPr="00516B96">
        <w:rPr>
          <w:rFonts w:ascii="Times New Roman" w:hAnsi="Times New Roman" w:cs="Times New Roman"/>
          <w:sz w:val="24"/>
          <w:szCs w:val="24"/>
        </w:rPr>
        <w:t>Dubrovnik</w:t>
      </w:r>
      <w:proofErr w:type="spellEnd"/>
      <w:r w:rsidRPr="00516B96">
        <w:rPr>
          <w:rFonts w:ascii="Times New Roman" w:hAnsi="Times New Roman" w:cs="Times New Roman"/>
          <w:sz w:val="24"/>
          <w:szCs w:val="24"/>
        </w:rPr>
        <w:t xml:space="preserve"> -que está en territorio croata pero en la frontera con Herzegovina- pasaron literalmente por encima de </w:t>
      </w:r>
      <w:proofErr w:type="spellStart"/>
      <w:r w:rsidRPr="00516B96">
        <w:rPr>
          <w:rFonts w:ascii="Times New Roman" w:hAnsi="Times New Roman" w:cs="Times New Roman"/>
          <w:sz w:val="24"/>
          <w:szCs w:val="24"/>
        </w:rPr>
        <w:t>Ravno</w:t>
      </w:r>
      <w:proofErr w:type="spellEnd"/>
      <w:r w:rsidRPr="00516B96">
        <w:rPr>
          <w:rFonts w:ascii="Times New Roman" w:hAnsi="Times New Roman" w:cs="Times New Roman"/>
          <w:sz w:val="24"/>
          <w:szCs w:val="24"/>
        </w:rPr>
        <w:t xml:space="preserve"> como aviso para los </w:t>
      </w:r>
      <w:proofErr w:type="spellStart"/>
      <w:r w:rsidRPr="00516B96">
        <w:rPr>
          <w:rFonts w:ascii="Times New Roman" w:hAnsi="Times New Roman" w:cs="Times New Roman"/>
          <w:sz w:val="24"/>
          <w:szCs w:val="24"/>
        </w:rPr>
        <w:t>bosniocroatas</w:t>
      </w:r>
      <w:proofErr w:type="spellEnd"/>
      <w:r w:rsidR="00D07C6D">
        <w:rPr>
          <w:rFonts w:ascii="Times New Roman" w:hAnsi="Times New Roman" w:cs="Times New Roman"/>
          <w:sz w:val="24"/>
          <w:szCs w:val="24"/>
        </w:rPr>
        <w:t xml:space="preserve"> (Jiménez, 1994)</w:t>
      </w:r>
      <w:r w:rsidRPr="00516B96">
        <w:rPr>
          <w:rFonts w:ascii="Times New Roman" w:hAnsi="Times New Roman" w:cs="Times New Roman"/>
          <w:sz w:val="24"/>
          <w:szCs w:val="24"/>
        </w:rPr>
        <w:t xml:space="preserve">. En </w:t>
      </w:r>
      <w:proofErr w:type="spellStart"/>
      <w:r w:rsidRPr="00516B96">
        <w:rPr>
          <w:rFonts w:ascii="Times New Roman" w:hAnsi="Times New Roman" w:cs="Times New Roman"/>
          <w:sz w:val="24"/>
          <w:szCs w:val="24"/>
        </w:rPr>
        <w:t>Dubrovnik</w:t>
      </w:r>
      <w:proofErr w:type="spellEnd"/>
      <w:r w:rsidRPr="00516B96">
        <w:rPr>
          <w:rFonts w:ascii="Times New Roman" w:hAnsi="Times New Roman" w:cs="Times New Roman"/>
          <w:sz w:val="24"/>
          <w:szCs w:val="24"/>
        </w:rPr>
        <w:t xml:space="preserve">, la zona amurallada del casco antiguo fue víctima de constantes bombardeos serbios, donde a diario caían setecientos proyectiles. En la Navidad de 1991 se registró uno de los últimos ataques, que terminó cuando una fragata de guerra inglesa se colocó frente a la costa del Adriático. El intento de tomar </w:t>
      </w:r>
      <w:proofErr w:type="spellStart"/>
      <w:r w:rsidRPr="00516B96">
        <w:rPr>
          <w:rFonts w:ascii="Times New Roman" w:hAnsi="Times New Roman" w:cs="Times New Roman"/>
          <w:sz w:val="24"/>
          <w:szCs w:val="24"/>
        </w:rPr>
        <w:t>Dubrovnik</w:t>
      </w:r>
      <w:proofErr w:type="spellEnd"/>
      <w:r w:rsidRPr="00516B96">
        <w:rPr>
          <w:rFonts w:ascii="Times New Roman" w:hAnsi="Times New Roman" w:cs="Times New Roman"/>
          <w:sz w:val="24"/>
          <w:szCs w:val="24"/>
        </w:rPr>
        <w:t xml:space="preserve"> fracasó y la pinza serbia se rompió.</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I</w:t>
      </w:r>
      <w:r w:rsidR="00145AE9">
        <w:rPr>
          <w:rFonts w:ascii="Times New Roman" w:hAnsi="Times New Roman" w:cs="Times New Roman"/>
          <w:sz w:val="24"/>
          <w:szCs w:val="24"/>
        </w:rPr>
        <w:t>I</w:t>
      </w:r>
      <w:r w:rsidRPr="00516B96">
        <w:rPr>
          <w:rFonts w:ascii="Times New Roman" w:hAnsi="Times New Roman" w:cs="Times New Roman"/>
          <w:sz w:val="24"/>
          <w:szCs w:val="24"/>
        </w:rPr>
        <w:t xml:space="preserve">I. </w:t>
      </w:r>
      <w:r w:rsidR="00557E59" w:rsidRPr="00516B96">
        <w:rPr>
          <w:rFonts w:ascii="Times New Roman" w:hAnsi="Times New Roman" w:cs="Times New Roman"/>
          <w:sz w:val="24"/>
          <w:szCs w:val="24"/>
        </w:rPr>
        <w:t>III</w:t>
      </w:r>
      <w:r w:rsidRPr="00516B96">
        <w:rPr>
          <w:rFonts w:ascii="Times New Roman" w:hAnsi="Times New Roman" w:cs="Times New Roman"/>
          <w:sz w:val="24"/>
          <w:szCs w:val="24"/>
        </w:rPr>
        <w:t xml:space="preserve">. </w:t>
      </w:r>
      <w:r w:rsidR="00145AE9">
        <w:rPr>
          <w:rFonts w:ascii="Times New Roman" w:hAnsi="Times New Roman" w:cs="Times New Roman"/>
          <w:sz w:val="24"/>
          <w:szCs w:val="24"/>
        </w:rPr>
        <w:t xml:space="preserve"> </w:t>
      </w:r>
      <w:r w:rsidRPr="00516B96">
        <w:rPr>
          <w:rFonts w:ascii="Times New Roman" w:hAnsi="Times New Roman" w:cs="Times New Roman"/>
          <w:sz w:val="24"/>
          <w:szCs w:val="24"/>
          <w:u w:val="single"/>
        </w:rPr>
        <w:t>La Tragedia Bosnia-Herzegovina</w:t>
      </w:r>
      <w:r w:rsidRPr="00516B96">
        <w:rPr>
          <w:rFonts w:ascii="Times New Roman" w:hAnsi="Times New Roman" w:cs="Times New Roman"/>
          <w:sz w:val="24"/>
          <w:szCs w:val="24"/>
        </w:rPr>
        <w:t>:</w:t>
      </w:r>
    </w:p>
    <w:p w:rsidR="00D739FA" w:rsidRPr="00516B96" w:rsidRDefault="00D07C6D" w:rsidP="00D739F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Mery </w:t>
      </w:r>
      <w:proofErr w:type="spellStart"/>
      <w:r>
        <w:rPr>
          <w:rFonts w:ascii="Times New Roman" w:hAnsi="Times New Roman" w:cs="Times New Roman"/>
          <w:sz w:val="24"/>
          <w:szCs w:val="24"/>
        </w:rPr>
        <w:t>Kaldor</w:t>
      </w:r>
      <w:proofErr w:type="spellEnd"/>
      <w:r>
        <w:rPr>
          <w:rFonts w:ascii="Times New Roman" w:hAnsi="Times New Roman" w:cs="Times New Roman"/>
          <w:sz w:val="24"/>
          <w:szCs w:val="24"/>
        </w:rPr>
        <w:t xml:space="preserve"> (2001) señala que e</w:t>
      </w:r>
      <w:r w:rsidR="00D739FA" w:rsidRPr="00516B96">
        <w:rPr>
          <w:rFonts w:ascii="Times New Roman" w:hAnsi="Times New Roman" w:cs="Times New Roman"/>
          <w:sz w:val="24"/>
          <w:szCs w:val="24"/>
        </w:rPr>
        <w:t xml:space="preserve">l proceso de desintegración y el ascenso de un nacionalismo virulento </w:t>
      </w:r>
      <w:proofErr w:type="gramStart"/>
      <w:r w:rsidR="00D739FA" w:rsidRPr="00516B96">
        <w:rPr>
          <w:rFonts w:ascii="Times New Roman" w:hAnsi="Times New Roman" w:cs="Times New Roman"/>
          <w:sz w:val="24"/>
          <w:szCs w:val="24"/>
        </w:rPr>
        <w:t>tuvo</w:t>
      </w:r>
      <w:proofErr w:type="gramEnd"/>
      <w:r w:rsidR="00D739FA" w:rsidRPr="00516B96">
        <w:rPr>
          <w:rFonts w:ascii="Times New Roman" w:hAnsi="Times New Roman" w:cs="Times New Roman"/>
          <w:sz w:val="24"/>
          <w:szCs w:val="24"/>
        </w:rPr>
        <w:t xml:space="preserve"> su mejor ejemplo en Bosnia-Herzegovina. En esta república vivían casi tantos bosnios como serbios y croatas, al tiempo que el presidente yugoslavo, Slobodan Milosevic, planeaba continuar su proyecto de la Gran Serbia. Para 1992 la guerra se vislumbraba en el horizonte. Como preludio se señala el caso de </w:t>
      </w:r>
      <w:proofErr w:type="spellStart"/>
      <w:r w:rsidR="00D739FA" w:rsidRPr="00516B96">
        <w:rPr>
          <w:rFonts w:ascii="Times New Roman" w:hAnsi="Times New Roman" w:cs="Times New Roman"/>
          <w:sz w:val="24"/>
          <w:szCs w:val="24"/>
        </w:rPr>
        <w:t>Nikola</w:t>
      </w:r>
      <w:proofErr w:type="spellEnd"/>
      <w:r w:rsidR="00D739FA" w:rsidRPr="00516B96">
        <w:rPr>
          <w:rFonts w:ascii="Times New Roman" w:hAnsi="Times New Roman" w:cs="Times New Roman"/>
          <w:sz w:val="24"/>
          <w:szCs w:val="24"/>
        </w:rPr>
        <w:t xml:space="preserve"> </w:t>
      </w:r>
      <w:proofErr w:type="spellStart"/>
      <w:r w:rsidR="00D739FA" w:rsidRPr="00516B96">
        <w:rPr>
          <w:rFonts w:ascii="Times New Roman" w:hAnsi="Times New Roman" w:cs="Times New Roman"/>
          <w:sz w:val="24"/>
          <w:szCs w:val="24"/>
        </w:rPr>
        <w:t>Gardovic</w:t>
      </w:r>
      <w:proofErr w:type="spellEnd"/>
      <w:r w:rsidR="00D739FA" w:rsidRPr="00516B96">
        <w:rPr>
          <w:rFonts w:ascii="Times New Roman" w:hAnsi="Times New Roman" w:cs="Times New Roman"/>
          <w:sz w:val="24"/>
          <w:szCs w:val="24"/>
        </w:rPr>
        <w:t>, el novio en una boda serbia de Sarajevo que fue asesinado durante la ceremonia por un demente, cuando aquel hacía ondear la bandera del partido ultranacionalista serbio y pronunciaba frases de contenido político.</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Las hostilidades sobre el terreno comenzaron el 5 de abril de 1992. Ese día se organizó en Sarajevo una marcha a favor de la paz. Durante la manifestación, militares serbios que actuaban como ‘agentes del orden’ abrieron fuego contra la multitud y dieron muerte a </w:t>
      </w:r>
      <w:proofErr w:type="spellStart"/>
      <w:r w:rsidRPr="00516B96">
        <w:rPr>
          <w:rFonts w:ascii="Times New Roman" w:hAnsi="Times New Roman" w:cs="Times New Roman"/>
          <w:sz w:val="24"/>
          <w:szCs w:val="24"/>
        </w:rPr>
        <w:t>Suada</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Dilberovic</w:t>
      </w:r>
      <w:proofErr w:type="spellEnd"/>
      <w:r w:rsidRPr="00516B96">
        <w:rPr>
          <w:rFonts w:ascii="Times New Roman" w:hAnsi="Times New Roman" w:cs="Times New Roman"/>
          <w:sz w:val="24"/>
          <w:szCs w:val="24"/>
        </w:rPr>
        <w:t>, una joven estudiante de medicina que terminaría su carrera al mes siguiente. La Unión Europea no tardó en reconocer la independencia de Bosnia-Herzegovina y los serbios abandonaron la asamblea parlamentaria. Los bosnios y los croatas de Bosnia estaban a favor de la independencia de su país; los serbios, no.</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Por parte de los líderes de la antigua Yugoslavia de Tito, Bosnia-Herzegovina, gracias a su relieve montañoso, fue elegida para fabricar y almacenar material bélico y albergar el grueso del Ejército federal yugoslavo [el JNA]. Se suponía que en caso de una amenaza exterior a la antigua Yugoslavia, ésta se iba a defender desde territorio bosnio. Así Bosnia-Herzegovina tenía prácticamente en cada pueblo una base militar y una fábrica de material bélico</w:t>
      </w:r>
      <w:r w:rsidR="00D07C6D">
        <w:rPr>
          <w:rFonts w:ascii="Times New Roman" w:hAnsi="Times New Roman" w:cs="Times New Roman"/>
          <w:sz w:val="24"/>
          <w:szCs w:val="24"/>
        </w:rPr>
        <w:t xml:space="preserve"> (</w:t>
      </w:r>
      <w:proofErr w:type="spellStart"/>
      <w:r w:rsidR="00D07C6D">
        <w:rPr>
          <w:rFonts w:ascii="Times New Roman" w:hAnsi="Times New Roman" w:cs="Times New Roman"/>
          <w:sz w:val="24"/>
          <w:szCs w:val="24"/>
        </w:rPr>
        <w:t>Kaldor</w:t>
      </w:r>
      <w:proofErr w:type="spellEnd"/>
      <w:r w:rsidR="00D07C6D">
        <w:rPr>
          <w:rFonts w:ascii="Times New Roman" w:hAnsi="Times New Roman" w:cs="Times New Roman"/>
          <w:sz w:val="24"/>
          <w:szCs w:val="24"/>
        </w:rPr>
        <w:t>, 2001)</w:t>
      </w:r>
      <w:r w:rsidRPr="00516B96">
        <w:rPr>
          <w:rFonts w:ascii="Times New Roman" w:hAnsi="Times New Roman" w:cs="Times New Roman"/>
          <w:sz w:val="24"/>
          <w:szCs w:val="24"/>
        </w:rPr>
        <w:t xml:space="preserve">. Tras la guerra en Croacia, los serbios en el JNA se instalaron a lo largo y ancho del territorio de Bosnia. El gobierno local, encabezado por musulmanes, ordenó el retiro inmediato de las tropas serbias tras la proclamación de independencia. Pero su petición cayó en oídos sordos. En muchos casos las unidades del </w:t>
      </w:r>
      <w:r w:rsidRPr="00516B96">
        <w:rPr>
          <w:rFonts w:ascii="Times New Roman" w:hAnsi="Times New Roman" w:cs="Times New Roman"/>
          <w:sz w:val="24"/>
          <w:szCs w:val="24"/>
        </w:rPr>
        <w:lastRenderedPageBreak/>
        <w:t>JNA solamente abandonaron las ciudades para desplazarse hasta la fortificación más cercana, dejando a las ciudades bosnias sitiadas desde el primer minuto de la guerra</w:t>
      </w:r>
      <w:r w:rsidR="00D07C6D">
        <w:rPr>
          <w:rFonts w:ascii="Times New Roman" w:hAnsi="Times New Roman" w:cs="Times New Roman"/>
          <w:sz w:val="24"/>
          <w:szCs w:val="24"/>
        </w:rPr>
        <w:t xml:space="preserve"> (</w:t>
      </w:r>
      <w:proofErr w:type="spellStart"/>
      <w:r w:rsidR="00D07C6D">
        <w:rPr>
          <w:rFonts w:ascii="Times New Roman" w:hAnsi="Times New Roman" w:cs="Times New Roman"/>
          <w:sz w:val="24"/>
          <w:szCs w:val="24"/>
        </w:rPr>
        <w:t>Denitch</w:t>
      </w:r>
      <w:proofErr w:type="spellEnd"/>
      <w:r w:rsidR="00D07C6D">
        <w:rPr>
          <w:rFonts w:ascii="Times New Roman" w:hAnsi="Times New Roman" w:cs="Times New Roman"/>
          <w:sz w:val="24"/>
          <w:szCs w:val="24"/>
        </w:rPr>
        <w:t>, 1995)</w:t>
      </w:r>
      <w:r w:rsidRPr="00516B96">
        <w:rPr>
          <w:rFonts w:ascii="Times New Roman" w:hAnsi="Times New Roman" w:cs="Times New Roman"/>
          <w:sz w:val="24"/>
          <w:szCs w:val="24"/>
        </w:rPr>
        <w:t>.</w:t>
      </w:r>
    </w:p>
    <w:p w:rsidR="00D07C6D"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Slobodan Milosevic estaba dispuesto a utilizar su fuerza militar para apoderarse de las regiones serbias de Bosnia. Algo parecido deseaban hacer los croatas en Herzegovina. Dado que los políticos de la ex Yugoslavia insistían en que no podían vivir juntos, la idea entonces era proceder a la partición del país de acuerdo a las divisiones étnicas. </w:t>
      </w:r>
    </w:p>
    <w:p w:rsidR="00D739FA" w:rsidRPr="00516B96" w:rsidRDefault="00D07C6D" w:rsidP="00D739FA">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Denitch</w:t>
      </w:r>
      <w:proofErr w:type="spellEnd"/>
      <w:r>
        <w:rPr>
          <w:rFonts w:ascii="Times New Roman" w:hAnsi="Times New Roman" w:cs="Times New Roman"/>
          <w:sz w:val="24"/>
          <w:szCs w:val="24"/>
        </w:rPr>
        <w:t xml:space="preserve"> (1995) anota que </w:t>
      </w:r>
      <w:r w:rsidR="00D739FA" w:rsidRPr="00516B96">
        <w:rPr>
          <w:rFonts w:ascii="Times New Roman" w:hAnsi="Times New Roman" w:cs="Times New Roman"/>
          <w:sz w:val="24"/>
          <w:szCs w:val="24"/>
        </w:rPr>
        <w:t>“Tanto los nacionalistas serbios como croatas querían, con distintos grados de franqueza, una distribución del territorio y la unificación de las partes respectivas con las ‘naciones madre’ de Serbia y Croacia. Ello solo se podía realizar a costa del grupo étnico más numeroso: los musulmanes bosnios”. Éstos últimos estaban en contra de la fragmentación dado que tenían más que perder.</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En Bosnia no existían territorios étnicamente puros, de modo que para Milosevic la solución consistía en emprender una despiadada ‘limpieza étnica’ en contra de la población musulmana local, y de ser posible, la croata. El Ejército yugoslavo tendría misiones específicas para llegar a dominar poblaciones mediante control marcial; primero que nada, el JNA solía bombardear los pueblos y cortarles los suministros.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El trabajo sucio contra los civiles estaría a cargo del JNA, pero sobre todo de facciones paramilitares serbobosnias, como los ‘Tigres de </w:t>
      </w:r>
      <w:proofErr w:type="spellStart"/>
      <w:r w:rsidRPr="00516B96">
        <w:rPr>
          <w:rFonts w:ascii="Times New Roman" w:hAnsi="Times New Roman" w:cs="Times New Roman"/>
          <w:sz w:val="24"/>
          <w:szCs w:val="24"/>
        </w:rPr>
        <w:t>Arkan</w:t>
      </w:r>
      <w:proofErr w:type="spellEnd"/>
      <w:r w:rsidRPr="00516B96">
        <w:rPr>
          <w:rFonts w:ascii="Times New Roman" w:hAnsi="Times New Roman" w:cs="Times New Roman"/>
          <w:sz w:val="24"/>
          <w:szCs w:val="24"/>
        </w:rPr>
        <w:t xml:space="preserve">’. Este grupo estaba bien dotado de armamento, contaba con rifles AK-47, morteros y tanques proporcionados por el JNA. Se les identificaba por sus uniformes oscuros, gorros de lana color negro y botas militares; en ocasiones llevaban puestos guantes negros con los dedos recortados. Sobre </w:t>
      </w:r>
      <w:proofErr w:type="spellStart"/>
      <w:r w:rsidRPr="00516B96">
        <w:rPr>
          <w:rFonts w:ascii="Times New Roman" w:hAnsi="Times New Roman" w:cs="Times New Roman"/>
          <w:sz w:val="24"/>
          <w:szCs w:val="24"/>
        </w:rPr>
        <w:t>Arkan</w:t>
      </w:r>
      <w:proofErr w:type="spellEnd"/>
      <w:r w:rsidRPr="00516B96">
        <w:rPr>
          <w:rFonts w:ascii="Times New Roman" w:hAnsi="Times New Roman" w:cs="Times New Roman"/>
          <w:sz w:val="24"/>
          <w:szCs w:val="24"/>
        </w:rPr>
        <w:t xml:space="preserve">, se trataba de un personaje conocido en los bajos fondos de Belgrado. Era dueño de una cadena de heladerías, una ‘tapadera’ según dicen, para sus actividades ilícitas de contrabando. También era el dirigente del club de hinchas del Estrella Roja de Belgrado, y fue entre esos hooligans de </w:t>
      </w:r>
      <w:proofErr w:type="spellStart"/>
      <w:r w:rsidRPr="00516B96">
        <w:rPr>
          <w:rFonts w:ascii="Times New Roman" w:hAnsi="Times New Roman" w:cs="Times New Roman"/>
          <w:sz w:val="24"/>
          <w:szCs w:val="24"/>
        </w:rPr>
        <w:t>donde</w:t>
      </w:r>
      <w:proofErr w:type="spellEnd"/>
      <w:r w:rsidRPr="00516B96">
        <w:rPr>
          <w:rFonts w:ascii="Times New Roman" w:hAnsi="Times New Roman" w:cs="Times New Roman"/>
          <w:sz w:val="24"/>
          <w:szCs w:val="24"/>
        </w:rPr>
        <w:t xml:space="preserve"> sacó a sus Tigres</w:t>
      </w:r>
      <w:r w:rsidR="00D07C6D">
        <w:rPr>
          <w:rFonts w:ascii="Times New Roman" w:hAnsi="Times New Roman" w:cs="Times New Roman"/>
          <w:sz w:val="24"/>
          <w:szCs w:val="24"/>
        </w:rPr>
        <w:t xml:space="preserve"> (</w:t>
      </w:r>
      <w:proofErr w:type="spellStart"/>
      <w:r w:rsidR="00D07C6D">
        <w:rPr>
          <w:rFonts w:ascii="Times New Roman" w:hAnsi="Times New Roman" w:cs="Times New Roman"/>
          <w:sz w:val="24"/>
          <w:szCs w:val="24"/>
        </w:rPr>
        <w:t>Kaldor</w:t>
      </w:r>
      <w:proofErr w:type="spellEnd"/>
      <w:r w:rsidR="00D07C6D">
        <w:rPr>
          <w:rFonts w:ascii="Times New Roman" w:hAnsi="Times New Roman" w:cs="Times New Roman"/>
          <w:sz w:val="24"/>
          <w:szCs w:val="24"/>
        </w:rPr>
        <w:t>, 2001)</w:t>
      </w:r>
      <w:r w:rsidRPr="00516B96">
        <w:rPr>
          <w:rFonts w:ascii="Times New Roman" w:hAnsi="Times New Roman" w:cs="Times New Roman"/>
          <w:sz w:val="24"/>
          <w:szCs w:val="24"/>
        </w:rPr>
        <w:t>.</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Otros grupos serbios eran los ‘Halcones’, ‘las Águilas Blancas’, etcétera. </w:t>
      </w:r>
      <w:proofErr w:type="spellStart"/>
      <w:r w:rsidR="00D07C6D">
        <w:rPr>
          <w:rFonts w:ascii="Times New Roman" w:hAnsi="Times New Roman" w:cs="Times New Roman"/>
          <w:sz w:val="24"/>
          <w:szCs w:val="24"/>
        </w:rPr>
        <w:t>Kaldor</w:t>
      </w:r>
      <w:proofErr w:type="spellEnd"/>
      <w:r w:rsidR="00D07C6D">
        <w:rPr>
          <w:rFonts w:ascii="Times New Roman" w:hAnsi="Times New Roman" w:cs="Times New Roman"/>
          <w:sz w:val="24"/>
          <w:szCs w:val="24"/>
        </w:rPr>
        <w:t xml:space="preserve"> (2001) anota que </w:t>
      </w:r>
      <w:r w:rsidRPr="00516B96">
        <w:rPr>
          <w:rFonts w:ascii="Times New Roman" w:hAnsi="Times New Roman" w:cs="Times New Roman"/>
          <w:sz w:val="24"/>
          <w:szCs w:val="24"/>
        </w:rPr>
        <w:t>“Estos nuevos ‘</w:t>
      </w:r>
      <w:proofErr w:type="spellStart"/>
      <w:r w:rsidRPr="00516B96">
        <w:rPr>
          <w:rFonts w:ascii="Times New Roman" w:hAnsi="Times New Roman" w:cs="Times New Roman"/>
          <w:sz w:val="24"/>
          <w:szCs w:val="24"/>
        </w:rPr>
        <w:t>chetniks</w:t>
      </w:r>
      <w:proofErr w:type="spellEnd"/>
      <w:r w:rsidRPr="00516B96">
        <w:rPr>
          <w:rFonts w:ascii="Times New Roman" w:hAnsi="Times New Roman" w:cs="Times New Roman"/>
          <w:sz w:val="24"/>
          <w:szCs w:val="24"/>
        </w:rPr>
        <w:t xml:space="preserve">’, como orgullosamente hacían llamarse, seguían el ejemplo de sus antepasados -sobre todo los de </w:t>
      </w:r>
      <w:proofErr w:type="spellStart"/>
      <w:r w:rsidRPr="00516B96">
        <w:rPr>
          <w:rFonts w:ascii="Times New Roman" w:hAnsi="Times New Roman" w:cs="Times New Roman"/>
          <w:sz w:val="24"/>
          <w:szCs w:val="24"/>
        </w:rPr>
        <w:t>Mihajlovic</w:t>
      </w:r>
      <w:proofErr w:type="spellEnd"/>
      <w:r w:rsidRPr="00516B96">
        <w:rPr>
          <w:rFonts w:ascii="Times New Roman" w:hAnsi="Times New Roman" w:cs="Times New Roman"/>
          <w:sz w:val="24"/>
          <w:szCs w:val="24"/>
        </w:rPr>
        <w:t xml:space="preserve"> en la Segunda Guerra Mundial- con sus uniformes, el odio ciego hacia la población bosnia a la que llamaban ‘turcos’, la limpieza étnica, el objetivo de la Gran Serbia, las largas barbas y la falta de </w:t>
      </w:r>
      <w:r w:rsidRPr="00516B96">
        <w:rPr>
          <w:rFonts w:ascii="Times New Roman" w:hAnsi="Times New Roman" w:cs="Times New Roman"/>
          <w:sz w:val="24"/>
          <w:szCs w:val="24"/>
        </w:rPr>
        <w:lastRenderedPageBreak/>
        <w:t>higiene corporal característica de estas tropas paramilitares, que hicieron un renacimiento de este movimiento ultranacionalista serbio”.</w:t>
      </w:r>
      <w:r w:rsidR="006369B0">
        <w:rPr>
          <w:rFonts w:ascii="Times New Roman" w:hAnsi="Times New Roman" w:cs="Times New Roman"/>
          <w:sz w:val="24"/>
          <w:szCs w:val="24"/>
        </w:rPr>
        <w:t xml:space="preserve"> </w:t>
      </w:r>
      <w:proofErr w:type="spellStart"/>
      <w:r w:rsidR="006369B0">
        <w:rPr>
          <w:rFonts w:ascii="Times New Roman" w:hAnsi="Times New Roman" w:cs="Times New Roman"/>
          <w:sz w:val="24"/>
          <w:szCs w:val="24"/>
        </w:rPr>
        <w:t>Denitch</w:t>
      </w:r>
      <w:proofErr w:type="spellEnd"/>
      <w:r w:rsidR="006369B0">
        <w:rPr>
          <w:rFonts w:ascii="Times New Roman" w:hAnsi="Times New Roman" w:cs="Times New Roman"/>
          <w:sz w:val="24"/>
          <w:szCs w:val="24"/>
        </w:rPr>
        <w:t xml:space="preserve"> (1995) añade que “d</w:t>
      </w:r>
      <w:r w:rsidRPr="00516B96">
        <w:rPr>
          <w:rFonts w:ascii="Times New Roman" w:hAnsi="Times New Roman" w:cs="Times New Roman"/>
          <w:sz w:val="24"/>
          <w:szCs w:val="24"/>
        </w:rPr>
        <w:t>e ellos se decía que estaban siempre borrachos y que reclutaban a otros ‘peleadores de fin de semana’, a los que se añadían criminales convictos puestos en libertad para engrosar sus filas</w:t>
      </w:r>
      <w:r w:rsidR="006369B0">
        <w:rPr>
          <w:rFonts w:ascii="Times New Roman" w:hAnsi="Times New Roman" w:cs="Times New Roman"/>
          <w:sz w:val="24"/>
          <w:szCs w:val="24"/>
        </w:rPr>
        <w:t>”</w:t>
      </w:r>
      <w:r w:rsidRPr="00516B96">
        <w:rPr>
          <w:rFonts w:ascii="Times New Roman" w:hAnsi="Times New Roman" w:cs="Times New Roman"/>
          <w:sz w:val="24"/>
          <w:szCs w:val="24"/>
        </w:rPr>
        <w:t>.</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El Ejército yugoslavo operó en conjunto con estos grupos en Bosnia-Herzegovina. Es probable que el principal móvil de esos personajes haya sido el interés remunerativo, aunque no hay duda de que entre ellos había nacionalistas fanáticos. Y es que la economía mafiosa encontró terreno fértil en el caos de la guerra. El saqueo y el robo eran una forma de pago para los milicianos de cada bando. Entre los mercenarios que participaron en la guerra se cuentan los fundamentalistas islámicos y ex combatientes de la guerra afgana que llegaron para batirse en la ‘Yihad’, claro está, del lado bosnio. Otros grupos eran la Unidad Garibaldi, compuesta por italianos que peleaban al lado de los croatas; rusos desempleados que se sumaron al bando serbio y, lo que resulta bastante llamativo, jóvenes neonazis que se enlistaron en las filas croatas, llegados principalmente de Francia y Alemania.</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En las primeras etapas de la guerra, croatas y musulmanes colaboraron juntos en contra del enemigo serbio. Sin embargo, el acuerdo se rompió tras publicarse el plan de la ONU conocido como </w:t>
      </w:r>
      <w:proofErr w:type="spellStart"/>
      <w:r w:rsidRPr="00516B96">
        <w:rPr>
          <w:rFonts w:ascii="Times New Roman" w:hAnsi="Times New Roman" w:cs="Times New Roman"/>
          <w:sz w:val="24"/>
          <w:szCs w:val="24"/>
        </w:rPr>
        <w:t>Vance</w:t>
      </w:r>
      <w:proofErr w:type="spellEnd"/>
      <w:r w:rsidRPr="00516B96">
        <w:rPr>
          <w:rFonts w:ascii="Times New Roman" w:hAnsi="Times New Roman" w:cs="Times New Roman"/>
          <w:sz w:val="24"/>
          <w:szCs w:val="24"/>
        </w:rPr>
        <w:t xml:space="preserve">-Owen, que proponía dividir el país en tres enclaves étnicos, uno para cada grupo. A partir de entonces, bosnios y </w:t>
      </w:r>
      <w:proofErr w:type="spellStart"/>
      <w:r w:rsidRPr="00516B96">
        <w:rPr>
          <w:rFonts w:ascii="Times New Roman" w:hAnsi="Times New Roman" w:cs="Times New Roman"/>
          <w:sz w:val="24"/>
          <w:szCs w:val="24"/>
        </w:rPr>
        <w:t>bosniocroatas</w:t>
      </w:r>
      <w:proofErr w:type="spellEnd"/>
      <w:r w:rsidRPr="00516B96">
        <w:rPr>
          <w:rFonts w:ascii="Times New Roman" w:hAnsi="Times New Roman" w:cs="Times New Roman"/>
          <w:sz w:val="24"/>
          <w:szCs w:val="24"/>
        </w:rPr>
        <w:t xml:space="preserve"> comenzaron a pelear entre sí por los territorios bajo su control, lo que provocó un mayor derramamiento de sangre y la agudización de la limpieza étnica. Se llegó a ironizar que las siglas del grupo paramilitar croata, HVO, significaban </w:t>
      </w:r>
      <w:proofErr w:type="spellStart"/>
      <w:r w:rsidRPr="00516B96">
        <w:rPr>
          <w:rFonts w:ascii="Times New Roman" w:hAnsi="Times New Roman" w:cs="Times New Roman"/>
          <w:sz w:val="24"/>
          <w:szCs w:val="24"/>
        </w:rPr>
        <w:t>Hvala</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Vance~Owen</w:t>
      </w:r>
      <w:proofErr w:type="spellEnd"/>
      <w:r w:rsidRPr="00516B96">
        <w:rPr>
          <w:rFonts w:ascii="Times New Roman" w:hAnsi="Times New Roman" w:cs="Times New Roman"/>
          <w:sz w:val="24"/>
          <w:szCs w:val="24"/>
        </w:rPr>
        <w:t xml:space="preserve"> (‘Gracias, </w:t>
      </w:r>
      <w:proofErr w:type="spellStart"/>
      <w:r w:rsidRPr="00516B96">
        <w:rPr>
          <w:rFonts w:ascii="Times New Roman" w:hAnsi="Times New Roman" w:cs="Times New Roman"/>
          <w:sz w:val="24"/>
          <w:szCs w:val="24"/>
        </w:rPr>
        <w:t>Vance</w:t>
      </w:r>
      <w:proofErr w:type="spellEnd"/>
      <w:r w:rsidRPr="00516B96">
        <w:rPr>
          <w:rFonts w:ascii="Times New Roman" w:hAnsi="Times New Roman" w:cs="Times New Roman"/>
          <w:sz w:val="24"/>
          <w:szCs w:val="24"/>
        </w:rPr>
        <w:t xml:space="preserve"> y Owen’)</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Por ese tiempo, el control musulmán en Bosnia consistía en </w:t>
      </w:r>
      <w:proofErr w:type="gramStart"/>
      <w:r w:rsidRPr="00516B96">
        <w:rPr>
          <w:rFonts w:ascii="Times New Roman" w:hAnsi="Times New Roman" w:cs="Times New Roman"/>
          <w:sz w:val="24"/>
          <w:szCs w:val="24"/>
        </w:rPr>
        <w:t>una cuantos enclaves urbanos rodeados</w:t>
      </w:r>
      <w:proofErr w:type="gramEnd"/>
      <w:r w:rsidRPr="00516B96">
        <w:rPr>
          <w:rFonts w:ascii="Times New Roman" w:hAnsi="Times New Roman" w:cs="Times New Roman"/>
          <w:sz w:val="24"/>
          <w:szCs w:val="24"/>
        </w:rPr>
        <w:t xml:space="preserve"> por fuerzas hostiles, un territorio que por su naturaleza fue descrito</w:t>
      </w:r>
      <w:r w:rsidR="006369B0">
        <w:rPr>
          <w:rFonts w:ascii="Times New Roman" w:hAnsi="Times New Roman" w:cs="Times New Roman"/>
          <w:sz w:val="24"/>
          <w:szCs w:val="24"/>
        </w:rPr>
        <w:t xml:space="preserve">, como lo describe </w:t>
      </w:r>
      <w:proofErr w:type="spellStart"/>
      <w:r w:rsidR="006369B0">
        <w:rPr>
          <w:rFonts w:ascii="Times New Roman" w:hAnsi="Times New Roman" w:cs="Times New Roman"/>
          <w:sz w:val="24"/>
          <w:szCs w:val="24"/>
        </w:rPr>
        <w:t>Kaldor</w:t>
      </w:r>
      <w:proofErr w:type="spellEnd"/>
      <w:r w:rsidR="006369B0">
        <w:rPr>
          <w:rFonts w:ascii="Times New Roman" w:hAnsi="Times New Roman" w:cs="Times New Roman"/>
          <w:sz w:val="24"/>
          <w:szCs w:val="24"/>
        </w:rPr>
        <w:t xml:space="preserve"> (2001)</w:t>
      </w:r>
      <w:r w:rsidRPr="00516B96">
        <w:rPr>
          <w:rFonts w:ascii="Times New Roman" w:hAnsi="Times New Roman" w:cs="Times New Roman"/>
          <w:sz w:val="24"/>
          <w:szCs w:val="24"/>
        </w:rPr>
        <w:t xml:space="preserve"> como ‘piel de leopardo’. El área rural estaba repartida entre serbios y croatas, donde por lo demás hicieron efectiva la limpieza étnica en los lugares que llegaron a ocupar.</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Los centros urbanos padecían un asedio constante. Las principales hostilidades se presentaron en Tuzla, Mostar y Sarajevo. En ésta última ciudad, la vida cotidiana </w:t>
      </w:r>
      <w:r w:rsidRPr="00516B96">
        <w:rPr>
          <w:rFonts w:ascii="Times New Roman" w:hAnsi="Times New Roman" w:cs="Times New Roman"/>
          <w:sz w:val="24"/>
          <w:szCs w:val="24"/>
        </w:rPr>
        <w:lastRenderedPageBreak/>
        <w:t>transcurría en apego al conflicto visceral entre las fuerzas en pugna. Un ejemplo fue el constante peligro que representaban los francotiradores.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Sarajevo se volvió una ciudad sitiada y sus actividades comunes desapar</w:t>
      </w:r>
      <w:r w:rsidR="006369B0">
        <w:rPr>
          <w:rFonts w:ascii="Times New Roman" w:hAnsi="Times New Roman" w:cs="Times New Roman"/>
          <w:sz w:val="24"/>
          <w:szCs w:val="24"/>
        </w:rPr>
        <w:t>ecieron. La capital de Bosnia era</w:t>
      </w:r>
      <w:r w:rsidRPr="00516B96">
        <w:rPr>
          <w:rFonts w:ascii="Times New Roman" w:hAnsi="Times New Roman" w:cs="Times New Roman"/>
          <w:sz w:val="24"/>
          <w:szCs w:val="24"/>
        </w:rPr>
        <w:t xml:space="preserve"> realzada por numerosos edificios de gran altura, los cuales en su mayoría fueron abandonados durante la guerra. Las instalaciones terminaron siendo tomadas por francotiradores que desde las ventanas disparaban a cualquier persona que pasara. Las carreteras estaban obstruidas con contenedores de mercancías, carros, buses y tranvías quemados, y bloques de cemento y piedra que no permitían cruzar la vía sin toparse dificultades. Las únicas maneras de atravesarlas sin ser alcanzado por las balas eran esperar por los acorazados de las Naciones Unidas y caminar tras ellos usándolos como escudos, o cruzar las vías en automóvil a altísimas velocidades tratando de esquivar los obstáculos. A estas alturas es válido ejemplificar el padecimiento y la percepción de la guerra de los civiles con una cita orwelliana de 1984:</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“Los habitantes de los territorios en disputa son, por el contrario, quienes poseen un concepto más acertado de la guerra; para ellos, la guerra es una calamidad infinita, cuyos flujos y reflujos castigan a sus cuerpos como las olas de una gigantesca marea. Quién de los beligerantes gane o pierda los tiene completamente sin cuidado. Saben bien que en cualquiera de los casos, no habrán hecho sino cambiar de amo y que el nuevo los mantendrá bajo la misma férula despótica que el anterior”.</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Con la mediación norteamericana, las fuerzas bosnias y </w:t>
      </w:r>
      <w:proofErr w:type="spellStart"/>
      <w:r w:rsidRPr="00516B96">
        <w:rPr>
          <w:rFonts w:ascii="Times New Roman" w:hAnsi="Times New Roman" w:cs="Times New Roman"/>
          <w:sz w:val="24"/>
          <w:szCs w:val="24"/>
        </w:rPr>
        <w:t>bosniocroatas</w:t>
      </w:r>
      <w:proofErr w:type="spellEnd"/>
      <w:r w:rsidRPr="00516B96">
        <w:rPr>
          <w:rFonts w:ascii="Times New Roman" w:hAnsi="Times New Roman" w:cs="Times New Roman"/>
          <w:sz w:val="24"/>
          <w:szCs w:val="24"/>
        </w:rPr>
        <w:t xml:space="preserve"> firmaron un acuerdo de colaboración militar a mediados de 1994, poniendo fin a las hostilidades entre ellos y haciendo retroceder a las tropas y </w:t>
      </w:r>
      <w:proofErr w:type="spellStart"/>
      <w:r w:rsidRPr="00516B96">
        <w:rPr>
          <w:rFonts w:ascii="Times New Roman" w:hAnsi="Times New Roman" w:cs="Times New Roman"/>
          <w:sz w:val="24"/>
          <w:szCs w:val="24"/>
        </w:rPr>
        <w:t>chetniks</w:t>
      </w:r>
      <w:proofErr w:type="spellEnd"/>
      <w:r w:rsidRPr="00516B96">
        <w:rPr>
          <w:rFonts w:ascii="Times New Roman" w:hAnsi="Times New Roman" w:cs="Times New Roman"/>
          <w:sz w:val="24"/>
          <w:szCs w:val="24"/>
        </w:rPr>
        <w:t xml:space="preserve"> serbios. La comunidad internacional había impuesto un severo embargo económico a Serbia, con lo cual su gobierno se encontró en una situación desesperada. Slobodan Milosevic canceló su apoyo logístico a las milicias serbobosnias, lo que provocó que su espíritu de lucha se fuera cayendo paulatinamente. “La paz comenzó a perfilarse en noviembre de 1994 en la ciudad norteamericana de Dayton, a partir de las misiones diplomáticas estadounidenses que tomaron el relevo a la serie de intentos frustrados de la ONU. La administración Clinton no solo asumió las competencias diplomáticas de las Naciones Unidas, sino que también instó a la sustitución de las poco operativas fuerzas de la ONU por las de combate de la OTAN”</w:t>
      </w:r>
      <w:r w:rsidR="006369B0">
        <w:rPr>
          <w:rFonts w:ascii="Times New Roman" w:hAnsi="Times New Roman" w:cs="Times New Roman"/>
          <w:sz w:val="24"/>
          <w:szCs w:val="24"/>
        </w:rPr>
        <w:t xml:space="preserve"> (</w:t>
      </w:r>
      <w:proofErr w:type="spellStart"/>
      <w:r w:rsidR="006369B0">
        <w:rPr>
          <w:rFonts w:ascii="Times New Roman" w:hAnsi="Times New Roman" w:cs="Times New Roman"/>
          <w:sz w:val="24"/>
          <w:szCs w:val="24"/>
        </w:rPr>
        <w:t>Kaldor</w:t>
      </w:r>
      <w:proofErr w:type="spellEnd"/>
      <w:r w:rsidR="006369B0">
        <w:rPr>
          <w:rFonts w:ascii="Times New Roman" w:hAnsi="Times New Roman" w:cs="Times New Roman"/>
          <w:sz w:val="24"/>
          <w:szCs w:val="24"/>
        </w:rPr>
        <w:t>, 2001)</w:t>
      </w:r>
      <w:r w:rsidRPr="00516B96">
        <w:rPr>
          <w:rFonts w:ascii="Times New Roman" w:hAnsi="Times New Roman" w:cs="Times New Roman"/>
          <w:sz w:val="24"/>
          <w:szCs w:val="24"/>
        </w:rPr>
        <w:t>.</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 xml:space="preserve">El alto al fuego se logró por tres motivos principales; primero, por el comienzo de la intervención directa de la OTAN con incursiones aéreas; segundo, por el derrumbe del estado de ánimo entre los </w:t>
      </w:r>
      <w:proofErr w:type="spellStart"/>
      <w:r w:rsidRPr="00516B96">
        <w:rPr>
          <w:rFonts w:ascii="Times New Roman" w:hAnsi="Times New Roman" w:cs="Times New Roman"/>
          <w:sz w:val="24"/>
          <w:szCs w:val="24"/>
        </w:rPr>
        <w:t>chetniks</w:t>
      </w:r>
      <w:proofErr w:type="spellEnd"/>
      <w:r w:rsidRPr="00516B96">
        <w:rPr>
          <w:rFonts w:ascii="Times New Roman" w:hAnsi="Times New Roman" w:cs="Times New Roman"/>
          <w:sz w:val="24"/>
          <w:szCs w:val="24"/>
        </w:rPr>
        <w:t xml:space="preserve"> serbobosnios, que para 1995 tenían la moral muy baja; pero sobre todo, “porque la situación sobre el terreno se había ‘racionalizado’. En otras palabras, que la limpieza étnica estaba prácticamente completada”</w:t>
      </w:r>
      <w:r w:rsidR="006369B0">
        <w:rPr>
          <w:rFonts w:ascii="Times New Roman" w:hAnsi="Times New Roman" w:cs="Times New Roman"/>
          <w:sz w:val="24"/>
          <w:szCs w:val="24"/>
        </w:rPr>
        <w:t xml:space="preserve"> (</w:t>
      </w:r>
      <w:proofErr w:type="spellStart"/>
      <w:r w:rsidR="006369B0">
        <w:rPr>
          <w:rFonts w:ascii="Times New Roman" w:hAnsi="Times New Roman" w:cs="Times New Roman"/>
          <w:sz w:val="24"/>
          <w:szCs w:val="24"/>
        </w:rPr>
        <w:t>Kaldor</w:t>
      </w:r>
      <w:proofErr w:type="spellEnd"/>
      <w:r w:rsidR="006369B0">
        <w:rPr>
          <w:rFonts w:ascii="Times New Roman" w:hAnsi="Times New Roman" w:cs="Times New Roman"/>
          <w:sz w:val="24"/>
          <w:szCs w:val="24"/>
        </w:rPr>
        <w:t>, 2001)</w:t>
      </w:r>
      <w:r w:rsidRPr="00516B96">
        <w:rPr>
          <w:rFonts w:ascii="Times New Roman" w:hAnsi="Times New Roman" w:cs="Times New Roman"/>
          <w:sz w:val="24"/>
          <w:szCs w:val="24"/>
        </w:rPr>
        <w:t>. Las partes involucradas firmaron en París lo acordado en la base aérea militar de Dayton, poniendo en septiembre de 1995 punto final a la guerra de los Balcanes.</w:t>
      </w:r>
    </w:p>
    <w:p w:rsidR="00D739FA" w:rsidRPr="00516B96" w:rsidRDefault="00D739FA" w:rsidP="00D739FA">
      <w:pPr>
        <w:spacing w:line="360" w:lineRule="auto"/>
        <w:jc w:val="both"/>
        <w:rPr>
          <w:rFonts w:ascii="Times New Roman" w:hAnsi="Times New Roman" w:cs="Times New Roman"/>
          <w:sz w:val="24"/>
          <w:szCs w:val="24"/>
          <w:u w:val="single"/>
        </w:rPr>
      </w:pPr>
      <w:r w:rsidRPr="00516B96">
        <w:rPr>
          <w:rFonts w:ascii="Times New Roman" w:hAnsi="Times New Roman" w:cs="Times New Roman"/>
          <w:sz w:val="24"/>
          <w:szCs w:val="24"/>
        </w:rPr>
        <w:t>II</w:t>
      </w:r>
      <w:r w:rsidR="00145AE9">
        <w:rPr>
          <w:rFonts w:ascii="Times New Roman" w:hAnsi="Times New Roman" w:cs="Times New Roman"/>
          <w:sz w:val="24"/>
          <w:szCs w:val="24"/>
        </w:rPr>
        <w:t>I</w:t>
      </w:r>
      <w:r w:rsidRPr="00516B96">
        <w:rPr>
          <w:rFonts w:ascii="Times New Roman" w:hAnsi="Times New Roman" w:cs="Times New Roman"/>
          <w:sz w:val="24"/>
          <w:szCs w:val="24"/>
        </w:rPr>
        <w:t xml:space="preserve">. </w:t>
      </w:r>
      <w:r w:rsidR="00145AE9">
        <w:rPr>
          <w:rFonts w:ascii="Times New Roman" w:hAnsi="Times New Roman" w:cs="Times New Roman"/>
          <w:sz w:val="24"/>
          <w:szCs w:val="24"/>
        </w:rPr>
        <w:t>I</w:t>
      </w:r>
      <w:r w:rsidRPr="00516B96">
        <w:rPr>
          <w:rFonts w:ascii="Times New Roman" w:hAnsi="Times New Roman" w:cs="Times New Roman"/>
          <w:sz w:val="24"/>
          <w:szCs w:val="24"/>
        </w:rPr>
        <w:t>V.</w:t>
      </w:r>
      <w:r w:rsidR="00A92050">
        <w:rPr>
          <w:rFonts w:ascii="Times New Roman" w:hAnsi="Times New Roman" w:cs="Times New Roman"/>
          <w:sz w:val="24"/>
          <w:szCs w:val="24"/>
        </w:rPr>
        <w:t xml:space="preserve">  </w:t>
      </w:r>
      <w:r w:rsidRPr="00516B96">
        <w:rPr>
          <w:rFonts w:ascii="Times New Roman" w:hAnsi="Times New Roman" w:cs="Times New Roman"/>
          <w:sz w:val="24"/>
          <w:szCs w:val="24"/>
          <w:u w:val="single"/>
        </w:rPr>
        <w:t>Los Últimos Días de la Guerra y su Fin</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El dos de junio de 1999 se reunieron dos mediadores (</w:t>
      </w:r>
      <w:proofErr w:type="spellStart"/>
      <w:r w:rsidRPr="00516B96">
        <w:rPr>
          <w:rFonts w:ascii="Times New Roman" w:hAnsi="Times New Roman" w:cs="Times New Roman"/>
          <w:sz w:val="24"/>
          <w:szCs w:val="24"/>
        </w:rPr>
        <w:t>Viktor</w:t>
      </w:r>
      <w:proofErr w:type="spellEnd"/>
      <w:r w:rsidRPr="00516B96">
        <w:rPr>
          <w:rFonts w:ascii="Times New Roman" w:hAnsi="Times New Roman" w:cs="Times New Roman"/>
          <w:sz w:val="24"/>
          <w:szCs w:val="24"/>
        </w:rPr>
        <w:t xml:space="preserve"> Chernomyrdin por el lado ruso y </w:t>
      </w:r>
      <w:proofErr w:type="spellStart"/>
      <w:r w:rsidRPr="00516B96">
        <w:rPr>
          <w:rFonts w:ascii="Times New Roman" w:hAnsi="Times New Roman" w:cs="Times New Roman"/>
          <w:sz w:val="24"/>
          <w:szCs w:val="24"/>
        </w:rPr>
        <w:t>Martti</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Ahtisaari</w:t>
      </w:r>
      <w:proofErr w:type="spellEnd"/>
      <w:r w:rsidRPr="00516B96">
        <w:rPr>
          <w:rFonts w:ascii="Times New Roman" w:hAnsi="Times New Roman" w:cs="Times New Roman"/>
          <w:sz w:val="24"/>
          <w:szCs w:val="24"/>
        </w:rPr>
        <w:t xml:space="preserve">, presidente finlandés, por el lado de la Unión Europea) para tratar el fin del conflicto con el presidente yugoslavo. Ambos mediadores presentaron un plan de paz conjunto, concebido en </w:t>
      </w:r>
      <w:proofErr w:type="spellStart"/>
      <w:r w:rsidRPr="00516B96">
        <w:rPr>
          <w:rFonts w:ascii="Times New Roman" w:hAnsi="Times New Roman" w:cs="Times New Roman"/>
          <w:sz w:val="24"/>
          <w:szCs w:val="24"/>
        </w:rPr>
        <w:t>Petersberg</w:t>
      </w:r>
      <w:proofErr w:type="spellEnd"/>
      <w:r w:rsidRPr="00516B96">
        <w:rPr>
          <w:rFonts w:ascii="Times New Roman" w:hAnsi="Times New Roman" w:cs="Times New Roman"/>
          <w:sz w:val="24"/>
          <w:szCs w:val="24"/>
        </w:rPr>
        <w:t xml:space="preserve">, con el secretario de estado adjunto norteamericano </w:t>
      </w:r>
      <w:proofErr w:type="spellStart"/>
      <w:r w:rsidRPr="00516B96">
        <w:rPr>
          <w:rFonts w:ascii="Times New Roman" w:hAnsi="Times New Roman" w:cs="Times New Roman"/>
          <w:sz w:val="24"/>
          <w:szCs w:val="24"/>
        </w:rPr>
        <w:t>Strobe</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Talbott</w:t>
      </w:r>
      <w:proofErr w:type="spellEnd"/>
      <w:r w:rsidRPr="00516B96">
        <w:rPr>
          <w:rFonts w:ascii="Times New Roman" w:hAnsi="Times New Roman" w:cs="Times New Roman"/>
          <w:sz w:val="24"/>
          <w:szCs w:val="24"/>
        </w:rPr>
        <w:t>. El ruso señaló que el acuerdo preveía la creación de una comisión de control de los futuros acuerdos entre Yugoslavia y la OTAN.</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Mientras todos pensaban y laboraban por la paz Estados Unidos envió siete mil soldados al país balcánico, y el resto de los países de la OTAN realizaron operaciones similares. Los bombardeos continuaron.</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El día tres de junio Yugoslavia aceptó el plan de paz presentado por la Unión Europea, por Rusia y por los Estados Unidos. Pero así y </w:t>
      </w:r>
      <w:proofErr w:type="gramStart"/>
      <w:r w:rsidRPr="00516B96">
        <w:rPr>
          <w:rFonts w:ascii="Times New Roman" w:hAnsi="Times New Roman" w:cs="Times New Roman"/>
          <w:sz w:val="24"/>
          <w:szCs w:val="24"/>
        </w:rPr>
        <w:t>todo</w:t>
      </w:r>
      <w:proofErr w:type="gramEnd"/>
      <w:r w:rsidRPr="00516B96">
        <w:rPr>
          <w:rFonts w:ascii="Times New Roman" w:hAnsi="Times New Roman" w:cs="Times New Roman"/>
          <w:sz w:val="24"/>
          <w:szCs w:val="24"/>
        </w:rPr>
        <w:t xml:space="preserve"> los bombardeos persistieron. Tres días más tarde un diálogo entre los generales serbios y una delegación de la OTAN fracasó rotundamente. En la negociación se trató el tema del retiro de las fuerzas serbias de la provincia de Kósovo y así mismo ayudar y garantizar el retorno de los refugiados a sus respectivos hogares, pero según fuentes de la OTAN la propuesta no guardaba relación con los tratados aceptados por Belgrado tres días antes. Para incrementar la presión sobre Yugoslavia se ordenó incrementar la intensidad del bombardeo.</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Cuatro fueron las principales discrepancias que produjeron el congelamiento de las negociaciones para poner fin a la guerra, estos son: Belgrado insistía en que la ONU votase por el despliegue de una fuerza internacional, Rusia no quería un comando de la OTAN para sus fuerzas de paz en Kósovo, el plazo para la retirada de las tropas serbias de la provincia de Kósovo era de entre 7 y 15 días y la creación de una zona de </w:t>
      </w:r>
      <w:r w:rsidRPr="00516B96">
        <w:rPr>
          <w:rFonts w:ascii="Times New Roman" w:hAnsi="Times New Roman" w:cs="Times New Roman"/>
          <w:sz w:val="24"/>
          <w:szCs w:val="24"/>
        </w:rPr>
        <w:lastRenderedPageBreak/>
        <w:t>seguridad de veinticinco kilómetros entre Kósovo y el resto de Serbia. Los bombardeos sobre el país eslavo del sur se reanudaron.</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Una nueva esperanza de paz llegó a divisarse en el horizonte yugoslavo, aunque los bombardeos se intensificaran sobre su territorio, pues se estaba un nuevo plan de paz y esta vez era el consejo de seguridad de la ONU quien iba a dar la autorización para el despliegue definitivo de una fuerza internacional de paz, después del retiro del ejército, policía y paramilitares serbios del territorio de la provincia autónoma de Kósovo.</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Representantes de la República Federal de Yugoslavia (RFY) y de la Organización del Tratado del Atlántico Norte (OTAN) firmaron el 9 de junio en </w:t>
      </w:r>
      <w:proofErr w:type="spellStart"/>
      <w:r w:rsidRPr="00516B96">
        <w:rPr>
          <w:rFonts w:ascii="Times New Roman" w:hAnsi="Times New Roman" w:cs="Times New Roman"/>
          <w:sz w:val="24"/>
          <w:szCs w:val="24"/>
        </w:rPr>
        <w:t>Kumanovo</w:t>
      </w:r>
      <w:proofErr w:type="spellEnd"/>
      <w:r w:rsidRPr="00516B96">
        <w:rPr>
          <w:rFonts w:ascii="Times New Roman" w:hAnsi="Times New Roman" w:cs="Times New Roman"/>
          <w:sz w:val="24"/>
          <w:szCs w:val="24"/>
        </w:rPr>
        <w:t>, Macedonia, un acuerdo militar técnico que detallaba el retiro de las fuerzas serbias de Kósovo y el despliegue de fuerzas internacionales de paz en la provincia autónoma. El acuerdo dos horas después de firmado fue aprobado por el consejo de seguridad de los Aliados.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El acuerdo técnico militar recogía el acuerdo político alcanzado por los enviados de Rusia, </w:t>
      </w:r>
      <w:proofErr w:type="spellStart"/>
      <w:r w:rsidRPr="00516B96">
        <w:rPr>
          <w:rFonts w:ascii="Times New Roman" w:hAnsi="Times New Roman" w:cs="Times New Roman"/>
          <w:sz w:val="24"/>
          <w:szCs w:val="24"/>
        </w:rPr>
        <w:t>Viktor</w:t>
      </w:r>
      <w:proofErr w:type="spellEnd"/>
      <w:r w:rsidRPr="00516B96">
        <w:rPr>
          <w:rFonts w:ascii="Times New Roman" w:hAnsi="Times New Roman" w:cs="Times New Roman"/>
          <w:sz w:val="24"/>
          <w:szCs w:val="24"/>
        </w:rPr>
        <w:t xml:space="preserve"> Chernomyrdin y de la unión Europea (UE), el presidente finlandés, </w:t>
      </w:r>
      <w:proofErr w:type="spellStart"/>
      <w:r w:rsidRPr="00516B96">
        <w:rPr>
          <w:rFonts w:ascii="Times New Roman" w:hAnsi="Times New Roman" w:cs="Times New Roman"/>
          <w:sz w:val="24"/>
          <w:szCs w:val="24"/>
        </w:rPr>
        <w:t>Martti</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Ahtisaari</w:t>
      </w:r>
      <w:proofErr w:type="spellEnd"/>
      <w:r w:rsidRPr="00516B96">
        <w:rPr>
          <w:rFonts w:ascii="Times New Roman" w:hAnsi="Times New Roman" w:cs="Times New Roman"/>
          <w:sz w:val="24"/>
          <w:szCs w:val="24"/>
        </w:rPr>
        <w:t>.</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Según el general de la OTAN, sir Michael Jackson, el acuerdo regulaba la salida ordenada del ejército yugoslavo, la policía y otras fuerzas serbias del territorio de la provincia autónoma de Kósovo, al tiempo que se establecían las premisas para un cese del fuego aéreo por parte de la OTAN.</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Aunque la OTAN amenazó con que si no se cumplía el calendario para el retiro de las fuerzas serbias volverían a lanzar sus mortíferos ataques aéreos.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Kósovo sería dividido en cinco sectores, esto sólo correspondía a las tropas que colocaría la OTAN, que por cierto eran la mayoría (también habría "cascos azules" de la ONU y estaría presente Rusia): al oeste estarían las tropas Italianas (7 000 hombres), al sur las alemanas (8 000 hombres), al norte las francesas (7 000 hombres), al noreste las británicas (13 000 hombres) y al suroeste las estadounidenses (7 000 hombres).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En </w:t>
      </w:r>
      <w:proofErr w:type="gramStart"/>
      <w:r w:rsidRPr="00516B96">
        <w:rPr>
          <w:rFonts w:ascii="Times New Roman" w:hAnsi="Times New Roman" w:cs="Times New Roman"/>
          <w:sz w:val="24"/>
          <w:szCs w:val="24"/>
        </w:rPr>
        <w:t>este punto todos</w:t>
      </w:r>
      <w:proofErr w:type="gramEnd"/>
      <w:r w:rsidRPr="00516B96">
        <w:rPr>
          <w:rFonts w:ascii="Times New Roman" w:hAnsi="Times New Roman" w:cs="Times New Roman"/>
          <w:sz w:val="24"/>
          <w:szCs w:val="24"/>
        </w:rPr>
        <w:t xml:space="preserve"> celebraron, hasta se puede decir que ambos habían ganado y perdido, pero de lo que de verdad se puede tener certeza es que la gente yugoslava ya no tendría que aguantar más los bombardeos de los Aliados. Una guerra de 77 días de duración había llegado a su fin.</w:t>
      </w:r>
    </w:p>
    <w:p w:rsidR="00D739FA" w:rsidRPr="00516B96" w:rsidRDefault="00D739FA" w:rsidP="00D739FA">
      <w:pPr>
        <w:spacing w:line="360" w:lineRule="auto"/>
        <w:jc w:val="both"/>
        <w:rPr>
          <w:rFonts w:ascii="Times New Roman" w:hAnsi="Times New Roman" w:cs="Times New Roman"/>
          <w:sz w:val="24"/>
          <w:szCs w:val="24"/>
          <w:u w:val="single"/>
        </w:rPr>
      </w:pPr>
      <w:r w:rsidRPr="00516B96">
        <w:rPr>
          <w:rFonts w:ascii="Times New Roman" w:hAnsi="Times New Roman" w:cs="Times New Roman"/>
          <w:sz w:val="24"/>
          <w:szCs w:val="24"/>
        </w:rPr>
        <w:lastRenderedPageBreak/>
        <w:t>II</w:t>
      </w:r>
      <w:r w:rsidR="00145AE9">
        <w:rPr>
          <w:rFonts w:ascii="Times New Roman" w:hAnsi="Times New Roman" w:cs="Times New Roman"/>
          <w:sz w:val="24"/>
          <w:szCs w:val="24"/>
        </w:rPr>
        <w:t>I</w:t>
      </w:r>
      <w:r w:rsidRPr="00516B96">
        <w:rPr>
          <w:rFonts w:ascii="Times New Roman" w:hAnsi="Times New Roman" w:cs="Times New Roman"/>
          <w:sz w:val="24"/>
          <w:szCs w:val="24"/>
        </w:rPr>
        <w:t xml:space="preserve">. V. </w:t>
      </w:r>
      <w:r w:rsidRPr="00516B96">
        <w:rPr>
          <w:rFonts w:ascii="Times New Roman" w:hAnsi="Times New Roman" w:cs="Times New Roman"/>
          <w:sz w:val="24"/>
          <w:szCs w:val="24"/>
          <w:u w:val="single"/>
        </w:rPr>
        <w:t>La Postguerra</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Toda guerra es un negocio, dicen algunos, y éstos bien pueden ser los vendedores de las armas. Y Yugoslavia se convirtió en un gran campo de prueba. Viendo fríamente la guerra, viendo sólo cifras de costos o pérdidas materiales esta guerra </w:t>
      </w:r>
      <w:r w:rsidR="0062770A" w:rsidRPr="00516B96">
        <w:rPr>
          <w:rFonts w:ascii="Times New Roman" w:hAnsi="Times New Roman" w:cs="Times New Roman"/>
          <w:sz w:val="24"/>
          <w:szCs w:val="24"/>
        </w:rPr>
        <w:t>afectó</w:t>
      </w:r>
      <w:r w:rsidRPr="00516B96">
        <w:rPr>
          <w:rFonts w:ascii="Times New Roman" w:hAnsi="Times New Roman" w:cs="Times New Roman"/>
          <w:sz w:val="24"/>
          <w:szCs w:val="24"/>
        </w:rPr>
        <w:t xml:space="preserve"> a la economía tanto de los aliados como de los </w:t>
      </w:r>
      <w:proofErr w:type="gramStart"/>
      <w:r w:rsidRPr="00516B96">
        <w:rPr>
          <w:rFonts w:ascii="Times New Roman" w:hAnsi="Times New Roman" w:cs="Times New Roman"/>
          <w:sz w:val="24"/>
          <w:szCs w:val="24"/>
        </w:rPr>
        <w:t>Serbios</w:t>
      </w:r>
      <w:proofErr w:type="gramEnd"/>
      <w:r w:rsidRPr="00516B96">
        <w:rPr>
          <w:rFonts w:ascii="Times New Roman" w:hAnsi="Times New Roman" w:cs="Times New Roman"/>
          <w:sz w:val="24"/>
          <w:szCs w:val="24"/>
        </w:rPr>
        <w:t>, aunque a estos últimos de una manera más alarmante.</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Hay quienes apuntan que una de las causas que tuvo la OTAN para afrontar esta guerra fue el usar algo de su costoso y abundante material, ya sea como una exposición de su eficiencia para un grupo de posibles compradores o para poder usar misiles que pronto se volverían obsoletos o por lo menos justificar el gasto económico en la producción de dichas armas.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El dólar durante la guerra se revalorizó, mientras que todas las monedas europeas cayeron a excepción de la Libra Esterlina.</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El 50% del gasto de esta guerra fue asumido por Estados Unidos (al igual que en el 91) aunque se esperaba que los otros países reembolsarían a los Estados Unidos parte de este gasto.</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El costo mensual del emplazamiento de doce mil soldados en Macedonia le cuesta a la OTAN unos 50 millones de dólares. A mediados y fines de la guerra la OTAN comenzó a mandar más soldados a territorios aledaños al conflicto.</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En los dieciocho primeros días la OTAN ya había gastado mil millones de dólares en llevar a cabo esta guerra.</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No se han proporcionado datos sobre cuánto le </w:t>
      </w:r>
      <w:r w:rsidR="0062770A" w:rsidRPr="00516B96">
        <w:rPr>
          <w:rFonts w:ascii="Times New Roman" w:hAnsi="Times New Roman" w:cs="Times New Roman"/>
          <w:sz w:val="24"/>
          <w:szCs w:val="24"/>
        </w:rPr>
        <w:t>costó</w:t>
      </w:r>
      <w:r w:rsidRPr="00516B96">
        <w:rPr>
          <w:rFonts w:ascii="Times New Roman" w:hAnsi="Times New Roman" w:cs="Times New Roman"/>
          <w:sz w:val="24"/>
          <w:szCs w:val="24"/>
        </w:rPr>
        <w:t xml:space="preserve"> mantener a la OTAN toda la flota marítima, ya sea en víveres como en combustibles, ni cuánto le c</w:t>
      </w:r>
      <w:r w:rsidR="0062770A" w:rsidRPr="00516B96">
        <w:rPr>
          <w:rFonts w:ascii="Times New Roman" w:hAnsi="Times New Roman" w:cs="Times New Roman"/>
          <w:sz w:val="24"/>
          <w:szCs w:val="24"/>
        </w:rPr>
        <w:t xml:space="preserve">ostó </w:t>
      </w:r>
      <w:r w:rsidRPr="00516B96">
        <w:rPr>
          <w:rFonts w:ascii="Times New Roman" w:hAnsi="Times New Roman" w:cs="Times New Roman"/>
          <w:sz w:val="24"/>
          <w:szCs w:val="24"/>
        </w:rPr>
        <w:t>mantener todos esos aviones en movimiento, mantenimiento de las bases en Italia, etc.</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La tecnología cuesta, y cuesta mucho, las armas usadas por la OTAN t</w:t>
      </w:r>
      <w:r w:rsidR="0062770A" w:rsidRPr="00516B96">
        <w:rPr>
          <w:rFonts w:ascii="Times New Roman" w:hAnsi="Times New Roman" w:cs="Times New Roman"/>
          <w:sz w:val="24"/>
          <w:szCs w:val="24"/>
        </w:rPr>
        <w:t>uvieron</w:t>
      </w:r>
      <w:r w:rsidRPr="00516B96">
        <w:rPr>
          <w:rFonts w:ascii="Times New Roman" w:hAnsi="Times New Roman" w:cs="Times New Roman"/>
          <w:sz w:val="24"/>
          <w:szCs w:val="24"/>
        </w:rPr>
        <w:t xml:space="preserve"> costos de producción y mantenimiento altísimos. A modo de ejemplo van los siguientes datos:</w:t>
      </w:r>
    </w:p>
    <w:p w:rsidR="00D739FA" w:rsidRPr="00516B96" w:rsidRDefault="00D739FA" w:rsidP="00D739FA">
      <w:pPr>
        <w:pStyle w:val="Prrafodelista"/>
        <w:numPr>
          <w:ilvl w:val="0"/>
          <w:numId w:val="2"/>
        </w:num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Un misil crucero cuesta 12 millones de dólares</w:t>
      </w:r>
    </w:p>
    <w:p w:rsidR="00D739FA" w:rsidRPr="00516B96" w:rsidRDefault="00D739FA" w:rsidP="00D739FA">
      <w:pPr>
        <w:pStyle w:val="Prrafodelista"/>
        <w:numPr>
          <w:ilvl w:val="0"/>
          <w:numId w:val="2"/>
        </w:num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Un avión caza bombardero F-117 cuesta 50 millones de dólares (La OTAN perdió dos en el conflicto)</w:t>
      </w:r>
    </w:p>
    <w:p w:rsidR="00D739FA" w:rsidRPr="00516B96" w:rsidRDefault="00D739FA" w:rsidP="00D739FA">
      <w:pPr>
        <w:pStyle w:val="Prrafodelista"/>
        <w:numPr>
          <w:ilvl w:val="0"/>
          <w:numId w:val="2"/>
        </w:num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Un helicóptero Apache AH-64 (helicóptero de alta tecnología capaz de dar caza a un avión) cuesta 50 millones de dólares</w:t>
      </w:r>
    </w:p>
    <w:p w:rsidR="00D739FA" w:rsidRPr="00516B96" w:rsidRDefault="00D739FA" w:rsidP="00D739FA">
      <w:pPr>
        <w:pStyle w:val="Prrafodelista"/>
        <w:numPr>
          <w:ilvl w:val="0"/>
          <w:numId w:val="2"/>
        </w:num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Un avión caza bombardero F-16 cuesta 25 millones de dólares</w:t>
      </w:r>
    </w:p>
    <w:p w:rsidR="00D739FA" w:rsidRPr="00516B96" w:rsidRDefault="00D739FA" w:rsidP="00D739FA">
      <w:pPr>
        <w:pStyle w:val="Prrafodelista"/>
        <w:numPr>
          <w:ilvl w:val="0"/>
          <w:numId w:val="2"/>
        </w:num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Un avión bombardero A10 cuesta 15 millones de dólares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Según los análisis económicos cada mes de conflicto aéreo le costaron a la OTAN tres mil millones de dólares, costo muy superior (unas diez veces mayor) se si hubiese comenzado con una acción terrestre. Según fuentes Alemanas esta guerra </w:t>
      </w:r>
      <w:r w:rsidR="0062770A" w:rsidRPr="00516B96">
        <w:rPr>
          <w:rFonts w:ascii="Times New Roman" w:hAnsi="Times New Roman" w:cs="Times New Roman"/>
          <w:sz w:val="24"/>
          <w:szCs w:val="24"/>
        </w:rPr>
        <w:t>costó</w:t>
      </w:r>
      <w:r w:rsidRPr="00516B96">
        <w:rPr>
          <w:rFonts w:ascii="Times New Roman" w:hAnsi="Times New Roman" w:cs="Times New Roman"/>
          <w:sz w:val="24"/>
          <w:szCs w:val="24"/>
        </w:rPr>
        <w:t xml:space="preserve"> entre 58 y 68 millones de dólares diarios.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En armas Serbia gastó el año pasado la respetable suma de 599 millones de dólares (cuarta cantidad de dinero destinada a armas en la zona del sudoeste europeo, contando a Turquía).</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Las pérdidas materiales de Yugoslavia son cuantiosas, tan sólo a seis días de iniciados los ataques ya se habían destruido seis Mig-29 (aviones de combate), varios tanques serbios ya habían sido destruidos al igual que unos 60 sitios del sistema militar serbio.</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Para el final de la guerra la OTAN aseguraba haber destruido más del 41% de las reservas de petróleo del ejército yugoslavo, el 34% de los puentes de carretera y 11 puentes ferroviarios y el 50% de los arsenales serbios en Kósovo.</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La infraestructura y la industria yugoslava se redujeron al mismo nivel con el que finalizó la segunda guerra mundial. Todas las fábricas químicas y otras instalaciones consideradas blancos estratégicos fueron destruidas por la OTAN causando pérdidas de decenas de millones de dólares.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Se causaron daños a dos centrales termoeléctricas y la destrucción de una veintena de transformadores. En infraestructura de comunicaciones fueron d</w:t>
      </w:r>
      <w:r w:rsidR="0062770A" w:rsidRPr="00516B96">
        <w:rPr>
          <w:rFonts w:ascii="Times New Roman" w:hAnsi="Times New Roman" w:cs="Times New Roman"/>
          <w:sz w:val="24"/>
          <w:szCs w:val="24"/>
        </w:rPr>
        <w:t xml:space="preserve">estruidos un total de treinta y </w:t>
      </w:r>
      <w:r w:rsidRPr="00516B96">
        <w:rPr>
          <w:rFonts w:ascii="Times New Roman" w:hAnsi="Times New Roman" w:cs="Times New Roman"/>
          <w:sz w:val="24"/>
          <w:szCs w:val="24"/>
        </w:rPr>
        <w:t>cuatro puentes y viaductos, una docena de vías férreas, una veintena de carreteras y ocho aeropuertos quedaron inutilizados.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Según un grupo de economistas serbios independientes (G17) los daños causados por la OTAN a Yugoslavia </w:t>
      </w:r>
      <w:r w:rsidR="0062770A" w:rsidRPr="00516B96">
        <w:rPr>
          <w:rFonts w:ascii="Times New Roman" w:hAnsi="Times New Roman" w:cs="Times New Roman"/>
          <w:sz w:val="24"/>
          <w:szCs w:val="24"/>
        </w:rPr>
        <w:t>ascendieron a los</w:t>
      </w:r>
      <w:r w:rsidRPr="00516B96">
        <w:rPr>
          <w:rFonts w:ascii="Times New Roman" w:hAnsi="Times New Roman" w:cs="Times New Roman"/>
          <w:sz w:val="24"/>
          <w:szCs w:val="24"/>
        </w:rPr>
        <w:t xml:space="preserve"> 29 600 millones de dólares. Los daños materiales se estiman en 4 100 millones de dólares; las pérdidas en materia del producto bruto interno (PBI) en 23 200 millones de dólares; mientras que las pérdidas en material </w:t>
      </w:r>
      <w:r w:rsidRPr="00516B96">
        <w:rPr>
          <w:rFonts w:ascii="Times New Roman" w:hAnsi="Times New Roman" w:cs="Times New Roman"/>
          <w:sz w:val="24"/>
          <w:szCs w:val="24"/>
        </w:rPr>
        <w:lastRenderedPageBreak/>
        <w:t>humano, es decir, muertos, heridos y los casi 100,000 expatriados - de los cuales casi el 60% son personas activas - están evaluados en 2 300 millones de dólares.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El índice de desempleo aumentó en un 7,5% con respecto al año anterior a la guerra (1998), mientras que el PBI por habitante descendió de 1 643 dólares en el 98 hasta 975 dólares en el 99.</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Yugoslavia, cuya deuda externa es de 13 000 millones de dólares, necesita con urgencia 1 200 millones de dólares para necesidades humanitarias y programas sociales, para reparar la red eléctrica, las centrales térmicas y construir los principales puentes destruidos.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La infraestructura, el sistema energético y la industria petrolera, metalúrgica y química son los que más sufrieron los bombardeos. Esto significó una contracción del PBI del 40,7% respecto al 98, de las exportaciones un 55% y de la producción industrial un 44,4%.</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La reconstrucción de la infraestructura de Kósovo (un 20% de las viviendas </w:t>
      </w:r>
      <w:r w:rsidR="0062770A" w:rsidRPr="00516B96">
        <w:rPr>
          <w:rFonts w:ascii="Times New Roman" w:hAnsi="Times New Roman" w:cs="Times New Roman"/>
          <w:sz w:val="24"/>
          <w:szCs w:val="24"/>
        </w:rPr>
        <w:t>quedaron</w:t>
      </w:r>
      <w:r w:rsidRPr="00516B96">
        <w:rPr>
          <w:rFonts w:ascii="Times New Roman" w:hAnsi="Times New Roman" w:cs="Times New Roman"/>
          <w:sz w:val="24"/>
          <w:szCs w:val="24"/>
        </w:rPr>
        <w:t xml:space="preserve"> afectadas), reintegrar a los refugiados y crear una economía que funcione en la provincia costará entre 3 500 y 5 000 millones de dólares.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Desde antes de comenzar la guerra la población kosovar de origen albanés estaba siendo "ahuyentada" por el ejército yugoslavo, contándose por miles los que escapaban de la provincia.</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Antes de que comenzase la guerra el ejército yugoslavo había desplazado a 160 000 ciudadanos de origen albanés que vivían en la provincia de Kósovo. Y en 1998 fueron expulsados del país eslavo cerca de 515 800 personas de origen albanés y en su mayoría de religión musulmana.</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Con el estallido de la guerra el ejército yugoslavo comenzó a "limpiar" de una forma más brusca y rápida, comparándolo a como lo estaba haciendo desde antes de la guerra, las casas de los Kosovares de origen albanés. Al conocer esta situación hombres, mujeres y niños comenzaron a huir aterrados de las ciudades, con todo lo que pudiesen cargar, dirigiéndose a las fronteras.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Muchos otros escaparon de las ciudades por el temor a ser heridos o muertos durante el continuo bombardeo al que estuvo sometido el país por parte de la OTAN.</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Tan sólo en seis días ya se habían desplazado 550 000 personas de la provincia de Kósovo. De esta cantidad aún permanecían en el interior de Kósovo 280 000 almas, estando 155 000 muy cerca a la frontera.</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Ante estas cifras muchos países decidieron enviar ayuda de todo tipo: dinero para la atención a los refugiados, víveres, carpas, infraestructura sanitaria, sacos de dormir, etc.</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Muchos países occidentales decidieron acoger a los refugiados, y se determinó que unos 100 000 refugiados se irían a naciones como Canadá, Estados Unidos, Alemania, etc.</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Macedonia fue uno de los principales países a donde los desplazados se dirigieron. Desde los primeros días en que los desplazados tocaron las puertas de este país y se les abrió, Macedonia fue invadida y a pocos días de comenzar la guerra ya se asfixiaba y su economía no resistía el ingreso de tantas personas.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Mientras muchos miles deseaban huir otros cientos, especialmente jóvenes comenzaron a retornar a su patria con un solo objetivo: Protegerla. Muchos de estos muchachos comenzaron a llegar al comienzo del segundo mes de guerra cuando parecía que se iba a llegar a una confrontación terrestre.</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Pero no todos los que huían eran de origen albanés, ni tampoco todos salían de Kósovo. En un mes de guerra ya 400 000 serbios habían escapado de Belgrado en busca de la tranquilidad que da vivir en paz.</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El 12 de mayo un 48% de la población kosovar había sido desplazada de sus hogares, un 20% de los desplazados aún no salían del país serbio y un 76% se dirigió a países fronterizos: 423 000 refugiados se fueron a Albania, a Macedonia fueron 241 000, Montenegro recibió unos 63 000 y por último una minoría de 18 000 fueron a parar a Bosnia y Herzegovina. La población de Kósovo es algo mayor a los dos millones de habitantes.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Sali</w:t>
      </w:r>
      <w:r w:rsidR="0062770A" w:rsidRPr="00516B96">
        <w:rPr>
          <w:rFonts w:ascii="Times New Roman" w:hAnsi="Times New Roman" w:cs="Times New Roman"/>
          <w:sz w:val="24"/>
          <w:szCs w:val="24"/>
        </w:rPr>
        <w:t>endo</w:t>
      </w:r>
      <w:r w:rsidRPr="00516B96">
        <w:rPr>
          <w:rFonts w:ascii="Times New Roman" w:hAnsi="Times New Roman" w:cs="Times New Roman"/>
          <w:sz w:val="24"/>
          <w:szCs w:val="24"/>
        </w:rPr>
        <w:t xml:space="preserve"> un poco de las cifras, los refugiados para salir del país tenían que correr toda una odisea, pasar por atestadas carreteras, cuidarse de los abusos de los comandos serbios, caminar o manejar rezando para llegar a la frontera sin problemas (problemas como pisar una mina o que la OTAN por error bombardease un convoy de refugiados), sufrir la escasez de agua potable y de alimentos, tener mucha esperanza en que la frontera a donde iban estuviese abierta y al final de toda la travesía los desplazados que </w:t>
      </w:r>
      <w:r w:rsidRPr="00516B96">
        <w:rPr>
          <w:rFonts w:ascii="Times New Roman" w:hAnsi="Times New Roman" w:cs="Times New Roman"/>
          <w:sz w:val="24"/>
          <w:szCs w:val="24"/>
        </w:rPr>
        <w:lastRenderedPageBreak/>
        <w:t>lograban cruzar la frontera iban a parar a campos especialmente diseñados por los Atlánticos (y por cierto controlados por ellos) para poder sobrevivir sin interrumpir de manera tajante el funcionamiento del país al que iban a parar. Entre los mismos refugiados, serbios y albaneses, había tensiones y riñas constantes.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Un ejemplo de desplazados a los que se les impidió cruzar la frontera fueron los 40 000 </w:t>
      </w:r>
      <w:proofErr w:type="spellStart"/>
      <w:r w:rsidRPr="00516B96">
        <w:rPr>
          <w:rFonts w:ascii="Times New Roman" w:hAnsi="Times New Roman" w:cs="Times New Roman"/>
          <w:sz w:val="24"/>
          <w:szCs w:val="24"/>
        </w:rPr>
        <w:t>albokosovares</w:t>
      </w:r>
      <w:proofErr w:type="spellEnd"/>
      <w:r w:rsidRPr="00516B96">
        <w:rPr>
          <w:rFonts w:ascii="Times New Roman" w:hAnsi="Times New Roman" w:cs="Times New Roman"/>
          <w:sz w:val="24"/>
          <w:szCs w:val="24"/>
        </w:rPr>
        <w:t xml:space="preserve"> detenidos por el ejército yugoslavo (el 18 de mayo de 1999) en la región de </w:t>
      </w:r>
      <w:proofErr w:type="spellStart"/>
      <w:r w:rsidRPr="00516B96">
        <w:rPr>
          <w:rFonts w:ascii="Times New Roman" w:hAnsi="Times New Roman" w:cs="Times New Roman"/>
          <w:sz w:val="24"/>
          <w:szCs w:val="24"/>
        </w:rPr>
        <w:t>Vitina</w:t>
      </w:r>
      <w:proofErr w:type="spellEnd"/>
      <w:r w:rsidRPr="00516B96">
        <w:rPr>
          <w:rFonts w:ascii="Times New Roman" w:hAnsi="Times New Roman" w:cs="Times New Roman"/>
          <w:sz w:val="24"/>
          <w:szCs w:val="24"/>
        </w:rPr>
        <w:t>. Según testimonios, a estos refugiados se sumaron desplazados de otros momentos, sufriendo la escasez de muchos de los servicios básicos además que sólo se les permitía comprar pan, nada más que pan y por si fuera poco, la cantidad de pan que estaba disponible no satisfacía la demanda existente.</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Al comenzar el tercer mes de los bombardeos por parte de los aliados ya los campos cerca de las fronteras estaban saturados de desplazados, los cuales soñaban con volver a algo que ellos llaman un "Kósovo libre", el cual es un Kósovo que esté bajo la protección de los Atlánticos, además que sea un Kósovo sin policías, soldados o paramilitares serbios, y por supuesto que se les garantice la seguridad personal con la que, según ellos, no contaban hasta el momento. Prácticamente todos los </w:t>
      </w:r>
      <w:proofErr w:type="spellStart"/>
      <w:r w:rsidRPr="00516B96">
        <w:rPr>
          <w:rFonts w:ascii="Times New Roman" w:hAnsi="Times New Roman" w:cs="Times New Roman"/>
          <w:sz w:val="24"/>
          <w:szCs w:val="24"/>
        </w:rPr>
        <w:t>albokosovares</w:t>
      </w:r>
      <w:proofErr w:type="spellEnd"/>
      <w:r w:rsidRPr="00516B96">
        <w:rPr>
          <w:rFonts w:ascii="Times New Roman" w:hAnsi="Times New Roman" w:cs="Times New Roman"/>
          <w:sz w:val="24"/>
          <w:szCs w:val="24"/>
        </w:rPr>
        <w:t xml:space="preserve"> apoya</w:t>
      </w:r>
      <w:r w:rsidR="0062770A" w:rsidRPr="00516B96">
        <w:rPr>
          <w:rFonts w:ascii="Times New Roman" w:hAnsi="Times New Roman" w:cs="Times New Roman"/>
          <w:sz w:val="24"/>
          <w:szCs w:val="24"/>
        </w:rPr>
        <w:t>ba</w:t>
      </w:r>
      <w:r w:rsidRPr="00516B96">
        <w:rPr>
          <w:rFonts w:ascii="Times New Roman" w:hAnsi="Times New Roman" w:cs="Times New Roman"/>
          <w:sz w:val="24"/>
          <w:szCs w:val="24"/>
        </w:rPr>
        <w:t>n al UKC (Ejérci</w:t>
      </w:r>
      <w:r w:rsidR="0062770A" w:rsidRPr="00516B96">
        <w:rPr>
          <w:rFonts w:ascii="Times New Roman" w:hAnsi="Times New Roman" w:cs="Times New Roman"/>
          <w:sz w:val="24"/>
          <w:szCs w:val="24"/>
        </w:rPr>
        <w:t>to de liberación kosovar) y sabía</w:t>
      </w:r>
      <w:r w:rsidRPr="00516B96">
        <w:rPr>
          <w:rFonts w:ascii="Times New Roman" w:hAnsi="Times New Roman" w:cs="Times New Roman"/>
          <w:sz w:val="24"/>
          <w:szCs w:val="24"/>
        </w:rPr>
        <w:t>n que el UCK necesita</w:t>
      </w:r>
      <w:r w:rsidR="0062770A" w:rsidRPr="00516B96">
        <w:rPr>
          <w:rFonts w:ascii="Times New Roman" w:hAnsi="Times New Roman" w:cs="Times New Roman"/>
          <w:sz w:val="24"/>
          <w:szCs w:val="24"/>
        </w:rPr>
        <w:t>ba</w:t>
      </w:r>
      <w:r w:rsidRPr="00516B96">
        <w:rPr>
          <w:rFonts w:ascii="Times New Roman" w:hAnsi="Times New Roman" w:cs="Times New Roman"/>
          <w:sz w:val="24"/>
          <w:szCs w:val="24"/>
        </w:rPr>
        <w:t xml:space="preserve"> un apoyo popular para poder vencer al poderío serbio, por ello es que los refugiados desean volver "cuanto antes" a sus hogares para poder brindar su apoyo a sus libertadores.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El ejército yugoslavo comenzó a abusar del pueblo </w:t>
      </w:r>
      <w:proofErr w:type="spellStart"/>
      <w:r w:rsidRPr="00516B96">
        <w:rPr>
          <w:rFonts w:ascii="Times New Roman" w:hAnsi="Times New Roman" w:cs="Times New Roman"/>
          <w:sz w:val="24"/>
          <w:szCs w:val="24"/>
        </w:rPr>
        <w:t>albokosovar</w:t>
      </w:r>
      <w:proofErr w:type="spellEnd"/>
      <w:r w:rsidRPr="00516B96">
        <w:rPr>
          <w:rFonts w:ascii="Times New Roman" w:hAnsi="Times New Roman" w:cs="Times New Roman"/>
          <w:sz w:val="24"/>
          <w:szCs w:val="24"/>
        </w:rPr>
        <w:t xml:space="preserve">, al punto que tropas serbias entraban a pueblos </w:t>
      </w:r>
      <w:proofErr w:type="spellStart"/>
      <w:r w:rsidRPr="00516B96">
        <w:rPr>
          <w:rFonts w:ascii="Times New Roman" w:hAnsi="Times New Roman" w:cs="Times New Roman"/>
          <w:sz w:val="24"/>
          <w:szCs w:val="24"/>
        </w:rPr>
        <w:t>albokosovares</w:t>
      </w:r>
      <w:proofErr w:type="spellEnd"/>
      <w:r w:rsidRPr="00516B96">
        <w:rPr>
          <w:rFonts w:ascii="Times New Roman" w:hAnsi="Times New Roman" w:cs="Times New Roman"/>
          <w:sz w:val="24"/>
          <w:szCs w:val="24"/>
        </w:rPr>
        <w:t xml:space="preserve">, sacaban a todos los pueblerinos de sus casas para expulsarlos de la zona, pero a las mujeres jóvenes se les apartaba del montón y se les violaba; luego eran regresadas al grupo. Esto no sólo ocurría en pueblos, también en campamentos de refugiados del lado serbio de la frontera o a los </w:t>
      </w:r>
      <w:proofErr w:type="spellStart"/>
      <w:r w:rsidRPr="00516B96">
        <w:rPr>
          <w:rFonts w:ascii="Times New Roman" w:hAnsi="Times New Roman" w:cs="Times New Roman"/>
          <w:sz w:val="24"/>
          <w:szCs w:val="24"/>
        </w:rPr>
        <w:t>convoys</w:t>
      </w:r>
      <w:proofErr w:type="spellEnd"/>
      <w:r w:rsidRPr="00516B96">
        <w:rPr>
          <w:rFonts w:ascii="Times New Roman" w:hAnsi="Times New Roman" w:cs="Times New Roman"/>
          <w:sz w:val="24"/>
          <w:szCs w:val="24"/>
        </w:rPr>
        <w:t>, etc.</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Al final de la guerra habían huido de sus casas más de 790 000 </w:t>
      </w:r>
      <w:proofErr w:type="spellStart"/>
      <w:r w:rsidRPr="00516B96">
        <w:rPr>
          <w:rFonts w:ascii="Times New Roman" w:hAnsi="Times New Roman" w:cs="Times New Roman"/>
          <w:sz w:val="24"/>
          <w:szCs w:val="24"/>
        </w:rPr>
        <w:t>albokosovares</w:t>
      </w:r>
      <w:proofErr w:type="spellEnd"/>
      <w:r w:rsidRPr="00516B96">
        <w:rPr>
          <w:rFonts w:ascii="Times New Roman" w:hAnsi="Times New Roman" w:cs="Times New Roman"/>
          <w:sz w:val="24"/>
          <w:szCs w:val="24"/>
        </w:rPr>
        <w:t>, y unos 450 000 serbios también se retiraban de las ciudades.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El tratado técnico con el que finalizó la guerra estipulaba que los refugiados debían volver a sus hogares en el menor lapso de tiempo. Los refugiados </w:t>
      </w:r>
      <w:proofErr w:type="spellStart"/>
      <w:r w:rsidRPr="00516B96">
        <w:rPr>
          <w:rFonts w:ascii="Times New Roman" w:hAnsi="Times New Roman" w:cs="Times New Roman"/>
          <w:sz w:val="24"/>
          <w:szCs w:val="24"/>
        </w:rPr>
        <w:t>albokosovares</w:t>
      </w:r>
      <w:proofErr w:type="spellEnd"/>
      <w:r w:rsidRPr="00516B96">
        <w:rPr>
          <w:rFonts w:ascii="Times New Roman" w:hAnsi="Times New Roman" w:cs="Times New Roman"/>
          <w:sz w:val="24"/>
          <w:szCs w:val="24"/>
        </w:rPr>
        <w:t xml:space="preserve"> celebraron el fin de la guerra y agradecieron la presencia de la OTAN (bajo la bandera de las naciones Unidas) que les garantizaba su seguridad. Aunque ven como "enemigo" a Rusia y no desean su presencia en la zona ocupada por legiones extranjeras.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 xml:space="preserve">Poco a poco los </w:t>
      </w:r>
      <w:proofErr w:type="spellStart"/>
      <w:r w:rsidRPr="00516B96">
        <w:rPr>
          <w:rFonts w:ascii="Times New Roman" w:hAnsi="Times New Roman" w:cs="Times New Roman"/>
          <w:sz w:val="24"/>
          <w:szCs w:val="24"/>
        </w:rPr>
        <w:t>albokosovares</w:t>
      </w:r>
      <w:proofErr w:type="spellEnd"/>
      <w:r w:rsidRPr="00516B96">
        <w:rPr>
          <w:rFonts w:ascii="Times New Roman" w:hAnsi="Times New Roman" w:cs="Times New Roman"/>
          <w:sz w:val="24"/>
          <w:szCs w:val="24"/>
        </w:rPr>
        <w:t xml:space="preserve"> comenzaron a regresar a sus casas, interviniendo las tropas de paz para que este proceso fuera ordenado y seguro para tantos cientos de miles de refugiados. Después de unos días de iniciarse el periodo de paz ya habían retornado a sus hogares trescientos mil refugiados, más de la tercera parte del total que habían escapado a la guerra.</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Para el 29 de junio de 1999 sólo quedaban 342 400 refugiados en los países limítrofes, el resto ya habían regresado a sus hogares. La cruz roja realizaba gestiones para permitir el pronto retorno de los desplazados. Unos 415 000 refugiados ya habían regresado a sus hogares.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Prácticamente todos los refugiados regresaron a su patria (un 99%)</w:t>
      </w:r>
      <w:r w:rsidR="0062770A" w:rsidRPr="00516B96">
        <w:rPr>
          <w:rFonts w:ascii="Times New Roman" w:hAnsi="Times New Roman" w:cs="Times New Roman"/>
          <w:sz w:val="24"/>
          <w:szCs w:val="24"/>
        </w:rPr>
        <w:t xml:space="preserve"> </w:t>
      </w:r>
      <w:r w:rsidRPr="00516B96">
        <w:rPr>
          <w:rFonts w:ascii="Times New Roman" w:hAnsi="Times New Roman" w:cs="Times New Roman"/>
          <w:sz w:val="24"/>
          <w:szCs w:val="24"/>
        </w:rPr>
        <w:t>y ahora ya se sienten seguros por la presencia de las fuerzas de paz y porque ya no ven serbios policías ni militares y menos paramilitares.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Uno de los principales puntos de discordia para concluir con la guerra trataba sobre las tropas que la OTAN deseaba tener sobre territorio kosovar y convertir esta provincia en un protectorado de los aliados. A esto no sólo se oponía Yugoslavia, también otros países como China y en </w:t>
      </w:r>
      <w:proofErr w:type="gramStart"/>
      <w:r w:rsidRPr="00516B96">
        <w:rPr>
          <w:rFonts w:ascii="Times New Roman" w:hAnsi="Times New Roman" w:cs="Times New Roman"/>
          <w:sz w:val="24"/>
          <w:szCs w:val="24"/>
        </w:rPr>
        <w:t>mucho</w:t>
      </w:r>
      <w:proofErr w:type="gramEnd"/>
      <w:r w:rsidRPr="00516B96">
        <w:rPr>
          <w:rFonts w:ascii="Times New Roman" w:hAnsi="Times New Roman" w:cs="Times New Roman"/>
          <w:sz w:val="24"/>
          <w:szCs w:val="24"/>
        </w:rPr>
        <w:t xml:space="preserve"> mayor medida Rusia daban a conocer su disconformidad con dicho hecho.</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Rusia propuso que también tropas suyas se ubicaran en la provincia, propuesta que fue aceptada de muy buena manera por Serbia pero no por el pueblo </w:t>
      </w:r>
      <w:proofErr w:type="spellStart"/>
      <w:r w:rsidRPr="00516B96">
        <w:rPr>
          <w:rFonts w:ascii="Times New Roman" w:hAnsi="Times New Roman" w:cs="Times New Roman"/>
          <w:sz w:val="24"/>
          <w:szCs w:val="24"/>
        </w:rPr>
        <w:t>albokosovar</w:t>
      </w:r>
      <w:proofErr w:type="spellEnd"/>
      <w:r w:rsidRPr="00516B96">
        <w:rPr>
          <w:rFonts w:ascii="Times New Roman" w:hAnsi="Times New Roman" w:cs="Times New Roman"/>
          <w:sz w:val="24"/>
          <w:szCs w:val="24"/>
        </w:rPr>
        <w:t xml:space="preserve">. Después de muchas negociaciones y de una inmensa presión de ambas partes en conflicto (la OTAN no cedía y seguía bombardeando Yugoslavia, mientras que Serbia exigía que las negociaciones se debían llevar a cabo bajo la bandera de las Naciones Unidas) se "repartió" Kósovo en cinco partes y las tropas de la OTAN serían </w:t>
      </w:r>
      <w:r w:rsidR="00FF4D67" w:rsidRPr="00516B96">
        <w:rPr>
          <w:rFonts w:ascii="Times New Roman" w:hAnsi="Times New Roman" w:cs="Times New Roman"/>
          <w:sz w:val="24"/>
          <w:szCs w:val="24"/>
        </w:rPr>
        <w:t>apoyadas por el Consejo de S</w:t>
      </w:r>
      <w:r w:rsidRPr="00516B96">
        <w:rPr>
          <w:rFonts w:ascii="Times New Roman" w:hAnsi="Times New Roman" w:cs="Times New Roman"/>
          <w:sz w:val="24"/>
          <w:szCs w:val="24"/>
        </w:rPr>
        <w:t>eguridad de la ONU. La OTAN llevó más de 48 000 hombres mientras que Rusia prometió unos 12 000.</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La principal fricción que hubo fue que los rusos no deseaban aceptar el mandato de la OTAN en la provincia de Kósovo y sin pedirle permiso a nadie realizó un operativo de desplazamiento de tropas en el cual 200 paracaidistas se apoderaron del aeropuerto de Pristina. Este hecho disgustó sobremanera a los aliados.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Después de largas horas de negociaciones Rusia aceptó un único mando para la fuerza de paz (KFOR) dirigida principalmente por la OTAN. Sobre esto se enfatizó que Rusia </w:t>
      </w:r>
      <w:r w:rsidRPr="00516B96">
        <w:rPr>
          <w:rFonts w:ascii="Times New Roman" w:hAnsi="Times New Roman" w:cs="Times New Roman"/>
          <w:sz w:val="24"/>
          <w:szCs w:val="24"/>
        </w:rPr>
        <w:lastRenderedPageBreak/>
        <w:t>no contaría con un sector "propio" en Kósovo ya que todo estaría bajo el mismo mando, pero que todas las tropas rusas se ubicarían en una misma zona.</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Ambos sectores de la KFOR (el ruso y la OTAN) defienden a etnias distintas, aunque los rusos tienen predilección por los serbios ya que ambos son eslavos, mientras que los aliados tienen preferencia por los pobladores </w:t>
      </w:r>
      <w:proofErr w:type="spellStart"/>
      <w:r w:rsidRPr="00516B96">
        <w:rPr>
          <w:rFonts w:ascii="Times New Roman" w:hAnsi="Times New Roman" w:cs="Times New Roman"/>
          <w:sz w:val="24"/>
          <w:szCs w:val="24"/>
        </w:rPr>
        <w:t>albokosovares</w:t>
      </w:r>
      <w:proofErr w:type="spellEnd"/>
      <w:r w:rsidRPr="00516B96">
        <w:rPr>
          <w:rFonts w:ascii="Times New Roman" w:hAnsi="Times New Roman" w:cs="Times New Roman"/>
          <w:sz w:val="24"/>
          <w:szCs w:val="24"/>
        </w:rPr>
        <w:t xml:space="preserve">; </w:t>
      </w:r>
      <w:r w:rsidR="00FF4D67" w:rsidRPr="00516B96">
        <w:rPr>
          <w:rFonts w:ascii="Times New Roman" w:hAnsi="Times New Roman" w:cs="Times New Roman"/>
          <w:sz w:val="24"/>
          <w:szCs w:val="24"/>
        </w:rPr>
        <w:t>hace falta recordar</w:t>
      </w:r>
      <w:r w:rsidRPr="00516B96">
        <w:rPr>
          <w:rFonts w:ascii="Times New Roman" w:hAnsi="Times New Roman" w:cs="Times New Roman"/>
          <w:sz w:val="24"/>
          <w:szCs w:val="24"/>
        </w:rPr>
        <w:t xml:space="preserve"> que esta guerra se inició cuando la OTAN quiso impedir la "limpieza étnica". Por esta razón también discrepaban los dos bloques.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Como es lógico pensar no todos los pobladores recibieron con los brazos abiertos a los nuevos "inquilinos", por parte de los </w:t>
      </w:r>
      <w:proofErr w:type="spellStart"/>
      <w:r w:rsidRPr="00516B96">
        <w:rPr>
          <w:rFonts w:ascii="Times New Roman" w:hAnsi="Times New Roman" w:cs="Times New Roman"/>
          <w:sz w:val="24"/>
          <w:szCs w:val="24"/>
        </w:rPr>
        <w:t>albokosovares</w:t>
      </w:r>
      <w:proofErr w:type="spellEnd"/>
      <w:r w:rsidRPr="00516B96">
        <w:rPr>
          <w:rFonts w:ascii="Times New Roman" w:hAnsi="Times New Roman" w:cs="Times New Roman"/>
          <w:sz w:val="24"/>
          <w:szCs w:val="24"/>
        </w:rPr>
        <w:t xml:space="preserve"> vieron con muy malos ojos la presencia de Rusia en su territorio, lo consideraban un enemigo, como a los serbios. Los serbios no estaban de acuerdo con la presencia de la OTAN en la provincia.</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Los guerrilleros Kosovares (que gozaban de una extraña simpatía con la OTAN) lo primero que dijeron fue que no habría paz mientras que tropas rusas ocupasen parte de Kósovo, a lo que sin demora Rusia propuso que la primera medida que debería tomar la fuerza de paz en Kósovo debía ser el desarme del ejército de liberación kosovar (UCK).</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El primer muerto a manos de la KFOR fue un franco tirador serbio, el cual había disparado a la fuerza alemana que se encontraba en la región; en el tiroteo también falleció un alemán de la KFOR y otras tres personas resultaron heridas.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Dos soldados de la fuerza británica murieron al intentar desactivar un explosivo ubicado en una escuela en el poblado de </w:t>
      </w:r>
      <w:proofErr w:type="spellStart"/>
      <w:r w:rsidRPr="00516B96">
        <w:rPr>
          <w:rFonts w:ascii="Times New Roman" w:hAnsi="Times New Roman" w:cs="Times New Roman"/>
          <w:sz w:val="24"/>
          <w:szCs w:val="24"/>
        </w:rPr>
        <w:t>Negrovce</w:t>
      </w:r>
      <w:proofErr w:type="spellEnd"/>
      <w:r w:rsidRPr="00516B96">
        <w:rPr>
          <w:rFonts w:ascii="Times New Roman" w:hAnsi="Times New Roman" w:cs="Times New Roman"/>
          <w:sz w:val="24"/>
          <w:szCs w:val="24"/>
        </w:rPr>
        <w:t>, al sur de Kósovo; en el incidente fallecieron dos civiles y un tercero resultó herido. Esta bomba resultó ser una bomba de la OTAN que no había estallado en su debido tiempo.</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La OTAN asumió la responsabilidad conjunta con Rusia de desarmar las fuerzas guerrilleras independentistas. Esta responsabilidad figuraba en el tratado entre la ONU y Yugoslavia para lograr la paz definitiva, se dijo que si era necesario usarían la fuerza contra este ejército terrorista, así mismo la OTAN le pidió al UCK que depusiera las armas.</w:t>
      </w:r>
    </w:p>
    <w:p w:rsidR="00D739FA" w:rsidRPr="00516B96" w:rsidRDefault="00D739FA" w:rsidP="00D739FA">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En Pristina hubo tiroteos entre el ejército de liberación kosovar (UCK) y fuerzas británicas que conforman el KFOR. La fuerza pacificadora tuvo que afrontar dos grandes problemas:</w:t>
      </w:r>
    </w:p>
    <w:p w:rsidR="00D739FA" w:rsidRPr="00516B96" w:rsidRDefault="00D739FA" w:rsidP="00D739FA">
      <w:pPr>
        <w:pStyle w:val="Prrafodelista"/>
        <w:numPr>
          <w:ilvl w:val="0"/>
          <w:numId w:val="3"/>
        </w:num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 xml:space="preserve">Controlar a los </w:t>
      </w:r>
      <w:proofErr w:type="spellStart"/>
      <w:r w:rsidRPr="00516B96">
        <w:rPr>
          <w:rFonts w:ascii="Times New Roman" w:hAnsi="Times New Roman" w:cs="Times New Roman"/>
          <w:sz w:val="24"/>
          <w:szCs w:val="24"/>
        </w:rPr>
        <w:t>albokosovares</w:t>
      </w:r>
      <w:proofErr w:type="spellEnd"/>
      <w:r w:rsidRPr="00516B96">
        <w:rPr>
          <w:rFonts w:ascii="Times New Roman" w:hAnsi="Times New Roman" w:cs="Times New Roman"/>
          <w:sz w:val="24"/>
          <w:szCs w:val="24"/>
        </w:rPr>
        <w:t xml:space="preserve"> que atacaban a los serbios.</w:t>
      </w:r>
    </w:p>
    <w:p w:rsidR="00D739FA" w:rsidRPr="00516B96" w:rsidRDefault="00D739FA" w:rsidP="00D739FA">
      <w:pPr>
        <w:pStyle w:val="Prrafodelista"/>
        <w:numPr>
          <w:ilvl w:val="0"/>
          <w:numId w:val="3"/>
        </w:num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Combatir a un ejército terrorista que según ellos controlaban la tercera parte de la provincia de Kósovo y que contaba con un gran apoyo popular.</w:t>
      </w:r>
    </w:p>
    <w:p w:rsidR="00D739FA" w:rsidRPr="00516B96" w:rsidRDefault="00D739FA" w:rsidP="00D739FA">
      <w:pPr>
        <w:pStyle w:val="NormalWeb"/>
        <w:spacing w:line="360" w:lineRule="auto"/>
        <w:jc w:val="both"/>
      </w:pPr>
      <w:r w:rsidRPr="00516B96">
        <w:t xml:space="preserve">Minorías serbias y gitanas comenzaron a ser agredidas por los refugiados que retornaban triunfantes a su tierra. Pareciera que estas personas (los </w:t>
      </w:r>
      <w:proofErr w:type="spellStart"/>
      <w:r w:rsidRPr="00516B96">
        <w:t>albokosovares</w:t>
      </w:r>
      <w:proofErr w:type="spellEnd"/>
      <w:r w:rsidRPr="00516B96">
        <w:t xml:space="preserve">) ya no recordaban lo que era tener que salir de sus casas por temor a ser apedreado o lastimado por otros. Se puede decir que toda la ira contenida de los </w:t>
      </w:r>
      <w:proofErr w:type="spellStart"/>
      <w:r w:rsidRPr="00516B96">
        <w:t>albokosovares</w:t>
      </w:r>
      <w:proofErr w:type="spellEnd"/>
      <w:r w:rsidRPr="00516B96">
        <w:t xml:space="preserve"> se hacía presente una vez que los oficiales serbios fueron "removidos" de la provincia.</w:t>
      </w:r>
    </w:p>
    <w:p w:rsidR="00D739FA" w:rsidRPr="00516B96" w:rsidRDefault="00D739FA" w:rsidP="00D739FA">
      <w:pPr>
        <w:pStyle w:val="NormalWeb"/>
        <w:spacing w:line="360" w:lineRule="auto"/>
        <w:jc w:val="both"/>
      </w:pPr>
      <w:r w:rsidRPr="00516B96">
        <w:t xml:space="preserve">Los </w:t>
      </w:r>
      <w:proofErr w:type="spellStart"/>
      <w:r w:rsidRPr="00516B96">
        <w:t>albokosovares</w:t>
      </w:r>
      <w:proofErr w:type="spellEnd"/>
      <w:r w:rsidRPr="00516B96">
        <w:t xml:space="preserve"> sabiéndose superiores en número y sin temor a las fuerzas serbias comenzaron a tomarse la revancha con los serbios, que sin poder impedir esto y al no tener quién los protegiera (las fuerzas aliadas no hacían nada para solucionar el problema, parecía que eran imparciales y favoreciendo a los kosovares de origen albanés) optaron por escapar de la provincia; en menos de un mes más del 55 por ciento de la minoría serbia en Kósovo ya había escapado de las atrocidades de los </w:t>
      </w:r>
      <w:proofErr w:type="spellStart"/>
      <w:r w:rsidRPr="00516B96">
        <w:t>albokosovares</w:t>
      </w:r>
      <w:proofErr w:type="spellEnd"/>
      <w:r w:rsidRPr="00516B96">
        <w:t>.</w:t>
      </w:r>
    </w:p>
    <w:p w:rsidR="00D739FA" w:rsidRPr="00516B96" w:rsidRDefault="00D739FA" w:rsidP="00D739FA">
      <w:pPr>
        <w:pStyle w:val="NormalWeb"/>
        <w:spacing w:line="360" w:lineRule="auto"/>
        <w:jc w:val="both"/>
      </w:pPr>
      <w:r w:rsidRPr="00516B96">
        <w:t>Las casas deshabitadas pertenecientes a los serbios eran constantemente saqueadas, al igual que sus negocios.</w:t>
      </w:r>
    </w:p>
    <w:p w:rsidR="00D739FA" w:rsidRPr="00516B96" w:rsidRDefault="00D739FA" w:rsidP="00D739FA">
      <w:pPr>
        <w:pStyle w:val="NormalWeb"/>
        <w:spacing w:line="360" w:lineRule="auto"/>
        <w:jc w:val="both"/>
      </w:pPr>
      <w:r w:rsidRPr="00516B96">
        <w:t>No se crea que estos hechos ocurrían sólo en pueblos o ciudades chicas, hasta en la misma capital, Pristina, sucedía esto, y eso que ésta era custodiada intensamente por fuerzas canadienses e inglesas.</w:t>
      </w:r>
    </w:p>
    <w:p w:rsidR="00D739FA" w:rsidRPr="00516B96" w:rsidRDefault="00D739FA" w:rsidP="00D739FA">
      <w:pPr>
        <w:pStyle w:val="NormalWeb"/>
        <w:spacing w:line="360" w:lineRule="auto"/>
        <w:jc w:val="both"/>
      </w:pPr>
      <w:r w:rsidRPr="00516B96">
        <w:t xml:space="preserve">Ciudades de gran importancia como son </w:t>
      </w:r>
      <w:proofErr w:type="spellStart"/>
      <w:r w:rsidRPr="00516B96">
        <w:t>Prizren</w:t>
      </w:r>
      <w:proofErr w:type="spellEnd"/>
      <w:r w:rsidRPr="00516B96">
        <w:t xml:space="preserve">, en el sur, o </w:t>
      </w:r>
      <w:proofErr w:type="spellStart"/>
      <w:r w:rsidRPr="00516B96">
        <w:t>Pec</w:t>
      </w:r>
      <w:proofErr w:type="spellEnd"/>
      <w:r w:rsidRPr="00516B96">
        <w:t xml:space="preserve">, en el oeste, se </w:t>
      </w:r>
      <w:r w:rsidR="00FF4D67" w:rsidRPr="00516B96">
        <w:t>quedaron</w:t>
      </w:r>
      <w:r w:rsidRPr="00516B96">
        <w:t xml:space="preserve"> prácticamente vacías de serbios, mientras regresaban los refugiados </w:t>
      </w:r>
      <w:proofErr w:type="spellStart"/>
      <w:r w:rsidRPr="00516B96">
        <w:t>albokosovares</w:t>
      </w:r>
      <w:proofErr w:type="spellEnd"/>
      <w:r w:rsidRPr="00516B96">
        <w:t>.</w:t>
      </w:r>
    </w:p>
    <w:p w:rsidR="00D739FA" w:rsidRPr="00516B96" w:rsidRDefault="00D739FA" w:rsidP="00D739FA">
      <w:pPr>
        <w:pStyle w:val="NormalWeb"/>
        <w:spacing w:line="360" w:lineRule="auto"/>
        <w:jc w:val="both"/>
      </w:pPr>
      <w:r w:rsidRPr="00516B96">
        <w:t xml:space="preserve">Mientras todo esto sucedía la iglesia Ortodoxa serbia pedía a la comunidad internacional "una acción urgente" para proteger a la minoría serbia y que se les garantizase su seguridad. Según ellos se debía proteger a los serbios que habitaban Kósovo de los continuos ataques que sufrieron por parte de los </w:t>
      </w:r>
      <w:proofErr w:type="spellStart"/>
      <w:r w:rsidRPr="00516B96">
        <w:t>albokosovares</w:t>
      </w:r>
      <w:proofErr w:type="spellEnd"/>
      <w:r w:rsidRPr="00516B96">
        <w:t>.</w:t>
      </w:r>
    </w:p>
    <w:p w:rsidR="00D739FA" w:rsidRPr="00516B96" w:rsidRDefault="00D739FA" w:rsidP="00D739FA">
      <w:pPr>
        <w:pStyle w:val="NormalWeb"/>
        <w:spacing w:line="360" w:lineRule="auto"/>
        <w:jc w:val="both"/>
      </w:pPr>
      <w:r w:rsidRPr="00516B96">
        <w:t xml:space="preserve">Se colige de todo esto que la "limpieza étnica" no sólo fue llevada a cabo por el gobierno serbio, sino que los civiles </w:t>
      </w:r>
      <w:proofErr w:type="spellStart"/>
      <w:r w:rsidRPr="00516B96">
        <w:t>albokosovares</w:t>
      </w:r>
      <w:proofErr w:type="spellEnd"/>
      <w:r w:rsidRPr="00516B96">
        <w:t xml:space="preserve"> (anteriormente afectados por la </w:t>
      </w:r>
      <w:r w:rsidRPr="00516B96">
        <w:lastRenderedPageBreak/>
        <w:t>"limpieza étnica") también la practicaron, lo que acrecentó la enemistad entre estas dos etnias.</w:t>
      </w:r>
    </w:p>
    <w:p w:rsidR="00D739FA" w:rsidRPr="00516B96" w:rsidRDefault="00D739FA" w:rsidP="00D739FA">
      <w:pPr>
        <w:spacing w:line="360" w:lineRule="auto"/>
        <w:ind w:left="360"/>
        <w:jc w:val="both"/>
        <w:rPr>
          <w:rFonts w:ascii="Times New Roman" w:hAnsi="Times New Roman" w:cs="Times New Roman"/>
          <w:sz w:val="24"/>
          <w:szCs w:val="24"/>
        </w:rPr>
      </w:pPr>
    </w:p>
    <w:p w:rsidR="00D739FA" w:rsidRPr="00516B96" w:rsidRDefault="00D739FA" w:rsidP="00D739FA">
      <w:pPr>
        <w:spacing w:line="360" w:lineRule="auto"/>
        <w:jc w:val="both"/>
        <w:rPr>
          <w:rFonts w:ascii="Times New Roman" w:hAnsi="Times New Roman" w:cs="Times New Roman"/>
          <w:sz w:val="24"/>
          <w:szCs w:val="24"/>
        </w:rPr>
      </w:pPr>
    </w:p>
    <w:p w:rsidR="00D739FA" w:rsidRPr="00516B96" w:rsidRDefault="00D739FA" w:rsidP="00D739FA">
      <w:pPr>
        <w:spacing w:line="360" w:lineRule="auto"/>
        <w:jc w:val="both"/>
        <w:rPr>
          <w:rFonts w:ascii="Times New Roman" w:hAnsi="Times New Roman" w:cs="Times New Roman"/>
          <w:bCs/>
          <w:iCs/>
          <w:sz w:val="24"/>
        </w:rPr>
      </w:pPr>
    </w:p>
    <w:p w:rsidR="00E96552" w:rsidRPr="00516B96" w:rsidRDefault="00E96552">
      <w:pPr>
        <w:rPr>
          <w:rFonts w:ascii="Times New Roman" w:hAnsi="Times New Roman" w:cs="Times New Roman"/>
          <w:lang w:val="es-EC"/>
        </w:rPr>
      </w:pPr>
    </w:p>
    <w:p w:rsidR="006E7F21" w:rsidRPr="00516B96" w:rsidRDefault="006E7F21">
      <w:pPr>
        <w:rPr>
          <w:rFonts w:ascii="Times New Roman" w:hAnsi="Times New Roman" w:cs="Times New Roman"/>
          <w:sz w:val="24"/>
          <w:szCs w:val="24"/>
        </w:rPr>
      </w:pPr>
      <w:r w:rsidRPr="00516B96">
        <w:rPr>
          <w:rFonts w:ascii="Times New Roman" w:hAnsi="Times New Roman" w:cs="Times New Roman"/>
          <w:sz w:val="24"/>
          <w:szCs w:val="24"/>
        </w:rPr>
        <w:br w:type="page"/>
      </w:r>
    </w:p>
    <w:p w:rsidR="00366D27" w:rsidRPr="00516B96" w:rsidRDefault="00366D27" w:rsidP="00366D27">
      <w:pPr>
        <w:jc w:val="center"/>
        <w:rPr>
          <w:rFonts w:ascii="Times New Roman" w:hAnsi="Times New Roman" w:cs="Times New Roman"/>
          <w:b/>
          <w:sz w:val="24"/>
          <w:szCs w:val="24"/>
        </w:rPr>
      </w:pPr>
      <w:r w:rsidRPr="00516B96">
        <w:rPr>
          <w:rFonts w:ascii="Times New Roman" w:hAnsi="Times New Roman" w:cs="Times New Roman"/>
          <w:b/>
          <w:sz w:val="24"/>
          <w:szCs w:val="24"/>
        </w:rPr>
        <w:lastRenderedPageBreak/>
        <w:t>CAPÍTULO I</w:t>
      </w:r>
      <w:r w:rsidR="00145AE9">
        <w:rPr>
          <w:rFonts w:ascii="Times New Roman" w:hAnsi="Times New Roman" w:cs="Times New Roman"/>
          <w:b/>
          <w:sz w:val="24"/>
          <w:szCs w:val="24"/>
        </w:rPr>
        <w:t>V</w:t>
      </w:r>
    </w:p>
    <w:p w:rsidR="00366D27" w:rsidRPr="00516B96" w:rsidRDefault="00366D27" w:rsidP="00366D27">
      <w:pPr>
        <w:spacing w:after="0"/>
        <w:jc w:val="center"/>
        <w:rPr>
          <w:rFonts w:ascii="Times New Roman" w:hAnsi="Times New Roman" w:cs="Times New Roman"/>
          <w:b/>
          <w:sz w:val="24"/>
          <w:szCs w:val="24"/>
        </w:rPr>
      </w:pPr>
      <w:r w:rsidRPr="00516B96">
        <w:rPr>
          <w:rFonts w:ascii="Times New Roman" w:hAnsi="Times New Roman" w:cs="Times New Roman"/>
          <w:b/>
          <w:sz w:val="24"/>
          <w:szCs w:val="24"/>
        </w:rPr>
        <w:t>EL TRIBUNAL PENAL PARA LA EX YUGOSLAVIA</w:t>
      </w:r>
    </w:p>
    <w:p w:rsidR="00366D27" w:rsidRPr="00516B96" w:rsidRDefault="00366D27" w:rsidP="00366D27">
      <w:pPr>
        <w:spacing w:after="0"/>
        <w:jc w:val="center"/>
        <w:rPr>
          <w:rFonts w:ascii="Times New Roman" w:hAnsi="Times New Roman" w:cs="Times New Roman"/>
          <w:b/>
          <w:sz w:val="24"/>
          <w:szCs w:val="24"/>
        </w:rPr>
      </w:pPr>
      <w:r w:rsidRPr="00516B96">
        <w:rPr>
          <w:rFonts w:ascii="Times New Roman" w:hAnsi="Times New Roman" w:cs="Times New Roman"/>
          <w:b/>
          <w:sz w:val="24"/>
          <w:szCs w:val="24"/>
        </w:rPr>
        <w:t>-JUSTICIA PARA LA PAZ-</w:t>
      </w:r>
    </w:p>
    <w:p w:rsidR="00366D27" w:rsidRPr="00516B96" w:rsidRDefault="00366D27" w:rsidP="00366D27">
      <w:pPr>
        <w:spacing w:after="0"/>
        <w:jc w:val="both"/>
        <w:rPr>
          <w:rFonts w:ascii="Times New Roman" w:hAnsi="Times New Roman" w:cs="Times New Roman"/>
          <w:b/>
          <w:i/>
          <w:sz w:val="24"/>
          <w:szCs w:val="24"/>
        </w:rPr>
      </w:pPr>
    </w:p>
    <w:p w:rsidR="00366D27" w:rsidRPr="00516B96" w:rsidRDefault="00366D27" w:rsidP="00366D27">
      <w:pPr>
        <w:autoSpaceDE w:val="0"/>
        <w:autoSpaceDN w:val="0"/>
        <w:adjustRightInd w:val="0"/>
        <w:spacing w:after="0" w:line="240" w:lineRule="auto"/>
        <w:jc w:val="right"/>
        <w:rPr>
          <w:rFonts w:ascii="Times New Roman" w:hAnsi="Times New Roman" w:cs="Times New Roman"/>
          <w:i/>
          <w:color w:val="231F20"/>
          <w:sz w:val="16"/>
          <w:szCs w:val="16"/>
        </w:rPr>
      </w:pPr>
      <w:r w:rsidRPr="00516B96">
        <w:rPr>
          <w:rFonts w:ascii="Times New Roman" w:hAnsi="Times New Roman" w:cs="Times New Roman"/>
          <w:i/>
          <w:color w:val="231F20"/>
          <w:sz w:val="16"/>
          <w:szCs w:val="16"/>
        </w:rPr>
        <w:t>“Si Alemania puede expulsar decenas de miles de judíos y Rusia</w:t>
      </w:r>
    </w:p>
    <w:p w:rsidR="00366D27" w:rsidRPr="00516B96" w:rsidRDefault="00366D27" w:rsidP="00366D27">
      <w:pPr>
        <w:autoSpaceDE w:val="0"/>
        <w:autoSpaceDN w:val="0"/>
        <w:adjustRightInd w:val="0"/>
        <w:spacing w:after="0" w:line="240" w:lineRule="auto"/>
        <w:jc w:val="right"/>
        <w:rPr>
          <w:rFonts w:ascii="Times New Roman" w:hAnsi="Times New Roman" w:cs="Times New Roman"/>
          <w:i/>
          <w:color w:val="231F20"/>
          <w:sz w:val="16"/>
          <w:szCs w:val="16"/>
        </w:rPr>
      </w:pPr>
      <w:proofErr w:type="spellStart"/>
      <w:proofErr w:type="gramStart"/>
      <w:r w:rsidRPr="00516B96">
        <w:rPr>
          <w:rFonts w:ascii="Times New Roman" w:hAnsi="Times New Roman" w:cs="Times New Roman"/>
          <w:i/>
          <w:color w:val="231F20"/>
          <w:sz w:val="16"/>
          <w:szCs w:val="16"/>
        </w:rPr>
        <w:t>transplantar</w:t>
      </w:r>
      <w:proofErr w:type="spellEnd"/>
      <w:proofErr w:type="gramEnd"/>
      <w:r w:rsidRPr="00516B96">
        <w:rPr>
          <w:rFonts w:ascii="Times New Roman" w:hAnsi="Times New Roman" w:cs="Times New Roman"/>
          <w:i/>
          <w:color w:val="231F20"/>
          <w:sz w:val="16"/>
          <w:szCs w:val="16"/>
        </w:rPr>
        <w:t xml:space="preserve"> millones de hombres de un extremo a otro del continente, la</w:t>
      </w:r>
    </w:p>
    <w:p w:rsidR="00366D27" w:rsidRPr="00516B96" w:rsidRDefault="00366D27" w:rsidP="00366D27">
      <w:pPr>
        <w:autoSpaceDE w:val="0"/>
        <w:autoSpaceDN w:val="0"/>
        <w:adjustRightInd w:val="0"/>
        <w:spacing w:after="0" w:line="240" w:lineRule="auto"/>
        <w:jc w:val="right"/>
        <w:rPr>
          <w:rFonts w:ascii="Times New Roman" w:hAnsi="Times New Roman" w:cs="Times New Roman"/>
          <w:i/>
          <w:color w:val="231F20"/>
          <w:sz w:val="16"/>
          <w:szCs w:val="16"/>
        </w:rPr>
      </w:pPr>
      <w:proofErr w:type="gramStart"/>
      <w:r w:rsidRPr="00516B96">
        <w:rPr>
          <w:rFonts w:ascii="Times New Roman" w:hAnsi="Times New Roman" w:cs="Times New Roman"/>
          <w:i/>
          <w:color w:val="231F20"/>
          <w:sz w:val="16"/>
          <w:szCs w:val="16"/>
        </w:rPr>
        <w:t>transferencia</w:t>
      </w:r>
      <w:proofErr w:type="gramEnd"/>
      <w:r w:rsidRPr="00516B96">
        <w:rPr>
          <w:rFonts w:ascii="Times New Roman" w:hAnsi="Times New Roman" w:cs="Times New Roman"/>
          <w:i/>
          <w:color w:val="231F20"/>
          <w:sz w:val="16"/>
          <w:szCs w:val="16"/>
        </w:rPr>
        <w:t xml:space="preserve"> de algunas centenas de Albaneses no hará estallar una</w:t>
      </w:r>
    </w:p>
    <w:p w:rsidR="00366D27" w:rsidRPr="00516B96" w:rsidRDefault="00366D27" w:rsidP="00366D27">
      <w:pPr>
        <w:autoSpaceDE w:val="0"/>
        <w:autoSpaceDN w:val="0"/>
        <w:adjustRightInd w:val="0"/>
        <w:spacing w:after="0" w:line="240" w:lineRule="auto"/>
        <w:jc w:val="right"/>
        <w:rPr>
          <w:rFonts w:ascii="Times New Roman" w:hAnsi="Times New Roman" w:cs="Times New Roman"/>
          <w:i/>
          <w:color w:val="231F20"/>
          <w:sz w:val="16"/>
          <w:szCs w:val="16"/>
        </w:rPr>
      </w:pPr>
      <w:proofErr w:type="gramStart"/>
      <w:r w:rsidRPr="00516B96">
        <w:rPr>
          <w:rFonts w:ascii="Times New Roman" w:hAnsi="Times New Roman" w:cs="Times New Roman"/>
          <w:i/>
          <w:color w:val="231F20"/>
          <w:sz w:val="16"/>
          <w:szCs w:val="16"/>
        </w:rPr>
        <w:t>guerra</w:t>
      </w:r>
      <w:proofErr w:type="gramEnd"/>
      <w:r w:rsidRPr="00516B96">
        <w:rPr>
          <w:rFonts w:ascii="Times New Roman" w:hAnsi="Times New Roman" w:cs="Times New Roman"/>
          <w:i/>
          <w:color w:val="231F20"/>
          <w:sz w:val="16"/>
          <w:szCs w:val="16"/>
        </w:rPr>
        <w:t xml:space="preserve"> mundial.”</w:t>
      </w:r>
    </w:p>
    <w:p w:rsidR="00366D27" w:rsidRPr="00516B96" w:rsidRDefault="00366D27" w:rsidP="00366D27">
      <w:pPr>
        <w:spacing w:after="0"/>
        <w:jc w:val="right"/>
        <w:rPr>
          <w:rFonts w:ascii="Times New Roman" w:hAnsi="Times New Roman" w:cs="Times New Roman"/>
          <w:i/>
          <w:sz w:val="16"/>
          <w:szCs w:val="16"/>
        </w:rPr>
      </w:pPr>
      <w:r w:rsidRPr="00516B96">
        <w:rPr>
          <w:rFonts w:ascii="Times New Roman" w:hAnsi="Times New Roman" w:cs="Times New Roman"/>
          <w:i/>
          <w:color w:val="231F20"/>
          <w:sz w:val="16"/>
          <w:szCs w:val="16"/>
        </w:rPr>
        <w:t xml:space="preserve">Vasa </w:t>
      </w:r>
      <w:proofErr w:type="spellStart"/>
      <w:r w:rsidRPr="00516B96">
        <w:rPr>
          <w:rFonts w:ascii="Times New Roman" w:hAnsi="Times New Roman" w:cs="Times New Roman"/>
          <w:i/>
          <w:color w:val="231F20"/>
          <w:sz w:val="16"/>
          <w:szCs w:val="16"/>
        </w:rPr>
        <w:t>Cubrilovic</w:t>
      </w:r>
      <w:proofErr w:type="spellEnd"/>
      <w:r w:rsidRPr="00516B96">
        <w:rPr>
          <w:rFonts w:ascii="Times New Roman" w:hAnsi="Times New Roman" w:cs="Times New Roman"/>
          <w:i/>
          <w:color w:val="231F20"/>
          <w:sz w:val="16"/>
          <w:szCs w:val="16"/>
        </w:rPr>
        <w:t xml:space="preserve">, </w:t>
      </w:r>
      <w:r w:rsidRPr="00516B96">
        <w:rPr>
          <w:rFonts w:ascii="Times New Roman" w:hAnsi="Times New Roman" w:cs="Times New Roman"/>
          <w:i/>
          <w:iCs/>
          <w:color w:val="231F20"/>
          <w:sz w:val="16"/>
          <w:szCs w:val="16"/>
        </w:rPr>
        <w:t>La expulsión de los Albaneses</w:t>
      </w:r>
      <w:proofErr w:type="gramStart"/>
      <w:r w:rsidRPr="00516B96">
        <w:rPr>
          <w:rFonts w:ascii="Times New Roman" w:hAnsi="Times New Roman" w:cs="Times New Roman"/>
          <w:i/>
          <w:color w:val="231F20"/>
          <w:sz w:val="16"/>
          <w:szCs w:val="16"/>
        </w:rPr>
        <w:t>,1937</w:t>
      </w:r>
      <w:proofErr w:type="gramEnd"/>
      <w:r w:rsidRPr="00516B96">
        <w:rPr>
          <w:rFonts w:ascii="Times New Roman" w:hAnsi="Times New Roman" w:cs="Times New Roman"/>
          <w:i/>
          <w:color w:val="231F20"/>
          <w:sz w:val="16"/>
          <w:szCs w:val="16"/>
        </w:rPr>
        <w:t>.</w:t>
      </w:r>
    </w:p>
    <w:p w:rsidR="00366D27" w:rsidRPr="00516B96" w:rsidRDefault="00366D27" w:rsidP="00366D27">
      <w:pPr>
        <w:spacing w:after="0"/>
        <w:jc w:val="both"/>
        <w:rPr>
          <w:rFonts w:ascii="Times New Roman" w:hAnsi="Times New Roman" w:cs="Times New Roman"/>
          <w:i/>
          <w:sz w:val="24"/>
          <w:szCs w:val="24"/>
        </w:rPr>
      </w:pPr>
    </w:p>
    <w:p w:rsidR="00366D27" w:rsidRPr="00516B96" w:rsidRDefault="00366D27" w:rsidP="00366D27">
      <w:pPr>
        <w:spacing w:after="0" w:line="360" w:lineRule="auto"/>
        <w:jc w:val="both"/>
        <w:rPr>
          <w:rFonts w:ascii="Times New Roman" w:hAnsi="Times New Roman" w:cs="Times New Roman"/>
          <w:sz w:val="24"/>
          <w:szCs w:val="24"/>
          <w:u w:val="single"/>
        </w:rPr>
      </w:pPr>
      <w:r w:rsidRPr="00516B96">
        <w:rPr>
          <w:rFonts w:ascii="Times New Roman" w:hAnsi="Times New Roman" w:cs="Times New Roman"/>
          <w:sz w:val="24"/>
          <w:szCs w:val="24"/>
        </w:rPr>
        <w:t>I</w:t>
      </w:r>
      <w:r w:rsidR="00F4167B">
        <w:rPr>
          <w:rFonts w:ascii="Times New Roman" w:hAnsi="Times New Roman" w:cs="Times New Roman"/>
          <w:sz w:val="24"/>
          <w:szCs w:val="24"/>
        </w:rPr>
        <w:t>V</w:t>
      </w:r>
      <w:r w:rsidRPr="00516B96">
        <w:rPr>
          <w:rFonts w:ascii="Times New Roman" w:hAnsi="Times New Roman" w:cs="Times New Roman"/>
          <w:sz w:val="24"/>
          <w:szCs w:val="24"/>
        </w:rPr>
        <w:t>.I.</w:t>
      </w:r>
      <w:r w:rsidRPr="00516B96">
        <w:rPr>
          <w:rFonts w:ascii="Times New Roman" w:hAnsi="Times New Roman" w:cs="Times New Roman"/>
          <w:sz w:val="24"/>
          <w:szCs w:val="24"/>
        </w:rPr>
        <w:tab/>
      </w:r>
      <w:r w:rsidRPr="00516B96">
        <w:rPr>
          <w:rFonts w:ascii="Times New Roman" w:hAnsi="Times New Roman" w:cs="Times New Roman"/>
          <w:sz w:val="24"/>
          <w:szCs w:val="24"/>
          <w:u w:val="single"/>
        </w:rPr>
        <w:t>Introducción</w:t>
      </w:r>
    </w:p>
    <w:p w:rsidR="00366D27" w:rsidRPr="00516B96" w:rsidRDefault="00366D27" w:rsidP="00366D27">
      <w:pPr>
        <w:spacing w:after="0" w:line="360" w:lineRule="auto"/>
        <w:jc w:val="both"/>
        <w:rPr>
          <w:rFonts w:ascii="Times New Roman" w:hAnsi="Times New Roman" w:cs="Times New Roman"/>
          <w:sz w:val="24"/>
          <w:szCs w:val="24"/>
          <w:u w:val="single"/>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Al invocar el Capítulo VII de la Carta de la Organización de las Naciones Unidas como fundamento de su decisión de crear un Tribunal Penal Internacional </w:t>
      </w:r>
      <w:r w:rsidRPr="00516B96">
        <w:rPr>
          <w:rFonts w:ascii="Times New Roman" w:hAnsi="Times New Roman" w:cs="Times New Roman"/>
          <w:i/>
          <w:sz w:val="24"/>
          <w:szCs w:val="24"/>
        </w:rPr>
        <w:t xml:space="preserve">ad hoc, </w:t>
      </w:r>
      <w:r w:rsidRPr="00516B96">
        <w:rPr>
          <w:rFonts w:ascii="Times New Roman" w:hAnsi="Times New Roman" w:cs="Times New Roman"/>
          <w:sz w:val="24"/>
          <w:szCs w:val="24"/>
        </w:rPr>
        <w:t xml:space="preserve">el Consejo de Seguridad de las Naciones Unidas abrió amplias perspectivas para la consolidación de instancias judiciales como mecanismos a los que la </w:t>
      </w:r>
      <w:r w:rsidR="00FF4D67" w:rsidRPr="00516B96">
        <w:rPr>
          <w:rFonts w:ascii="Times New Roman" w:hAnsi="Times New Roman" w:cs="Times New Roman"/>
          <w:sz w:val="24"/>
          <w:szCs w:val="24"/>
        </w:rPr>
        <w:t>C</w:t>
      </w:r>
      <w:r w:rsidRPr="00516B96">
        <w:rPr>
          <w:rFonts w:ascii="Times New Roman" w:hAnsi="Times New Roman" w:cs="Times New Roman"/>
          <w:sz w:val="24"/>
          <w:szCs w:val="24"/>
        </w:rPr>
        <w:t xml:space="preserve">omunidad </w:t>
      </w:r>
      <w:r w:rsidR="00FF4D67" w:rsidRPr="00516B96">
        <w:rPr>
          <w:rFonts w:ascii="Times New Roman" w:hAnsi="Times New Roman" w:cs="Times New Roman"/>
          <w:sz w:val="24"/>
          <w:szCs w:val="24"/>
        </w:rPr>
        <w:t>I</w:t>
      </w:r>
      <w:r w:rsidRPr="00516B96">
        <w:rPr>
          <w:rFonts w:ascii="Times New Roman" w:hAnsi="Times New Roman" w:cs="Times New Roman"/>
          <w:sz w:val="24"/>
          <w:szCs w:val="24"/>
        </w:rPr>
        <w:t>nternacional puede recurrir para mantener o restablecer la paz y la seguridad internacionales.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FF4D6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La Resolución 808</w:t>
      </w:r>
      <w:r w:rsidR="00366D27" w:rsidRPr="00516B96">
        <w:rPr>
          <w:rFonts w:ascii="Times New Roman" w:hAnsi="Times New Roman" w:cs="Times New Roman"/>
          <w:sz w:val="24"/>
          <w:szCs w:val="24"/>
        </w:rPr>
        <w:t xml:space="preserve"> de 22 de febrero de 1993 que decidió la creación de un tribunal internacional para juzgar a las personas presuntamente responsables de violaciones graves al Derecho Internacional Humanitario cometidas en el territorio de la ex-Yugoslavia después de 1991, representó también la primera oportunidad histórica para juzgar a presuntos responsables de crímenes de guerra en un Tribunal verdaderamente internacional –no únicamente multinacional como </w:t>
      </w:r>
      <w:proofErr w:type="spellStart"/>
      <w:r w:rsidR="00366D27" w:rsidRPr="00516B96">
        <w:rPr>
          <w:rFonts w:ascii="Times New Roman" w:hAnsi="Times New Roman" w:cs="Times New Roman"/>
          <w:sz w:val="24"/>
          <w:szCs w:val="24"/>
        </w:rPr>
        <w:t>Nüremberg</w:t>
      </w:r>
      <w:proofErr w:type="spellEnd"/>
      <w:r w:rsidR="00366D27" w:rsidRPr="00516B96">
        <w:rPr>
          <w:rFonts w:ascii="Times New Roman" w:hAnsi="Times New Roman" w:cs="Times New Roman"/>
          <w:sz w:val="24"/>
          <w:szCs w:val="24"/>
        </w:rPr>
        <w:t>-, y estableció un precedente inédito hasta entonces en el accionar del Consejo de Seguridad y de la Asamblea General de las Naciones Unidas.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La creación de este Tribunal –que sería seguida poco después por la decisión de establecer otro Tribunal </w:t>
      </w:r>
      <w:r w:rsidRPr="00516B96">
        <w:rPr>
          <w:rFonts w:ascii="Times New Roman" w:hAnsi="Times New Roman" w:cs="Times New Roman"/>
          <w:i/>
          <w:sz w:val="24"/>
          <w:szCs w:val="24"/>
        </w:rPr>
        <w:t xml:space="preserve">ad hoc, </w:t>
      </w:r>
      <w:r w:rsidRPr="00516B96">
        <w:rPr>
          <w:rFonts w:ascii="Times New Roman" w:hAnsi="Times New Roman" w:cs="Times New Roman"/>
          <w:sz w:val="24"/>
          <w:szCs w:val="24"/>
        </w:rPr>
        <w:t xml:space="preserve">encargado éste de juzgar el genocidio cometido en Ruanda en 1994- ha representado también una oportunidad única para llegar a la paz por la vía de la justicia. De igual modo, un reconocimiento a las víctimas inocentes de violaciones graves, masivas y sistemáticas de los </w:t>
      </w:r>
      <w:r w:rsidR="00FF4D67" w:rsidRPr="00516B96">
        <w:rPr>
          <w:rFonts w:ascii="Times New Roman" w:hAnsi="Times New Roman" w:cs="Times New Roman"/>
          <w:sz w:val="24"/>
          <w:szCs w:val="24"/>
        </w:rPr>
        <w:t>D</w:t>
      </w:r>
      <w:r w:rsidRPr="00516B96">
        <w:rPr>
          <w:rFonts w:ascii="Times New Roman" w:hAnsi="Times New Roman" w:cs="Times New Roman"/>
          <w:sz w:val="24"/>
          <w:szCs w:val="24"/>
        </w:rPr>
        <w:t xml:space="preserve">erechos </w:t>
      </w:r>
      <w:r w:rsidR="00FF4D67" w:rsidRPr="00516B96">
        <w:rPr>
          <w:rFonts w:ascii="Times New Roman" w:hAnsi="Times New Roman" w:cs="Times New Roman"/>
          <w:sz w:val="24"/>
          <w:szCs w:val="24"/>
        </w:rPr>
        <w:t>H</w:t>
      </w:r>
      <w:r w:rsidRPr="00516B96">
        <w:rPr>
          <w:rFonts w:ascii="Times New Roman" w:hAnsi="Times New Roman" w:cs="Times New Roman"/>
          <w:sz w:val="24"/>
          <w:szCs w:val="24"/>
        </w:rPr>
        <w:t xml:space="preserve">umanos </w:t>
      </w:r>
      <w:r w:rsidR="00FF4D67" w:rsidRPr="00516B96">
        <w:rPr>
          <w:rFonts w:ascii="Times New Roman" w:hAnsi="Times New Roman" w:cs="Times New Roman"/>
          <w:sz w:val="24"/>
          <w:szCs w:val="24"/>
        </w:rPr>
        <w:t>f</w:t>
      </w:r>
      <w:r w:rsidRPr="00516B96">
        <w:rPr>
          <w:rFonts w:ascii="Times New Roman" w:hAnsi="Times New Roman" w:cs="Times New Roman"/>
          <w:sz w:val="24"/>
          <w:szCs w:val="24"/>
        </w:rPr>
        <w:t>undamentales de su derecho a ser oídas; y un instrumento para castigar a los culpables dentro de los estrictos principios jurídicos de garantías judiciales que distinguen a la justicia de la venganza.</w:t>
      </w:r>
    </w:p>
    <w:p w:rsidR="00366D27" w:rsidRPr="00516B96" w:rsidRDefault="00366D27" w:rsidP="00366D27">
      <w:pPr>
        <w:spacing w:after="0" w:line="360" w:lineRule="auto"/>
        <w:jc w:val="both"/>
        <w:rPr>
          <w:rFonts w:ascii="Times New Roman" w:hAnsi="Times New Roman" w:cs="Times New Roman"/>
          <w:sz w:val="24"/>
          <w:szCs w:val="24"/>
        </w:rPr>
      </w:pPr>
    </w:p>
    <w:p w:rsidR="009336FA" w:rsidRDefault="009336FA"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I</w:t>
      </w:r>
      <w:r w:rsidR="00F4167B">
        <w:rPr>
          <w:rFonts w:ascii="Times New Roman" w:hAnsi="Times New Roman" w:cs="Times New Roman"/>
          <w:sz w:val="24"/>
          <w:szCs w:val="24"/>
        </w:rPr>
        <w:t>V</w:t>
      </w:r>
      <w:r w:rsidRPr="00516B96">
        <w:rPr>
          <w:rFonts w:ascii="Times New Roman" w:hAnsi="Times New Roman" w:cs="Times New Roman"/>
          <w:sz w:val="24"/>
          <w:szCs w:val="24"/>
        </w:rPr>
        <w:t>.II.</w:t>
      </w:r>
      <w:r w:rsidRPr="00516B96">
        <w:rPr>
          <w:rFonts w:ascii="Times New Roman" w:hAnsi="Times New Roman" w:cs="Times New Roman"/>
          <w:sz w:val="24"/>
          <w:szCs w:val="24"/>
        </w:rPr>
        <w:tab/>
      </w:r>
      <w:r w:rsidRPr="00516B96">
        <w:rPr>
          <w:rFonts w:ascii="Times New Roman" w:hAnsi="Times New Roman" w:cs="Times New Roman"/>
          <w:sz w:val="24"/>
          <w:szCs w:val="24"/>
          <w:u w:val="single"/>
        </w:rPr>
        <w:t>Antecedentes</w:t>
      </w:r>
      <w:r w:rsidR="0015368D" w:rsidRPr="00516B96">
        <w:rPr>
          <w:rFonts w:ascii="Times New Roman" w:hAnsi="Times New Roman" w:cs="Times New Roman"/>
          <w:sz w:val="24"/>
          <w:szCs w:val="24"/>
        </w:rPr>
        <w:t>:</w:t>
      </w:r>
    </w:p>
    <w:p w:rsidR="00366D27" w:rsidRDefault="00366D27" w:rsidP="00366D27">
      <w:pPr>
        <w:spacing w:after="0" w:line="360" w:lineRule="auto"/>
        <w:jc w:val="both"/>
        <w:rPr>
          <w:rFonts w:ascii="Times New Roman" w:hAnsi="Times New Roman" w:cs="Times New Roman"/>
          <w:sz w:val="24"/>
          <w:szCs w:val="24"/>
        </w:rPr>
      </w:pPr>
    </w:p>
    <w:p w:rsidR="00923B40" w:rsidRDefault="00923B40" w:rsidP="00366D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Jorge </w:t>
      </w:r>
      <w:proofErr w:type="spellStart"/>
      <w:r w:rsidRPr="00923B40">
        <w:rPr>
          <w:rFonts w:ascii="Times New Roman" w:hAnsi="Times New Roman" w:cs="Times New Roman"/>
          <w:sz w:val="24"/>
          <w:szCs w:val="24"/>
        </w:rPr>
        <w:t>Rhenán</w:t>
      </w:r>
      <w:proofErr w:type="spellEnd"/>
      <w:r w:rsidRPr="00923B40">
        <w:rPr>
          <w:rFonts w:ascii="Times New Roman" w:hAnsi="Times New Roman" w:cs="Times New Roman"/>
          <w:sz w:val="24"/>
          <w:szCs w:val="24"/>
        </w:rPr>
        <w:t xml:space="preserve"> </w:t>
      </w:r>
      <w:r>
        <w:rPr>
          <w:rFonts w:ascii="Times New Roman" w:hAnsi="Times New Roman" w:cs="Times New Roman"/>
          <w:sz w:val="24"/>
          <w:szCs w:val="24"/>
        </w:rPr>
        <w:t>(1996) desarrolla los antecedentes de la creación del Tribunal Penal Internacional para la Antigua Yugoslavia de la siguiente manera:</w:t>
      </w:r>
    </w:p>
    <w:p w:rsidR="00923B40" w:rsidRPr="00516B96" w:rsidRDefault="00923B40" w:rsidP="00366D27">
      <w:pPr>
        <w:spacing w:after="0" w:line="360" w:lineRule="auto"/>
        <w:jc w:val="both"/>
        <w:rPr>
          <w:rFonts w:ascii="Times New Roman" w:hAnsi="Times New Roman" w:cs="Times New Roman"/>
          <w:sz w:val="24"/>
          <w:szCs w:val="24"/>
        </w:rPr>
      </w:pPr>
    </w:p>
    <w:p w:rsidR="00366D27" w:rsidRPr="00516B96" w:rsidRDefault="00366D27" w:rsidP="00366D27">
      <w:pPr>
        <w:pStyle w:val="Prrafodelista"/>
        <w:numPr>
          <w:ilvl w:val="0"/>
          <w:numId w:val="4"/>
        </w:num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Históricos: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La idea de juzgar a los responsables de violaciones contra las leyes y las costumbres de la guerra no es nueva en ningún sentido y así se refleja en los códigos militares de diversos países.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Durante siglos, los comandantes militares, desde Enrique V de Inglaterra, con sus famosas ordenanzas de guerra en 1419, hasta los juicios contra los soldados norteamericanos envueltos en la masacre de </w:t>
      </w:r>
      <w:proofErr w:type="spellStart"/>
      <w:r w:rsidRPr="00516B96">
        <w:rPr>
          <w:rFonts w:ascii="Times New Roman" w:hAnsi="Times New Roman" w:cs="Times New Roman"/>
          <w:sz w:val="24"/>
          <w:szCs w:val="24"/>
        </w:rPr>
        <w:t>My</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Lai</w:t>
      </w:r>
      <w:proofErr w:type="spellEnd"/>
      <w:r w:rsidRPr="00516B96">
        <w:rPr>
          <w:rFonts w:ascii="Times New Roman" w:hAnsi="Times New Roman" w:cs="Times New Roman"/>
          <w:sz w:val="24"/>
          <w:szCs w:val="24"/>
        </w:rPr>
        <w:t xml:space="preserve"> y juzgados  de acuerdo con el Código de la Justicia Militar de los Estados Unidos, han aplicado tales leyes contra los responsables de crímenes de guerra.</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En otros casos, los Estados han llevado a juicio a prisioneros de guerra por violaciones cometidas contra las leyes y costumbres de la guerra.</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Pero en ninguna de las dos situaciones (militares juzgando a sus propios soldados o los Estados enjuiciando a prisioneros vencidos en una guerra), el sistema judicial ha funcionado eficientemente. Excepto en el caso de una derrota total –el ejemplo de Alemania después de la Segunda Guerra Mundial-, juicios por crímenes de guerra contra soldados enemigos y sus comandantes o responsables políticos, han sido raros o difíciles. Los juicios en tribunales nacionales contra sus propios soldados o responsables militares o políticos, han sido más raros aún, dadas las consideraciones nacionalistas, propias de esas situaciones.</w:t>
      </w:r>
    </w:p>
    <w:p w:rsidR="00366D27" w:rsidRPr="00516B96" w:rsidRDefault="00366D27" w:rsidP="00366D27">
      <w:pPr>
        <w:spacing w:after="0" w:line="360" w:lineRule="auto"/>
        <w:jc w:val="both"/>
        <w:rPr>
          <w:rFonts w:ascii="Times New Roman" w:hAnsi="Times New Roman" w:cs="Times New Roman"/>
          <w:sz w:val="24"/>
          <w:szCs w:val="24"/>
        </w:rPr>
      </w:pPr>
    </w:p>
    <w:p w:rsidR="00FF4D6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El Tratado de Versalles que siguió a la Primera Guerra Mundial ilustra esta situación. Los países vencedores en esa guerra, obligaron a la vencida pero no totalmente ocupada Alemania a entregar a los aliados cerca de 900 personas acusadas de haber cometido violaciones a las leyes de la guerra. Pero aun un país entonces débil y vencido como Alemania, pudo resistir la presión de cumplir con lo que ordenaba el Tratado de </w:t>
      </w:r>
      <w:r w:rsidRPr="00516B96">
        <w:rPr>
          <w:rFonts w:ascii="Times New Roman" w:hAnsi="Times New Roman" w:cs="Times New Roman"/>
          <w:sz w:val="24"/>
          <w:szCs w:val="24"/>
        </w:rPr>
        <w:lastRenderedPageBreak/>
        <w:t xml:space="preserve">Versalles (artículos 227, 228 y 229) y Holanda se negó a entregar al Káiser Guillermo II, refugiado en su territorio. </w:t>
      </w:r>
    </w:p>
    <w:p w:rsidR="00FF4D67" w:rsidRPr="00516B96" w:rsidRDefault="00FF4D6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Los aliados finalmente aceptaron que cortes nacionales alemanas juzgar</w:t>
      </w:r>
      <w:r w:rsidR="00FF4D67" w:rsidRPr="00516B96">
        <w:rPr>
          <w:rFonts w:ascii="Times New Roman" w:hAnsi="Times New Roman" w:cs="Times New Roman"/>
          <w:sz w:val="24"/>
          <w:szCs w:val="24"/>
        </w:rPr>
        <w:t xml:space="preserve">an a </w:t>
      </w:r>
      <w:r w:rsidRPr="00516B96">
        <w:rPr>
          <w:rFonts w:ascii="Times New Roman" w:hAnsi="Times New Roman" w:cs="Times New Roman"/>
          <w:sz w:val="24"/>
          <w:szCs w:val="24"/>
        </w:rPr>
        <w:t>un número significativamente reducido de presuntos responsables de crímenes de guerra y las sentencias fueron  pocas y clementes. A pesar de sus enunciados (el Káiser y sus comandantes debían ser juzgados “por actos contrarios a las leyes y costumbres de la guerra” y “por ofensas supremas contra la moral internacional y la autoridad sagrada de los tratados”), el modelo de Versalles probó ser decepcionante frente a la necesidad de justicia.</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La necesidad de una jurisdicción penal internacional para juzgar a los Estados y a los individuos responsables de crímenes de carácter internacional, motivó las gestiones hechas en 1937 por la entonces existente Sociedad de Naciones de preparar una Convención en tal sentido. Las circunstancias políticas ya imperantes obligaron a abandonar de nuevo la idea, la cual reaparecerá recién al finalizar la segunda Guerra Mundial, impulsada por el horror colectivo del Holocausto y las demás atrocidades cometidas durante ese conflicto mundial.</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Al finalizar la Segunda Guerra Mundial, las cuatro principales potencias victoriosas y ocupantes</w:t>
      </w:r>
      <w:r w:rsidR="00495503" w:rsidRPr="00516B96">
        <w:rPr>
          <w:rFonts w:ascii="Times New Roman" w:hAnsi="Times New Roman" w:cs="Times New Roman"/>
          <w:sz w:val="24"/>
          <w:szCs w:val="24"/>
        </w:rPr>
        <w:t xml:space="preserve"> (Inglaterra, Francia, URSS y EE.UU.)</w:t>
      </w:r>
      <w:r w:rsidRPr="00516B96">
        <w:rPr>
          <w:rFonts w:ascii="Times New Roman" w:hAnsi="Times New Roman" w:cs="Times New Roman"/>
          <w:sz w:val="24"/>
          <w:szCs w:val="24"/>
        </w:rPr>
        <w:t xml:space="preserve">, establecieron un Tribunal Internacional Militar para juzgar en </w:t>
      </w:r>
      <w:proofErr w:type="spellStart"/>
      <w:r w:rsidRPr="00516B96">
        <w:rPr>
          <w:rFonts w:ascii="Times New Roman" w:hAnsi="Times New Roman" w:cs="Times New Roman"/>
          <w:sz w:val="24"/>
          <w:szCs w:val="24"/>
        </w:rPr>
        <w:t>Nüremberg</w:t>
      </w:r>
      <w:proofErr w:type="spellEnd"/>
      <w:r w:rsidRPr="00516B96">
        <w:rPr>
          <w:rFonts w:ascii="Times New Roman" w:hAnsi="Times New Roman" w:cs="Times New Roman"/>
          <w:sz w:val="24"/>
          <w:szCs w:val="24"/>
        </w:rPr>
        <w:t xml:space="preserve"> a los 20 máximos responsables de la guerra y varios miles de  criminales de guerra nazis fueron juzgados por cortes y tribunales nacionales, de conformidad con el Acuerdo N° 10 de Consejo de Control Aliado y bajo leyes nacionales.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El Tribunal de </w:t>
      </w:r>
      <w:proofErr w:type="spellStart"/>
      <w:r w:rsidRPr="00516B96">
        <w:rPr>
          <w:rFonts w:ascii="Times New Roman" w:hAnsi="Times New Roman" w:cs="Times New Roman"/>
          <w:sz w:val="24"/>
          <w:szCs w:val="24"/>
        </w:rPr>
        <w:t>Nüremberg</w:t>
      </w:r>
      <w:proofErr w:type="spellEnd"/>
      <w:r w:rsidRPr="00516B96">
        <w:rPr>
          <w:rFonts w:ascii="Times New Roman" w:hAnsi="Times New Roman" w:cs="Times New Roman"/>
          <w:sz w:val="24"/>
          <w:szCs w:val="24"/>
        </w:rPr>
        <w:t xml:space="preserve"> tuvo como base jurídica la denominada “Carta del Tribunal Militar Internacional” que estableció las competencias del Tribunal con respecto a crímenes contra la paz (</w:t>
      </w:r>
      <w:proofErr w:type="spellStart"/>
      <w:r w:rsidRPr="00516B96">
        <w:rPr>
          <w:rFonts w:ascii="Times New Roman" w:hAnsi="Times New Roman" w:cs="Times New Roman"/>
          <w:i/>
          <w:sz w:val="24"/>
          <w:szCs w:val="24"/>
        </w:rPr>
        <w:t>ius</w:t>
      </w:r>
      <w:proofErr w:type="spellEnd"/>
      <w:r w:rsidRPr="00516B96">
        <w:rPr>
          <w:rFonts w:ascii="Times New Roman" w:hAnsi="Times New Roman" w:cs="Times New Roman"/>
          <w:i/>
          <w:sz w:val="24"/>
          <w:szCs w:val="24"/>
        </w:rPr>
        <w:t xml:space="preserve"> ad </w:t>
      </w:r>
      <w:proofErr w:type="spellStart"/>
      <w:r w:rsidRPr="00516B96">
        <w:rPr>
          <w:rFonts w:ascii="Times New Roman" w:hAnsi="Times New Roman" w:cs="Times New Roman"/>
          <w:i/>
          <w:sz w:val="24"/>
          <w:szCs w:val="24"/>
        </w:rPr>
        <w:t>Bellum</w:t>
      </w:r>
      <w:proofErr w:type="spellEnd"/>
      <w:r w:rsidRPr="00516B96">
        <w:rPr>
          <w:rFonts w:ascii="Times New Roman" w:hAnsi="Times New Roman" w:cs="Times New Roman"/>
          <w:sz w:val="24"/>
          <w:szCs w:val="24"/>
        </w:rPr>
        <w:t>) y crímenes de guerra y crímenes contra la humanidad (</w:t>
      </w:r>
      <w:proofErr w:type="spellStart"/>
      <w:r w:rsidRPr="00516B96">
        <w:rPr>
          <w:rFonts w:ascii="Times New Roman" w:hAnsi="Times New Roman" w:cs="Times New Roman"/>
          <w:i/>
          <w:sz w:val="24"/>
          <w:szCs w:val="24"/>
        </w:rPr>
        <w:t>ius</w:t>
      </w:r>
      <w:proofErr w:type="spellEnd"/>
      <w:r w:rsidRPr="00516B96">
        <w:rPr>
          <w:rFonts w:ascii="Times New Roman" w:hAnsi="Times New Roman" w:cs="Times New Roman"/>
          <w:i/>
          <w:sz w:val="24"/>
          <w:szCs w:val="24"/>
        </w:rPr>
        <w:t xml:space="preserve"> in Bello</w:t>
      </w:r>
      <w:r w:rsidRPr="00516B96">
        <w:rPr>
          <w:rFonts w:ascii="Times New Roman" w:hAnsi="Times New Roman" w:cs="Times New Roman"/>
          <w:sz w:val="24"/>
          <w:szCs w:val="24"/>
        </w:rPr>
        <w:t>).</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En Tokio funcionó otro Tribunal multinacional, establecido éste mediante proclama del comandante en jefe norteamericano de las Fuerzas Armadas en el Lejano Oriente, Gral. </w:t>
      </w:r>
      <w:r w:rsidRPr="00516B96">
        <w:rPr>
          <w:rFonts w:ascii="Times New Roman" w:hAnsi="Times New Roman" w:cs="Times New Roman"/>
          <w:sz w:val="24"/>
          <w:szCs w:val="24"/>
        </w:rPr>
        <w:lastRenderedPageBreak/>
        <w:t>MacArthur, con el apoyo de los países victoriosos y de China. Este Tribunal aplic</w:t>
      </w:r>
      <w:r w:rsidR="00495503" w:rsidRPr="00516B96">
        <w:rPr>
          <w:rFonts w:ascii="Times New Roman" w:hAnsi="Times New Roman" w:cs="Times New Roman"/>
          <w:sz w:val="24"/>
          <w:szCs w:val="24"/>
        </w:rPr>
        <w:t xml:space="preserve">ó los principios jurídicos de </w:t>
      </w:r>
      <w:proofErr w:type="spellStart"/>
      <w:r w:rsidR="00495503" w:rsidRPr="00516B96">
        <w:rPr>
          <w:rFonts w:ascii="Times New Roman" w:hAnsi="Times New Roman" w:cs="Times New Roman"/>
          <w:sz w:val="24"/>
          <w:szCs w:val="24"/>
        </w:rPr>
        <w:t>Nü</w:t>
      </w:r>
      <w:r w:rsidRPr="00516B96">
        <w:rPr>
          <w:rFonts w:ascii="Times New Roman" w:hAnsi="Times New Roman" w:cs="Times New Roman"/>
          <w:sz w:val="24"/>
          <w:szCs w:val="24"/>
        </w:rPr>
        <w:t>remberg</w:t>
      </w:r>
      <w:proofErr w:type="spellEnd"/>
      <w:r w:rsidRPr="00516B96">
        <w:rPr>
          <w:rFonts w:ascii="Times New Roman" w:hAnsi="Times New Roman" w:cs="Times New Roman"/>
          <w:sz w:val="24"/>
          <w:szCs w:val="24"/>
        </w:rPr>
        <w:t>.</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La Asamblea General de las Naciones Unidas, organización fundada en 1945, adoptó en los años sucesivos instrumentos jurídicos fundamentales para el desarrollo moderno de los Derechos Humanos y de Derecho Internacional Humanitario. Se probaron también las Cuatro Convenciones de Ginebra de 1949 y sus dos Protocolos Facultativos de 1977 y la Convención sobre la no aplicabilidad de medidas de prescripción a los crímenes de guerra y los crímenes contra la humanidad (Res. 2391 de 26 de noviembre de 1968). A partir de esta Convención se admite internacionalmente el carácter de imprescriptibles de los crímenes de guerra.</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En el artículo 6 de la Convención para la prevención y la represión del crimen de genocidio de 9 de diciembre de 1948 se prevé la posibilidad de juzgar a las personas acusadas de tal crimen ante “la Corte penal internacional que sea competente para las Partes Contratantes que hayan reconocido su jurisdicción”. Pero tal Corte no fue creada, ni tampoco la que menciona la Convención sobre la eliminación y la represión del crimen del </w:t>
      </w:r>
      <w:r w:rsidRPr="00516B96">
        <w:rPr>
          <w:rFonts w:ascii="Times New Roman" w:hAnsi="Times New Roman" w:cs="Times New Roman"/>
          <w:i/>
          <w:sz w:val="24"/>
          <w:szCs w:val="24"/>
        </w:rPr>
        <w:t>apartheid</w:t>
      </w:r>
      <w:r w:rsidRPr="00516B96">
        <w:rPr>
          <w:rFonts w:ascii="Times New Roman" w:hAnsi="Times New Roman" w:cs="Times New Roman"/>
          <w:sz w:val="24"/>
          <w:szCs w:val="24"/>
        </w:rPr>
        <w:t xml:space="preserve"> de 30 de noviembre de 1973, cuyo artículo V también menciona a un tribunal penal internacional.</w:t>
      </w:r>
    </w:p>
    <w:p w:rsidR="00366D27" w:rsidRPr="00516B96" w:rsidRDefault="00366D27" w:rsidP="00366D27">
      <w:pPr>
        <w:spacing w:after="0" w:line="360" w:lineRule="auto"/>
        <w:jc w:val="both"/>
        <w:rPr>
          <w:rFonts w:ascii="Times New Roman" w:hAnsi="Times New Roman" w:cs="Times New Roman"/>
          <w:sz w:val="24"/>
          <w:szCs w:val="24"/>
        </w:rPr>
      </w:pPr>
    </w:p>
    <w:p w:rsidR="00495503"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Adicionalmente, la idea de establecer una jurisdicción penal internacional y crear un órgano judicial encargado de aplicar la normativa internacional existente, se discut</w:t>
      </w:r>
      <w:r w:rsidR="00495503" w:rsidRPr="00516B96">
        <w:rPr>
          <w:rFonts w:ascii="Times New Roman" w:hAnsi="Times New Roman" w:cs="Times New Roman"/>
          <w:sz w:val="24"/>
          <w:szCs w:val="24"/>
        </w:rPr>
        <w:t>ía</w:t>
      </w:r>
      <w:r w:rsidRPr="00516B96">
        <w:rPr>
          <w:rFonts w:ascii="Times New Roman" w:hAnsi="Times New Roman" w:cs="Times New Roman"/>
          <w:sz w:val="24"/>
          <w:szCs w:val="24"/>
        </w:rPr>
        <w:t xml:space="preserve"> periódicamente en la Comisión de Derecho Internacional de las Naciones Unidas y en la Asamblea General desde hace largos años, finalmente, el proyecto de Estatuto de una Corte Penal Internacional Permanente se terminó de redactar en la Comisión en 1994 y fue  concluida en 1996, la Comisión adoptó el proyecto de un Código Penal Internacional. </w:t>
      </w:r>
    </w:p>
    <w:p w:rsidR="00495503" w:rsidRPr="00516B96" w:rsidRDefault="00495503"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El Tribunal Penal internacional que compete a este capítulo, fue creado por el Consejo de Seguridad de las Naciones Unidas con la única competencia de juzgar los crímenes de guerra y los crímenes contra la humanidad cometidos en la ex-Yugoslavia desde 1991.</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 xml:space="preserve">A pesar del </w:t>
      </w:r>
      <w:r w:rsidR="00495503" w:rsidRPr="00516B96">
        <w:rPr>
          <w:rFonts w:ascii="Times New Roman" w:hAnsi="Times New Roman" w:cs="Times New Roman"/>
          <w:sz w:val="24"/>
          <w:szCs w:val="24"/>
        </w:rPr>
        <w:t>gran</w:t>
      </w:r>
      <w:r w:rsidRPr="00516B96">
        <w:rPr>
          <w:rFonts w:ascii="Times New Roman" w:hAnsi="Times New Roman" w:cs="Times New Roman"/>
          <w:sz w:val="24"/>
          <w:szCs w:val="24"/>
        </w:rPr>
        <w:t xml:space="preserve"> desarrollo de los </w:t>
      </w:r>
      <w:r w:rsidR="00495503" w:rsidRPr="00516B96">
        <w:rPr>
          <w:rFonts w:ascii="Times New Roman" w:hAnsi="Times New Roman" w:cs="Times New Roman"/>
          <w:sz w:val="24"/>
          <w:szCs w:val="24"/>
        </w:rPr>
        <w:t>D</w:t>
      </w:r>
      <w:r w:rsidRPr="00516B96">
        <w:rPr>
          <w:rFonts w:ascii="Times New Roman" w:hAnsi="Times New Roman" w:cs="Times New Roman"/>
          <w:sz w:val="24"/>
          <w:szCs w:val="24"/>
        </w:rPr>
        <w:t xml:space="preserve">erechos </w:t>
      </w:r>
      <w:r w:rsidR="00495503" w:rsidRPr="00516B96">
        <w:rPr>
          <w:rFonts w:ascii="Times New Roman" w:hAnsi="Times New Roman" w:cs="Times New Roman"/>
          <w:sz w:val="24"/>
          <w:szCs w:val="24"/>
        </w:rPr>
        <w:t>H</w:t>
      </w:r>
      <w:r w:rsidRPr="00516B96">
        <w:rPr>
          <w:rFonts w:ascii="Times New Roman" w:hAnsi="Times New Roman" w:cs="Times New Roman"/>
          <w:sz w:val="24"/>
          <w:szCs w:val="24"/>
        </w:rPr>
        <w:t xml:space="preserve">umanos que sigue a la creación de las Naciones Unidas en 1945, ningún intento, -con las excepciones de </w:t>
      </w:r>
      <w:proofErr w:type="spellStart"/>
      <w:r w:rsidRPr="00516B96">
        <w:rPr>
          <w:rFonts w:ascii="Times New Roman" w:hAnsi="Times New Roman" w:cs="Times New Roman"/>
          <w:sz w:val="24"/>
          <w:szCs w:val="24"/>
        </w:rPr>
        <w:t>Nuremberg</w:t>
      </w:r>
      <w:proofErr w:type="spellEnd"/>
      <w:r w:rsidRPr="00516B96">
        <w:rPr>
          <w:rFonts w:ascii="Times New Roman" w:hAnsi="Times New Roman" w:cs="Times New Roman"/>
          <w:sz w:val="24"/>
          <w:szCs w:val="24"/>
        </w:rPr>
        <w:t xml:space="preserve"> y Tokio-, se había hecho para juzgar a los responsables de graves violaciones a lo</w:t>
      </w:r>
      <w:r w:rsidR="00495503" w:rsidRPr="00516B96">
        <w:rPr>
          <w:rFonts w:ascii="Times New Roman" w:hAnsi="Times New Roman" w:cs="Times New Roman"/>
          <w:sz w:val="24"/>
          <w:szCs w:val="24"/>
        </w:rPr>
        <w:t>s Derechos H</w:t>
      </w:r>
      <w:r w:rsidRPr="00516B96">
        <w:rPr>
          <w:rFonts w:ascii="Times New Roman" w:hAnsi="Times New Roman" w:cs="Times New Roman"/>
          <w:sz w:val="24"/>
          <w:szCs w:val="24"/>
        </w:rPr>
        <w:t xml:space="preserve">umanos y de crímenes contra la humanidad, con la débil excusa por parte de algunos de que las atrocidades cometidas no ocurrieron en el contexto de una guerra internacional. Los disturbios internos y aún las guerras civiles siempre han quedado fuera de los parámetros de crímenes de guerra o violaciones graves a los Convenios de Ginebra. </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La Guerra del Golfo Pérsico, que si fue una guerra internacional era una excelente oportunidad para la aplicación de las normas del Derecho Internacional Humanitario. Sin embargo, y a pesar de que el Consejo de Seguridad invocó la amenaza de perseguir a los iraquíes que hubieran violentado tales normas, la resoluc</w:t>
      </w:r>
      <w:r w:rsidR="00C021C4">
        <w:rPr>
          <w:rFonts w:ascii="Times New Roman" w:hAnsi="Times New Roman" w:cs="Times New Roman"/>
          <w:sz w:val="24"/>
          <w:szCs w:val="24"/>
        </w:rPr>
        <w:t>ión de cese de fuego no contenía</w:t>
      </w:r>
      <w:r w:rsidRPr="00516B96">
        <w:rPr>
          <w:rFonts w:ascii="Times New Roman" w:hAnsi="Times New Roman" w:cs="Times New Roman"/>
          <w:sz w:val="24"/>
          <w:szCs w:val="24"/>
        </w:rPr>
        <w:t xml:space="preserve"> una sola palabra acerca de la responsabilidad individual por tales actos. En cambio, la resolución de las Naciones Unidas (Res. 687 de 1991 de</w:t>
      </w:r>
      <w:r w:rsidR="00C021C4">
        <w:rPr>
          <w:rFonts w:ascii="Times New Roman" w:hAnsi="Times New Roman" w:cs="Times New Roman"/>
          <w:sz w:val="24"/>
          <w:szCs w:val="24"/>
        </w:rPr>
        <w:t>l Consejo de Seguridad) promulgó</w:t>
      </w:r>
      <w:r w:rsidRPr="00516B96">
        <w:rPr>
          <w:rFonts w:ascii="Times New Roman" w:hAnsi="Times New Roman" w:cs="Times New Roman"/>
          <w:sz w:val="24"/>
          <w:szCs w:val="24"/>
        </w:rPr>
        <w:t xml:space="preserve"> todo un sistema de re</w:t>
      </w:r>
      <w:r w:rsidR="00C021C4">
        <w:rPr>
          <w:rFonts w:ascii="Times New Roman" w:hAnsi="Times New Roman" w:cs="Times New Roman"/>
          <w:sz w:val="24"/>
          <w:szCs w:val="24"/>
        </w:rPr>
        <w:t>paraciones de guerra y estableció</w:t>
      </w:r>
      <w:r w:rsidRPr="00516B96">
        <w:rPr>
          <w:rFonts w:ascii="Times New Roman" w:hAnsi="Times New Roman" w:cs="Times New Roman"/>
          <w:sz w:val="24"/>
          <w:szCs w:val="24"/>
        </w:rPr>
        <w:t xml:space="preserve"> numerosas obligaciones para Iraq en áreas que van del desarme a la demarcación de fronteras.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pStyle w:val="Prrafodelista"/>
        <w:numPr>
          <w:ilvl w:val="0"/>
          <w:numId w:val="4"/>
        </w:num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La Creación del Tribunal</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De manera sintética, y en palabras del Tribunal, las principales razones por las cuales se llegó a la situación de</w:t>
      </w:r>
      <w:r w:rsidR="00495503" w:rsidRPr="00516B96">
        <w:rPr>
          <w:rFonts w:ascii="Times New Roman" w:hAnsi="Times New Roman" w:cs="Times New Roman"/>
          <w:sz w:val="24"/>
          <w:szCs w:val="24"/>
        </w:rPr>
        <w:t xml:space="preserve"> tan graves violaciones de los D</w:t>
      </w:r>
      <w:r w:rsidRPr="00516B96">
        <w:rPr>
          <w:rFonts w:ascii="Times New Roman" w:hAnsi="Times New Roman" w:cs="Times New Roman"/>
          <w:sz w:val="24"/>
          <w:szCs w:val="24"/>
        </w:rPr>
        <w:t xml:space="preserve">erechos </w:t>
      </w:r>
      <w:r w:rsidR="00495503" w:rsidRPr="00516B96">
        <w:rPr>
          <w:rFonts w:ascii="Times New Roman" w:hAnsi="Times New Roman" w:cs="Times New Roman"/>
          <w:sz w:val="24"/>
          <w:szCs w:val="24"/>
        </w:rPr>
        <w:t>H</w:t>
      </w:r>
      <w:r w:rsidRPr="00516B96">
        <w:rPr>
          <w:rFonts w:ascii="Times New Roman" w:hAnsi="Times New Roman" w:cs="Times New Roman"/>
          <w:sz w:val="24"/>
          <w:szCs w:val="24"/>
        </w:rPr>
        <w:t>umanos se podrían resumir de la siguiente forma:</w:t>
      </w:r>
    </w:p>
    <w:p w:rsidR="00366D27" w:rsidRPr="00516B96" w:rsidRDefault="00366D27" w:rsidP="00366D27">
      <w:pPr>
        <w:spacing w:after="0" w:line="360" w:lineRule="auto"/>
        <w:ind w:left="708"/>
        <w:jc w:val="both"/>
        <w:rPr>
          <w:rFonts w:ascii="Times New Roman" w:hAnsi="Times New Roman" w:cs="Times New Roman"/>
          <w:sz w:val="24"/>
          <w:szCs w:val="24"/>
        </w:rPr>
      </w:pPr>
    </w:p>
    <w:p w:rsidR="00366D27" w:rsidRPr="00516B96" w:rsidRDefault="00366D27" w:rsidP="00366D27">
      <w:pPr>
        <w:spacing w:after="0" w:line="360" w:lineRule="auto"/>
        <w:ind w:left="708"/>
        <w:jc w:val="both"/>
        <w:rPr>
          <w:rFonts w:ascii="Times New Roman" w:hAnsi="Times New Roman" w:cs="Times New Roman"/>
          <w:sz w:val="24"/>
          <w:szCs w:val="24"/>
        </w:rPr>
      </w:pPr>
      <w:r w:rsidRPr="00516B96">
        <w:rPr>
          <w:rFonts w:ascii="Times New Roman" w:hAnsi="Times New Roman" w:cs="Times New Roman"/>
          <w:sz w:val="24"/>
          <w:szCs w:val="24"/>
        </w:rPr>
        <w:t>Coincidiendo con el colapso del comunismo y el resurgimiento del nacionalismo en el este de Europa durante la década de 1980 y principios de 1990, Yugoslavia experimentó un período de crisis política y económica intensa. El gobierno central se debilitó mientras que el nacionalismo militante creció a buen ritmo. Al mismo tiempo, hubo una proliferación de partidos políticos divididos, por un lado, por aquellos que abogaban por la independencia absoluta de las repúblicas y, por otro lado, por aquellos que procuraban por un mayor poder para algunas repúblicas al interior de la Federación.</w:t>
      </w:r>
    </w:p>
    <w:p w:rsidR="00366D27" w:rsidRPr="00516B96" w:rsidRDefault="00366D27" w:rsidP="00366D27">
      <w:pPr>
        <w:spacing w:after="0" w:line="360" w:lineRule="auto"/>
        <w:ind w:left="708"/>
        <w:jc w:val="both"/>
        <w:rPr>
          <w:rFonts w:ascii="Times New Roman" w:hAnsi="Times New Roman" w:cs="Times New Roman"/>
          <w:sz w:val="24"/>
          <w:szCs w:val="24"/>
        </w:rPr>
      </w:pPr>
    </w:p>
    <w:p w:rsidR="00366D27" w:rsidRPr="00516B96" w:rsidRDefault="00366D27" w:rsidP="00366D27">
      <w:pPr>
        <w:spacing w:after="0" w:line="360" w:lineRule="auto"/>
        <w:ind w:left="708"/>
        <w:jc w:val="both"/>
        <w:rPr>
          <w:rFonts w:ascii="Times New Roman" w:hAnsi="Times New Roman" w:cs="Times New Roman"/>
          <w:sz w:val="24"/>
          <w:szCs w:val="24"/>
        </w:rPr>
      </w:pPr>
      <w:r w:rsidRPr="00516B96">
        <w:rPr>
          <w:rFonts w:ascii="Times New Roman" w:hAnsi="Times New Roman" w:cs="Times New Roman"/>
          <w:sz w:val="24"/>
          <w:szCs w:val="24"/>
        </w:rPr>
        <w:lastRenderedPageBreak/>
        <w:t xml:space="preserve">Los líderes políticos utilizaban la retórica nacionalista con el objeto de erosionar una identidad común yugoslava, la cual fue el catalizador del miedo y la desconfianza entre los diferentes grupos étnicos de esta región. </w:t>
      </w:r>
    </w:p>
    <w:p w:rsidR="00366D27" w:rsidRPr="00516B96" w:rsidRDefault="00366D27" w:rsidP="00366D27">
      <w:pPr>
        <w:spacing w:after="0" w:line="360" w:lineRule="auto"/>
        <w:ind w:left="708"/>
        <w:jc w:val="both"/>
        <w:rPr>
          <w:rFonts w:ascii="Times New Roman" w:hAnsi="Times New Roman" w:cs="Times New Roman"/>
          <w:sz w:val="24"/>
          <w:szCs w:val="24"/>
        </w:rPr>
      </w:pPr>
    </w:p>
    <w:p w:rsidR="00366D27" w:rsidRPr="00516B96" w:rsidRDefault="00366D27" w:rsidP="00D207D7">
      <w:pPr>
        <w:spacing w:after="0" w:line="360" w:lineRule="auto"/>
        <w:ind w:left="708"/>
        <w:jc w:val="both"/>
        <w:rPr>
          <w:rFonts w:ascii="Times New Roman" w:hAnsi="Times New Roman" w:cs="Times New Roman"/>
          <w:sz w:val="24"/>
          <w:szCs w:val="24"/>
        </w:rPr>
      </w:pPr>
      <w:r w:rsidRPr="00516B96">
        <w:rPr>
          <w:rFonts w:ascii="Times New Roman" w:hAnsi="Times New Roman" w:cs="Times New Roman"/>
          <w:sz w:val="24"/>
          <w:szCs w:val="24"/>
        </w:rPr>
        <w:t>Para 1991, el desmembramiento del país se puso de manifiesto con la proclamación de independencia de las Repúblicas de Eslovenia y Croacia respectivamente como consecuencia de las acusaciones hechas hacia la República Serbia sobre su dominio de la Federación de Yugoslavia el Ejército y las finanzas públicas. Serbia, a su vez, acusó a las dos repúblicas por sus intenciones separatistas</w:t>
      </w:r>
      <w:r w:rsidR="004D634D">
        <w:rPr>
          <w:rFonts w:ascii="Times New Roman" w:hAnsi="Times New Roman" w:cs="Times New Roman"/>
          <w:sz w:val="24"/>
          <w:szCs w:val="24"/>
        </w:rPr>
        <w:t xml:space="preserve"> (Carillo, 2002)</w:t>
      </w:r>
      <w:r w:rsidRPr="00516B96">
        <w:rPr>
          <w:rFonts w:ascii="Times New Roman" w:hAnsi="Times New Roman" w:cs="Times New Roman"/>
          <w:sz w:val="24"/>
          <w:szCs w:val="24"/>
        </w:rPr>
        <w:t>.</w:t>
      </w:r>
    </w:p>
    <w:p w:rsidR="00D207D7" w:rsidRPr="00516B96" w:rsidRDefault="00D207D7" w:rsidP="00D207D7">
      <w:pPr>
        <w:spacing w:after="0" w:line="360" w:lineRule="auto"/>
        <w:ind w:left="708"/>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En el verano de 1992, por revelaciones de la prensa norteamericana, confirmadas por la prensa europea, por el Comité Internacional de la Cruz Roja y por el Alto Comisionado de las Naciones Unidas para los Refugiados, la opinión pública mundial empieza a comprender la dimens</w:t>
      </w:r>
      <w:r w:rsidR="00C021C4">
        <w:rPr>
          <w:rFonts w:ascii="Times New Roman" w:hAnsi="Times New Roman" w:cs="Times New Roman"/>
          <w:sz w:val="24"/>
          <w:szCs w:val="24"/>
        </w:rPr>
        <w:t>ión de las atrocidades que estaban</w:t>
      </w:r>
      <w:r w:rsidRPr="00516B96">
        <w:rPr>
          <w:rFonts w:ascii="Times New Roman" w:hAnsi="Times New Roman" w:cs="Times New Roman"/>
          <w:sz w:val="24"/>
          <w:szCs w:val="24"/>
        </w:rPr>
        <w:t xml:space="preserve"> ocurriendo en la antigua Yugoslavia y especialmente, en Bosnia Herzegovina. La Comisió</w:t>
      </w:r>
      <w:r w:rsidR="00C021C4">
        <w:rPr>
          <w:rFonts w:ascii="Times New Roman" w:hAnsi="Times New Roman" w:cs="Times New Roman"/>
          <w:sz w:val="24"/>
          <w:szCs w:val="24"/>
        </w:rPr>
        <w:t>n de Derechos Humanos se declaró</w:t>
      </w:r>
      <w:r w:rsidRPr="00516B96">
        <w:rPr>
          <w:rFonts w:ascii="Times New Roman" w:hAnsi="Times New Roman" w:cs="Times New Roman"/>
          <w:sz w:val="24"/>
          <w:szCs w:val="24"/>
        </w:rPr>
        <w:t xml:space="preserve"> “aterrada” por informaciones que describen “violaciones generalizadas, masivas y graves de</w:t>
      </w:r>
      <w:r w:rsidR="00C021C4">
        <w:rPr>
          <w:rFonts w:ascii="Times New Roman" w:hAnsi="Times New Roman" w:cs="Times New Roman"/>
          <w:sz w:val="24"/>
          <w:szCs w:val="24"/>
        </w:rPr>
        <w:t xml:space="preserve"> los derechos humanos” y expresó</w:t>
      </w:r>
      <w:r w:rsidRPr="00516B96">
        <w:rPr>
          <w:rFonts w:ascii="Times New Roman" w:hAnsi="Times New Roman" w:cs="Times New Roman"/>
          <w:sz w:val="24"/>
          <w:szCs w:val="24"/>
        </w:rPr>
        <w:t xml:space="preserve"> la repulsión que le inspira el concepto de la práctica de la “purificación</w:t>
      </w:r>
      <w:r w:rsidR="00C021C4">
        <w:rPr>
          <w:rFonts w:ascii="Times New Roman" w:hAnsi="Times New Roman" w:cs="Times New Roman"/>
          <w:sz w:val="24"/>
          <w:szCs w:val="24"/>
        </w:rPr>
        <w:t xml:space="preserve"> étnica”, con actos que incluyeron</w:t>
      </w:r>
      <w:r w:rsidRPr="00516B96">
        <w:rPr>
          <w:rFonts w:ascii="Times New Roman" w:hAnsi="Times New Roman" w:cs="Times New Roman"/>
          <w:sz w:val="24"/>
          <w:szCs w:val="24"/>
        </w:rPr>
        <w:t xml:space="preserve"> ejecuciones sumarias y arbitrarias, violaciones, desaparición forzada de personas, torturas, tratamientos crueles, inhumanos y degradantes, detenciones arbitrarias, violación sistemática, embarazo y prostitución forzada de miles de mujeres, utilizadas como medio de depuración étnica y de terror. (Res. 1992/s-1 adoptada por la Comisión en su primera sesión extraordinaria el 14 de agosto de 1992).</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En este contexto, el Consejo de segurid</w:t>
      </w:r>
      <w:r w:rsidR="00C021C4">
        <w:rPr>
          <w:rFonts w:ascii="Times New Roman" w:hAnsi="Times New Roman" w:cs="Times New Roman"/>
          <w:sz w:val="24"/>
          <w:szCs w:val="24"/>
        </w:rPr>
        <w:t>ad de las Naciones Unidas adoptó</w:t>
      </w:r>
      <w:r w:rsidRPr="00516B96">
        <w:rPr>
          <w:rFonts w:ascii="Times New Roman" w:hAnsi="Times New Roman" w:cs="Times New Roman"/>
          <w:sz w:val="24"/>
          <w:szCs w:val="24"/>
        </w:rPr>
        <w:t xml:space="preserve"> una serie de resoluciones, entre las cuales cabe mencionar por su importancia las siguientes: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D207D7" w:rsidP="00366D27">
      <w:pPr>
        <w:pStyle w:val="Prrafodelista"/>
        <w:numPr>
          <w:ilvl w:val="0"/>
          <w:numId w:val="6"/>
        </w:num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Resolución</w:t>
      </w:r>
      <w:r w:rsidR="00366D27" w:rsidRPr="00516B96">
        <w:rPr>
          <w:rFonts w:ascii="Times New Roman" w:hAnsi="Times New Roman" w:cs="Times New Roman"/>
          <w:sz w:val="24"/>
          <w:szCs w:val="24"/>
        </w:rPr>
        <w:t xml:space="preserve"> 764 d</w:t>
      </w:r>
      <w:r w:rsidR="00C021C4">
        <w:rPr>
          <w:rFonts w:ascii="Times New Roman" w:hAnsi="Times New Roman" w:cs="Times New Roman"/>
          <w:sz w:val="24"/>
          <w:szCs w:val="24"/>
        </w:rPr>
        <w:t>e 13 de julio de 1992.- Reafirmó</w:t>
      </w:r>
      <w:r w:rsidR="00366D27" w:rsidRPr="00516B96">
        <w:rPr>
          <w:rFonts w:ascii="Times New Roman" w:hAnsi="Times New Roman" w:cs="Times New Roman"/>
          <w:sz w:val="24"/>
          <w:szCs w:val="24"/>
        </w:rPr>
        <w:t xml:space="preserve"> que todas las partes en el conflicto tienen el deber de cumplir con las obligaciones impuestas por el </w:t>
      </w:r>
      <w:r w:rsidRPr="00516B96">
        <w:rPr>
          <w:rFonts w:ascii="Times New Roman" w:hAnsi="Times New Roman" w:cs="Times New Roman"/>
          <w:sz w:val="24"/>
          <w:szCs w:val="24"/>
        </w:rPr>
        <w:t>D</w:t>
      </w:r>
      <w:r w:rsidR="00366D27" w:rsidRPr="00516B96">
        <w:rPr>
          <w:rFonts w:ascii="Times New Roman" w:hAnsi="Times New Roman" w:cs="Times New Roman"/>
          <w:sz w:val="24"/>
          <w:szCs w:val="24"/>
        </w:rPr>
        <w:t xml:space="preserve">erecho Internacional Humanitario, en particular, los Convenios de Ginebra de 1949. Establece, igualmente, que aquellas personas que cometan u ordenen la comisión de actos que impliquen violaciones graves de dichos Convenios serán personalmente responsables; esto es, se exige la </w:t>
      </w:r>
      <w:r w:rsidR="00366D27" w:rsidRPr="00516B96">
        <w:rPr>
          <w:rFonts w:ascii="Times New Roman" w:hAnsi="Times New Roman" w:cs="Times New Roman"/>
          <w:sz w:val="24"/>
          <w:szCs w:val="24"/>
        </w:rPr>
        <w:lastRenderedPageBreak/>
        <w:t>responsabilidad individual, a parte de cualquier responsabilidad de los Estados.</w:t>
      </w:r>
    </w:p>
    <w:p w:rsidR="00366D27" w:rsidRPr="00516B96" w:rsidRDefault="00D207D7" w:rsidP="00366D27">
      <w:pPr>
        <w:pStyle w:val="Prrafodelista"/>
        <w:numPr>
          <w:ilvl w:val="0"/>
          <w:numId w:val="6"/>
        </w:num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Resolución</w:t>
      </w:r>
      <w:r w:rsidR="00366D27" w:rsidRPr="00516B96">
        <w:rPr>
          <w:rFonts w:ascii="Times New Roman" w:hAnsi="Times New Roman" w:cs="Times New Roman"/>
          <w:sz w:val="24"/>
          <w:szCs w:val="24"/>
        </w:rPr>
        <w:t xml:space="preserve"> 771 de 13 de agosto de 1992.- Se exige a todas las partes que pongan término en forma inmediata a las violaciones del Derecho Internacional Humanitario que estaban perpetrando en Bosnia Herzegovina; condena en forma enérgica las violaciones y pide a los Estados y a las organizaciones internacionales humanitarias que reúnan información al respecto. En conformidad con el Capítulo VII de la Carta de las Naciones Unidas, el Consejo decidió que todas las partes y todas las fuerzas militares acataran lo dispuesto en la resolución, pues de lo contrario adoptaría nuevas medidas.</w:t>
      </w:r>
    </w:p>
    <w:p w:rsidR="00366D27" w:rsidRPr="00516B96" w:rsidRDefault="00D207D7" w:rsidP="00D207D7">
      <w:pPr>
        <w:pStyle w:val="Prrafodelista"/>
        <w:numPr>
          <w:ilvl w:val="0"/>
          <w:numId w:val="6"/>
        </w:num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Resolución</w:t>
      </w:r>
      <w:r w:rsidR="00366D27" w:rsidRPr="00516B96">
        <w:rPr>
          <w:rFonts w:ascii="Times New Roman" w:hAnsi="Times New Roman" w:cs="Times New Roman"/>
          <w:sz w:val="24"/>
          <w:szCs w:val="24"/>
        </w:rPr>
        <w:t xml:space="preserve"> 780 de 6 de octubre de 1992.- Se establece una Comisión de Expertos encargada de examinar las graves violaciones del Derecho Internacional Humanitario. Compuesta por cinco expertos y presidida sucesivamente por los profesores F. </w:t>
      </w:r>
      <w:proofErr w:type="spellStart"/>
      <w:r w:rsidR="00366D27" w:rsidRPr="00516B96">
        <w:rPr>
          <w:rFonts w:ascii="Times New Roman" w:hAnsi="Times New Roman" w:cs="Times New Roman"/>
          <w:sz w:val="24"/>
          <w:szCs w:val="24"/>
        </w:rPr>
        <w:t>Kalshoven</w:t>
      </w:r>
      <w:proofErr w:type="spellEnd"/>
      <w:r w:rsidR="00366D27" w:rsidRPr="00516B96">
        <w:rPr>
          <w:rFonts w:ascii="Times New Roman" w:hAnsi="Times New Roman" w:cs="Times New Roman"/>
          <w:sz w:val="24"/>
          <w:szCs w:val="24"/>
        </w:rPr>
        <w:t xml:space="preserve">, T. </w:t>
      </w:r>
      <w:proofErr w:type="spellStart"/>
      <w:r w:rsidR="00366D27" w:rsidRPr="00516B96">
        <w:rPr>
          <w:rFonts w:ascii="Times New Roman" w:hAnsi="Times New Roman" w:cs="Times New Roman"/>
          <w:sz w:val="24"/>
          <w:szCs w:val="24"/>
        </w:rPr>
        <w:t>Opsahl</w:t>
      </w:r>
      <w:proofErr w:type="spellEnd"/>
      <w:r w:rsidR="00366D27" w:rsidRPr="00516B96">
        <w:rPr>
          <w:rFonts w:ascii="Times New Roman" w:hAnsi="Times New Roman" w:cs="Times New Roman"/>
          <w:sz w:val="24"/>
          <w:szCs w:val="24"/>
        </w:rPr>
        <w:t xml:space="preserve"> y </w:t>
      </w:r>
      <w:proofErr w:type="spellStart"/>
      <w:r w:rsidR="00366D27" w:rsidRPr="00516B96">
        <w:rPr>
          <w:rFonts w:ascii="Times New Roman" w:hAnsi="Times New Roman" w:cs="Times New Roman"/>
          <w:sz w:val="24"/>
          <w:szCs w:val="24"/>
        </w:rPr>
        <w:t>Cherif</w:t>
      </w:r>
      <w:proofErr w:type="spellEnd"/>
      <w:r w:rsidR="00366D27" w:rsidRPr="00516B96">
        <w:rPr>
          <w:rFonts w:ascii="Times New Roman" w:hAnsi="Times New Roman" w:cs="Times New Roman"/>
          <w:sz w:val="24"/>
          <w:szCs w:val="24"/>
        </w:rPr>
        <w:t xml:space="preserve"> </w:t>
      </w:r>
      <w:proofErr w:type="spellStart"/>
      <w:r w:rsidR="00366D27" w:rsidRPr="00516B96">
        <w:rPr>
          <w:rFonts w:ascii="Times New Roman" w:hAnsi="Times New Roman" w:cs="Times New Roman"/>
          <w:sz w:val="24"/>
          <w:szCs w:val="24"/>
        </w:rPr>
        <w:t>Bassiouni</w:t>
      </w:r>
      <w:proofErr w:type="spellEnd"/>
      <w:r w:rsidR="00366D27" w:rsidRPr="00516B96">
        <w:rPr>
          <w:rFonts w:ascii="Times New Roman" w:hAnsi="Times New Roman" w:cs="Times New Roman"/>
          <w:sz w:val="24"/>
          <w:szCs w:val="24"/>
        </w:rPr>
        <w:t xml:space="preserve">, la Comisión, a pesar de la insuficiencia de medios y falta de apoyo, estableció a partir de investigaciones en el sitio, de informes de los Estados, de órganos de Naciones Unidas, de las ONG y de personas privadas, una base de datos impresionante y presentó un informe final (con 3000 páginas de anexos) dando cuenta de asesinatos masivos, limpieza étnica, violaciones, torturas, destrucción de bienes civiles y culturales, arrestos, ejecuciones sumarias y otra serie de graves violaciones al Derecho Internacional Humanitario y al Derecho Internacional de los Derechos Humanos. Las mismas violaciones fueron constatadas por el Relator Especial de la Comisión de Derechos Humanos, señor </w:t>
      </w:r>
      <w:proofErr w:type="spellStart"/>
      <w:r w:rsidR="00366D27" w:rsidRPr="00516B96">
        <w:rPr>
          <w:rFonts w:ascii="Times New Roman" w:hAnsi="Times New Roman" w:cs="Times New Roman"/>
          <w:sz w:val="24"/>
          <w:szCs w:val="24"/>
        </w:rPr>
        <w:t>Tadeusz</w:t>
      </w:r>
      <w:proofErr w:type="spellEnd"/>
      <w:r w:rsidR="00366D27" w:rsidRPr="00516B96">
        <w:rPr>
          <w:rFonts w:ascii="Times New Roman" w:hAnsi="Times New Roman" w:cs="Times New Roman"/>
          <w:sz w:val="24"/>
          <w:szCs w:val="24"/>
        </w:rPr>
        <w:t xml:space="preserve"> </w:t>
      </w:r>
      <w:proofErr w:type="spellStart"/>
      <w:r w:rsidR="00366D27" w:rsidRPr="00516B96">
        <w:rPr>
          <w:rFonts w:ascii="Times New Roman" w:hAnsi="Times New Roman" w:cs="Times New Roman"/>
          <w:sz w:val="24"/>
          <w:szCs w:val="24"/>
        </w:rPr>
        <w:t>Mazowiecki</w:t>
      </w:r>
      <w:proofErr w:type="spellEnd"/>
      <w:r w:rsidR="00366D27" w:rsidRPr="00516B96">
        <w:rPr>
          <w:rFonts w:ascii="Times New Roman" w:hAnsi="Times New Roman" w:cs="Times New Roman"/>
          <w:sz w:val="24"/>
          <w:szCs w:val="24"/>
        </w:rPr>
        <w:t>, en sus varios informes a la Comisión.</w:t>
      </w:r>
    </w:p>
    <w:p w:rsidR="00366D27" w:rsidRPr="00516B96" w:rsidRDefault="00366D27" w:rsidP="00D207D7">
      <w:pPr>
        <w:pStyle w:val="Prrafodelista"/>
        <w:numPr>
          <w:ilvl w:val="0"/>
          <w:numId w:val="6"/>
        </w:num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La Resolución 808 de 22 de febrero de 1993 del Consejo de Seguridad: A estas alturas de la evolución del conflicto (febrero de 1993), resulta evidente que las repetidas negociaciones de paz han fracasado, que la asistencia humanitaria es absolutamente insuficiente para aliviar la situación de las víctimas, que las fuerzas de mantenimiento de paz (UNPROFOR) poco o nada pueden remediar frente a lo que ocurre y que los autores de semejantes crímenes, deben ser sancionados por un tribunal internacional pues se </w:t>
      </w:r>
      <w:r w:rsidRPr="00516B96">
        <w:rPr>
          <w:rFonts w:ascii="Times New Roman" w:hAnsi="Times New Roman" w:cs="Times New Roman"/>
          <w:sz w:val="24"/>
          <w:szCs w:val="24"/>
        </w:rPr>
        <w:lastRenderedPageBreak/>
        <w:t>desconfiaba con razón de que tribunales nacionales puedan llevar a cabo semejante tarea en medio de la guerra.</w:t>
      </w:r>
    </w:p>
    <w:p w:rsidR="00366D27" w:rsidRPr="00516B96" w:rsidRDefault="00366D27" w:rsidP="00D207D7">
      <w:pPr>
        <w:pStyle w:val="Prrafodelista"/>
        <w:spacing w:after="0" w:line="360" w:lineRule="auto"/>
        <w:ind w:left="1080"/>
        <w:jc w:val="both"/>
        <w:rPr>
          <w:rFonts w:ascii="Times New Roman" w:hAnsi="Times New Roman" w:cs="Times New Roman"/>
          <w:sz w:val="24"/>
          <w:szCs w:val="24"/>
        </w:rPr>
      </w:pPr>
      <w:r w:rsidRPr="00516B96">
        <w:rPr>
          <w:rFonts w:ascii="Times New Roman" w:hAnsi="Times New Roman" w:cs="Times New Roman"/>
          <w:sz w:val="24"/>
          <w:szCs w:val="24"/>
        </w:rPr>
        <w:t xml:space="preserve">El Consejo de Seguridad decide entonces, por iniciativa de Francia que apoyan rápidamente los restantes miembros del Consejo, aprobar la creación de un tribunal internacional </w:t>
      </w:r>
      <w:r w:rsidRPr="00516B96">
        <w:rPr>
          <w:rFonts w:ascii="Times New Roman" w:hAnsi="Times New Roman" w:cs="Times New Roman"/>
          <w:i/>
          <w:sz w:val="24"/>
          <w:szCs w:val="24"/>
        </w:rPr>
        <w:t>ad hoc</w:t>
      </w:r>
      <w:r w:rsidRPr="00516B96">
        <w:rPr>
          <w:rFonts w:ascii="Times New Roman" w:hAnsi="Times New Roman" w:cs="Times New Roman"/>
          <w:sz w:val="24"/>
          <w:szCs w:val="24"/>
        </w:rPr>
        <w:t>.</w:t>
      </w:r>
    </w:p>
    <w:p w:rsidR="00366D27" w:rsidRPr="00516B96" w:rsidRDefault="00366D27" w:rsidP="00D207D7">
      <w:pPr>
        <w:pStyle w:val="Prrafodelista"/>
        <w:spacing w:after="0" w:line="360" w:lineRule="auto"/>
        <w:ind w:left="1080"/>
        <w:jc w:val="both"/>
        <w:rPr>
          <w:rFonts w:ascii="Times New Roman" w:hAnsi="Times New Roman" w:cs="Times New Roman"/>
          <w:sz w:val="24"/>
          <w:szCs w:val="24"/>
        </w:rPr>
      </w:pPr>
      <w:r w:rsidRPr="00516B96">
        <w:rPr>
          <w:rFonts w:ascii="Times New Roman" w:hAnsi="Times New Roman" w:cs="Times New Roman"/>
          <w:sz w:val="24"/>
          <w:szCs w:val="24"/>
        </w:rPr>
        <w:t>Tras recordar las violaciones generalizadas del Derecho Internacional Humanitario, y que tal situación constituye una amenaza para la paz y la seguridad internacionales y resuelto a poner fin a dicha amenaza, el Consejo decide que “se establezca un  tribunal internacional para el enjuiciamiento de los presuntos responsables de las violaciones graves del Derecho Internacional Humanitario cometidas en el territorio de la ex-Yugoslavia desde 1991”.</w:t>
      </w:r>
    </w:p>
    <w:p w:rsidR="00366D27" w:rsidRPr="00516B96" w:rsidRDefault="00366D27" w:rsidP="00D207D7">
      <w:pPr>
        <w:pStyle w:val="Prrafodelista"/>
        <w:spacing w:after="0" w:line="360" w:lineRule="auto"/>
        <w:ind w:left="1080"/>
        <w:jc w:val="both"/>
        <w:rPr>
          <w:rFonts w:ascii="Times New Roman" w:hAnsi="Times New Roman" w:cs="Times New Roman"/>
          <w:sz w:val="24"/>
          <w:szCs w:val="24"/>
        </w:rPr>
      </w:pPr>
      <w:r w:rsidRPr="00516B96">
        <w:rPr>
          <w:rFonts w:ascii="Times New Roman" w:hAnsi="Times New Roman" w:cs="Times New Roman"/>
          <w:sz w:val="24"/>
          <w:szCs w:val="24"/>
        </w:rPr>
        <w:t>Los términos de la decisión son precisos: no se está creando una jurisdicción penal internacional en general ni un tribunal penal internacional de carácter permanente. La jurisdicción del Tribunal así creado tendrá, entonces, unas limitaciones objetivas y temporales. Se pide al Secretario General que someta al Consejo en un plazo no mayor de 60 días, un informe para ejecutar rápidamente la decisión.</w:t>
      </w:r>
    </w:p>
    <w:p w:rsidR="00366D27" w:rsidRPr="00516B96" w:rsidRDefault="00366D27" w:rsidP="00D207D7">
      <w:pPr>
        <w:pStyle w:val="Prrafodelista"/>
        <w:numPr>
          <w:ilvl w:val="0"/>
          <w:numId w:val="6"/>
        </w:num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La Resolución 827 de 25 de mayo de 1993: La etapa anterior había sido decisiva. Vencidas las reticencias iniciales de China y Rusia, -que querían evitar toda mención al Capítulo VII de la Carta-, quedaba la tarea de redactar y aprobar el Estatuto del Tribunal. En el plazo fijado por la resolución 808 y recogidas las opiniones y observaciones de 30 Estados, además de las contribuciones iniciales de Francia e Italia, los comentarios de un gran número de ONG, del Comité Internacional de la Cruz Roja, de expertos y de reuniones internacionales (europeas básicamente), examinados los proyectos del Estatuto completo presentados por los gobiernos de Estados Unidos y de Rusia, el Secretario General presentó su informe, el cual fue aprobado por unanimidad. El informe (S/25704), las Resoluciones 713 (1993) y 808 (1993) y la expresa mención al Capítulo VII de la  Carta de las Naciones Unidas, son la base jurídica de esta resolución 827 que decide la creación del Tribunal Internacional </w:t>
      </w:r>
      <w:r w:rsidRPr="00516B96">
        <w:rPr>
          <w:rFonts w:ascii="Times New Roman" w:hAnsi="Times New Roman" w:cs="Times New Roman"/>
          <w:i/>
          <w:sz w:val="24"/>
          <w:szCs w:val="24"/>
        </w:rPr>
        <w:t>ad hoc</w:t>
      </w:r>
      <w:r w:rsidRPr="00516B96">
        <w:rPr>
          <w:rFonts w:ascii="Times New Roman" w:hAnsi="Times New Roman" w:cs="Times New Roman"/>
          <w:sz w:val="24"/>
          <w:szCs w:val="24"/>
        </w:rPr>
        <w:t xml:space="preserve"> y aprueba su estatuto.</w:t>
      </w:r>
    </w:p>
    <w:p w:rsidR="00366D27" w:rsidRPr="00516B96" w:rsidRDefault="00366D27" w:rsidP="00366D27">
      <w:pPr>
        <w:pStyle w:val="Prrafodelista"/>
        <w:spacing w:after="0" w:line="360" w:lineRule="auto"/>
        <w:ind w:left="1080"/>
        <w:jc w:val="both"/>
        <w:rPr>
          <w:rFonts w:ascii="Times New Roman" w:hAnsi="Times New Roman" w:cs="Times New Roman"/>
          <w:sz w:val="24"/>
          <w:szCs w:val="24"/>
        </w:rPr>
      </w:pPr>
      <w:r w:rsidRPr="00516B96">
        <w:rPr>
          <w:rFonts w:ascii="Times New Roman" w:hAnsi="Times New Roman" w:cs="Times New Roman"/>
          <w:sz w:val="24"/>
          <w:szCs w:val="24"/>
        </w:rPr>
        <w:t>Nace así el primer Tribunal Penal realmente “Internacional” (</w:t>
      </w:r>
      <w:proofErr w:type="spellStart"/>
      <w:r w:rsidRPr="00516B96">
        <w:rPr>
          <w:rFonts w:ascii="Times New Roman" w:hAnsi="Times New Roman" w:cs="Times New Roman"/>
          <w:sz w:val="24"/>
          <w:szCs w:val="24"/>
        </w:rPr>
        <w:t>Nüremberg</w:t>
      </w:r>
      <w:proofErr w:type="spellEnd"/>
      <w:r w:rsidRPr="00516B96">
        <w:rPr>
          <w:rFonts w:ascii="Times New Roman" w:hAnsi="Times New Roman" w:cs="Times New Roman"/>
          <w:sz w:val="24"/>
          <w:szCs w:val="24"/>
        </w:rPr>
        <w:t xml:space="preserve"> y Tokio fueron tribunales multinacionales, establecidos por decreto d</w:t>
      </w:r>
      <w:r w:rsidR="00D207D7" w:rsidRPr="00516B96">
        <w:rPr>
          <w:rFonts w:ascii="Times New Roman" w:hAnsi="Times New Roman" w:cs="Times New Roman"/>
          <w:sz w:val="24"/>
          <w:szCs w:val="24"/>
        </w:rPr>
        <w:t xml:space="preserve">e </w:t>
      </w:r>
      <w:r w:rsidR="00D207D7" w:rsidRPr="00516B96">
        <w:rPr>
          <w:rFonts w:ascii="Times New Roman" w:hAnsi="Times New Roman" w:cs="Times New Roman"/>
          <w:sz w:val="24"/>
          <w:szCs w:val="24"/>
        </w:rPr>
        <w:lastRenderedPageBreak/>
        <w:t>vencedores de guerra) que la C</w:t>
      </w:r>
      <w:r w:rsidRPr="00516B96">
        <w:rPr>
          <w:rFonts w:ascii="Times New Roman" w:hAnsi="Times New Roman" w:cs="Times New Roman"/>
          <w:sz w:val="24"/>
          <w:szCs w:val="24"/>
        </w:rPr>
        <w:t xml:space="preserve">omunidad </w:t>
      </w:r>
      <w:r w:rsidR="00D207D7" w:rsidRPr="00516B96">
        <w:rPr>
          <w:rFonts w:ascii="Times New Roman" w:hAnsi="Times New Roman" w:cs="Times New Roman"/>
          <w:sz w:val="24"/>
          <w:szCs w:val="24"/>
        </w:rPr>
        <w:t>I</w:t>
      </w:r>
      <w:r w:rsidRPr="00516B96">
        <w:rPr>
          <w:rFonts w:ascii="Times New Roman" w:hAnsi="Times New Roman" w:cs="Times New Roman"/>
          <w:sz w:val="24"/>
          <w:szCs w:val="24"/>
        </w:rPr>
        <w:t>nternacional jurídicamente organizada en el marco de las Naciones Unidas, aprueba para juzgar a los responsables de graves violaciones al Derecho Internacional Humanitario, cometidas en un conflicto armado. Nace cuando la guerra se desarrollaba con toda violencia y ferocidad entre los serbios, hasta entonces victoriosos, y los croatas y bosnios musulmanes.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I</w:t>
      </w:r>
      <w:r w:rsidR="00F4167B">
        <w:rPr>
          <w:rFonts w:ascii="Times New Roman" w:hAnsi="Times New Roman" w:cs="Times New Roman"/>
          <w:sz w:val="24"/>
          <w:szCs w:val="24"/>
        </w:rPr>
        <w:t>V</w:t>
      </w:r>
      <w:r w:rsidRPr="00516B96">
        <w:rPr>
          <w:rFonts w:ascii="Times New Roman" w:hAnsi="Times New Roman" w:cs="Times New Roman"/>
          <w:sz w:val="24"/>
          <w:szCs w:val="24"/>
        </w:rPr>
        <w:t xml:space="preserve">. III. </w:t>
      </w:r>
      <w:r w:rsidRPr="00516B96">
        <w:rPr>
          <w:rFonts w:ascii="Times New Roman" w:hAnsi="Times New Roman" w:cs="Times New Roman"/>
          <w:sz w:val="24"/>
          <w:szCs w:val="24"/>
          <w:u w:val="single"/>
        </w:rPr>
        <w:t>Fundamento Jurídico</w:t>
      </w:r>
      <w:r w:rsidRPr="00516B96">
        <w:rPr>
          <w:rFonts w:ascii="Times New Roman" w:hAnsi="Times New Roman" w:cs="Times New Roman"/>
          <w:sz w:val="24"/>
          <w:szCs w:val="24"/>
        </w:rPr>
        <w:t>:</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944BE2" w:rsidP="00366D27">
      <w:pPr>
        <w:spacing w:after="0" w:line="360" w:lineRule="auto"/>
        <w:jc w:val="both"/>
        <w:rPr>
          <w:rFonts w:ascii="Times New Roman" w:hAnsi="Times New Roman" w:cs="Times New Roman"/>
          <w:sz w:val="24"/>
          <w:szCs w:val="24"/>
        </w:rPr>
      </w:pPr>
      <w:r>
        <w:rPr>
          <w:rFonts w:ascii="Times New Roman" w:hAnsi="Times New Roman" w:cs="Times New Roman"/>
          <w:sz w:val="24"/>
          <w:szCs w:val="24"/>
          <w:lang w:val="es-EC"/>
        </w:rPr>
        <w:t xml:space="preserve">James </w:t>
      </w:r>
      <w:proofErr w:type="spellStart"/>
      <w:r w:rsidRPr="00944BE2">
        <w:rPr>
          <w:rFonts w:ascii="Times New Roman" w:hAnsi="Times New Roman" w:cs="Times New Roman"/>
          <w:sz w:val="24"/>
          <w:szCs w:val="24"/>
          <w:lang w:val="es-EC"/>
        </w:rPr>
        <w:t>O´Brian</w:t>
      </w:r>
      <w:proofErr w:type="spellEnd"/>
      <w:r w:rsidRPr="00944BE2">
        <w:rPr>
          <w:rFonts w:ascii="Times New Roman" w:hAnsi="Times New Roman" w:cs="Times New Roman"/>
          <w:sz w:val="24"/>
          <w:szCs w:val="24"/>
        </w:rPr>
        <w:t xml:space="preserve"> </w:t>
      </w:r>
      <w:r>
        <w:rPr>
          <w:rFonts w:ascii="Times New Roman" w:hAnsi="Times New Roman" w:cs="Times New Roman"/>
          <w:sz w:val="24"/>
          <w:szCs w:val="24"/>
        </w:rPr>
        <w:t>(1993) señala que n</w:t>
      </w:r>
      <w:r w:rsidR="00366D27" w:rsidRPr="00516B96">
        <w:rPr>
          <w:rFonts w:ascii="Times New Roman" w:hAnsi="Times New Roman" w:cs="Times New Roman"/>
          <w:sz w:val="24"/>
          <w:szCs w:val="24"/>
        </w:rPr>
        <w:t>o obstante su creación, mucho se discutió y se discute aún sobre los procedimientos que se utilizaron para establecer el Tribunal Internacional para la Antigua Yugoslavia. De entre las distintas opciones jurídicas que se analizaron para crearlo, éstas serían las más relevantes: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pStyle w:val="Prrafodelista"/>
        <w:numPr>
          <w:ilvl w:val="0"/>
          <w:numId w:val="7"/>
        </w:num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Aprobar su creación por medio de un Tratado Internacional: ésta sería la más ortodoxa de las posiciones dentro de los principios del Derecho Internacional Público; también es la menos eficaz. Basta con recordar que para que un Tratado entre en vigor, se requiere de un número determinado de ratificaciones de parte de los Estados, proceso que normalmente tarda años en ocurrir. En una situación como la que existía al inicio de 1993 en la antigua Yugoslavia, era impensable como solución eficaz a los graves crímenes de guerra que se cometían a diario, puesto que el conflicto armado continuaba.</w:t>
      </w:r>
    </w:p>
    <w:p w:rsidR="00366D27" w:rsidRPr="00516B96" w:rsidRDefault="00366D27" w:rsidP="00366D27">
      <w:pPr>
        <w:pStyle w:val="Prrafodelista"/>
        <w:spacing w:after="0" w:line="360" w:lineRule="auto"/>
        <w:jc w:val="both"/>
        <w:rPr>
          <w:rFonts w:ascii="Times New Roman" w:hAnsi="Times New Roman" w:cs="Times New Roman"/>
          <w:sz w:val="24"/>
          <w:szCs w:val="24"/>
        </w:rPr>
      </w:pPr>
    </w:p>
    <w:p w:rsidR="00366D27" w:rsidRPr="00516B96" w:rsidRDefault="00366D27" w:rsidP="00366D27">
      <w:pPr>
        <w:pStyle w:val="Prrafodelista"/>
        <w:numPr>
          <w:ilvl w:val="0"/>
          <w:numId w:val="7"/>
        </w:num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Aprobar la creación del Tribunal por resolución de la Asamblea General de las Naciones Unidas, la propuesta del Consejo de Seguridad: este procedimiento era mucho más expedito y eficaz que el anterior y tendría un fundamento más internacional, dada la composición de la Asamblea General como órgano máximo político–deliberativo de las Naciones Unidas. Con todo, la Asamblea General carece de competencias dentro de la Carta para adoptar resoluciones obligatorias para todos los Estado miembros. Únicamente emite recomendaciones. Si el Tribunal se hubiera creado por esta vía conforme el artículo 22 de la Carta, con carácter de organismo subsidiario de la Asamblea General, habría carecido de carácter coercitivo.</w:t>
      </w:r>
    </w:p>
    <w:p w:rsidR="00366D27" w:rsidRPr="00516B96" w:rsidRDefault="00366D27" w:rsidP="00D207D7">
      <w:pPr>
        <w:spacing w:after="0" w:line="360" w:lineRule="auto"/>
        <w:jc w:val="both"/>
        <w:rPr>
          <w:rFonts w:ascii="Times New Roman" w:hAnsi="Times New Roman" w:cs="Times New Roman"/>
          <w:sz w:val="24"/>
          <w:szCs w:val="24"/>
        </w:rPr>
      </w:pPr>
    </w:p>
    <w:p w:rsidR="00366D27" w:rsidRPr="00516B96" w:rsidRDefault="00366D27" w:rsidP="00366D27">
      <w:pPr>
        <w:pStyle w:val="Prrafodelista"/>
        <w:numPr>
          <w:ilvl w:val="0"/>
          <w:numId w:val="7"/>
        </w:num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 xml:space="preserve">Consideraciones políticas de variada índole de oportunidad y de celeridad, abrieron la vía para crear el Tribunal </w:t>
      </w:r>
      <w:r w:rsidRPr="00516B96">
        <w:rPr>
          <w:rFonts w:ascii="Times New Roman" w:hAnsi="Times New Roman" w:cs="Times New Roman"/>
          <w:i/>
          <w:sz w:val="24"/>
          <w:szCs w:val="24"/>
        </w:rPr>
        <w:t>ad hoc</w:t>
      </w:r>
      <w:r w:rsidRPr="00516B96">
        <w:rPr>
          <w:rFonts w:ascii="Times New Roman" w:hAnsi="Times New Roman" w:cs="Times New Roman"/>
          <w:sz w:val="24"/>
          <w:szCs w:val="24"/>
        </w:rPr>
        <w:t xml:space="preserve"> por resolución del Consejo de Seguridad en virtud de las competencias que le otorga el Capítulo VII de la Carta: este procedimiento, estimado por algunos juristas y gobiernos como muy audaz – dado que era la primera vez que se utilizaba-, se fundamenta en las disposiciones del artículo 41 que autoriza expresamente al Consejo de Seguridad a “decidir qué medidas que no impliquen el uso de la fuerza armada han de emplearse para hacer efectivas sus decisiones…”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Adicionalmente, según los términos del artículo 29 de la Carta, “el Consejo de Seguridad podrá establecer los  organismos subsidiarios que estime necesarios para el desempeño de sus funciones” y la naturaleza jurisdiccional de un órgano subsidiario no es un obstáculo para su creación, sobre todo porque el artículo 22 antes citado que otorga idéntica facultad a la Asamblea General, no señala como competencia de la Asamblea la creación de órganos jurisdiccionales.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Resulta importante, recordar que las condiciones previstas por la Carta en el Capítulo VII para que se diera la aplicación del artículo 41 se habían cumplido. A saber, la situación de la guerra en la antigua Yugoslavia había sido objeto de una larga serie de resoluciones del Consejo de Seguridad y de la Asamblea General, en las que se pedía a todas las partes respetar el Derecho Internacional Humanitario, se constataba que las situación descrita en los informes constituía una amenaza a la paz y la seguridad internacionales, se afirmaba la responsabilidad individual de los autores de las violaciones de </w:t>
      </w:r>
      <w:r w:rsidR="006212F7" w:rsidRPr="00516B96">
        <w:rPr>
          <w:rFonts w:ascii="Times New Roman" w:hAnsi="Times New Roman" w:cs="Times New Roman"/>
          <w:sz w:val="24"/>
          <w:szCs w:val="24"/>
        </w:rPr>
        <w:t>D</w:t>
      </w:r>
      <w:r w:rsidRPr="00516B96">
        <w:rPr>
          <w:rFonts w:ascii="Times New Roman" w:hAnsi="Times New Roman" w:cs="Times New Roman"/>
          <w:sz w:val="24"/>
          <w:szCs w:val="24"/>
        </w:rPr>
        <w:t xml:space="preserve">erechos </w:t>
      </w:r>
      <w:r w:rsidR="006212F7" w:rsidRPr="00516B96">
        <w:rPr>
          <w:rFonts w:ascii="Times New Roman" w:hAnsi="Times New Roman" w:cs="Times New Roman"/>
          <w:sz w:val="24"/>
          <w:szCs w:val="24"/>
        </w:rPr>
        <w:t>H</w:t>
      </w:r>
      <w:r w:rsidRPr="00516B96">
        <w:rPr>
          <w:rFonts w:ascii="Times New Roman" w:hAnsi="Times New Roman" w:cs="Times New Roman"/>
          <w:sz w:val="24"/>
          <w:szCs w:val="24"/>
        </w:rPr>
        <w:t>umanos, y se señalaba la necesidad de crear los mecanismos que exigieran tal responsabilidad.</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La creación del Tribunal no fue, entonces, más que la conclusión lógica y jurídica de este laborioso proceso.</w:t>
      </w:r>
    </w:p>
    <w:p w:rsidR="00A87119" w:rsidRDefault="00A87119"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I</w:t>
      </w:r>
      <w:r w:rsidR="00F4167B">
        <w:rPr>
          <w:rFonts w:ascii="Times New Roman" w:hAnsi="Times New Roman" w:cs="Times New Roman"/>
          <w:sz w:val="24"/>
          <w:szCs w:val="24"/>
        </w:rPr>
        <w:t>V</w:t>
      </w:r>
      <w:r w:rsidRPr="00516B96">
        <w:rPr>
          <w:rFonts w:ascii="Times New Roman" w:hAnsi="Times New Roman" w:cs="Times New Roman"/>
          <w:sz w:val="24"/>
          <w:szCs w:val="24"/>
        </w:rPr>
        <w:t xml:space="preserve">. IV. </w:t>
      </w:r>
      <w:r w:rsidRPr="00516B96">
        <w:rPr>
          <w:rFonts w:ascii="Times New Roman" w:hAnsi="Times New Roman" w:cs="Times New Roman"/>
          <w:sz w:val="24"/>
          <w:szCs w:val="24"/>
          <w:u w:val="single"/>
        </w:rPr>
        <w:t>Objetivos y Características</w:t>
      </w:r>
      <w:r w:rsidRPr="00516B96">
        <w:rPr>
          <w:rFonts w:ascii="Times New Roman" w:hAnsi="Times New Roman" w:cs="Times New Roman"/>
          <w:sz w:val="24"/>
          <w:szCs w:val="24"/>
        </w:rPr>
        <w:t>:</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A87119" w:rsidP="00366D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Acosta (1995) argumenta que e</w:t>
      </w:r>
      <w:r w:rsidR="00366D27" w:rsidRPr="00516B96">
        <w:rPr>
          <w:rFonts w:ascii="Times New Roman" w:hAnsi="Times New Roman" w:cs="Times New Roman"/>
          <w:sz w:val="24"/>
          <w:szCs w:val="24"/>
        </w:rPr>
        <w:t xml:space="preserve">scoger el Capítulo VII de la Carta como fundamento de la creación del Tribunal determina simultáneamente sus límites y objetivos. El Tribunal será jurídicamente válido únicamente en la medida en que su actividad judicial se </w:t>
      </w:r>
      <w:r w:rsidR="00366D27" w:rsidRPr="00516B96">
        <w:rPr>
          <w:rFonts w:ascii="Times New Roman" w:hAnsi="Times New Roman" w:cs="Times New Roman"/>
          <w:sz w:val="24"/>
          <w:szCs w:val="24"/>
        </w:rPr>
        <w:lastRenderedPageBreak/>
        <w:t xml:space="preserve">encamine al restablecimiento y mantenimiento de la paz. Para ello, las Resoluciones 808 y 827 </w:t>
      </w:r>
      <w:r w:rsidR="006212F7" w:rsidRPr="00516B96">
        <w:rPr>
          <w:rFonts w:ascii="Times New Roman" w:hAnsi="Times New Roman" w:cs="Times New Roman"/>
          <w:sz w:val="24"/>
          <w:szCs w:val="24"/>
        </w:rPr>
        <w:t>de 1993</w:t>
      </w:r>
      <w:r w:rsidR="00366D27" w:rsidRPr="00516B96">
        <w:rPr>
          <w:rFonts w:ascii="Times New Roman" w:hAnsi="Times New Roman" w:cs="Times New Roman"/>
          <w:sz w:val="24"/>
          <w:szCs w:val="24"/>
        </w:rPr>
        <w:t>, tantas veces citadas, determinan que restablecer y mantener la paz, disuadir de la comisión de nuevos crímenes y hacer justicia, son los objetivos del Tribunal.</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En los términos de dichas Resoluciones, los  objetivos del Tribunal se expresan así: “…Decide (el Consejo de Seguridad) establecer un Tribunal con el único propósito de enjuiciar a las personas responsables por violaciones serias del Derecho Internacional Humanitario, cometidas en el territorio de la antigua Yugoslavia…”, convencido el Consejo de que tal “objetivo permitiría restablecer y mantener la paz…”</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Los crímenes cuya investigación y sanción se encomiendan al Tribunal son los cometidos después del primero de enero de 1991.</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Con base en estas mismas resoluciones y el Estatuto del Tribunal aprobado con el informe presentado por el Secretario General en cumplimiento de lo que ordenó la resolución 808, el Tribunal es: 1) un órgano judicial internacional; 2) colegiado; 3) </w:t>
      </w:r>
      <w:r w:rsidRPr="00516B96">
        <w:rPr>
          <w:rFonts w:ascii="Times New Roman" w:hAnsi="Times New Roman" w:cs="Times New Roman"/>
          <w:i/>
          <w:sz w:val="24"/>
          <w:szCs w:val="24"/>
        </w:rPr>
        <w:t>ad hoc</w:t>
      </w:r>
      <w:r w:rsidRPr="00516B96">
        <w:rPr>
          <w:rFonts w:ascii="Times New Roman" w:hAnsi="Times New Roman" w:cs="Times New Roman"/>
          <w:sz w:val="24"/>
          <w:szCs w:val="24"/>
        </w:rPr>
        <w:t>; 4) especializado; 5) para juzgar a personas físicas (no estados ni grupos).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pStyle w:val="Prrafodelista"/>
        <w:numPr>
          <w:ilvl w:val="0"/>
          <w:numId w:val="8"/>
        </w:num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Órgano Judicial Internacional:  como se mencionó anteriormente, el Tribunal fue creado conforme a procedimientos de Derecho Internacional Público por órganos competentes de la Comunidad Internacional, organizada en las Naciones Unidas. Es el primer tribunal de estas características, pues </w:t>
      </w:r>
      <w:proofErr w:type="spellStart"/>
      <w:r w:rsidRPr="00516B96">
        <w:rPr>
          <w:rFonts w:ascii="Times New Roman" w:hAnsi="Times New Roman" w:cs="Times New Roman"/>
          <w:sz w:val="24"/>
          <w:szCs w:val="24"/>
        </w:rPr>
        <w:t>Nüremberg</w:t>
      </w:r>
      <w:proofErr w:type="spellEnd"/>
      <w:r w:rsidRPr="00516B96">
        <w:rPr>
          <w:rFonts w:ascii="Times New Roman" w:hAnsi="Times New Roman" w:cs="Times New Roman"/>
          <w:sz w:val="24"/>
          <w:szCs w:val="24"/>
        </w:rPr>
        <w:t xml:space="preserve"> fue creado por un tratado entre las potencias vencedoras de la Segunda Guerra Mundial y Tokio, por una decisión del General MacArthur; además, el Tribunal Penal Internacional para la ex-Yugoslavia se funda en medio de la guerra, precisamente para hacer la paz;</w:t>
      </w:r>
    </w:p>
    <w:p w:rsidR="00366D27" w:rsidRPr="00516B96" w:rsidRDefault="00366D27" w:rsidP="00366D27">
      <w:pPr>
        <w:pStyle w:val="Prrafodelista"/>
        <w:numPr>
          <w:ilvl w:val="0"/>
          <w:numId w:val="8"/>
        </w:num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Colegiado: el artículo 12 del Estatuto declara que el Tribunal estará integrado por 11 magistrados independientes, provenientes de todas las regiones del mundo;</w:t>
      </w:r>
    </w:p>
    <w:p w:rsidR="00366D27" w:rsidRPr="00516B96" w:rsidRDefault="00366D27" w:rsidP="00366D27">
      <w:pPr>
        <w:pStyle w:val="Prrafodelista"/>
        <w:numPr>
          <w:ilvl w:val="0"/>
          <w:numId w:val="8"/>
        </w:numPr>
        <w:spacing w:after="0" w:line="360" w:lineRule="auto"/>
        <w:jc w:val="both"/>
        <w:rPr>
          <w:rFonts w:ascii="Times New Roman" w:hAnsi="Times New Roman" w:cs="Times New Roman"/>
          <w:sz w:val="24"/>
          <w:szCs w:val="24"/>
        </w:rPr>
      </w:pPr>
      <w:r w:rsidRPr="00516B96">
        <w:rPr>
          <w:rFonts w:ascii="Times New Roman" w:hAnsi="Times New Roman" w:cs="Times New Roman"/>
          <w:i/>
          <w:sz w:val="24"/>
          <w:szCs w:val="24"/>
        </w:rPr>
        <w:t>Ad-hoc</w:t>
      </w:r>
      <w:r w:rsidRPr="00516B96">
        <w:rPr>
          <w:rFonts w:ascii="Times New Roman" w:hAnsi="Times New Roman" w:cs="Times New Roman"/>
          <w:sz w:val="24"/>
          <w:szCs w:val="24"/>
        </w:rPr>
        <w:t>: el Tribunal es temporal, no es un órgano jurisdiccional permanente;</w:t>
      </w:r>
    </w:p>
    <w:p w:rsidR="00366D27" w:rsidRPr="00516B96" w:rsidRDefault="00366D27" w:rsidP="00366D27">
      <w:pPr>
        <w:pStyle w:val="Prrafodelista"/>
        <w:numPr>
          <w:ilvl w:val="0"/>
          <w:numId w:val="8"/>
        </w:num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Especializado: su competencia se limita a la aplicación del Derecho Internacional Humanitario como lo establece expresamente el Estatuto en su artículo primero;</w:t>
      </w:r>
    </w:p>
    <w:p w:rsidR="00366D27" w:rsidRPr="00516B96" w:rsidRDefault="00366D27" w:rsidP="00366D27">
      <w:pPr>
        <w:pStyle w:val="Prrafodelista"/>
        <w:numPr>
          <w:ilvl w:val="0"/>
          <w:numId w:val="8"/>
        </w:num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Para juzgar personas físicas: juzgar la responsabilidad penal individual conforme lo establece el artículo 7 del Estatuto es una de sus características más novedosas. Será individualmente responsable de un crimen quien lo ejecute, pero también quien lo haya planeado, investigado u ordenado, y también, el superior que sabía o tenía razones para saber y no adoptó las medidas necesarias para evitarlo o castigar a los autores. No exime de responsabilidad una orden impartida por un gobierno o por un superior. Identificar a los responsables de los crímenes de guerra y juzgarlos individualmente es la única forma de evitar las culpas colectivas que tanto daño hacen a las relaciones entre las naciones.</w:t>
      </w:r>
    </w:p>
    <w:p w:rsidR="00366D27" w:rsidRPr="00516B96" w:rsidRDefault="00366D27" w:rsidP="00366D27">
      <w:pPr>
        <w:pStyle w:val="Prrafodelista"/>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El citado artículo 7 se aparta claramente del precedente de </w:t>
      </w:r>
      <w:proofErr w:type="spellStart"/>
      <w:r w:rsidRPr="00516B96">
        <w:rPr>
          <w:rFonts w:ascii="Times New Roman" w:hAnsi="Times New Roman" w:cs="Times New Roman"/>
          <w:sz w:val="24"/>
          <w:szCs w:val="24"/>
        </w:rPr>
        <w:t>Nüremberg</w:t>
      </w:r>
      <w:proofErr w:type="spellEnd"/>
      <w:r w:rsidRPr="00516B96">
        <w:rPr>
          <w:rFonts w:ascii="Times New Roman" w:hAnsi="Times New Roman" w:cs="Times New Roman"/>
          <w:sz w:val="24"/>
          <w:szCs w:val="24"/>
        </w:rPr>
        <w:t xml:space="preserve"> que también juzgó la responsabilidad de “grupos criminales”. En los términos de </w:t>
      </w:r>
      <w:proofErr w:type="spellStart"/>
      <w:r w:rsidRPr="00516B96">
        <w:rPr>
          <w:rFonts w:ascii="Times New Roman" w:hAnsi="Times New Roman" w:cs="Times New Roman"/>
          <w:sz w:val="24"/>
          <w:szCs w:val="24"/>
        </w:rPr>
        <w:t>Nüremberg</w:t>
      </w:r>
      <w:proofErr w:type="spellEnd"/>
      <w:r w:rsidRPr="00516B96">
        <w:rPr>
          <w:rFonts w:ascii="Times New Roman" w:hAnsi="Times New Roman" w:cs="Times New Roman"/>
          <w:sz w:val="24"/>
          <w:szCs w:val="24"/>
        </w:rPr>
        <w:t xml:space="preserve"> se podía declarar que un grupo o una organización a la cual pertenecía un acusado era una “organización criminal”. De aquí resultaba que cualquier persona podía ser traída delante de los tribunales nacionales de los Estados signatarios en razón de su sola afiliación a esta organización. Así lo recogió también el artículo 10 del Estatuto del Tribunal de </w:t>
      </w:r>
      <w:proofErr w:type="spellStart"/>
      <w:r w:rsidRPr="00516B96">
        <w:rPr>
          <w:rFonts w:ascii="Times New Roman" w:hAnsi="Times New Roman" w:cs="Times New Roman"/>
          <w:sz w:val="24"/>
          <w:szCs w:val="24"/>
        </w:rPr>
        <w:t>Nüremberg</w:t>
      </w:r>
      <w:proofErr w:type="spellEnd"/>
      <w:r w:rsidRPr="00516B96">
        <w:rPr>
          <w:rFonts w:ascii="Times New Roman" w:hAnsi="Times New Roman" w:cs="Times New Roman"/>
          <w:sz w:val="24"/>
          <w:szCs w:val="24"/>
        </w:rPr>
        <w:t>.</w:t>
      </w:r>
    </w:p>
    <w:p w:rsidR="00366D27" w:rsidRPr="00516B96" w:rsidRDefault="00366D27" w:rsidP="00366D27">
      <w:pPr>
        <w:pStyle w:val="Prrafodelista"/>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En su informe, (S/25704, párrafo 51) el Secretario General actuando conforme al espíritu de las resoluciones del Consejo de Seguridad y con buen criterio, desestimó el que una persona jurídica pudiese ser considerada “criminal” y por esa sola razón, someter a sus miembros a la jurisdicción del Tribunal Internacional. Lo dijo así: “los actos criminales previstos en el estatuto  son llevados a cabo por personas naturales e independientemente que pertenezcan o no a grupos”.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El Tribunal tiene la tarea de juzgar a los responsables de las múltiples violaciones de derechos humanos que trajo la ruptura definitiva de la antigua Yugoslavia. </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El Tribunal dividió el conflicto en cuatro fases o períodos de hostilidades: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ind w:left="708"/>
        <w:jc w:val="both"/>
        <w:rPr>
          <w:rFonts w:ascii="Times New Roman" w:hAnsi="Times New Roman" w:cs="Times New Roman"/>
          <w:sz w:val="24"/>
          <w:szCs w:val="24"/>
        </w:rPr>
      </w:pPr>
      <w:r w:rsidRPr="00516B96">
        <w:rPr>
          <w:rFonts w:ascii="Times New Roman" w:hAnsi="Times New Roman" w:cs="Times New Roman"/>
          <w:sz w:val="24"/>
          <w:szCs w:val="24"/>
        </w:rPr>
        <w:t xml:space="preserve">1) El conflicto de la República de Eslovenia, a partir de su declaración de independencia, el 25 de junio de 1991, denominada la Guerra de los Diez Días. </w:t>
      </w:r>
    </w:p>
    <w:p w:rsidR="00366D27" w:rsidRPr="00516B96" w:rsidRDefault="00366D27" w:rsidP="00366D27">
      <w:pPr>
        <w:spacing w:after="0" w:line="360" w:lineRule="auto"/>
        <w:ind w:left="708"/>
        <w:jc w:val="both"/>
        <w:rPr>
          <w:rFonts w:ascii="Times New Roman" w:hAnsi="Times New Roman" w:cs="Times New Roman"/>
          <w:sz w:val="24"/>
          <w:szCs w:val="24"/>
        </w:rPr>
      </w:pPr>
      <w:r w:rsidRPr="00516B96">
        <w:rPr>
          <w:rFonts w:ascii="Times New Roman" w:hAnsi="Times New Roman" w:cs="Times New Roman"/>
          <w:sz w:val="24"/>
          <w:szCs w:val="24"/>
        </w:rPr>
        <w:t xml:space="preserve">2) El conflicto de la República de Croacia a partir de su independencia que también fue proclamada el 25 de junio de 1991, y que se extendió hasta el otoño de 1995. </w:t>
      </w:r>
    </w:p>
    <w:p w:rsidR="00366D27" w:rsidRPr="00516B96" w:rsidRDefault="00366D27" w:rsidP="00366D27">
      <w:pPr>
        <w:spacing w:after="0" w:line="360" w:lineRule="auto"/>
        <w:ind w:left="708"/>
        <w:jc w:val="both"/>
        <w:rPr>
          <w:rFonts w:ascii="Times New Roman" w:hAnsi="Times New Roman" w:cs="Times New Roman"/>
          <w:sz w:val="24"/>
          <w:szCs w:val="24"/>
        </w:rPr>
      </w:pPr>
      <w:r w:rsidRPr="00516B96">
        <w:rPr>
          <w:rFonts w:ascii="Times New Roman" w:hAnsi="Times New Roman" w:cs="Times New Roman"/>
          <w:sz w:val="24"/>
          <w:szCs w:val="24"/>
        </w:rPr>
        <w:lastRenderedPageBreak/>
        <w:t xml:space="preserve">3) El conflicto de la República de Bosnia y Herzegovina acaecido entre 1992 y 1995. </w:t>
      </w:r>
    </w:p>
    <w:p w:rsidR="00366D27" w:rsidRPr="00516B96" w:rsidRDefault="00366D27" w:rsidP="006212F7">
      <w:pPr>
        <w:spacing w:after="0" w:line="360" w:lineRule="auto"/>
        <w:ind w:left="708"/>
        <w:jc w:val="both"/>
        <w:rPr>
          <w:rFonts w:ascii="Times New Roman" w:hAnsi="Times New Roman" w:cs="Times New Roman"/>
          <w:sz w:val="24"/>
          <w:szCs w:val="24"/>
        </w:rPr>
      </w:pPr>
      <w:r w:rsidRPr="00516B96">
        <w:rPr>
          <w:rFonts w:ascii="Times New Roman" w:hAnsi="Times New Roman" w:cs="Times New Roman"/>
          <w:sz w:val="24"/>
          <w:szCs w:val="24"/>
        </w:rPr>
        <w:t>4) El conflicto de la región autónoma de Kosovo sucedido entre 1998 y 1999.</w:t>
      </w:r>
    </w:p>
    <w:p w:rsidR="006212F7" w:rsidRPr="00516B96" w:rsidRDefault="006212F7" w:rsidP="006212F7">
      <w:pPr>
        <w:spacing w:after="0" w:line="360" w:lineRule="auto"/>
        <w:ind w:left="708"/>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I</w:t>
      </w:r>
      <w:r w:rsidR="00F4167B">
        <w:rPr>
          <w:rFonts w:ascii="Times New Roman" w:hAnsi="Times New Roman" w:cs="Times New Roman"/>
          <w:sz w:val="24"/>
          <w:szCs w:val="24"/>
        </w:rPr>
        <w:t>V</w:t>
      </w:r>
      <w:r w:rsidRPr="00516B96">
        <w:rPr>
          <w:rFonts w:ascii="Times New Roman" w:hAnsi="Times New Roman" w:cs="Times New Roman"/>
          <w:sz w:val="24"/>
          <w:szCs w:val="24"/>
        </w:rPr>
        <w:t xml:space="preserve">. V. </w:t>
      </w:r>
      <w:r w:rsidRPr="00516B96">
        <w:rPr>
          <w:rFonts w:ascii="Times New Roman" w:hAnsi="Times New Roman" w:cs="Times New Roman"/>
          <w:sz w:val="24"/>
          <w:szCs w:val="24"/>
          <w:u w:val="single"/>
        </w:rPr>
        <w:t>Competencia y Derecho Aplicable</w:t>
      </w:r>
      <w:r w:rsidRPr="00516B96">
        <w:rPr>
          <w:rFonts w:ascii="Times New Roman" w:hAnsi="Times New Roman" w:cs="Times New Roman"/>
          <w:sz w:val="24"/>
          <w:szCs w:val="24"/>
        </w:rPr>
        <w:t>:</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La cuestión de la competencia del Tribunal fue objeto de los artículos 1 a 9 de su Estatuto y ocupa un lugar considerable en los comentarios del Secretario General en su informe citado y en las observaciones hechas por los Estados al discutirse el tema en el Consejo de Seguridad. Se trata, sin duda, de uno de los problemas más delicados que había que enfrentar.</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Creado </w:t>
      </w:r>
      <w:r w:rsidRPr="00516B96">
        <w:rPr>
          <w:rFonts w:ascii="Times New Roman" w:hAnsi="Times New Roman" w:cs="Times New Roman"/>
          <w:i/>
          <w:sz w:val="24"/>
          <w:szCs w:val="24"/>
        </w:rPr>
        <w:t>ad hoc,</w:t>
      </w:r>
      <w:r w:rsidRPr="00516B96">
        <w:rPr>
          <w:rFonts w:ascii="Times New Roman" w:hAnsi="Times New Roman" w:cs="Times New Roman"/>
          <w:sz w:val="24"/>
          <w:szCs w:val="24"/>
        </w:rPr>
        <w:t xml:space="preserve"> para fines determinados, el Tribunal no podía estar dotado más que de las competencias estrictamente necesarias para entender los objetivos que se le asignaron: juzgar a los responsables de los crímenes de guerra para detener las violaciones generalizadas del Derecho Internacional Humanitario, a fin de restablecer y mantener la paz.</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Con estas bases, </w:t>
      </w:r>
      <w:proofErr w:type="spellStart"/>
      <w:r w:rsidR="00A87119">
        <w:rPr>
          <w:rFonts w:ascii="Times New Roman" w:hAnsi="Times New Roman" w:cs="Times New Roman"/>
          <w:sz w:val="24"/>
          <w:szCs w:val="24"/>
        </w:rPr>
        <w:t>Thornberry</w:t>
      </w:r>
      <w:proofErr w:type="spellEnd"/>
      <w:r w:rsidR="00A87119">
        <w:rPr>
          <w:rFonts w:ascii="Times New Roman" w:hAnsi="Times New Roman" w:cs="Times New Roman"/>
          <w:sz w:val="24"/>
          <w:szCs w:val="24"/>
        </w:rPr>
        <w:t xml:space="preserve"> (1996) menciona que </w:t>
      </w:r>
      <w:r w:rsidRPr="00516B96">
        <w:rPr>
          <w:rFonts w:ascii="Times New Roman" w:hAnsi="Times New Roman" w:cs="Times New Roman"/>
          <w:sz w:val="24"/>
          <w:szCs w:val="24"/>
        </w:rPr>
        <w:t>las competencias del Tribunal fueron las siguientes: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pStyle w:val="Prrafodelista"/>
        <w:numPr>
          <w:ilvl w:val="0"/>
          <w:numId w:val="9"/>
        </w:numPr>
        <w:spacing w:after="0" w:line="360" w:lineRule="auto"/>
        <w:jc w:val="both"/>
        <w:rPr>
          <w:rFonts w:ascii="Times New Roman" w:hAnsi="Times New Roman" w:cs="Times New Roman"/>
          <w:sz w:val="24"/>
          <w:szCs w:val="24"/>
        </w:rPr>
      </w:pPr>
      <w:r w:rsidRPr="00516B96">
        <w:rPr>
          <w:rFonts w:ascii="Times New Roman" w:hAnsi="Times New Roman" w:cs="Times New Roman"/>
          <w:i/>
          <w:sz w:val="24"/>
          <w:szCs w:val="24"/>
        </w:rPr>
        <w:t xml:space="preserve">Competencia </w:t>
      </w:r>
      <w:proofErr w:type="spellStart"/>
      <w:r w:rsidRPr="00516B96">
        <w:rPr>
          <w:rFonts w:ascii="Times New Roman" w:hAnsi="Times New Roman" w:cs="Times New Roman"/>
          <w:i/>
          <w:sz w:val="24"/>
          <w:szCs w:val="24"/>
        </w:rPr>
        <w:t>ratione</w:t>
      </w:r>
      <w:proofErr w:type="spellEnd"/>
      <w:r w:rsidRPr="00516B96">
        <w:rPr>
          <w:rFonts w:ascii="Times New Roman" w:hAnsi="Times New Roman" w:cs="Times New Roman"/>
          <w:i/>
          <w:sz w:val="24"/>
          <w:szCs w:val="24"/>
        </w:rPr>
        <w:t xml:space="preserve"> </w:t>
      </w:r>
      <w:proofErr w:type="spellStart"/>
      <w:r w:rsidRPr="00516B96">
        <w:rPr>
          <w:rFonts w:ascii="Times New Roman" w:hAnsi="Times New Roman" w:cs="Times New Roman"/>
          <w:i/>
          <w:sz w:val="24"/>
          <w:szCs w:val="24"/>
        </w:rPr>
        <w:t>loci</w:t>
      </w:r>
      <w:proofErr w:type="spellEnd"/>
      <w:r w:rsidRPr="00516B96">
        <w:rPr>
          <w:rFonts w:ascii="Times New Roman" w:hAnsi="Times New Roman" w:cs="Times New Roman"/>
          <w:i/>
          <w:sz w:val="24"/>
          <w:szCs w:val="24"/>
        </w:rPr>
        <w:t>:</w:t>
      </w:r>
      <w:r w:rsidRPr="00516B96">
        <w:rPr>
          <w:rFonts w:ascii="Times New Roman" w:hAnsi="Times New Roman" w:cs="Times New Roman"/>
          <w:sz w:val="24"/>
          <w:szCs w:val="24"/>
        </w:rPr>
        <w:t xml:space="preserve"> El Tribunal es competente para conocer de los crímenes cometidos en el territorio de la antigua Yugoslavia, con inclusión de su superficie terrestre, su espacio aéreo y sus aguas territoriales (artículo 1 y 8 del Estatuto).</w:t>
      </w:r>
    </w:p>
    <w:p w:rsidR="00366D27" w:rsidRPr="00516B96" w:rsidRDefault="00366D27" w:rsidP="00366D27">
      <w:pPr>
        <w:pStyle w:val="Prrafodelista"/>
        <w:numPr>
          <w:ilvl w:val="0"/>
          <w:numId w:val="9"/>
        </w:numPr>
        <w:spacing w:after="0" w:line="360" w:lineRule="auto"/>
        <w:jc w:val="both"/>
        <w:rPr>
          <w:rFonts w:ascii="Times New Roman" w:hAnsi="Times New Roman" w:cs="Times New Roman"/>
          <w:sz w:val="24"/>
          <w:szCs w:val="24"/>
        </w:rPr>
      </w:pPr>
      <w:r w:rsidRPr="00516B96">
        <w:rPr>
          <w:rFonts w:ascii="Times New Roman" w:hAnsi="Times New Roman" w:cs="Times New Roman"/>
          <w:i/>
          <w:sz w:val="24"/>
          <w:szCs w:val="24"/>
        </w:rPr>
        <w:t xml:space="preserve">Competencia </w:t>
      </w:r>
      <w:proofErr w:type="spellStart"/>
      <w:r w:rsidRPr="00516B96">
        <w:rPr>
          <w:rFonts w:ascii="Times New Roman" w:hAnsi="Times New Roman" w:cs="Times New Roman"/>
          <w:i/>
          <w:sz w:val="24"/>
          <w:szCs w:val="24"/>
        </w:rPr>
        <w:t>ratione</w:t>
      </w:r>
      <w:proofErr w:type="spellEnd"/>
      <w:r w:rsidRPr="00516B96">
        <w:rPr>
          <w:rFonts w:ascii="Times New Roman" w:hAnsi="Times New Roman" w:cs="Times New Roman"/>
          <w:i/>
          <w:sz w:val="24"/>
          <w:szCs w:val="24"/>
        </w:rPr>
        <w:t xml:space="preserve"> </w:t>
      </w:r>
      <w:proofErr w:type="spellStart"/>
      <w:r w:rsidRPr="00516B96">
        <w:rPr>
          <w:rFonts w:ascii="Times New Roman" w:hAnsi="Times New Roman" w:cs="Times New Roman"/>
          <w:i/>
          <w:sz w:val="24"/>
          <w:szCs w:val="24"/>
        </w:rPr>
        <w:t>temporis</w:t>
      </w:r>
      <w:proofErr w:type="spellEnd"/>
      <w:r w:rsidRPr="00516B96">
        <w:rPr>
          <w:rFonts w:ascii="Times New Roman" w:hAnsi="Times New Roman" w:cs="Times New Roman"/>
          <w:i/>
          <w:sz w:val="24"/>
          <w:szCs w:val="24"/>
        </w:rPr>
        <w:t>:</w:t>
      </w:r>
      <w:r w:rsidRPr="00516B96">
        <w:rPr>
          <w:rFonts w:ascii="Times New Roman" w:hAnsi="Times New Roman" w:cs="Times New Roman"/>
          <w:sz w:val="24"/>
          <w:szCs w:val="24"/>
        </w:rPr>
        <w:t xml:space="preserve"> esta competencia fue más complicada de determinar. Admitir la competencia del Tribunal sobre crímenes de guerra imprescriptibles que hubiesen sido cometidos en cualquier tiempo en la antigua Yugoslavia, era incompatible con el fundamento jurídico de su creación (el Capítulo VII de la Carta). Esto condujo a escoger una fecha, a partir de la cual el Consejo había constatado que las violaciones al Derecho Internacional Humanitario habían constituido una amenaza para la paz y la seguridad internacionales. Fue, sin embargo, un razonamiento algo arbitrario (puesto que las violaciones al Derecho Internacional Humanitario serían, en todo caso, </w:t>
      </w:r>
      <w:r w:rsidRPr="00516B96">
        <w:rPr>
          <w:rFonts w:ascii="Times New Roman" w:hAnsi="Times New Roman" w:cs="Times New Roman"/>
          <w:sz w:val="24"/>
          <w:szCs w:val="24"/>
        </w:rPr>
        <w:lastRenderedPageBreak/>
        <w:t>anteriores a la fecha de su constatación), dentro de los criterios encontrados, el Secretario General se fundamentó en los términos de la Resolución 808 de 1993 e interpretó que el primero de enero de 1991 era la mejor fecha. Quedó así establecido en el artículo 8 del Estatuto.</w:t>
      </w:r>
    </w:p>
    <w:p w:rsidR="00366D27" w:rsidRPr="00516B96" w:rsidRDefault="00366D27" w:rsidP="00366D27">
      <w:pPr>
        <w:pStyle w:val="Prrafodelista"/>
        <w:numPr>
          <w:ilvl w:val="0"/>
          <w:numId w:val="9"/>
        </w:numPr>
        <w:spacing w:after="0" w:line="360" w:lineRule="auto"/>
        <w:jc w:val="both"/>
        <w:rPr>
          <w:rFonts w:ascii="Times New Roman" w:hAnsi="Times New Roman" w:cs="Times New Roman"/>
          <w:sz w:val="24"/>
          <w:szCs w:val="24"/>
        </w:rPr>
      </w:pPr>
      <w:r w:rsidRPr="00516B96">
        <w:rPr>
          <w:rFonts w:ascii="Times New Roman" w:hAnsi="Times New Roman" w:cs="Times New Roman"/>
          <w:i/>
          <w:sz w:val="24"/>
          <w:szCs w:val="24"/>
        </w:rPr>
        <w:t xml:space="preserve">Competencia </w:t>
      </w:r>
      <w:proofErr w:type="spellStart"/>
      <w:r w:rsidRPr="00516B96">
        <w:rPr>
          <w:rFonts w:ascii="Times New Roman" w:hAnsi="Times New Roman" w:cs="Times New Roman"/>
          <w:i/>
          <w:sz w:val="24"/>
          <w:szCs w:val="24"/>
        </w:rPr>
        <w:t>ratione</w:t>
      </w:r>
      <w:proofErr w:type="spellEnd"/>
      <w:r w:rsidRPr="00516B96">
        <w:rPr>
          <w:rFonts w:ascii="Times New Roman" w:hAnsi="Times New Roman" w:cs="Times New Roman"/>
          <w:i/>
          <w:sz w:val="24"/>
          <w:szCs w:val="24"/>
        </w:rPr>
        <w:t xml:space="preserve"> </w:t>
      </w:r>
      <w:proofErr w:type="spellStart"/>
      <w:r w:rsidRPr="00516B96">
        <w:rPr>
          <w:rFonts w:ascii="Times New Roman" w:hAnsi="Times New Roman" w:cs="Times New Roman"/>
          <w:i/>
          <w:sz w:val="24"/>
          <w:szCs w:val="24"/>
        </w:rPr>
        <w:t>materiae</w:t>
      </w:r>
      <w:proofErr w:type="spellEnd"/>
      <w:r w:rsidRPr="00516B96">
        <w:rPr>
          <w:rFonts w:ascii="Times New Roman" w:hAnsi="Times New Roman" w:cs="Times New Roman"/>
          <w:i/>
          <w:sz w:val="24"/>
          <w:szCs w:val="24"/>
        </w:rPr>
        <w:t>:</w:t>
      </w:r>
      <w:r w:rsidRPr="00516B96">
        <w:rPr>
          <w:rFonts w:ascii="Times New Roman" w:hAnsi="Times New Roman" w:cs="Times New Roman"/>
          <w:sz w:val="24"/>
          <w:szCs w:val="24"/>
        </w:rPr>
        <w:t xml:space="preserve"> La competencia ordinaria del Tribunal determina que conocerá únicamente de “violaciones graves del Derecho Internacional Humanitario” (Artículo 1 del Estatuto).</w:t>
      </w:r>
    </w:p>
    <w:p w:rsidR="00366D27" w:rsidRPr="00516B96" w:rsidRDefault="00366D27" w:rsidP="006212F7">
      <w:pPr>
        <w:spacing w:after="0" w:line="360" w:lineRule="auto"/>
        <w:ind w:left="708"/>
        <w:jc w:val="both"/>
        <w:rPr>
          <w:rFonts w:ascii="Times New Roman" w:hAnsi="Times New Roman" w:cs="Times New Roman"/>
          <w:sz w:val="24"/>
          <w:szCs w:val="24"/>
        </w:rPr>
      </w:pPr>
      <w:r w:rsidRPr="00516B96">
        <w:rPr>
          <w:rFonts w:ascii="Times New Roman" w:hAnsi="Times New Roman" w:cs="Times New Roman"/>
          <w:sz w:val="24"/>
          <w:szCs w:val="24"/>
        </w:rPr>
        <w:t>Mayoritariamente la doctrina acepta que el “Derecho de Ginebra” (los cuatro convenios de 12 de agosto de 1949 y los dos Protocolos adicionales de 8 de junio de 1977) tendientes a proteger a las víctimas de los conflictos armados, internacionales y no internacionales (militares fuera de combate y civiles), y el “Derecho de La Haya” que rige los derechos y deberes de los beligerantes en las operaciones de guerra, son el cuerpo convencional y consuetudinario del “Derecho Internacional  Humanitario”.</w:t>
      </w:r>
    </w:p>
    <w:p w:rsidR="006212F7" w:rsidRPr="00516B96" w:rsidRDefault="006212F7" w:rsidP="00366D27">
      <w:pPr>
        <w:spacing w:after="0" w:line="360" w:lineRule="auto"/>
        <w:ind w:left="708"/>
        <w:jc w:val="both"/>
        <w:rPr>
          <w:rFonts w:ascii="Times New Roman" w:hAnsi="Times New Roman" w:cs="Times New Roman"/>
          <w:sz w:val="24"/>
          <w:szCs w:val="24"/>
        </w:rPr>
      </w:pPr>
    </w:p>
    <w:p w:rsidR="00366D27" w:rsidRPr="00516B96" w:rsidRDefault="00366D27" w:rsidP="00366D27">
      <w:pPr>
        <w:spacing w:after="0" w:line="360" w:lineRule="auto"/>
        <w:ind w:left="708"/>
        <w:jc w:val="both"/>
        <w:rPr>
          <w:rFonts w:ascii="Times New Roman" w:hAnsi="Times New Roman" w:cs="Times New Roman"/>
          <w:sz w:val="24"/>
          <w:szCs w:val="24"/>
        </w:rPr>
      </w:pPr>
      <w:r w:rsidRPr="00516B96">
        <w:rPr>
          <w:rFonts w:ascii="Times New Roman" w:hAnsi="Times New Roman" w:cs="Times New Roman"/>
          <w:sz w:val="24"/>
          <w:szCs w:val="24"/>
        </w:rPr>
        <w:t xml:space="preserve">En el Estatuto del Tribunal, estos postulados básicos del Derecho Internacional Humanitario se recogen en su competencia </w:t>
      </w:r>
      <w:proofErr w:type="spellStart"/>
      <w:r w:rsidRPr="00516B96">
        <w:rPr>
          <w:rFonts w:ascii="Times New Roman" w:hAnsi="Times New Roman" w:cs="Times New Roman"/>
          <w:i/>
          <w:sz w:val="24"/>
          <w:szCs w:val="24"/>
        </w:rPr>
        <w:t>ratione</w:t>
      </w:r>
      <w:proofErr w:type="spellEnd"/>
      <w:r w:rsidRPr="00516B96">
        <w:rPr>
          <w:rFonts w:ascii="Times New Roman" w:hAnsi="Times New Roman" w:cs="Times New Roman"/>
          <w:i/>
          <w:sz w:val="24"/>
          <w:szCs w:val="24"/>
        </w:rPr>
        <w:t xml:space="preserve"> </w:t>
      </w:r>
      <w:proofErr w:type="spellStart"/>
      <w:r w:rsidRPr="00516B96">
        <w:rPr>
          <w:rFonts w:ascii="Times New Roman" w:hAnsi="Times New Roman" w:cs="Times New Roman"/>
          <w:i/>
          <w:sz w:val="24"/>
          <w:szCs w:val="24"/>
        </w:rPr>
        <w:t>materiae</w:t>
      </w:r>
      <w:proofErr w:type="spellEnd"/>
      <w:r w:rsidRPr="00516B96">
        <w:rPr>
          <w:rFonts w:ascii="Times New Roman" w:hAnsi="Times New Roman" w:cs="Times New Roman"/>
          <w:i/>
          <w:sz w:val="24"/>
          <w:szCs w:val="24"/>
        </w:rPr>
        <w:t>,</w:t>
      </w:r>
      <w:r w:rsidRPr="00516B96">
        <w:rPr>
          <w:rFonts w:ascii="Times New Roman" w:hAnsi="Times New Roman" w:cs="Times New Roman"/>
          <w:sz w:val="24"/>
          <w:szCs w:val="24"/>
        </w:rPr>
        <w:t xml:space="preserve"> de la siguiente manera:</w:t>
      </w:r>
    </w:p>
    <w:p w:rsidR="00366D27" w:rsidRPr="00516B96" w:rsidRDefault="00366D27" w:rsidP="00366D27">
      <w:pPr>
        <w:spacing w:after="0" w:line="360" w:lineRule="auto"/>
        <w:ind w:left="708"/>
        <w:jc w:val="both"/>
        <w:rPr>
          <w:rFonts w:ascii="Times New Roman" w:hAnsi="Times New Roman" w:cs="Times New Roman"/>
          <w:sz w:val="24"/>
          <w:szCs w:val="24"/>
        </w:rPr>
      </w:pPr>
    </w:p>
    <w:p w:rsidR="00366D27" w:rsidRPr="00516B96" w:rsidRDefault="00366D27" w:rsidP="00366D27">
      <w:pPr>
        <w:pStyle w:val="Prrafodelista"/>
        <w:numPr>
          <w:ilvl w:val="0"/>
          <w:numId w:val="10"/>
        </w:numPr>
        <w:spacing w:after="0" w:line="360" w:lineRule="auto"/>
        <w:jc w:val="both"/>
        <w:rPr>
          <w:rFonts w:ascii="Times New Roman" w:hAnsi="Times New Roman" w:cs="Times New Roman"/>
          <w:sz w:val="24"/>
          <w:szCs w:val="24"/>
        </w:rPr>
      </w:pPr>
      <w:r w:rsidRPr="00516B96">
        <w:rPr>
          <w:rFonts w:ascii="Times New Roman" w:hAnsi="Times New Roman" w:cs="Times New Roman"/>
          <w:i/>
          <w:sz w:val="24"/>
          <w:szCs w:val="24"/>
        </w:rPr>
        <w:t>A</w:t>
      </w:r>
      <w:r w:rsidR="006212F7" w:rsidRPr="00516B96">
        <w:rPr>
          <w:rFonts w:ascii="Times New Roman" w:hAnsi="Times New Roman" w:cs="Times New Roman"/>
          <w:i/>
          <w:sz w:val="24"/>
          <w:szCs w:val="24"/>
        </w:rPr>
        <w:t>rtículo</w:t>
      </w:r>
      <w:r w:rsidRPr="00516B96">
        <w:rPr>
          <w:rFonts w:ascii="Times New Roman" w:hAnsi="Times New Roman" w:cs="Times New Roman"/>
          <w:i/>
          <w:sz w:val="24"/>
          <w:szCs w:val="24"/>
        </w:rPr>
        <w:t xml:space="preserve"> 2:</w:t>
      </w:r>
      <w:r w:rsidRPr="00516B96">
        <w:rPr>
          <w:rFonts w:ascii="Times New Roman" w:hAnsi="Times New Roman" w:cs="Times New Roman"/>
          <w:sz w:val="24"/>
          <w:szCs w:val="24"/>
        </w:rPr>
        <w:t xml:space="preserve"> En aras de la necesidad imperiosa de respetar el principio de “</w:t>
      </w:r>
      <w:proofErr w:type="spellStart"/>
      <w:r w:rsidRPr="00516B96">
        <w:rPr>
          <w:rFonts w:ascii="Times New Roman" w:hAnsi="Times New Roman" w:cs="Times New Roman"/>
          <w:sz w:val="24"/>
          <w:szCs w:val="24"/>
        </w:rPr>
        <w:t>nullum</w:t>
      </w:r>
      <w:proofErr w:type="spellEnd"/>
      <w:r w:rsidRPr="00516B96">
        <w:rPr>
          <w:rFonts w:ascii="Times New Roman" w:hAnsi="Times New Roman" w:cs="Times New Roman"/>
          <w:sz w:val="24"/>
          <w:szCs w:val="24"/>
        </w:rPr>
        <w:t xml:space="preserve"> crimen sine </w:t>
      </w:r>
      <w:proofErr w:type="spellStart"/>
      <w:r w:rsidRPr="00516B96">
        <w:rPr>
          <w:rFonts w:ascii="Times New Roman" w:hAnsi="Times New Roman" w:cs="Times New Roman"/>
          <w:sz w:val="24"/>
          <w:szCs w:val="24"/>
        </w:rPr>
        <w:t>lege</w:t>
      </w:r>
      <w:proofErr w:type="spellEnd"/>
      <w:r w:rsidRPr="00516B96">
        <w:rPr>
          <w:rFonts w:ascii="Times New Roman" w:hAnsi="Times New Roman" w:cs="Times New Roman"/>
          <w:sz w:val="24"/>
          <w:szCs w:val="24"/>
        </w:rPr>
        <w:t>”, consagrado en el artículo 15 del Pacto Internacional de los Derechos Civiles y Políticos, el artículo 2 del Estatuto hace mención expresa de las Convenciones de Ginebra de 1949 (no de los Protocolos adicionales) y luego enumera crímenes tipificados en distintos artículos de las cuatro convenciones, lo cual puede producir confusión a la hora de juzgar los casos concretos de violaciones graves a los Convenios de Ginebra. Sobre todo porque estas “violaciones graves” contenidas en los Convenios no habían sido aplicadas en ningún tribunal internacional.</w:t>
      </w:r>
    </w:p>
    <w:p w:rsidR="00366D27" w:rsidRPr="00516B96" w:rsidRDefault="00366D27" w:rsidP="00366D27">
      <w:pPr>
        <w:pStyle w:val="Prrafodelista"/>
        <w:numPr>
          <w:ilvl w:val="0"/>
          <w:numId w:val="10"/>
        </w:numPr>
        <w:spacing w:after="0" w:line="360" w:lineRule="auto"/>
        <w:jc w:val="both"/>
        <w:rPr>
          <w:rFonts w:ascii="Times New Roman" w:hAnsi="Times New Roman" w:cs="Times New Roman"/>
          <w:sz w:val="24"/>
          <w:szCs w:val="24"/>
        </w:rPr>
      </w:pPr>
      <w:r w:rsidRPr="00516B96">
        <w:rPr>
          <w:rFonts w:ascii="Times New Roman" w:hAnsi="Times New Roman" w:cs="Times New Roman"/>
          <w:i/>
          <w:sz w:val="24"/>
          <w:szCs w:val="24"/>
        </w:rPr>
        <w:t>A</w:t>
      </w:r>
      <w:r w:rsidR="006212F7" w:rsidRPr="00516B96">
        <w:rPr>
          <w:rFonts w:ascii="Times New Roman" w:hAnsi="Times New Roman" w:cs="Times New Roman"/>
          <w:i/>
          <w:sz w:val="24"/>
          <w:szCs w:val="24"/>
        </w:rPr>
        <w:t>rtículo</w:t>
      </w:r>
      <w:r w:rsidRPr="00516B96">
        <w:rPr>
          <w:rFonts w:ascii="Times New Roman" w:hAnsi="Times New Roman" w:cs="Times New Roman"/>
          <w:i/>
          <w:sz w:val="24"/>
          <w:szCs w:val="24"/>
        </w:rPr>
        <w:t xml:space="preserve"> 3</w:t>
      </w:r>
      <w:r w:rsidRPr="00516B96">
        <w:rPr>
          <w:rFonts w:ascii="Times New Roman" w:hAnsi="Times New Roman" w:cs="Times New Roman"/>
          <w:sz w:val="24"/>
          <w:szCs w:val="24"/>
        </w:rPr>
        <w:t>: es más claro y se refiere a las violaciones de las leyes y costumbres de la guerra, contenidos en la Cuarta Convención de la Haya de 1907 y su Reglamento conexo.</w:t>
      </w:r>
    </w:p>
    <w:p w:rsidR="00366D27" w:rsidRPr="00516B96" w:rsidRDefault="00366D27" w:rsidP="00366D27">
      <w:pPr>
        <w:pStyle w:val="Prrafodelista"/>
        <w:spacing w:after="0" w:line="360" w:lineRule="auto"/>
        <w:ind w:left="1068"/>
        <w:jc w:val="both"/>
        <w:rPr>
          <w:rFonts w:ascii="Times New Roman" w:hAnsi="Times New Roman" w:cs="Times New Roman"/>
          <w:sz w:val="24"/>
          <w:szCs w:val="24"/>
        </w:rPr>
      </w:pPr>
      <w:r w:rsidRPr="00516B96">
        <w:rPr>
          <w:rFonts w:ascii="Times New Roman" w:hAnsi="Times New Roman" w:cs="Times New Roman"/>
          <w:sz w:val="24"/>
          <w:szCs w:val="24"/>
        </w:rPr>
        <w:t xml:space="preserve">En el informe del Secretario General se hace clara mención a la definición de crímenes de guerra que fijó el Estatuto del Tribunal de </w:t>
      </w:r>
      <w:proofErr w:type="spellStart"/>
      <w:r w:rsidRPr="00516B96">
        <w:rPr>
          <w:rFonts w:ascii="Times New Roman" w:hAnsi="Times New Roman" w:cs="Times New Roman"/>
          <w:sz w:val="24"/>
          <w:szCs w:val="24"/>
        </w:rPr>
        <w:t>Nüremberg</w:t>
      </w:r>
      <w:proofErr w:type="spellEnd"/>
      <w:r w:rsidRPr="00516B96">
        <w:rPr>
          <w:rFonts w:ascii="Times New Roman" w:hAnsi="Times New Roman" w:cs="Times New Roman"/>
          <w:sz w:val="24"/>
          <w:szCs w:val="24"/>
        </w:rPr>
        <w:t xml:space="preserve"> en su artículo 6. Por tales se entienden las violaciones de las leyes y costumbres de </w:t>
      </w:r>
      <w:r w:rsidRPr="00516B96">
        <w:rPr>
          <w:rFonts w:ascii="Times New Roman" w:hAnsi="Times New Roman" w:cs="Times New Roman"/>
          <w:sz w:val="24"/>
          <w:szCs w:val="24"/>
        </w:rPr>
        <w:lastRenderedPageBreak/>
        <w:t xml:space="preserve">la guerra por soldados o civiles. El artículo 3 del Estatuto del Tribunal Internacional para la ex-Yugoslavia enumera los crímenes de guerra que el Tribunal de </w:t>
      </w:r>
      <w:proofErr w:type="spellStart"/>
      <w:r w:rsidRPr="00516B96">
        <w:rPr>
          <w:rFonts w:ascii="Times New Roman" w:hAnsi="Times New Roman" w:cs="Times New Roman"/>
          <w:sz w:val="24"/>
          <w:szCs w:val="24"/>
        </w:rPr>
        <w:t>Nürembreg</w:t>
      </w:r>
      <w:proofErr w:type="spellEnd"/>
      <w:r w:rsidRPr="00516B96">
        <w:rPr>
          <w:rFonts w:ascii="Times New Roman" w:hAnsi="Times New Roman" w:cs="Times New Roman"/>
          <w:sz w:val="24"/>
          <w:szCs w:val="24"/>
        </w:rPr>
        <w:t xml:space="preserve"> definió.</w:t>
      </w:r>
    </w:p>
    <w:p w:rsidR="00366D27" w:rsidRPr="00516B96" w:rsidRDefault="00366D27" w:rsidP="00366D27">
      <w:pPr>
        <w:pStyle w:val="Prrafodelista"/>
        <w:numPr>
          <w:ilvl w:val="0"/>
          <w:numId w:val="10"/>
        </w:numPr>
        <w:spacing w:after="0" w:line="360" w:lineRule="auto"/>
        <w:jc w:val="both"/>
        <w:rPr>
          <w:rFonts w:ascii="Times New Roman" w:hAnsi="Times New Roman" w:cs="Times New Roman"/>
          <w:sz w:val="24"/>
          <w:szCs w:val="24"/>
        </w:rPr>
      </w:pPr>
      <w:r w:rsidRPr="00516B96">
        <w:rPr>
          <w:rFonts w:ascii="Times New Roman" w:hAnsi="Times New Roman" w:cs="Times New Roman"/>
          <w:i/>
          <w:sz w:val="24"/>
          <w:szCs w:val="24"/>
        </w:rPr>
        <w:t>Artículo 4:</w:t>
      </w:r>
      <w:r w:rsidRPr="00516B96">
        <w:rPr>
          <w:rFonts w:ascii="Times New Roman" w:hAnsi="Times New Roman" w:cs="Times New Roman"/>
          <w:sz w:val="24"/>
          <w:szCs w:val="24"/>
        </w:rPr>
        <w:t xml:space="preserve"> El delito de genocidio definido en el artículo primero de la Convención para la represión y sanción del delito de genocidio de 1948 constituye el artículo 4 del Estatuto del Tribunal. Cabe señalar que el crimen de genocidio no está basado en que exista guerra de ningún tipo. Es un crimen, bien se cometa en tiempos de paz o en tiempos de guerra y es contrario al Derecho Internacional aunque sea cometido en el territorio de  un solo Estado y contra sus nacionales (como en el caso de Ruanda).</w:t>
      </w:r>
    </w:p>
    <w:p w:rsidR="00366D27" w:rsidRPr="00516B96" w:rsidRDefault="00366D27" w:rsidP="00366D27">
      <w:pPr>
        <w:pStyle w:val="Prrafodelista"/>
        <w:numPr>
          <w:ilvl w:val="0"/>
          <w:numId w:val="10"/>
        </w:numPr>
        <w:spacing w:after="0" w:line="360" w:lineRule="auto"/>
        <w:jc w:val="both"/>
        <w:rPr>
          <w:rFonts w:ascii="Times New Roman" w:hAnsi="Times New Roman" w:cs="Times New Roman"/>
          <w:sz w:val="24"/>
          <w:szCs w:val="24"/>
        </w:rPr>
      </w:pPr>
      <w:r w:rsidRPr="00516B96">
        <w:rPr>
          <w:rFonts w:ascii="Times New Roman" w:hAnsi="Times New Roman" w:cs="Times New Roman"/>
          <w:i/>
          <w:sz w:val="24"/>
          <w:szCs w:val="24"/>
        </w:rPr>
        <w:t>Artículo 5:</w:t>
      </w:r>
      <w:r w:rsidRPr="00516B96">
        <w:rPr>
          <w:rFonts w:ascii="Times New Roman" w:hAnsi="Times New Roman" w:cs="Times New Roman"/>
          <w:sz w:val="24"/>
          <w:szCs w:val="24"/>
        </w:rPr>
        <w:t xml:space="preserve"> este artículo enumera los crímenes de lesa humanidad, o crímenes contra la humanidad.</w:t>
      </w:r>
    </w:p>
    <w:p w:rsidR="00366D27" w:rsidRPr="00516B96" w:rsidRDefault="00366D27" w:rsidP="00366D27">
      <w:pPr>
        <w:pStyle w:val="Prrafodelista"/>
        <w:spacing w:after="0" w:line="360" w:lineRule="auto"/>
        <w:ind w:left="1068"/>
        <w:jc w:val="both"/>
        <w:rPr>
          <w:rFonts w:ascii="Times New Roman" w:hAnsi="Times New Roman" w:cs="Times New Roman"/>
          <w:sz w:val="24"/>
          <w:szCs w:val="24"/>
        </w:rPr>
      </w:pPr>
      <w:r w:rsidRPr="00516B96">
        <w:rPr>
          <w:rFonts w:ascii="Times New Roman" w:hAnsi="Times New Roman" w:cs="Times New Roman"/>
          <w:sz w:val="24"/>
          <w:szCs w:val="24"/>
        </w:rPr>
        <w:t xml:space="preserve">Como lo señala el Secretario General en su informe (párrafo 47) “Los crímenes de lesa humanidad fueron reconocidos inicialmente en el Estatuto y Fallo del Tribunal de </w:t>
      </w:r>
      <w:proofErr w:type="spellStart"/>
      <w:r w:rsidRPr="00516B96">
        <w:rPr>
          <w:rFonts w:ascii="Times New Roman" w:hAnsi="Times New Roman" w:cs="Times New Roman"/>
          <w:sz w:val="24"/>
          <w:szCs w:val="24"/>
        </w:rPr>
        <w:t>Nüremberg</w:t>
      </w:r>
      <w:proofErr w:type="spellEnd"/>
      <w:r w:rsidRPr="00516B96">
        <w:rPr>
          <w:rFonts w:ascii="Times New Roman" w:hAnsi="Times New Roman" w:cs="Times New Roman"/>
          <w:sz w:val="24"/>
          <w:szCs w:val="24"/>
        </w:rPr>
        <w:t>, así como en la Ley N° 10 del Consejo de Control para Alemania. Los crímenes de lesa humanidad afectan a la población civil y están proscritos aun cuando se hayan cometido durante un conflicto armado, ya sea internacional o interno”.</w:t>
      </w:r>
    </w:p>
    <w:p w:rsidR="00366D27" w:rsidRPr="00516B96" w:rsidRDefault="00366D27" w:rsidP="00366D27">
      <w:pPr>
        <w:pStyle w:val="Prrafodelista"/>
        <w:spacing w:after="0" w:line="360" w:lineRule="auto"/>
        <w:ind w:left="1068"/>
        <w:jc w:val="both"/>
        <w:rPr>
          <w:rFonts w:ascii="Times New Roman" w:hAnsi="Times New Roman" w:cs="Times New Roman"/>
          <w:sz w:val="24"/>
          <w:szCs w:val="24"/>
        </w:rPr>
      </w:pPr>
      <w:r w:rsidRPr="00516B96">
        <w:rPr>
          <w:rFonts w:ascii="Times New Roman" w:hAnsi="Times New Roman" w:cs="Times New Roman"/>
          <w:sz w:val="24"/>
          <w:szCs w:val="24"/>
        </w:rPr>
        <w:t xml:space="preserve">Se debe a la jurisprudencia de </w:t>
      </w:r>
      <w:proofErr w:type="spellStart"/>
      <w:r w:rsidRPr="00516B96">
        <w:rPr>
          <w:rFonts w:ascii="Times New Roman" w:hAnsi="Times New Roman" w:cs="Times New Roman"/>
          <w:sz w:val="24"/>
          <w:szCs w:val="24"/>
        </w:rPr>
        <w:t>Nüremberg</w:t>
      </w:r>
      <w:proofErr w:type="spellEnd"/>
      <w:r w:rsidRPr="00516B96">
        <w:rPr>
          <w:rFonts w:ascii="Times New Roman" w:hAnsi="Times New Roman" w:cs="Times New Roman"/>
          <w:sz w:val="24"/>
          <w:szCs w:val="24"/>
        </w:rPr>
        <w:t xml:space="preserve"> el concepto de que crímenes de guerra cometidos de manera sistemática u organizada, por razones políticas, raciales o religiosas, son crímenes de lesa humanidad. En este sentido, el artículo 5 del Estatuto del Tribunal, recoge una posición más restrictiva al referir los crímenes contra la humanidad a la existencia de un conflicto armado, interno o internacional.</w:t>
      </w:r>
    </w:p>
    <w:p w:rsidR="00366D27" w:rsidRPr="00516B96" w:rsidRDefault="00366D27" w:rsidP="00366D27">
      <w:pPr>
        <w:pStyle w:val="Prrafodelista"/>
        <w:spacing w:after="0" w:line="360" w:lineRule="auto"/>
        <w:ind w:left="1068"/>
        <w:jc w:val="both"/>
        <w:rPr>
          <w:rFonts w:ascii="Times New Roman" w:hAnsi="Times New Roman" w:cs="Times New Roman"/>
          <w:sz w:val="24"/>
          <w:szCs w:val="24"/>
        </w:rPr>
      </w:pPr>
    </w:p>
    <w:p w:rsidR="00366D27" w:rsidRPr="00516B96" w:rsidRDefault="00366D27" w:rsidP="00366D27">
      <w:pPr>
        <w:pStyle w:val="Prrafodelista"/>
        <w:numPr>
          <w:ilvl w:val="0"/>
          <w:numId w:val="9"/>
        </w:numPr>
        <w:spacing w:after="0" w:line="360" w:lineRule="auto"/>
        <w:jc w:val="both"/>
        <w:rPr>
          <w:rFonts w:ascii="Times New Roman" w:hAnsi="Times New Roman" w:cs="Times New Roman"/>
          <w:sz w:val="24"/>
          <w:szCs w:val="24"/>
        </w:rPr>
      </w:pPr>
      <w:r w:rsidRPr="00516B96">
        <w:rPr>
          <w:rFonts w:ascii="Times New Roman" w:hAnsi="Times New Roman" w:cs="Times New Roman"/>
          <w:i/>
          <w:sz w:val="24"/>
          <w:szCs w:val="24"/>
        </w:rPr>
        <w:t xml:space="preserve">Jurisdicción concurrente: </w:t>
      </w:r>
      <w:r w:rsidRPr="00516B96">
        <w:rPr>
          <w:rFonts w:ascii="Times New Roman" w:hAnsi="Times New Roman" w:cs="Times New Roman"/>
          <w:sz w:val="24"/>
          <w:szCs w:val="24"/>
        </w:rPr>
        <w:t>se emplea el término jurisdicción en lugar de “competencia” para referirse al contenido del artículo 9 del estatuto del Tribunal, toda vez que resulta más propio.</w:t>
      </w:r>
    </w:p>
    <w:p w:rsidR="00366D27" w:rsidRPr="00516B96" w:rsidRDefault="00366D27" w:rsidP="00366D27">
      <w:pPr>
        <w:pStyle w:val="Prrafodelista"/>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Este artículo, objeto también de discusiones y análisis en el proceso de redactar el Estatuto, señala que el tribunal Internacional y los tribunales nacionales tendrán jurisdicción concurrente para enjuiciar a los presuntos responsables de crímenes de guerra, pero establece la primacía del Tribunal Internacional con respecto a los tribunales nacionales.</w:t>
      </w:r>
    </w:p>
    <w:p w:rsidR="00366D27" w:rsidRPr="00516B96" w:rsidRDefault="00366D27" w:rsidP="00366D27">
      <w:pPr>
        <w:pStyle w:val="Prrafodelista"/>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Dicho de otra manera, el Tribunal Internacional no tiene una jurisdicción penal exclusiva para juzgar los delitos cometidos en la ex-Yugoslavia, pero está capacitado legalmente para intervenir en cualquiera de las fases de las actuaciones de los tribunales nacionales y pedir a éstos que le remitan el conocimiento del asunto de que se trate, siempre que se trate de alguno de los asuntos sobre los que el Tribunal Internacional tiene jurisdicción (art. 1.2).</w:t>
      </w:r>
    </w:p>
    <w:p w:rsidR="00366D27" w:rsidRPr="00516B96" w:rsidRDefault="00366D27" w:rsidP="00366D27">
      <w:pPr>
        <w:pStyle w:val="Prrafodelista"/>
        <w:spacing w:after="0" w:line="360" w:lineRule="auto"/>
        <w:jc w:val="both"/>
        <w:rPr>
          <w:rFonts w:ascii="Times New Roman" w:hAnsi="Times New Roman" w:cs="Times New Roman"/>
          <w:sz w:val="24"/>
          <w:szCs w:val="24"/>
        </w:rPr>
      </w:pPr>
    </w:p>
    <w:p w:rsidR="00366D27" w:rsidRPr="00516B96" w:rsidRDefault="00366D27" w:rsidP="00366D27">
      <w:pPr>
        <w:pStyle w:val="Prrafodelista"/>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En este apartado conviene recordar que el genocidio y los crímenes contra la humanidad son crímenes con jurisdicción universal, con o sin conflicto armado. Las infracciones graves a los Convenios de Ginebra y los Estados están obligados a juzgar o dar a juzgar a los responsables de tales crímenes, pero han de ser cometidos en tiempo de guerra (conflicto armado) y en todo caso, la aplicación de estas normas depende de la voluntad política de los Estados. De allí la importancia enorme de un tribunal internacional con competencia para conocer concurrentemente de las violaciones graves al Derecho Internacional Humanitario.</w:t>
      </w:r>
    </w:p>
    <w:p w:rsidR="00366D27" w:rsidRPr="00516B96" w:rsidRDefault="00366D27" w:rsidP="00366D27">
      <w:pPr>
        <w:pStyle w:val="Prrafodelista"/>
        <w:spacing w:after="0" w:line="360" w:lineRule="auto"/>
        <w:jc w:val="both"/>
        <w:rPr>
          <w:rFonts w:ascii="Times New Roman" w:hAnsi="Times New Roman" w:cs="Times New Roman"/>
          <w:sz w:val="24"/>
          <w:szCs w:val="24"/>
        </w:rPr>
      </w:pPr>
    </w:p>
    <w:p w:rsidR="00366D27" w:rsidRPr="00516B96" w:rsidRDefault="00366D27" w:rsidP="00366D27">
      <w:pPr>
        <w:pStyle w:val="Prrafodelista"/>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 </w:t>
      </w:r>
      <w:r w:rsidRPr="00516B96">
        <w:rPr>
          <w:rFonts w:ascii="Times New Roman" w:hAnsi="Times New Roman" w:cs="Times New Roman"/>
          <w:i/>
          <w:sz w:val="24"/>
          <w:szCs w:val="24"/>
        </w:rPr>
        <w:t>Garantías Procesales</w:t>
      </w:r>
      <w:r w:rsidRPr="00516B96">
        <w:rPr>
          <w:rFonts w:ascii="Times New Roman" w:hAnsi="Times New Roman" w:cs="Times New Roman"/>
          <w:sz w:val="24"/>
          <w:szCs w:val="24"/>
        </w:rPr>
        <w:t>: El principio de “</w:t>
      </w:r>
      <w:r w:rsidRPr="00516B96">
        <w:rPr>
          <w:rFonts w:ascii="Times New Roman" w:hAnsi="Times New Roman" w:cs="Times New Roman"/>
          <w:i/>
          <w:sz w:val="24"/>
          <w:szCs w:val="24"/>
        </w:rPr>
        <w:t xml:space="preserve">non bis in </w:t>
      </w:r>
      <w:proofErr w:type="spellStart"/>
      <w:r w:rsidRPr="00516B96">
        <w:rPr>
          <w:rFonts w:ascii="Times New Roman" w:hAnsi="Times New Roman" w:cs="Times New Roman"/>
          <w:i/>
          <w:sz w:val="24"/>
          <w:szCs w:val="24"/>
        </w:rPr>
        <w:t>idem</w:t>
      </w:r>
      <w:proofErr w:type="spellEnd"/>
      <w:r w:rsidRPr="00516B96">
        <w:rPr>
          <w:rFonts w:ascii="Times New Roman" w:hAnsi="Times New Roman" w:cs="Times New Roman"/>
          <w:i/>
          <w:sz w:val="24"/>
          <w:szCs w:val="24"/>
        </w:rPr>
        <w:t>”</w:t>
      </w:r>
      <w:r w:rsidRPr="00516B96">
        <w:rPr>
          <w:rFonts w:ascii="Times New Roman" w:hAnsi="Times New Roman" w:cs="Times New Roman"/>
          <w:sz w:val="24"/>
          <w:szCs w:val="24"/>
        </w:rPr>
        <w:t xml:space="preserve"> consagrado en el artículo 17.7 del Pacto Internacional de Derechos Civiles y Políticos, garantía procesal básica de no ser juzgado dos veces por el mismo delito, está contenido en el artículo 10 del Estatuto. Esto significa que una persona que ha sido juzgada en Tribunal Internacional, no podrá serlo por los mismos delitos en un tribunal nacional, pero en la situación inversa, esto es, si una persona ha sido juzgada por un tribunal nacional, puede ser juzgada en el Tribunal Internacional en dos hipótesis: a) si el acto por el cual se la sometió a juicio fue considerado delito ordinario; o b) si el tribunal nacional no fue ni imparcial ni independiente y tuvo por objeto proteger al acusado de la responsabilidad penal internacional.</w:t>
      </w:r>
    </w:p>
    <w:p w:rsidR="00366D27" w:rsidRPr="00516B96" w:rsidRDefault="00366D27" w:rsidP="00366D27">
      <w:pPr>
        <w:pStyle w:val="Prrafodelista"/>
        <w:spacing w:after="0" w:line="360" w:lineRule="auto"/>
        <w:ind w:left="1068"/>
        <w:jc w:val="both"/>
        <w:rPr>
          <w:rFonts w:ascii="Times New Roman" w:hAnsi="Times New Roman" w:cs="Times New Roman"/>
          <w:sz w:val="24"/>
          <w:szCs w:val="24"/>
        </w:rPr>
      </w:pPr>
    </w:p>
    <w:p w:rsidR="00366D27" w:rsidRPr="00516B96" w:rsidRDefault="00F4167B" w:rsidP="00366D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IV</w:t>
      </w:r>
      <w:r w:rsidR="00366D27" w:rsidRPr="00516B96">
        <w:rPr>
          <w:rFonts w:ascii="Times New Roman" w:hAnsi="Times New Roman" w:cs="Times New Roman"/>
          <w:sz w:val="24"/>
          <w:szCs w:val="24"/>
        </w:rPr>
        <w:t>. VI.</w:t>
      </w:r>
      <w:r w:rsidR="00366D27" w:rsidRPr="00516B96">
        <w:rPr>
          <w:rFonts w:ascii="Times New Roman" w:hAnsi="Times New Roman" w:cs="Times New Roman"/>
          <w:sz w:val="24"/>
          <w:szCs w:val="24"/>
        </w:rPr>
        <w:tab/>
      </w:r>
      <w:r w:rsidR="00366D27" w:rsidRPr="00516B96">
        <w:rPr>
          <w:rFonts w:ascii="Times New Roman" w:hAnsi="Times New Roman" w:cs="Times New Roman"/>
          <w:sz w:val="24"/>
          <w:szCs w:val="24"/>
          <w:u w:val="single"/>
        </w:rPr>
        <w:t>Organización y Procedimientos</w:t>
      </w:r>
      <w:r w:rsidR="00366D27" w:rsidRPr="00516B96">
        <w:rPr>
          <w:rFonts w:ascii="Times New Roman" w:hAnsi="Times New Roman" w:cs="Times New Roman"/>
          <w:sz w:val="24"/>
          <w:szCs w:val="24"/>
        </w:rPr>
        <w:t>:</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pStyle w:val="Prrafodelista"/>
        <w:numPr>
          <w:ilvl w:val="0"/>
          <w:numId w:val="11"/>
        </w:num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El Tribunal Penal Internacional para la ex Yugoslavia es una institución compleja que, en los términos del artículo 11 de su Estatuto, “estará constituido por los siguientes órganos: a) Las Salas que consistían en dos Salas de Primera </w:t>
      </w:r>
      <w:r w:rsidRPr="00516B96">
        <w:rPr>
          <w:rFonts w:ascii="Times New Roman" w:hAnsi="Times New Roman" w:cs="Times New Roman"/>
          <w:sz w:val="24"/>
          <w:szCs w:val="24"/>
        </w:rPr>
        <w:lastRenderedPageBreak/>
        <w:t xml:space="preserve">Instancia </w:t>
      </w:r>
      <w:r w:rsidR="00D918A0" w:rsidRPr="00516B96">
        <w:rPr>
          <w:rFonts w:ascii="Times New Roman" w:hAnsi="Times New Roman" w:cs="Times New Roman"/>
          <w:sz w:val="24"/>
          <w:szCs w:val="24"/>
        </w:rPr>
        <w:t>y una Sala de Apelaciones; b) El</w:t>
      </w:r>
      <w:r w:rsidRPr="00516B96">
        <w:rPr>
          <w:rFonts w:ascii="Times New Roman" w:hAnsi="Times New Roman" w:cs="Times New Roman"/>
          <w:sz w:val="24"/>
          <w:szCs w:val="24"/>
        </w:rPr>
        <w:t xml:space="preserve"> Fiscal, y c) Una Secretaría, que prestará servicios a las Salas y al Fiscal.</w:t>
      </w:r>
      <w:r w:rsidR="00A87119">
        <w:rPr>
          <w:rFonts w:ascii="Times New Roman" w:hAnsi="Times New Roman" w:cs="Times New Roman"/>
          <w:sz w:val="24"/>
          <w:szCs w:val="24"/>
        </w:rPr>
        <w:t>”</w:t>
      </w:r>
    </w:p>
    <w:p w:rsidR="00366D27" w:rsidRPr="00516B96" w:rsidRDefault="00366D27" w:rsidP="00366D27">
      <w:pPr>
        <w:pStyle w:val="Prrafodelista"/>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Como quedó señalado, el artículo 11 del Estatuto dispuso que las salas estarán integradas por 11 magistrados, tres en cada una de las Salas de primera Instancia y cinco magistrados en la Sala de Apelaciones.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Al redactarse el Estatuto se previó la creación de una Unidad de Víctimas y Testigos, dadas las características que ya se conocían de los crímenes cometidos en la guerra en la antigua Yugoslavia y de los cuales las víctimas eran en </w:t>
      </w:r>
      <w:proofErr w:type="gramStart"/>
      <w:r w:rsidRPr="00516B96">
        <w:rPr>
          <w:rFonts w:ascii="Times New Roman" w:hAnsi="Times New Roman" w:cs="Times New Roman"/>
          <w:sz w:val="24"/>
          <w:szCs w:val="24"/>
        </w:rPr>
        <w:t>un 90% civiles inocentes</w:t>
      </w:r>
      <w:proofErr w:type="gramEnd"/>
      <w:r w:rsidRPr="00516B96">
        <w:rPr>
          <w:rFonts w:ascii="Times New Roman" w:hAnsi="Times New Roman" w:cs="Times New Roman"/>
          <w:sz w:val="24"/>
          <w:szCs w:val="24"/>
        </w:rPr>
        <w:t>. Se organizó la Unidad bajo la dirección y supervisión de la Secretaría y se le encomendó prestar la asistencia necesaria a las víctimas y a los testigos, particularmente en los casos de agresiones y crímenes sexuales de las que han sido víctimas miles de mujeres y también muchos hombres, en esa guerra. Por múltiples razones no funcionó con los objetivos que le asignó el artículo 22 del Estatuto, en el cual por primera vez en un cuerpo de normas internacionales, se incluye el derecho de las víctimas y los testigos a ser protegidos</w:t>
      </w:r>
      <w:r w:rsidR="00A87119">
        <w:rPr>
          <w:rFonts w:ascii="Times New Roman" w:hAnsi="Times New Roman" w:cs="Times New Roman"/>
          <w:sz w:val="24"/>
          <w:szCs w:val="24"/>
        </w:rPr>
        <w:t xml:space="preserve"> (Acosta, 1995)</w:t>
      </w:r>
      <w:r w:rsidRPr="00516B96">
        <w:rPr>
          <w:rFonts w:ascii="Times New Roman" w:hAnsi="Times New Roman" w:cs="Times New Roman"/>
          <w:sz w:val="24"/>
          <w:szCs w:val="24"/>
        </w:rPr>
        <w:t xml:space="preserve">. </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pStyle w:val="Prrafodelista"/>
        <w:numPr>
          <w:ilvl w:val="0"/>
          <w:numId w:val="11"/>
        </w:num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Se adoptó un proceso caracterizado por la existencia de dos partes procesales en posiciones opuestas (el imputado y el Fiscal) y un órgano jurisdiccional imparcial encargado de conocer el asunto y resolver la controversia.</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1.- Conforme a los anteriores principios y lo dispuesto por el Estatuto y las Reglas de Procedimiento y Prueba, el Fiscal es el órgano encargado de realizar las investigaciones, las cuales iniciará de oficio “o sobre la base de la información que haya obtenido de cualquier fuente, en particular de gobiernos, órganos de las Naciones Unidas, organizaciones inter-gubernamentales y organizaciones no gubernamentales…” (Art. 18 del Estatuto). Si encuentra que existen indicios suficientes, el Fiscal preparará el acta de acusación, la cual delimita el hecho punible y la persona responsable. La acusación se transmite al magistrado o magistrada previamente designado, de una Sala de Primera Instancia (mismo artículo 18), con lo cual concluye la fase de instrucción.</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2.</w:t>
      </w:r>
      <w:r w:rsidRPr="00516B96">
        <w:rPr>
          <w:rFonts w:ascii="Times New Roman" w:hAnsi="Times New Roman" w:cs="Times New Roman"/>
          <w:sz w:val="24"/>
          <w:szCs w:val="24"/>
        </w:rPr>
        <w:softHyphen/>
        <w:t xml:space="preserve">- La fase intermedia siguiente constituye un control judicial de la acción del Fiscal pues el magistrado deberá determinar no sólo que existen indicios de criminalidad, sino </w:t>
      </w:r>
      <w:r w:rsidRPr="00516B96">
        <w:rPr>
          <w:rFonts w:ascii="Times New Roman" w:hAnsi="Times New Roman" w:cs="Times New Roman"/>
          <w:sz w:val="24"/>
          <w:szCs w:val="24"/>
        </w:rPr>
        <w:lastRenderedPageBreak/>
        <w:t>también que éstos son imputables al o a los presuntos inculpados. Si el magistrado aprecia la existencia de estos indicios y su imputabilidad a una o unas determinadas personas, confirma el procesamiento y dicta orden de arresto contra el o los acusados. En caso contrario, desestima el procesamiento.</w:t>
      </w:r>
    </w:p>
    <w:p w:rsidR="00EC454C" w:rsidRPr="00516B96" w:rsidRDefault="00EC454C" w:rsidP="00366D27">
      <w:pPr>
        <w:spacing w:after="0" w:line="360" w:lineRule="auto"/>
        <w:rPr>
          <w:rFonts w:ascii="Times New Roman" w:hAnsi="Times New Roman" w:cs="Times New Roman"/>
          <w:sz w:val="24"/>
          <w:szCs w:val="24"/>
        </w:rPr>
      </w:pPr>
    </w:p>
    <w:p w:rsidR="00366D27" w:rsidRPr="00516B96" w:rsidRDefault="00366D27" w:rsidP="00EC454C">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Una vez detenido o detenidos en la Unidad </w:t>
      </w:r>
      <w:r w:rsidR="00EC454C" w:rsidRPr="00516B96">
        <w:rPr>
          <w:rFonts w:ascii="Times New Roman" w:hAnsi="Times New Roman" w:cs="Times New Roman"/>
          <w:sz w:val="24"/>
          <w:szCs w:val="24"/>
        </w:rPr>
        <w:t xml:space="preserve">de Detención del Tribunal en La </w:t>
      </w:r>
      <w:r w:rsidRPr="00516B96">
        <w:rPr>
          <w:rFonts w:ascii="Times New Roman" w:hAnsi="Times New Roman" w:cs="Times New Roman"/>
          <w:sz w:val="24"/>
          <w:szCs w:val="24"/>
        </w:rPr>
        <w:t>Haya, los procesados comparecen ante el tribunal para iniciar el juicio.</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3.- El procesado está cubierto por la presunción de inocencia, mientras no se pruebe su culpabilidad. De igual modo, goza de todas las garantías procesales propias de los modernos procedimientos penales, incluido por supuesto, un defensor o defensora de su elección (Art. 21 del Estatuto).</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4.- El juicio es oral y público. La sentencia que dicta la Sala de primera Instancia será escrita, motivada y leída en público. Puede ser adoptada por mayoría, por lo que podrá haber opiniones disidentes. Las penas serán únicamente privativas de libertad (no se puede imponer pena de muerte) y se puede, además, ordenar la devolución de bienes adquiridos por medios delictivos (Art. 24 del Estatuto).</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5.- Conforme a un principio procesal garantista moderno (que en </w:t>
      </w:r>
      <w:proofErr w:type="spellStart"/>
      <w:r w:rsidRPr="00516B96">
        <w:rPr>
          <w:rFonts w:ascii="Times New Roman" w:hAnsi="Times New Roman" w:cs="Times New Roman"/>
          <w:sz w:val="24"/>
          <w:szCs w:val="24"/>
        </w:rPr>
        <w:t>Nüremberg</w:t>
      </w:r>
      <w:proofErr w:type="spellEnd"/>
      <w:r w:rsidRPr="00516B96">
        <w:rPr>
          <w:rFonts w:ascii="Times New Roman" w:hAnsi="Times New Roman" w:cs="Times New Roman"/>
          <w:sz w:val="24"/>
          <w:szCs w:val="24"/>
        </w:rPr>
        <w:t xml:space="preserve"> no existió), la sentencia de primera instancia tiene apelación. Ambas partes -Fiscal y acusado-, pueden apelar, por errores de hecho o de derecho, conforme lo previsto en el artículo 25 del Estatuto. También existe el recurso de revisión por hechos nuevos.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6.- La sentencia se ejecutará en el país que el Tribunal Internacional designe entre una lista de Estados que hayan indicado al Consejo de Seguridad su intención de aceptar sentenciados. Únicamente diez países habían comunicado su intención de aceptar sentenciados por el Tribunal al momento de creación del mismo (Dinamarca, Finlandia, Noruega, Holanda, Alemania, Bosnia Herzegovina, Suecia, Croacia, Irán y Pakistán; algunos de ellos </w:t>
      </w:r>
      <w:r w:rsidR="00EC454C" w:rsidRPr="00516B96">
        <w:rPr>
          <w:rFonts w:ascii="Times New Roman" w:hAnsi="Times New Roman" w:cs="Times New Roman"/>
          <w:sz w:val="24"/>
          <w:szCs w:val="24"/>
        </w:rPr>
        <w:t>expresando</w:t>
      </w:r>
      <w:r w:rsidRPr="00516B96">
        <w:rPr>
          <w:rFonts w:ascii="Times New Roman" w:hAnsi="Times New Roman" w:cs="Times New Roman"/>
          <w:sz w:val="24"/>
          <w:szCs w:val="24"/>
        </w:rPr>
        <w:t xml:space="preserve"> restricciones). El Tribunal podrá supervisar las condiciones de cumplimiento de la sentencia y será consultado obligatoriamente en caso de que el sentenciado sea candidato para algún beneficio penitenciario, incluido el indulto (Art. 27 y 28 del Estatuto).</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I</w:t>
      </w:r>
      <w:r w:rsidR="00F4167B">
        <w:rPr>
          <w:rFonts w:ascii="Times New Roman" w:hAnsi="Times New Roman" w:cs="Times New Roman"/>
          <w:sz w:val="24"/>
          <w:szCs w:val="24"/>
        </w:rPr>
        <w:t>V</w:t>
      </w:r>
      <w:r w:rsidRPr="00516B96">
        <w:rPr>
          <w:rFonts w:ascii="Times New Roman" w:hAnsi="Times New Roman" w:cs="Times New Roman"/>
          <w:sz w:val="24"/>
          <w:szCs w:val="24"/>
        </w:rPr>
        <w:t xml:space="preserve">. VII. </w:t>
      </w:r>
      <w:r w:rsidRPr="00516B96">
        <w:rPr>
          <w:rFonts w:ascii="Times New Roman" w:hAnsi="Times New Roman" w:cs="Times New Roman"/>
          <w:sz w:val="24"/>
          <w:szCs w:val="24"/>
          <w:u w:val="single"/>
        </w:rPr>
        <w:t>Juicios en Ausencia (o por Contumacia) y la Regla 61 del Reglamento de Procedimiento y Pruebas</w:t>
      </w:r>
      <w:r w:rsidRPr="00516B96">
        <w:rPr>
          <w:rFonts w:ascii="Times New Roman" w:hAnsi="Times New Roman" w:cs="Times New Roman"/>
          <w:sz w:val="24"/>
          <w:szCs w:val="24"/>
        </w:rPr>
        <w:t>:</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En la época en la que el Estatuto del Tribunal se estaba redactando, se discutió la posibilidad de que se admitieran los juicios en ausencia, o por contumacia.</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La gran mayoría del Estados adoptó posición contraria y el Secretario General en su informe, expresó lo siguiente: “No debería darse comienzo al juicio hasta que el acusado se encontrase presente físicamente ante el Tribunal Internacional. Existe la noción generalizada de que en el Estatuto no se deben incluir disposiciones sobre un juicio </w:t>
      </w:r>
      <w:r w:rsidRPr="00516B96">
        <w:rPr>
          <w:rFonts w:ascii="Times New Roman" w:hAnsi="Times New Roman" w:cs="Times New Roman"/>
          <w:i/>
          <w:sz w:val="24"/>
          <w:szCs w:val="24"/>
        </w:rPr>
        <w:t xml:space="preserve">in </w:t>
      </w:r>
      <w:proofErr w:type="spellStart"/>
      <w:r w:rsidRPr="00516B96">
        <w:rPr>
          <w:rFonts w:ascii="Times New Roman" w:hAnsi="Times New Roman" w:cs="Times New Roman"/>
          <w:i/>
          <w:sz w:val="24"/>
          <w:szCs w:val="24"/>
        </w:rPr>
        <w:t>abstenia</w:t>
      </w:r>
      <w:proofErr w:type="spellEnd"/>
      <w:r w:rsidRPr="00516B96">
        <w:rPr>
          <w:rFonts w:ascii="Times New Roman" w:hAnsi="Times New Roman" w:cs="Times New Roman"/>
          <w:sz w:val="24"/>
          <w:szCs w:val="24"/>
        </w:rPr>
        <w:t xml:space="preserve"> puesto que ello no sería compatible con lo dispuesto en el artículo 14 del Pacto Internacional de Derechos Civiles y Políticos, que dispone que el acusado tendrá derecho a hallarse presente en el proceso”.</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Este derecho del acusado a encontrarse físicamente presente ante el Tribunal en el proceso, se incluyó en el artículo 21.4, literal (d) del Estatuto. Al redactarse las normas de procedimiento y prueba, se discutió ampliamente sobre el tema y al final se decidió que no se celebrarían juicios en ausencia, pero se abrió la posibilidad de un procedimiento especial llamado “Procedimiento en caso de que se incumpla una orden de arresto”. Es el llamado “procedimiento de la Regla 61”, pues ése es el número de artículo respectivo del Reglamento de Procedimientos y Prueba.</w:t>
      </w:r>
    </w:p>
    <w:p w:rsidR="00366D27" w:rsidRPr="00516B96" w:rsidRDefault="00366D27" w:rsidP="00366D27">
      <w:pPr>
        <w:spacing w:after="0" w:line="360" w:lineRule="auto"/>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De acuerdo con este procedimiento, si dentro de un plazo razonable, una orden de arresto no ha sido ejecutada, el magistrado o la magistrada que confirmó el acta de acusación invitará al Fiscal a que le informe de las medidas que ha tomado respecto a notificar al acusado y a las autoridades del Estado en cuyo territorio o bajo cuya jurisdicción y control la persona reside, de la existencia de la acusación y de la orden de arresto.</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En audiencias públicas, la Sala recibirá toda la prueba que el Fiscal posee para sustentar el acta de acusación, incluidos los testimonios de víctimas y testigos llamados por el </w:t>
      </w:r>
      <w:r w:rsidRPr="00516B96">
        <w:rPr>
          <w:rFonts w:ascii="Times New Roman" w:hAnsi="Times New Roman" w:cs="Times New Roman"/>
          <w:sz w:val="24"/>
          <w:szCs w:val="24"/>
        </w:rPr>
        <w:lastRenderedPageBreak/>
        <w:t xml:space="preserve">Fiscal. Los testigos pueden serlo de los hechos o testigos expertos. Se puede llamar también </w:t>
      </w:r>
      <w:proofErr w:type="spellStart"/>
      <w:r w:rsidRPr="00516B96">
        <w:rPr>
          <w:rFonts w:ascii="Times New Roman" w:hAnsi="Times New Roman" w:cs="Times New Roman"/>
          <w:i/>
          <w:sz w:val="24"/>
          <w:szCs w:val="24"/>
        </w:rPr>
        <w:t>amicus</w:t>
      </w:r>
      <w:proofErr w:type="spellEnd"/>
      <w:r w:rsidRPr="00516B96">
        <w:rPr>
          <w:rFonts w:ascii="Times New Roman" w:hAnsi="Times New Roman" w:cs="Times New Roman"/>
          <w:i/>
          <w:sz w:val="24"/>
          <w:szCs w:val="24"/>
        </w:rPr>
        <w:t xml:space="preserve"> </w:t>
      </w:r>
      <w:proofErr w:type="spellStart"/>
      <w:r w:rsidRPr="00516B96">
        <w:rPr>
          <w:rFonts w:ascii="Times New Roman" w:hAnsi="Times New Roman" w:cs="Times New Roman"/>
          <w:i/>
          <w:sz w:val="24"/>
          <w:szCs w:val="24"/>
        </w:rPr>
        <w:t>curiae</w:t>
      </w:r>
      <w:proofErr w:type="spellEnd"/>
      <w:r w:rsidR="00453BB8" w:rsidRPr="00516B96">
        <w:rPr>
          <w:rStyle w:val="Refdenotaalpie"/>
          <w:rFonts w:ascii="Times New Roman" w:hAnsi="Times New Roman" w:cs="Times New Roman"/>
          <w:i/>
          <w:sz w:val="24"/>
          <w:szCs w:val="24"/>
        </w:rPr>
        <w:footnoteReference w:id="8"/>
      </w:r>
      <w:r w:rsidRPr="00516B96">
        <w:rPr>
          <w:rFonts w:ascii="Times New Roman" w:hAnsi="Times New Roman" w:cs="Times New Roman"/>
          <w:i/>
          <w:sz w:val="24"/>
          <w:szCs w:val="24"/>
        </w:rPr>
        <w:t>.</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Satisfecha la Sala de que la evidencia permite afirmar la existencia de indicios de criminalidad y de que el o los acusados han cometido los hechos ilícitos que se les imputan, y que ha existido negligencia o renuencia de parte de los Estados en donde el o los acusados tienen su domicilio, reconfirmará el acta de acusación y dictará una orden de arresto internacional que se transmitirá a todos los Estados. Adicionalmente la Sala, puede pedir al Presidente del tribunal que informe al Consejo de Seguridad de la falta de colaboración con el Tribunal del estado donde residen el o los acusados.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Al no haber juicios en ausencia, este procedimiento de la Regla 61 se ha convertido en la única opción procesal para hacer público el contenido de un acta de acusación y librar una orden de arresto internacional que convierta a los acusados que rehúsan comparecer ante el Tribunal en los individuos más buscados del mundo. Además, ofrece la oportunidad para que el Consejo de Seguridad acuerde medidas o sanciones contra el o los Estados que se rehúsan a cooperar con el Tribunal al no detener a los acusados. Adicionalmente, esta publicidad tiene, entre otros efectos el de una sanción moral de carácter internacional</w:t>
      </w:r>
      <w:r w:rsidR="00A87119">
        <w:rPr>
          <w:rFonts w:ascii="Times New Roman" w:hAnsi="Times New Roman" w:cs="Times New Roman"/>
          <w:sz w:val="24"/>
          <w:szCs w:val="24"/>
        </w:rPr>
        <w:t xml:space="preserve"> (Morris, Virginia &amp;</w:t>
      </w:r>
      <w:r w:rsidR="00A87119" w:rsidRPr="00A87119">
        <w:rPr>
          <w:rFonts w:ascii="Times New Roman" w:hAnsi="Times New Roman" w:cs="Times New Roman"/>
          <w:sz w:val="24"/>
          <w:szCs w:val="24"/>
        </w:rPr>
        <w:t xml:space="preserve"> Michael P. </w:t>
      </w:r>
      <w:proofErr w:type="spellStart"/>
      <w:r w:rsidR="00A87119" w:rsidRPr="00A87119">
        <w:rPr>
          <w:rFonts w:ascii="Times New Roman" w:hAnsi="Times New Roman" w:cs="Times New Roman"/>
          <w:sz w:val="24"/>
          <w:szCs w:val="24"/>
        </w:rPr>
        <w:t>Scharf</w:t>
      </w:r>
      <w:proofErr w:type="spellEnd"/>
      <w:r w:rsidR="00A87119">
        <w:rPr>
          <w:rFonts w:ascii="Times New Roman" w:hAnsi="Times New Roman" w:cs="Times New Roman"/>
          <w:sz w:val="24"/>
          <w:szCs w:val="24"/>
        </w:rPr>
        <w:t>, 1995)</w:t>
      </w:r>
      <w:r w:rsidRPr="00516B96">
        <w:rPr>
          <w:rFonts w:ascii="Times New Roman" w:hAnsi="Times New Roman" w:cs="Times New Roman"/>
          <w:sz w:val="24"/>
          <w:szCs w:val="24"/>
        </w:rPr>
        <w:t>.</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I</w:t>
      </w:r>
      <w:r w:rsidR="00F4167B">
        <w:rPr>
          <w:rFonts w:ascii="Times New Roman" w:hAnsi="Times New Roman" w:cs="Times New Roman"/>
          <w:sz w:val="24"/>
          <w:szCs w:val="24"/>
        </w:rPr>
        <w:t>V</w:t>
      </w:r>
      <w:r w:rsidRPr="00516B96">
        <w:rPr>
          <w:rFonts w:ascii="Times New Roman" w:hAnsi="Times New Roman" w:cs="Times New Roman"/>
          <w:sz w:val="24"/>
          <w:szCs w:val="24"/>
        </w:rPr>
        <w:t xml:space="preserve">. VIII. </w:t>
      </w:r>
      <w:r w:rsidRPr="00516B96">
        <w:rPr>
          <w:rFonts w:ascii="Times New Roman" w:hAnsi="Times New Roman" w:cs="Times New Roman"/>
          <w:sz w:val="24"/>
          <w:szCs w:val="24"/>
          <w:u w:val="single"/>
        </w:rPr>
        <w:t>Resultados</w:t>
      </w:r>
      <w:r w:rsidRPr="00516B96">
        <w:rPr>
          <w:rFonts w:ascii="Times New Roman" w:hAnsi="Times New Roman" w:cs="Times New Roman"/>
          <w:sz w:val="24"/>
          <w:szCs w:val="24"/>
        </w:rPr>
        <w:t>:</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Según las proyecciones del Tribunal realizadas a finales del 2009, se esperaba que todos los juicios estén terminados a mediados del 2011, con excepción del de Radovan Karadzic, que se calculaba concluya a final del 2012.</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Además, estaba previsto que todos los recursos de apelación se resuelvan para mediados del 2013, a excepción del recurso de apelación que eventualmente se dé en el caso de Karadzic, que se esperaba esté resuelto para el mes de febrero del 2014.</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A grandes rasgos, el balance final que reporta el Tribunal es el siguiente:</w:t>
      </w:r>
    </w:p>
    <w:p w:rsidR="00366D27" w:rsidRPr="00516B96" w:rsidRDefault="00366D27" w:rsidP="00366D27">
      <w:pPr>
        <w:spacing w:after="0" w:line="360" w:lineRule="auto"/>
        <w:ind w:firstLine="708"/>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En el año 2009, el T</w:t>
      </w:r>
      <w:r w:rsidR="00580CD6" w:rsidRPr="00516B96">
        <w:rPr>
          <w:rFonts w:ascii="Times New Roman" w:hAnsi="Times New Roman" w:cs="Times New Roman"/>
          <w:sz w:val="24"/>
          <w:szCs w:val="24"/>
        </w:rPr>
        <w:t>ribunal</w:t>
      </w:r>
      <w:r w:rsidRPr="00516B96">
        <w:rPr>
          <w:rFonts w:ascii="Times New Roman" w:hAnsi="Times New Roman" w:cs="Times New Roman"/>
          <w:sz w:val="24"/>
          <w:szCs w:val="24"/>
        </w:rPr>
        <w:t xml:space="preserve"> profirió cuatro sentencias, dos en la etapa de juicio o primera instancia, y las dos restantes corresponden a apelaciones resueltas por el </w:t>
      </w:r>
      <w:r w:rsidRPr="00516B96">
        <w:rPr>
          <w:rFonts w:ascii="Times New Roman" w:hAnsi="Times New Roman" w:cs="Times New Roman"/>
          <w:i/>
          <w:iCs/>
          <w:sz w:val="24"/>
          <w:szCs w:val="24"/>
        </w:rPr>
        <w:t xml:space="preserve">ad </w:t>
      </w:r>
      <w:proofErr w:type="spellStart"/>
      <w:r w:rsidRPr="00516B96">
        <w:rPr>
          <w:rFonts w:ascii="Times New Roman" w:hAnsi="Times New Roman" w:cs="Times New Roman"/>
          <w:i/>
          <w:iCs/>
          <w:sz w:val="24"/>
          <w:szCs w:val="24"/>
        </w:rPr>
        <w:t>quem</w:t>
      </w:r>
      <w:proofErr w:type="spellEnd"/>
      <w:r w:rsidRPr="00516B96">
        <w:rPr>
          <w:rFonts w:ascii="Times New Roman" w:hAnsi="Times New Roman" w:cs="Times New Roman"/>
          <w:i/>
          <w:iCs/>
          <w:sz w:val="24"/>
          <w:szCs w:val="24"/>
        </w:rPr>
        <w:t xml:space="preserve">. </w:t>
      </w:r>
      <w:r w:rsidRPr="00516B96">
        <w:rPr>
          <w:rFonts w:ascii="Times New Roman" w:hAnsi="Times New Roman" w:cs="Times New Roman"/>
          <w:sz w:val="24"/>
          <w:szCs w:val="24"/>
        </w:rPr>
        <w:t>En estas cuatro providencias, el Tribunal reitera su jurisprudencia acerca de la responsabilidad del superior contenida en el artículo 7.3 del Estatuto.</w:t>
      </w:r>
    </w:p>
    <w:p w:rsidR="00366D27" w:rsidRPr="00516B96" w:rsidRDefault="00366D27" w:rsidP="00366D27">
      <w:pPr>
        <w:spacing w:after="0" w:line="360" w:lineRule="auto"/>
        <w:jc w:val="both"/>
        <w:rPr>
          <w:rFonts w:ascii="Times New Roman" w:hAnsi="Times New Roman" w:cs="Times New Roman"/>
          <w:sz w:val="24"/>
          <w:szCs w:val="24"/>
        </w:rPr>
      </w:pPr>
    </w:p>
    <w:p w:rsidR="00730F35" w:rsidRPr="00516B96" w:rsidRDefault="00730F35"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Existen más de 125 causas tratadas por el Tribunal Penal Internacional para la Antigua Yugoslavia, de los cuales 57 se han resuelto con sentencias acusatorias, otros casos han sido desestimados, algunos se encuentran en proceso de resolución y otros tantos no pudieron ser concluidos por causa de la muerte del acusado.</w:t>
      </w:r>
      <w:r w:rsidRPr="00516B96">
        <w:rPr>
          <w:rStyle w:val="Refdenotaalpie"/>
          <w:rFonts w:ascii="Times New Roman" w:hAnsi="Times New Roman" w:cs="Times New Roman"/>
          <w:sz w:val="24"/>
          <w:szCs w:val="24"/>
        </w:rPr>
        <w:footnoteReference w:id="9"/>
      </w:r>
      <w:r w:rsidRPr="00516B96">
        <w:rPr>
          <w:rFonts w:ascii="Times New Roman" w:hAnsi="Times New Roman" w:cs="Times New Roman"/>
          <w:sz w:val="24"/>
          <w:szCs w:val="24"/>
        </w:rPr>
        <w:t xml:space="preserve">  Algunos de los casos más relevantes se verán a continuación.</w:t>
      </w:r>
    </w:p>
    <w:p w:rsidR="00730F35" w:rsidRPr="00516B96" w:rsidRDefault="00730F35"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En el caso de la Fiscalía contra </w:t>
      </w:r>
      <w:proofErr w:type="spellStart"/>
      <w:r w:rsidRPr="00516B96">
        <w:rPr>
          <w:rFonts w:ascii="Times New Roman" w:hAnsi="Times New Roman" w:cs="Times New Roman"/>
          <w:sz w:val="24"/>
          <w:szCs w:val="24"/>
        </w:rPr>
        <w:t>Milan</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Lukić</w:t>
      </w:r>
      <w:proofErr w:type="spellEnd"/>
      <w:r w:rsidRPr="00516B96">
        <w:rPr>
          <w:rFonts w:ascii="Times New Roman" w:hAnsi="Times New Roman" w:cs="Times New Roman"/>
          <w:sz w:val="24"/>
          <w:szCs w:val="24"/>
        </w:rPr>
        <w:t xml:space="preserve"> y </w:t>
      </w:r>
      <w:proofErr w:type="spellStart"/>
      <w:r w:rsidRPr="00516B96">
        <w:rPr>
          <w:rFonts w:ascii="Times New Roman" w:hAnsi="Times New Roman" w:cs="Times New Roman"/>
          <w:sz w:val="24"/>
          <w:szCs w:val="24"/>
        </w:rPr>
        <w:t>Sredoje</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Lukić</w:t>
      </w:r>
      <w:proofErr w:type="spellEnd"/>
      <w:r w:rsidR="00012E85">
        <w:rPr>
          <w:rFonts w:ascii="Times New Roman" w:hAnsi="Times New Roman" w:cs="Times New Roman"/>
          <w:sz w:val="24"/>
          <w:szCs w:val="24"/>
        </w:rPr>
        <w:t>,</w:t>
      </w:r>
      <w:r w:rsidRPr="00516B96">
        <w:rPr>
          <w:rFonts w:ascii="Times New Roman" w:hAnsi="Times New Roman" w:cs="Times New Roman"/>
          <w:sz w:val="24"/>
          <w:szCs w:val="24"/>
        </w:rPr>
        <w:t xml:space="preserve"> fallado en primera instancia el 20 de julio del 2009, los acusados fueron condenados por el Tribunal con base en los hechos ocurridos entre el 7 de junio de 1992 y el 10 de octubre de 1994 en los pueblos de </w:t>
      </w:r>
      <w:proofErr w:type="spellStart"/>
      <w:r w:rsidRPr="00516B96">
        <w:rPr>
          <w:rFonts w:ascii="Times New Roman" w:hAnsi="Times New Roman" w:cs="Times New Roman"/>
          <w:sz w:val="24"/>
          <w:szCs w:val="24"/>
        </w:rPr>
        <w:t>Višegrad</w:t>
      </w:r>
      <w:proofErr w:type="spellEnd"/>
      <w:r w:rsidRPr="00516B96">
        <w:rPr>
          <w:rFonts w:ascii="Times New Roman" w:hAnsi="Times New Roman" w:cs="Times New Roman"/>
          <w:sz w:val="24"/>
          <w:szCs w:val="24"/>
        </w:rPr>
        <w:t xml:space="preserve"> y </w:t>
      </w:r>
      <w:proofErr w:type="spellStart"/>
      <w:r w:rsidRPr="00516B96">
        <w:rPr>
          <w:rFonts w:ascii="Times New Roman" w:hAnsi="Times New Roman" w:cs="Times New Roman"/>
          <w:sz w:val="24"/>
          <w:szCs w:val="24"/>
        </w:rPr>
        <w:t>Bikavac</w:t>
      </w:r>
      <w:proofErr w:type="spellEnd"/>
      <w:r w:rsidRPr="00516B96">
        <w:rPr>
          <w:rFonts w:ascii="Times New Roman" w:hAnsi="Times New Roman" w:cs="Times New Roman"/>
          <w:sz w:val="24"/>
          <w:szCs w:val="24"/>
        </w:rPr>
        <w:t xml:space="preserve">, y en el campo de detención de </w:t>
      </w:r>
      <w:proofErr w:type="spellStart"/>
      <w:r w:rsidRPr="00516B96">
        <w:rPr>
          <w:rFonts w:ascii="Times New Roman" w:hAnsi="Times New Roman" w:cs="Times New Roman"/>
          <w:sz w:val="24"/>
          <w:szCs w:val="24"/>
        </w:rPr>
        <w:t>Uzamnica</w:t>
      </w:r>
      <w:proofErr w:type="spellEnd"/>
      <w:r w:rsidRPr="00516B96">
        <w:rPr>
          <w:rFonts w:ascii="Times New Roman" w:hAnsi="Times New Roman" w:cs="Times New Roman"/>
          <w:sz w:val="24"/>
          <w:szCs w:val="24"/>
        </w:rPr>
        <w:t xml:space="preserve"> en Bosnia</w:t>
      </w:r>
      <w:r w:rsidR="00730F35" w:rsidRPr="00516B96">
        <w:rPr>
          <w:rFonts w:ascii="Times New Roman" w:hAnsi="Times New Roman" w:cs="Times New Roman"/>
          <w:sz w:val="24"/>
          <w:szCs w:val="24"/>
        </w:rPr>
        <w:t xml:space="preserve"> a cadena perpetua en el primer caso y a 30 años de prisión en el segundo</w:t>
      </w:r>
      <w:r w:rsidRPr="00516B96">
        <w:rPr>
          <w:rFonts w:ascii="Times New Roman" w:hAnsi="Times New Roman" w:cs="Times New Roman"/>
          <w:sz w:val="24"/>
          <w:szCs w:val="24"/>
        </w:rPr>
        <w:t xml:space="preserve">. El Tribunal los halló culpables por su responsabilidad en el secuestro y posterior asesinato a musulmanes en las masacres de </w:t>
      </w:r>
      <w:proofErr w:type="spellStart"/>
      <w:r w:rsidRPr="00516B96">
        <w:rPr>
          <w:rFonts w:ascii="Times New Roman" w:hAnsi="Times New Roman" w:cs="Times New Roman"/>
          <w:sz w:val="24"/>
          <w:szCs w:val="24"/>
        </w:rPr>
        <w:t>Višegrad</w:t>
      </w:r>
      <w:proofErr w:type="spellEnd"/>
      <w:r w:rsidRPr="00516B96">
        <w:rPr>
          <w:rFonts w:ascii="Times New Roman" w:hAnsi="Times New Roman" w:cs="Times New Roman"/>
          <w:sz w:val="24"/>
          <w:szCs w:val="24"/>
        </w:rPr>
        <w:t xml:space="preserve"> y </w:t>
      </w:r>
      <w:proofErr w:type="spellStart"/>
      <w:r w:rsidRPr="00516B96">
        <w:rPr>
          <w:rFonts w:ascii="Times New Roman" w:hAnsi="Times New Roman" w:cs="Times New Roman"/>
          <w:sz w:val="24"/>
          <w:szCs w:val="24"/>
        </w:rPr>
        <w:t>Bikavac</w:t>
      </w:r>
      <w:proofErr w:type="spellEnd"/>
      <w:r w:rsidRPr="00516B96">
        <w:rPr>
          <w:rFonts w:ascii="Times New Roman" w:hAnsi="Times New Roman" w:cs="Times New Roman"/>
          <w:sz w:val="24"/>
          <w:szCs w:val="24"/>
        </w:rPr>
        <w:t>, en las cuales resultaron incineradas o mutiladas alrededor de ciento cuarenta personas civiles.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También se les hallaron culpables por múltiples golpizas propinadas directamente u ordenadas por ellos a personas retenidas en el campo de detención de </w:t>
      </w:r>
      <w:proofErr w:type="spellStart"/>
      <w:r w:rsidRPr="00516B96">
        <w:rPr>
          <w:rFonts w:ascii="Times New Roman" w:hAnsi="Times New Roman" w:cs="Times New Roman"/>
          <w:sz w:val="24"/>
          <w:szCs w:val="24"/>
        </w:rPr>
        <w:t>Uzamnica</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Milan</w:t>
      </w:r>
      <w:proofErr w:type="spellEnd"/>
      <w:r w:rsidRPr="00516B96">
        <w:rPr>
          <w:rFonts w:ascii="Times New Roman" w:hAnsi="Times New Roman" w:cs="Times New Roman"/>
          <w:sz w:val="24"/>
          <w:szCs w:val="24"/>
        </w:rPr>
        <w:t xml:space="preserve"> y </w:t>
      </w:r>
      <w:proofErr w:type="spellStart"/>
      <w:r w:rsidRPr="00516B96">
        <w:rPr>
          <w:rFonts w:ascii="Times New Roman" w:hAnsi="Times New Roman" w:cs="Times New Roman"/>
          <w:sz w:val="24"/>
          <w:szCs w:val="24"/>
        </w:rPr>
        <w:t>Sredoje</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Lukić</w:t>
      </w:r>
      <w:proofErr w:type="spellEnd"/>
      <w:r w:rsidRPr="00516B96">
        <w:rPr>
          <w:rFonts w:ascii="Times New Roman" w:hAnsi="Times New Roman" w:cs="Times New Roman"/>
          <w:sz w:val="24"/>
          <w:szCs w:val="24"/>
        </w:rPr>
        <w:t xml:space="preserve"> que hacían parte del grupo paramilitar “Águilas Blancas” o “Vengadores” durante el período de tiempo mencionado y, como consecuencia de estas acciones, fueron condenados por haber cometido los crímenes de asesinato y sometimiento a tratos crueles a personas civiles que no participaban de las hostilidades o que fueron detenidas por actores armados en el conflicto como violaciones a las leyes y costumbres de la guerra. A su vez, </w:t>
      </w:r>
      <w:proofErr w:type="spellStart"/>
      <w:r w:rsidRPr="00516B96">
        <w:rPr>
          <w:rFonts w:ascii="Times New Roman" w:hAnsi="Times New Roman" w:cs="Times New Roman"/>
          <w:sz w:val="24"/>
          <w:szCs w:val="24"/>
        </w:rPr>
        <w:t>Milan</w:t>
      </w:r>
      <w:proofErr w:type="spellEnd"/>
      <w:r w:rsidRPr="00516B96">
        <w:rPr>
          <w:rFonts w:ascii="Times New Roman" w:hAnsi="Times New Roman" w:cs="Times New Roman"/>
          <w:sz w:val="24"/>
          <w:szCs w:val="24"/>
        </w:rPr>
        <w:t xml:space="preserve"> y </w:t>
      </w:r>
      <w:proofErr w:type="spellStart"/>
      <w:r w:rsidRPr="00516B96">
        <w:rPr>
          <w:rFonts w:ascii="Times New Roman" w:hAnsi="Times New Roman" w:cs="Times New Roman"/>
          <w:sz w:val="24"/>
          <w:szCs w:val="24"/>
        </w:rPr>
        <w:t>Sredoje</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Lukić</w:t>
      </w:r>
      <w:proofErr w:type="spellEnd"/>
      <w:r w:rsidRPr="00516B96">
        <w:rPr>
          <w:rFonts w:ascii="Times New Roman" w:hAnsi="Times New Roman" w:cs="Times New Roman"/>
          <w:sz w:val="24"/>
          <w:szCs w:val="24"/>
        </w:rPr>
        <w:t xml:space="preserve"> fueron condenados porque los delitos cometidos también violan el Estatuto del Tribunal, artículo 5, al tratarse de crímenes de lesa humanidad tales como persecución, exterminio, asesinato y sometimiento a tratos inhumanos.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 xml:space="preserve">En segundo lugar, el Tribunal profirió sentencia </w:t>
      </w:r>
      <w:r w:rsidR="00012E85" w:rsidRPr="00012E85">
        <w:rPr>
          <w:rFonts w:ascii="Times New Roman" w:hAnsi="Times New Roman" w:cs="Times New Roman"/>
          <w:sz w:val="24"/>
          <w:szCs w:val="24"/>
        </w:rPr>
        <w:t>el 26 de febrero del 2009</w:t>
      </w:r>
      <w:r w:rsidRPr="00516B96">
        <w:rPr>
          <w:rFonts w:ascii="Times New Roman" w:hAnsi="Times New Roman" w:cs="Times New Roman"/>
          <w:sz w:val="24"/>
          <w:szCs w:val="24"/>
        </w:rPr>
        <w:t xml:space="preserve">en el caso de la Fiscalía contra </w:t>
      </w:r>
      <w:proofErr w:type="spellStart"/>
      <w:r w:rsidRPr="00516B96">
        <w:rPr>
          <w:rFonts w:ascii="Times New Roman" w:hAnsi="Times New Roman" w:cs="Times New Roman"/>
          <w:sz w:val="24"/>
          <w:szCs w:val="24"/>
        </w:rPr>
        <w:t>Milan</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Milutinović</w:t>
      </w:r>
      <w:proofErr w:type="spellEnd"/>
      <w:r w:rsidRPr="00516B96">
        <w:rPr>
          <w:rFonts w:ascii="Times New Roman" w:hAnsi="Times New Roman" w:cs="Times New Roman"/>
          <w:sz w:val="24"/>
          <w:szCs w:val="24"/>
        </w:rPr>
        <w:t xml:space="preserve"> y otros por sus participaciones en los crímenes cometidos entre el 1º de enero y el 20 de junio de 1999, en Kosovo, por las fuerzas de la República Federativa de Yugoslavia y la República de Serbia</w:t>
      </w:r>
      <w:r w:rsidR="00730F35" w:rsidRPr="00516B96">
        <w:rPr>
          <w:rFonts w:ascii="Times New Roman" w:hAnsi="Times New Roman" w:cs="Times New Roman"/>
          <w:sz w:val="24"/>
          <w:szCs w:val="24"/>
        </w:rPr>
        <w:t xml:space="preserve">; sin embargo finalmente </w:t>
      </w:r>
      <w:proofErr w:type="spellStart"/>
      <w:r w:rsidR="00730F35" w:rsidRPr="00516B96">
        <w:rPr>
          <w:rFonts w:ascii="Times New Roman" w:hAnsi="Times New Roman" w:cs="Times New Roman"/>
          <w:sz w:val="24"/>
          <w:szCs w:val="24"/>
        </w:rPr>
        <w:t>Milan</w:t>
      </w:r>
      <w:proofErr w:type="spellEnd"/>
      <w:r w:rsidR="00730F35" w:rsidRPr="00516B96">
        <w:rPr>
          <w:rFonts w:ascii="Times New Roman" w:hAnsi="Times New Roman" w:cs="Times New Roman"/>
          <w:sz w:val="24"/>
          <w:szCs w:val="24"/>
        </w:rPr>
        <w:t xml:space="preserve"> fue absuelto de todos los cargos de los que se le acusaba</w:t>
      </w:r>
      <w:r w:rsidRPr="00516B96">
        <w:rPr>
          <w:rFonts w:ascii="Times New Roman" w:hAnsi="Times New Roman" w:cs="Times New Roman"/>
          <w:sz w:val="24"/>
          <w:szCs w:val="24"/>
        </w:rPr>
        <w:t>.</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Es muy importante resaltar que a los acusados se les imputaron todas las formas de responsabilidad contenidas en el Estatuto, en los artículos 7.1 a 7.3</w:t>
      </w:r>
      <w:r w:rsidRPr="00516B96">
        <w:rPr>
          <w:rStyle w:val="Refdenotaalpie"/>
          <w:rFonts w:ascii="Times New Roman" w:hAnsi="Times New Roman" w:cs="Times New Roman"/>
          <w:sz w:val="24"/>
          <w:szCs w:val="24"/>
        </w:rPr>
        <w:footnoteReference w:id="10"/>
      </w:r>
      <w:r w:rsidRPr="00516B96">
        <w:rPr>
          <w:rFonts w:ascii="Times New Roman" w:hAnsi="Times New Roman" w:cs="Times New Roman"/>
          <w:sz w:val="24"/>
          <w:szCs w:val="24"/>
        </w:rPr>
        <w:t xml:space="preserve">, ya que, en los distintos escenarios en que actuaron y las calidades que ostentaron durante el período en el que sucedieron los hechos, los acusados, salvo </w:t>
      </w:r>
      <w:proofErr w:type="spellStart"/>
      <w:r w:rsidRPr="00516B96">
        <w:rPr>
          <w:rFonts w:ascii="Times New Roman" w:hAnsi="Times New Roman" w:cs="Times New Roman"/>
          <w:sz w:val="24"/>
          <w:szCs w:val="24"/>
        </w:rPr>
        <w:t>Milan</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Milutinović</w:t>
      </w:r>
      <w:proofErr w:type="spellEnd"/>
      <w:r w:rsidRPr="00516B96">
        <w:rPr>
          <w:rFonts w:ascii="Times New Roman" w:hAnsi="Times New Roman" w:cs="Times New Roman"/>
          <w:sz w:val="24"/>
          <w:szCs w:val="24"/>
        </w:rPr>
        <w:t>, tuvieron algún grado de participación en la configuración de la empresa criminal conjunta por la cual fueron condenados.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Sobre los hechos que rodean el presente caso, el Tribunal sostuvo que hubo una amplia campaña de violencia dirigida contra la población civil albanesa de Kosovo en el curso de los ataques aéreos de la Organización del Tratado del Atlántico Norte (OTAN), llevada a cabo por las fuerzas bajo el control de la República Federativa de Yugoslavia y la Policía Especial de Serbia, en la que hubo casos de asesinato, asalto sexual, y la destrucción intencional de mezquitas. Fue la acción deliberada de las fuerzas durante esta campaña la que provocó la salida de al menos setecientos mil albanokosovares de este territorio en el corto período de tiempo entre el final de marzo y principios de junio de 1999. Los testigos que declararon sobre sus experiencias y la de sus familias, amigos y vecinos, dieron cuenta del miedo que reinaba en las ciudades y pueblos de Kosovo, no por el bombardeo de la OTAN, sino más bien debido a las acciones del Ejército yugoslavo, la Policía Especial y las fuerzas asociadas que aparejaron estas hostilidades.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 xml:space="preserve">Con base en estos hechos, el Tribunal condenó a </w:t>
      </w:r>
      <w:proofErr w:type="spellStart"/>
      <w:r w:rsidRPr="00516B96">
        <w:rPr>
          <w:rFonts w:ascii="Times New Roman" w:hAnsi="Times New Roman" w:cs="Times New Roman"/>
          <w:sz w:val="24"/>
          <w:szCs w:val="24"/>
        </w:rPr>
        <w:t>Nikola</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Šainović</w:t>
      </w:r>
      <w:proofErr w:type="spellEnd"/>
      <w:r w:rsidRPr="00516B96">
        <w:rPr>
          <w:rFonts w:ascii="Times New Roman" w:hAnsi="Times New Roman" w:cs="Times New Roman"/>
          <w:sz w:val="24"/>
          <w:szCs w:val="24"/>
        </w:rPr>
        <w:t xml:space="preserve">, quien era primer ministro adjunto de la República Federativa de Yugoslavia; a </w:t>
      </w:r>
      <w:proofErr w:type="spellStart"/>
      <w:r w:rsidRPr="00516B96">
        <w:rPr>
          <w:rFonts w:ascii="Times New Roman" w:hAnsi="Times New Roman" w:cs="Times New Roman"/>
          <w:sz w:val="24"/>
          <w:szCs w:val="24"/>
        </w:rPr>
        <w:t>Dragoljub</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Ojdanić</w:t>
      </w:r>
      <w:proofErr w:type="spellEnd"/>
      <w:r w:rsidRPr="00516B96">
        <w:rPr>
          <w:rFonts w:ascii="Times New Roman" w:hAnsi="Times New Roman" w:cs="Times New Roman"/>
          <w:sz w:val="24"/>
          <w:szCs w:val="24"/>
        </w:rPr>
        <w:t xml:space="preserve">, jefe del Estado Mayor del Ejército yugoslavo; a </w:t>
      </w:r>
      <w:proofErr w:type="spellStart"/>
      <w:r w:rsidRPr="00516B96">
        <w:rPr>
          <w:rFonts w:ascii="Times New Roman" w:hAnsi="Times New Roman" w:cs="Times New Roman"/>
          <w:sz w:val="24"/>
          <w:szCs w:val="24"/>
        </w:rPr>
        <w:t>Nebojsa</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Pavković</w:t>
      </w:r>
      <w:proofErr w:type="spellEnd"/>
      <w:r w:rsidRPr="00516B96">
        <w:rPr>
          <w:rFonts w:ascii="Times New Roman" w:hAnsi="Times New Roman" w:cs="Times New Roman"/>
          <w:sz w:val="24"/>
          <w:szCs w:val="24"/>
        </w:rPr>
        <w:t xml:space="preserve">, comandante del Ejército; a Vladimir </w:t>
      </w:r>
      <w:proofErr w:type="spellStart"/>
      <w:r w:rsidRPr="00516B96">
        <w:rPr>
          <w:rFonts w:ascii="Times New Roman" w:hAnsi="Times New Roman" w:cs="Times New Roman"/>
          <w:sz w:val="24"/>
          <w:szCs w:val="24"/>
        </w:rPr>
        <w:t>Lazarević</w:t>
      </w:r>
      <w:proofErr w:type="spellEnd"/>
      <w:r w:rsidRPr="00516B96">
        <w:rPr>
          <w:rFonts w:ascii="Times New Roman" w:hAnsi="Times New Roman" w:cs="Times New Roman"/>
          <w:sz w:val="24"/>
          <w:szCs w:val="24"/>
        </w:rPr>
        <w:t xml:space="preserve">, comandante del Cuerpo Pristina del Área del Ministerio del Interior de Serbia para Kosovo; a </w:t>
      </w:r>
      <w:proofErr w:type="spellStart"/>
      <w:r w:rsidRPr="00516B96">
        <w:rPr>
          <w:rFonts w:ascii="Times New Roman" w:hAnsi="Times New Roman" w:cs="Times New Roman"/>
          <w:sz w:val="24"/>
          <w:szCs w:val="24"/>
        </w:rPr>
        <w:t>Sreten</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Lukić</w:t>
      </w:r>
      <w:proofErr w:type="spellEnd"/>
      <w:r w:rsidRPr="00516B96">
        <w:rPr>
          <w:rFonts w:ascii="Times New Roman" w:hAnsi="Times New Roman" w:cs="Times New Roman"/>
          <w:sz w:val="24"/>
          <w:szCs w:val="24"/>
        </w:rPr>
        <w:t>, jefe del Área del Ministerio del Interior de Serbia para Kosovo respectivamente. El Tribunal sostuvo que estos sujetos fueron determinantes en el desarrollo de la campaña militar descrita y que hicieron parte de una empresa criminal conjunta encaminada al mantenimiento del control ejercido por las Fuerzas Armadas de la antigua República de Yugoslavia y de Serbia mediante una campaña sistemática de terror en contra de la población albano-kosovar</w:t>
      </w:r>
      <w:r w:rsidR="006C5347" w:rsidRPr="00516B96">
        <w:rPr>
          <w:rFonts w:ascii="Times New Roman" w:hAnsi="Times New Roman" w:cs="Times New Roman"/>
          <w:sz w:val="24"/>
          <w:szCs w:val="24"/>
        </w:rPr>
        <w:t>; todos ellos fueron condenados a penas privativas de libertad de entre 15 y 30 años según su participación en los delitos cometidos</w:t>
      </w:r>
      <w:r w:rsidRPr="00516B96">
        <w:rPr>
          <w:rFonts w:ascii="Times New Roman" w:hAnsi="Times New Roman" w:cs="Times New Roman"/>
          <w:sz w:val="24"/>
          <w:szCs w:val="24"/>
        </w:rPr>
        <w:t>.</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En el caso de la Fiscalía contra </w:t>
      </w:r>
      <w:proofErr w:type="spellStart"/>
      <w:r w:rsidRPr="00516B96">
        <w:rPr>
          <w:rFonts w:ascii="Times New Roman" w:hAnsi="Times New Roman" w:cs="Times New Roman"/>
          <w:sz w:val="24"/>
          <w:szCs w:val="24"/>
        </w:rPr>
        <w:t>Mile</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Mrkšić</w:t>
      </w:r>
      <w:proofErr w:type="spellEnd"/>
      <w:r w:rsidRPr="00516B96">
        <w:rPr>
          <w:rFonts w:ascii="Times New Roman" w:hAnsi="Times New Roman" w:cs="Times New Roman"/>
          <w:sz w:val="24"/>
          <w:szCs w:val="24"/>
        </w:rPr>
        <w:t xml:space="preserve"> y </w:t>
      </w:r>
      <w:proofErr w:type="spellStart"/>
      <w:r w:rsidRPr="00516B96">
        <w:rPr>
          <w:rFonts w:ascii="Times New Roman" w:hAnsi="Times New Roman" w:cs="Times New Roman"/>
          <w:sz w:val="24"/>
          <w:szCs w:val="24"/>
        </w:rPr>
        <w:t>Veselin</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Šljivančanin</w:t>
      </w:r>
      <w:proofErr w:type="spellEnd"/>
      <w:r w:rsidR="00012E85">
        <w:rPr>
          <w:rFonts w:ascii="Times New Roman" w:hAnsi="Times New Roman" w:cs="Times New Roman"/>
          <w:sz w:val="24"/>
          <w:szCs w:val="24"/>
        </w:rPr>
        <w:t xml:space="preserve"> que se encontraba en </w:t>
      </w:r>
      <w:r w:rsidR="00012E85" w:rsidRPr="00012E85">
        <w:rPr>
          <w:rFonts w:ascii="Times New Roman" w:hAnsi="Times New Roman" w:cs="Times New Roman"/>
          <w:sz w:val="24"/>
          <w:szCs w:val="24"/>
        </w:rPr>
        <w:t xml:space="preserve">sala de apelaciones, </w:t>
      </w:r>
      <w:r w:rsidR="00012E85">
        <w:rPr>
          <w:rFonts w:ascii="Times New Roman" w:hAnsi="Times New Roman" w:cs="Times New Roman"/>
          <w:sz w:val="24"/>
          <w:szCs w:val="24"/>
        </w:rPr>
        <w:t xml:space="preserve">con </w:t>
      </w:r>
      <w:r w:rsidR="00012E85" w:rsidRPr="00012E85">
        <w:rPr>
          <w:rFonts w:ascii="Times New Roman" w:hAnsi="Times New Roman" w:cs="Times New Roman"/>
          <w:sz w:val="24"/>
          <w:szCs w:val="24"/>
        </w:rPr>
        <w:t>sentencia de 5 de mayo del 2009</w:t>
      </w:r>
      <w:r w:rsidRPr="00516B96">
        <w:rPr>
          <w:rFonts w:ascii="Times New Roman" w:hAnsi="Times New Roman" w:cs="Times New Roman"/>
          <w:sz w:val="24"/>
          <w:szCs w:val="24"/>
        </w:rPr>
        <w:t xml:space="preserve">, el Tribunal desestimó los recursos de apelación interpuestos por los condenados al no hallar los cargos suficientemente probados. Los apelantes alegaban que se habían presentado errores de hecho y de derecho durante el proceso. </w:t>
      </w:r>
      <w:proofErr w:type="spellStart"/>
      <w:r w:rsidRPr="00516B96">
        <w:rPr>
          <w:rFonts w:ascii="Times New Roman" w:hAnsi="Times New Roman" w:cs="Times New Roman"/>
          <w:sz w:val="24"/>
          <w:szCs w:val="24"/>
        </w:rPr>
        <w:t>Šljivančanin</w:t>
      </w:r>
      <w:proofErr w:type="spellEnd"/>
      <w:r w:rsidRPr="00516B96">
        <w:rPr>
          <w:rFonts w:ascii="Times New Roman" w:hAnsi="Times New Roman" w:cs="Times New Roman"/>
          <w:sz w:val="24"/>
          <w:szCs w:val="24"/>
        </w:rPr>
        <w:t xml:space="preserve"> alegó que la sala de primera instancia incurrió en errores de hecho por no haberse podido probar que él estuvo presente en </w:t>
      </w:r>
      <w:proofErr w:type="spellStart"/>
      <w:r w:rsidRPr="00516B96">
        <w:rPr>
          <w:rFonts w:ascii="Times New Roman" w:hAnsi="Times New Roman" w:cs="Times New Roman"/>
          <w:sz w:val="24"/>
          <w:szCs w:val="24"/>
        </w:rPr>
        <w:t>Ovčara</w:t>
      </w:r>
      <w:proofErr w:type="spellEnd"/>
      <w:r w:rsidRPr="00516B96">
        <w:rPr>
          <w:rFonts w:ascii="Times New Roman" w:hAnsi="Times New Roman" w:cs="Times New Roman"/>
          <w:sz w:val="24"/>
          <w:szCs w:val="24"/>
        </w:rPr>
        <w:t xml:space="preserve"> cuando se perpetraron los crímenes, y que, en consecuencia, fue condenado equívocamente. A su turno, </w:t>
      </w:r>
      <w:proofErr w:type="spellStart"/>
      <w:r w:rsidRPr="00516B96">
        <w:rPr>
          <w:rFonts w:ascii="Times New Roman" w:hAnsi="Times New Roman" w:cs="Times New Roman"/>
          <w:sz w:val="24"/>
          <w:szCs w:val="24"/>
        </w:rPr>
        <w:t>Mrkšić</w:t>
      </w:r>
      <w:proofErr w:type="spellEnd"/>
      <w:r w:rsidRPr="00516B96">
        <w:rPr>
          <w:rFonts w:ascii="Times New Roman" w:hAnsi="Times New Roman" w:cs="Times New Roman"/>
          <w:sz w:val="24"/>
          <w:szCs w:val="24"/>
        </w:rPr>
        <w:t xml:space="preserve"> sostuvo que la sala de primera instancia fue más allá de la duda razonable al condenarlo por el cargo referente a su responsabilidad como cómplice en los delitos de asesinato, tortura y tratos crueles, y que, por esta razón, incurrió en error de derecho en virtud del artículo 7.1 del Estatuto del Tribunal. </w:t>
      </w:r>
    </w:p>
    <w:p w:rsidR="00366D27" w:rsidRPr="00516B96" w:rsidRDefault="00366D27" w:rsidP="00366D27">
      <w:pPr>
        <w:spacing w:after="0" w:line="360" w:lineRule="auto"/>
        <w:jc w:val="both"/>
        <w:rPr>
          <w:rFonts w:ascii="Times New Roman" w:hAnsi="Times New Roman" w:cs="Times New Roman"/>
          <w:sz w:val="24"/>
          <w:szCs w:val="24"/>
        </w:rPr>
      </w:pPr>
    </w:p>
    <w:p w:rsidR="006C5347" w:rsidRDefault="00366D27" w:rsidP="00366D27">
      <w:pPr>
        <w:spacing w:after="0" w:line="360" w:lineRule="auto"/>
        <w:jc w:val="both"/>
        <w:rPr>
          <w:rFonts w:ascii="Times New Roman" w:hAnsi="Times New Roman" w:cs="Times New Roman"/>
          <w:sz w:val="24"/>
          <w:szCs w:val="24"/>
        </w:rPr>
      </w:pPr>
      <w:proofErr w:type="spellStart"/>
      <w:r w:rsidRPr="00516B96">
        <w:rPr>
          <w:rFonts w:ascii="Times New Roman" w:hAnsi="Times New Roman" w:cs="Times New Roman"/>
          <w:sz w:val="24"/>
          <w:szCs w:val="24"/>
        </w:rPr>
        <w:t>Mile</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Mrkšić</w:t>
      </w:r>
      <w:proofErr w:type="spellEnd"/>
      <w:r w:rsidRPr="00516B96">
        <w:rPr>
          <w:rFonts w:ascii="Times New Roman" w:hAnsi="Times New Roman" w:cs="Times New Roman"/>
          <w:sz w:val="24"/>
          <w:szCs w:val="24"/>
        </w:rPr>
        <w:t xml:space="preserve"> fue un coronel del Ejército Popular Yugoslavo (EPY) y comandante de la Brigada de Guardias Motorizada y de Operaciones del Grupo Sur (OG Sur). Como comandante de la OG Sur, tuvo el mando de todas las fuerzas serbias como el EPY y las fuerzas paramilitares. </w:t>
      </w:r>
      <w:proofErr w:type="spellStart"/>
      <w:r w:rsidRPr="00516B96">
        <w:rPr>
          <w:rFonts w:ascii="Times New Roman" w:hAnsi="Times New Roman" w:cs="Times New Roman"/>
          <w:sz w:val="24"/>
          <w:szCs w:val="24"/>
        </w:rPr>
        <w:t>Mrkšić</w:t>
      </w:r>
      <w:proofErr w:type="spellEnd"/>
      <w:r w:rsidRPr="00516B96">
        <w:rPr>
          <w:rFonts w:ascii="Times New Roman" w:hAnsi="Times New Roman" w:cs="Times New Roman"/>
          <w:sz w:val="24"/>
          <w:szCs w:val="24"/>
        </w:rPr>
        <w:t xml:space="preserve"> fue condenado</w:t>
      </w:r>
      <w:r w:rsidR="006C5347" w:rsidRPr="00516B96">
        <w:rPr>
          <w:rFonts w:ascii="Times New Roman" w:hAnsi="Times New Roman" w:cs="Times New Roman"/>
          <w:sz w:val="24"/>
          <w:szCs w:val="24"/>
        </w:rPr>
        <w:t xml:space="preserve"> a 20 años de prisión</w:t>
      </w:r>
      <w:r w:rsidRPr="00516B96">
        <w:rPr>
          <w:rFonts w:ascii="Times New Roman" w:hAnsi="Times New Roman" w:cs="Times New Roman"/>
          <w:sz w:val="24"/>
          <w:szCs w:val="24"/>
        </w:rPr>
        <w:t xml:space="preserve"> en virtud de los artículos 3º y 7.1 del Estatuto del Tribunal por asesinato como una violación a las leyes o costumbres de la guerra, y por haber ayudado e instigado al asesinato y a la tortura de ciento noventa y cuatro personas, en un sitio ubicado cerca de un hangar en </w:t>
      </w:r>
      <w:proofErr w:type="spellStart"/>
      <w:r w:rsidRPr="00516B96">
        <w:rPr>
          <w:rFonts w:ascii="Times New Roman" w:hAnsi="Times New Roman" w:cs="Times New Roman"/>
          <w:sz w:val="24"/>
          <w:szCs w:val="24"/>
        </w:rPr>
        <w:t>Ovčara</w:t>
      </w:r>
      <w:proofErr w:type="spellEnd"/>
      <w:r w:rsidRPr="00516B96">
        <w:rPr>
          <w:rFonts w:ascii="Times New Roman" w:hAnsi="Times New Roman" w:cs="Times New Roman"/>
          <w:sz w:val="24"/>
          <w:szCs w:val="24"/>
        </w:rPr>
        <w:t xml:space="preserve"> entre el 20 y 21 de noviembre de 1991.</w:t>
      </w:r>
      <w:r w:rsidR="006C5347" w:rsidRPr="00516B96">
        <w:rPr>
          <w:rFonts w:ascii="Times New Roman" w:hAnsi="Times New Roman" w:cs="Times New Roman"/>
          <w:sz w:val="24"/>
          <w:szCs w:val="24"/>
        </w:rPr>
        <w:t xml:space="preserve"> </w:t>
      </w:r>
    </w:p>
    <w:p w:rsidR="00012E85" w:rsidRPr="00516B96" w:rsidRDefault="00012E85"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También es condenado por tratamiento cruel como una violación a las leyes o costumbres de la guerra, y por haber ayudado y alentado el mantenimiento en detención en condiciones inhumanas de las personas que se encontraban en el hangar de </w:t>
      </w:r>
      <w:proofErr w:type="spellStart"/>
      <w:r w:rsidRPr="00516B96">
        <w:rPr>
          <w:rFonts w:ascii="Times New Roman" w:hAnsi="Times New Roman" w:cs="Times New Roman"/>
          <w:sz w:val="24"/>
          <w:szCs w:val="24"/>
        </w:rPr>
        <w:t>Ovčara</w:t>
      </w:r>
      <w:proofErr w:type="spellEnd"/>
      <w:r w:rsidRPr="00516B96">
        <w:rPr>
          <w:rFonts w:ascii="Times New Roman" w:hAnsi="Times New Roman" w:cs="Times New Roman"/>
          <w:sz w:val="24"/>
          <w:szCs w:val="24"/>
        </w:rPr>
        <w:t xml:space="preserve"> el 20 de noviembre de 1991. </w:t>
      </w:r>
      <w:r w:rsidR="006C5347" w:rsidRPr="00516B96">
        <w:rPr>
          <w:rFonts w:ascii="Times New Roman" w:hAnsi="Times New Roman" w:cs="Times New Roman"/>
          <w:sz w:val="24"/>
          <w:szCs w:val="24"/>
        </w:rPr>
        <w:t xml:space="preserve">Por lo que la </w:t>
      </w:r>
      <w:r w:rsidRPr="00516B96">
        <w:rPr>
          <w:rFonts w:ascii="Times New Roman" w:hAnsi="Times New Roman" w:cs="Times New Roman"/>
          <w:sz w:val="24"/>
          <w:szCs w:val="24"/>
        </w:rPr>
        <w:t xml:space="preserve">sala de primera instancia decide condenar a </w:t>
      </w:r>
      <w:proofErr w:type="spellStart"/>
      <w:r w:rsidRPr="00516B96">
        <w:rPr>
          <w:rFonts w:ascii="Times New Roman" w:hAnsi="Times New Roman" w:cs="Times New Roman"/>
          <w:sz w:val="24"/>
          <w:szCs w:val="24"/>
        </w:rPr>
        <w:t>Mrkšić</w:t>
      </w:r>
      <w:proofErr w:type="spellEnd"/>
      <w:r w:rsidRPr="00516B96">
        <w:rPr>
          <w:rFonts w:ascii="Times New Roman" w:hAnsi="Times New Roman" w:cs="Times New Roman"/>
          <w:sz w:val="24"/>
          <w:szCs w:val="24"/>
        </w:rPr>
        <w:t xml:space="preserve"> a una pena única de veinte años de prisión y absolverlo de todos los delitos imputados como crímenes de lesa humanidad que incluyen persecuciones, exterminio, asesinato, tortura y actos inhumanos.</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A su turno, </w:t>
      </w:r>
      <w:proofErr w:type="spellStart"/>
      <w:r w:rsidRPr="00516B96">
        <w:rPr>
          <w:rFonts w:ascii="Times New Roman" w:hAnsi="Times New Roman" w:cs="Times New Roman"/>
          <w:sz w:val="24"/>
          <w:szCs w:val="24"/>
        </w:rPr>
        <w:t>Veselin</w:t>
      </w:r>
      <w:proofErr w:type="spellEnd"/>
      <w:r w:rsidRPr="00516B96">
        <w:rPr>
          <w:rFonts w:ascii="Times New Roman" w:hAnsi="Times New Roman" w:cs="Times New Roman"/>
          <w:sz w:val="24"/>
          <w:szCs w:val="24"/>
        </w:rPr>
        <w:t xml:space="preserve"> </w:t>
      </w:r>
      <w:proofErr w:type="spellStart"/>
      <w:r w:rsidRPr="00516B96">
        <w:rPr>
          <w:rFonts w:ascii="Times New Roman" w:hAnsi="Times New Roman" w:cs="Times New Roman"/>
          <w:sz w:val="24"/>
          <w:szCs w:val="24"/>
        </w:rPr>
        <w:t>Šljivančanin</w:t>
      </w:r>
      <w:proofErr w:type="spellEnd"/>
      <w:r w:rsidRPr="00516B96">
        <w:rPr>
          <w:rFonts w:ascii="Times New Roman" w:hAnsi="Times New Roman" w:cs="Times New Roman"/>
          <w:sz w:val="24"/>
          <w:szCs w:val="24"/>
        </w:rPr>
        <w:t xml:space="preserve">, mayor del Ejército Popular Yugoslavo, ocupó el cargo de jefe del órgano de seguridad, tanto de la Brigada Motorizada como de la Guardia OG Sur. En sala de primera instancia, se consideró que </w:t>
      </w:r>
      <w:proofErr w:type="spellStart"/>
      <w:r w:rsidRPr="00516B96">
        <w:rPr>
          <w:rFonts w:ascii="Times New Roman" w:hAnsi="Times New Roman" w:cs="Times New Roman"/>
          <w:sz w:val="24"/>
          <w:szCs w:val="24"/>
        </w:rPr>
        <w:t>Šljivančanin</w:t>
      </w:r>
      <w:proofErr w:type="spellEnd"/>
      <w:r w:rsidRPr="00516B96">
        <w:rPr>
          <w:rFonts w:ascii="Times New Roman" w:hAnsi="Times New Roman" w:cs="Times New Roman"/>
          <w:sz w:val="24"/>
          <w:szCs w:val="24"/>
        </w:rPr>
        <w:t xml:space="preserve"> fue nombrado por </w:t>
      </w:r>
      <w:proofErr w:type="spellStart"/>
      <w:r w:rsidRPr="00516B96">
        <w:rPr>
          <w:rFonts w:ascii="Times New Roman" w:hAnsi="Times New Roman" w:cs="Times New Roman"/>
          <w:sz w:val="24"/>
          <w:szCs w:val="24"/>
        </w:rPr>
        <w:t>Mrkšić</w:t>
      </w:r>
      <w:proofErr w:type="spellEnd"/>
      <w:r w:rsidRPr="00516B96">
        <w:rPr>
          <w:rFonts w:ascii="Times New Roman" w:hAnsi="Times New Roman" w:cs="Times New Roman"/>
          <w:sz w:val="24"/>
          <w:szCs w:val="24"/>
        </w:rPr>
        <w:t xml:space="preserve"> para evacuar el hospital de </w:t>
      </w:r>
      <w:proofErr w:type="spellStart"/>
      <w:r w:rsidRPr="00516B96">
        <w:rPr>
          <w:rFonts w:ascii="Times New Roman" w:hAnsi="Times New Roman" w:cs="Times New Roman"/>
          <w:sz w:val="24"/>
          <w:szCs w:val="24"/>
        </w:rPr>
        <w:t>Vukovar</w:t>
      </w:r>
      <w:proofErr w:type="spellEnd"/>
      <w:r w:rsidRPr="00516B96">
        <w:rPr>
          <w:rFonts w:ascii="Times New Roman" w:hAnsi="Times New Roman" w:cs="Times New Roman"/>
          <w:sz w:val="24"/>
          <w:szCs w:val="24"/>
        </w:rPr>
        <w:t xml:space="preserve">. También, a criterio del </w:t>
      </w:r>
      <w:r w:rsidRPr="00516B96">
        <w:rPr>
          <w:rFonts w:ascii="Times New Roman" w:hAnsi="Times New Roman" w:cs="Times New Roman"/>
          <w:i/>
          <w:iCs/>
          <w:sz w:val="24"/>
          <w:szCs w:val="24"/>
        </w:rPr>
        <w:t xml:space="preserve">a quo, </w:t>
      </w:r>
      <w:r w:rsidRPr="00516B96">
        <w:rPr>
          <w:rFonts w:ascii="Times New Roman" w:hAnsi="Times New Roman" w:cs="Times New Roman"/>
          <w:sz w:val="24"/>
          <w:szCs w:val="24"/>
        </w:rPr>
        <w:t xml:space="preserve">se encontró que, entre sus responsabilidades, se incluyeron la realización de la evacuación del hospital, la selección de los sospechosos de crímenes de guerra retirados del hospital de </w:t>
      </w:r>
      <w:proofErr w:type="spellStart"/>
      <w:r w:rsidRPr="00516B96">
        <w:rPr>
          <w:rFonts w:ascii="Times New Roman" w:hAnsi="Times New Roman" w:cs="Times New Roman"/>
          <w:sz w:val="24"/>
          <w:szCs w:val="24"/>
        </w:rPr>
        <w:t>Vukovar</w:t>
      </w:r>
      <w:proofErr w:type="spellEnd"/>
      <w:r w:rsidRPr="00516B96">
        <w:rPr>
          <w:rFonts w:ascii="Times New Roman" w:hAnsi="Times New Roman" w:cs="Times New Roman"/>
          <w:sz w:val="24"/>
          <w:szCs w:val="24"/>
        </w:rPr>
        <w:t xml:space="preserve"> el 20 de noviembre de 1991 y el transporte de estos y la seguridad, así como la evacuación de los civiles. </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366D2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 xml:space="preserve">La sala lo halló culpable, en virtud de los artículos 3 y 7.1 del Estatuto, de complicidad o encubrimiento de la tortura de prisioneros de guerra en el hangar de </w:t>
      </w:r>
      <w:proofErr w:type="spellStart"/>
      <w:r w:rsidRPr="00516B96">
        <w:rPr>
          <w:rFonts w:ascii="Times New Roman" w:hAnsi="Times New Roman" w:cs="Times New Roman"/>
          <w:sz w:val="24"/>
          <w:szCs w:val="24"/>
        </w:rPr>
        <w:t>Ovčara</w:t>
      </w:r>
      <w:proofErr w:type="spellEnd"/>
      <w:r w:rsidRPr="00516B96">
        <w:rPr>
          <w:rFonts w:ascii="Times New Roman" w:hAnsi="Times New Roman" w:cs="Times New Roman"/>
          <w:sz w:val="24"/>
          <w:szCs w:val="24"/>
        </w:rPr>
        <w:t xml:space="preserve"> el 20 de noviembre de 1991. Sin embargo, lo absolvió de todos los cargos de crímenes de lesa humanidad, así como de aquellos por asesinato como una violación de las leyes o costumbres de guerra. La sala de primera instancia lo condenó a una pena única de cinco años de prisión.</w:t>
      </w:r>
    </w:p>
    <w:p w:rsidR="00366D27" w:rsidRPr="00516B96" w:rsidRDefault="00366D27" w:rsidP="00366D27">
      <w:pPr>
        <w:spacing w:after="0" w:line="360" w:lineRule="auto"/>
        <w:jc w:val="both"/>
        <w:rPr>
          <w:rFonts w:ascii="Times New Roman" w:hAnsi="Times New Roman" w:cs="Times New Roman"/>
          <w:sz w:val="24"/>
          <w:szCs w:val="24"/>
        </w:rPr>
      </w:pPr>
    </w:p>
    <w:p w:rsidR="00366D27" w:rsidRPr="00516B96" w:rsidRDefault="006C5347" w:rsidP="00366D27">
      <w:pPr>
        <w:spacing w:after="0" w:line="360" w:lineRule="auto"/>
        <w:jc w:val="both"/>
        <w:rPr>
          <w:rFonts w:ascii="Times New Roman" w:hAnsi="Times New Roman" w:cs="Times New Roman"/>
          <w:sz w:val="24"/>
          <w:szCs w:val="24"/>
        </w:rPr>
      </w:pPr>
      <w:r w:rsidRPr="00516B96">
        <w:rPr>
          <w:rFonts w:ascii="Times New Roman" w:hAnsi="Times New Roman" w:cs="Times New Roman"/>
          <w:sz w:val="24"/>
          <w:szCs w:val="24"/>
        </w:rPr>
        <w:t>A</w:t>
      </w:r>
      <w:r w:rsidR="00366D27" w:rsidRPr="00516B96">
        <w:rPr>
          <w:rFonts w:ascii="Times New Roman" w:hAnsi="Times New Roman" w:cs="Times New Roman"/>
          <w:sz w:val="24"/>
          <w:szCs w:val="24"/>
        </w:rPr>
        <w:t xml:space="preserve"> propósito del caso de la Fiscalía contra </w:t>
      </w:r>
      <w:proofErr w:type="spellStart"/>
      <w:r w:rsidR="00366D27" w:rsidRPr="00516B96">
        <w:rPr>
          <w:rFonts w:ascii="Times New Roman" w:hAnsi="Times New Roman" w:cs="Times New Roman"/>
          <w:sz w:val="24"/>
          <w:szCs w:val="24"/>
        </w:rPr>
        <w:t>Momčilo</w:t>
      </w:r>
      <w:proofErr w:type="spellEnd"/>
      <w:r w:rsidR="00366D27" w:rsidRPr="00516B96">
        <w:rPr>
          <w:rFonts w:ascii="Times New Roman" w:hAnsi="Times New Roman" w:cs="Times New Roman"/>
          <w:sz w:val="24"/>
          <w:szCs w:val="24"/>
        </w:rPr>
        <w:t xml:space="preserve"> </w:t>
      </w:r>
      <w:proofErr w:type="spellStart"/>
      <w:r w:rsidR="00366D27" w:rsidRPr="00516B96">
        <w:rPr>
          <w:rFonts w:ascii="Times New Roman" w:hAnsi="Times New Roman" w:cs="Times New Roman"/>
          <w:sz w:val="24"/>
          <w:szCs w:val="24"/>
        </w:rPr>
        <w:t>Krajišnik</w:t>
      </w:r>
      <w:proofErr w:type="spellEnd"/>
      <w:r w:rsidR="00012E85">
        <w:rPr>
          <w:rFonts w:ascii="Times New Roman" w:hAnsi="Times New Roman" w:cs="Times New Roman"/>
          <w:sz w:val="24"/>
          <w:szCs w:val="24"/>
        </w:rPr>
        <w:t xml:space="preserve">, el cual se encontraba en </w:t>
      </w:r>
      <w:r w:rsidR="00012E85" w:rsidRPr="00012E85">
        <w:rPr>
          <w:rFonts w:ascii="Times New Roman" w:hAnsi="Times New Roman" w:cs="Times New Roman"/>
          <w:sz w:val="24"/>
          <w:szCs w:val="24"/>
        </w:rPr>
        <w:t xml:space="preserve">sala de apelaciones, </w:t>
      </w:r>
      <w:r w:rsidR="00012E85">
        <w:rPr>
          <w:rFonts w:ascii="Times New Roman" w:hAnsi="Times New Roman" w:cs="Times New Roman"/>
          <w:sz w:val="24"/>
          <w:szCs w:val="24"/>
        </w:rPr>
        <w:t xml:space="preserve">con </w:t>
      </w:r>
      <w:r w:rsidR="00012E85" w:rsidRPr="00012E85">
        <w:rPr>
          <w:rFonts w:ascii="Times New Roman" w:hAnsi="Times New Roman" w:cs="Times New Roman"/>
          <w:sz w:val="24"/>
          <w:szCs w:val="24"/>
        </w:rPr>
        <w:t>sentencia del 17 de marzo del 2009</w:t>
      </w:r>
      <w:r w:rsidR="00012E85">
        <w:rPr>
          <w:rFonts w:ascii="Times New Roman" w:hAnsi="Times New Roman" w:cs="Times New Roman"/>
          <w:sz w:val="24"/>
          <w:szCs w:val="24"/>
        </w:rPr>
        <w:t>, este se refería</w:t>
      </w:r>
      <w:r w:rsidR="00366D27" w:rsidRPr="00516B96">
        <w:rPr>
          <w:rFonts w:ascii="Times New Roman" w:hAnsi="Times New Roman" w:cs="Times New Roman"/>
          <w:sz w:val="24"/>
          <w:szCs w:val="24"/>
        </w:rPr>
        <w:t xml:space="preserve"> a los acontecimien</w:t>
      </w:r>
      <w:r w:rsidR="00012E85">
        <w:rPr>
          <w:rFonts w:ascii="Times New Roman" w:hAnsi="Times New Roman" w:cs="Times New Roman"/>
          <w:sz w:val="24"/>
          <w:szCs w:val="24"/>
        </w:rPr>
        <w:t>tos ocurridos en 35</w:t>
      </w:r>
      <w:r w:rsidR="00366D27" w:rsidRPr="00516B96">
        <w:rPr>
          <w:rFonts w:ascii="Times New Roman" w:hAnsi="Times New Roman" w:cs="Times New Roman"/>
          <w:sz w:val="24"/>
          <w:szCs w:val="24"/>
        </w:rPr>
        <w:t xml:space="preserve"> municipios de Bosnia y Herzegovina entre el 1º de julio de 1991 y el 30 de diciembre de 1992. El 27 de septiembre del 2006, la sala de primera instancia halló a </w:t>
      </w:r>
      <w:proofErr w:type="spellStart"/>
      <w:r w:rsidR="00366D27" w:rsidRPr="00516B96">
        <w:rPr>
          <w:rFonts w:ascii="Times New Roman" w:hAnsi="Times New Roman" w:cs="Times New Roman"/>
          <w:sz w:val="24"/>
          <w:szCs w:val="24"/>
        </w:rPr>
        <w:t>Krajišnik</w:t>
      </w:r>
      <w:proofErr w:type="spellEnd"/>
      <w:r w:rsidR="00366D27" w:rsidRPr="00516B96">
        <w:rPr>
          <w:rFonts w:ascii="Times New Roman" w:hAnsi="Times New Roman" w:cs="Times New Roman"/>
          <w:sz w:val="24"/>
          <w:szCs w:val="24"/>
        </w:rPr>
        <w:t xml:space="preserve"> responsable de la persecución, exterminio, deportación y actos inhumanos como crímenes de lesa humanidad en virtud del artículo 5 del Estatuto del Tribunal. Se le acusa de haber participado en una empresa criminal conjunta, integrada por un componente de liderazgo central en el que Karadzic, </w:t>
      </w:r>
      <w:proofErr w:type="spellStart"/>
      <w:r w:rsidR="00366D27" w:rsidRPr="00516B96">
        <w:rPr>
          <w:rFonts w:ascii="Times New Roman" w:hAnsi="Times New Roman" w:cs="Times New Roman"/>
          <w:sz w:val="24"/>
          <w:szCs w:val="24"/>
        </w:rPr>
        <w:t>Krajišnik</w:t>
      </w:r>
      <w:proofErr w:type="spellEnd"/>
      <w:r w:rsidR="00366D27" w:rsidRPr="00516B96">
        <w:rPr>
          <w:rFonts w:ascii="Times New Roman" w:hAnsi="Times New Roman" w:cs="Times New Roman"/>
          <w:sz w:val="24"/>
          <w:szCs w:val="24"/>
        </w:rPr>
        <w:t xml:space="preserve"> y otros dirigentes serbios se encontraban al mando y que tenía como sede la </w:t>
      </w:r>
      <w:r w:rsidR="00366D27" w:rsidRPr="00516B96">
        <w:rPr>
          <w:rFonts w:ascii="Times New Roman" w:hAnsi="Times New Roman" w:cs="Times New Roman"/>
          <w:sz w:val="24"/>
          <w:szCs w:val="24"/>
        </w:rPr>
        <w:lastRenderedPageBreak/>
        <w:t>capital de los serbios de Bosnia, Pale. Además, poseía un elemento de índole local consistente en los municipios controlados por serbo-bosnios, los cuales mantenían estrechos vínculos con los líderes en Pale. La sala de primera instancia le impuso una pena única de veintisiete años de prisión.</w:t>
      </w:r>
    </w:p>
    <w:p w:rsidR="00366D27" w:rsidRPr="00516B96" w:rsidRDefault="00366D27">
      <w:pPr>
        <w:rPr>
          <w:rFonts w:ascii="Times New Roman" w:hAnsi="Times New Roman" w:cs="Times New Roman"/>
        </w:rPr>
      </w:pPr>
      <w:r w:rsidRPr="00516B96">
        <w:rPr>
          <w:rFonts w:ascii="Times New Roman" w:hAnsi="Times New Roman" w:cs="Times New Roman"/>
        </w:rPr>
        <w:br w:type="page"/>
      </w:r>
    </w:p>
    <w:p w:rsidR="00366D27" w:rsidRPr="00516B96" w:rsidRDefault="00694F1E" w:rsidP="00694F1E">
      <w:pPr>
        <w:jc w:val="center"/>
        <w:rPr>
          <w:rFonts w:ascii="Times New Roman" w:hAnsi="Times New Roman" w:cs="Times New Roman"/>
          <w:b/>
          <w:sz w:val="24"/>
          <w:szCs w:val="24"/>
          <w:lang w:val="es-EC"/>
        </w:rPr>
      </w:pPr>
      <w:r w:rsidRPr="00516B96">
        <w:rPr>
          <w:rFonts w:ascii="Times New Roman" w:hAnsi="Times New Roman" w:cs="Times New Roman"/>
          <w:b/>
          <w:sz w:val="24"/>
          <w:szCs w:val="24"/>
          <w:lang w:val="es-EC"/>
        </w:rPr>
        <w:lastRenderedPageBreak/>
        <w:t>CONCLUSIONES</w:t>
      </w:r>
    </w:p>
    <w:p w:rsidR="001D38ED" w:rsidRPr="00516B96" w:rsidRDefault="001D38ED" w:rsidP="001D38ED">
      <w:pPr>
        <w:spacing w:line="360" w:lineRule="auto"/>
        <w:jc w:val="both"/>
        <w:rPr>
          <w:rFonts w:ascii="Times New Roman" w:hAnsi="Times New Roman" w:cs="Times New Roman"/>
          <w:sz w:val="24"/>
          <w:szCs w:val="24"/>
        </w:rPr>
      </w:pPr>
    </w:p>
    <w:p w:rsidR="001D38ED" w:rsidRPr="00516B96" w:rsidRDefault="001D38ED" w:rsidP="001D38ED">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Una vez terminado el presente proyecto de fin de carrera se concluye que:</w:t>
      </w:r>
    </w:p>
    <w:p w:rsidR="009B0277" w:rsidRPr="00516B96" w:rsidRDefault="009B0277" w:rsidP="001D38ED">
      <w:pPr>
        <w:pStyle w:val="Prrafodelista"/>
        <w:numPr>
          <w:ilvl w:val="0"/>
          <w:numId w:val="22"/>
        </w:numPr>
        <w:spacing w:line="360" w:lineRule="auto"/>
        <w:jc w:val="both"/>
        <w:rPr>
          <w:rFonts w:ascii="Times New Roman" w:hAnsi="Times New Roman" w:cs="Times New Roman"/>
          <w:sz w:val="24"/>
          <w:szCs w:val="24"/>
          <w:lang w:val="es-EC"/>
        </w:rPr>
      </w:pPr>
      <w:r w:rsidRPr="00516B96">
        <w:rPr>
          <w:rFonts w:ascii="Times New Roman" w:hAnsi="Times New Roman" w:cs="Times New Roman"/>
          <w:sz w:val="24"/>
          <w:szCs w:val="24"/>
          <w:lang w:val="es-EC"/>
        </w:rPr>
        <w:t>La Guerra en Yugoslavia abrió las puertas para la creación del primer Tribunal Internacional para juzgar crímenes de guerra, institución que daría pie al Tribunal Penal Internacional.</w:t>
      </w:r>
    </w:p>
    <w:p w:rsidR="009B0277" w:rsidRPr="00516B96" w:rsidRDefault="009B0277" w:rsidP="009B0277">
      <w:pPr>
        <w:pStyle w:val="Prrafodelista"/>
        <w:spacing w:line="360" w:lineRule="auto"/>
        <w:jc w:val="both"/>
        <w:rPr>
          <w:rFonts w:ascii="Times New Roman" w:hAnsi="Times New Roman" w:cs="Times New Roman"/>
          <w:sz w:val="24"/>
          <w:szCs w:val="24"/>
          <w:lang w:val="es-EC"/>
        </w:rPr>
      </w:pPr>
    </w:p>
    <w:p w:rsidR="009B0277" w:rsidRPr="00516B96" w:rsidRDefault="009B0277" w:rsidP="001D38ED">
      <w:pPr>
        <w:pStyle w:val="Prrafodelista"/>
        <w:numPr>
          <w:ilvl w:val="0"/>
          <w:numId w:val="22"/>
        </w:numPr>
        <w:spacing w:line="360" w:lineRule="auto"/>
        <w:jc w:val="both"/>
        <w:rPr>
          <w:rFonts w:ascii="Times New Roman" w:hAnsi="Times New Roman" w:cs="Times New Roman"/>
          <w:sz w:val="24"/>
          <w:szCs w:val="24"/>
          <w:lang w:val="es-EC"/>
        </w:rPr>
      </w:pPr>
      <w:r w:rsidRPr="00516B96">
        <w:rPr>
          <w:rFonts w:ascii="Times New Roman" w:hAnsi="Times New Roman" w:cs="Times New Roman"/>
          <w:sz w:val="24"/>
          <w:szCs w:val="24"/>
          <w:lang w:val="es-EC"/>
        </w:rPr>
        <w:t>El Comité Internacional de la Cruz Roja es la institución precursora del desarrollo del Derecho Internacional Humanitario, la cual realiza los mayores esfuerzos por obtener legislación acorde a las realidades mundiales, pero que sin embargo, no muestra los resultados esperados.</w:t>
      </w:r>
    </w:p>
    <w:p w:rsidR="009B0277" w:rsidRPr="00516B96" w:rsidRDefault="009B0277" w:rsidP="009B0277">
      <w:pPr>
        <w:pStyle w:val="Prrafodelista"/>
        <w:spacing w:line="360" w:lineRule="auto"/>
        <w:jc w:val="both"/>
        <w:rPr>
          <w:rFonts w:ascii="Times New Roman" w:hAnsi="Times New Roman" w:cs="Times New Roman"/>
          <w:sz w:val="24"/>
          <w:szCs w:val="24"/>
          <w:lang w:val="es-EC"/>
        </w:rPr>
      </w:pPr>
    </w:p>
    <w:p w:rsidR="001D38ED" w:rsidRPr="00516B96" w:rsidRDefault="001D38ED" w:rsidP="001D38ED">
      <w:pPr>
        <w:pStyle w:val="Prrafodelista"/>
        <w:numPr>
          <w:ilvl w:val="0"/>
          <w:numId w:val="22"/>
        </w:numPr>
        <w:spacing w:line="360" w:lineRule="auto"/>
        <w:jc w:val="both"/>
        <w:rPr>
          <w:rFonts w:ascii="Times New Roman" w:hAnsi="Times New Roman" w:cs="Times New Roman"/>
          <w:sz w:val="24"/>
          <w:szCs w:val="24"/>
          <w:lang w:val="es-EC"/>
        </w:rPr>
      </w:pPr>
      <w:r w:rsidRPr="00516B96">
        <w:rPr>
          <w:rFonts w:ascii="Times New Roman" w:hAnsi="Times New Roman" w:cs="Times New Roman"/>
          <w:sz w:val="24"/>
          <w:szCs w:val="24"/>
          <w:lang w:val="es-EC"/>
        </w:rPr>
        <w:t>El Derecho Internacional Humanitario no puede ser sólo un conjunto de recomendaciones que los Estados y los individuos quebrantan gravemente sin ninguna sanción. Los Tribunales nacionales, aunque competentes legalmente, han demostrado ser inoperantes en este ámbito. Es por ello que administrar justicia en tales situaciones debe ser competencia concurrente de tribunales internacionales que tengan primacía sobre aquéllos. La impunidad de los criminales en los conflictos armados, nacionales o internacionales, debe cesar. Sólo así el concepto de “naciones civilizadas” tendrá verdadero sentido</w:t>
      </w:r>
    </w:p>
    <w:p w:rsidR="009B0277" w:rsidRPr="00516B96" w:rsidRDefault="009B0277" w:rsidP="009B0277">
      <w:pPr>
        <w:pStyle w:val="Prrafodelista"/>
        <w:spacing w:line="360" w:lineRule="auto"/>
        <w:jc w:val="both"/>
        <w:rPr>
          <w:rFonts w:ascii="Times New Roman" w:hAnsi="Times New Roman" w:cs="Times New Roman"/>
          <w:sz w:val="24"/>
          <w:szCs w:val="24"/>
          <w:lang w:val="es-EC"/>
        </w:rPr>
      </w:pPr>
    </w:p>
    <w:p w:rsidR="009B0277" w:rsidRPr="00516B96" w:rsidRDefault="001D38ED" w:rsidP="009B0277">
      <w:pPr>
        <w:pStyle w:val="Prrafodelista"/>
        <w:numPr>
          <w:ilvl w:val="0"/>
          <w:numId w:val="22"/>
        </w:numPr>
        <w:spacing w:line="360" w:lineRule="auto"/>
        <w:jc w:val="both"/>
        <w:rPr>
          <w:rFonts w:ascii="Times New Roman" w:hAnsi="Times New Roman" w:cs="Times New Roman"/>
          <w:bCs/>
          <w:sz w:val="24"/>
          <w:szCs w:val="24"/>
          <w:lang w:val="es-EC"/>
        </w:rPr>
      </w:pPr>
      <w:r w:rsidRPr="00516B96">
        <w:rPr>
          <w:rFonts w:ascii="Times New Roman" w:hAnsi="Times New Roman" w:cs="Times New Roman"/>
          <w:bCs/>
          <w:sz w:val="24"/>
          <w:szCs w:val="24"/>
          <w:lang w:val="es-EC"/>
        </w:rPr>
        <w:t>En los conflictos armados contemporáneos, los problemas relacionados con la defensa de los valores humanitarios no se deben a la falta de normas, sino al hecho de que no se las respeta.</w:t>
      </w:r>
    </w:p>
    <w:p w:rsidR="009B0277" w:rsidRPr="00516B96" w:rsidRDefault="009B0277" w:rsidP="009B0277">
      <w:pPr>
        <w:pStyle w:val="Prrafodelista"/>
        <w:spacing w:line="360" w:lineRule="auto"/>
        <w:jc w:val="both"/>
        <w:rPr>
          <w:rFonts w:ascii="Times New Roman" w:hAnsi="Times New Roman" w:cs="Times New Roman"/>
          <w:bCs/>
          <w:sz w:val="24"/>
          <w:szCs w:val="24"/>
          <w:lang w:val="es-EC"/>
        </w:rPr>
      </w:pPr>
    </w:p>
    <w:p w:rsidR="00C8716E" w:rsidRPr="00516B96" w:rsidRDefault="001D38ED" w:rsidP="001D38ED">
      <w:pPr>
        <w:pStyle w:val="Prrafodelista"/>
        <w:numPr>
          <w:ilvl w:val="0"/>
          <w:numId w:val="22"/>
        </w:numPr>
        <w:spacing w:line="360" w:lineRule="auto"/>
        <w:jc w:val="both"/>
        <w:rPr>
          <w:rFonts w:ascii="Times New Roman" w:hAnsi="Times New Roman" w:cs="Times New Roman"/>
          <w:bCs/>
          <w:sz w:val="24"/>
          <w:szCs w:val="24"/>
          <w:lang w:val="es-EC"/>
        </w:rPr>
      </w:pPr>
      <w:r w:rsidRPr="00516B96">
        <w:rPr>
          <w:rFonts w:ascii="Times New Roman" w:hAnsi="Times New Roman" w:cs="Times New Roman"/>
          <w:bCs/>
          <w:sz w:val="24"/>
          <w:szCs w:val="24"/>
          <w:lang w:val="es-EC"/>
        </w:rPr>
        <w:t xml:space="preserve">Actualmente, el </w:t>
      </w:r>
      <w:r w:rsidR="00C8716E" w:rsidRPr="00516B96">
        <w:rPr>
          <w:rFonts w:ascii="Times New Roman" w:hAnsi="Times New Roman" w:cs="Times New Roman"/>
          <w:bCs/>
          <w:sz w:val="24"/>
          <w:szCs w:val="24"/>
          <w:lang w:val="es-EC"/>
        </w:rPr>
        <w:t xml:space="preserve">Derecho Internacional </w:t>
      </w:r>
      <w:r w:rsidRPr="00516B96">
        <w:rPr>
          <w:rFonts w:ascii="Times New Roman" w:hAnsi="Times New Roman" w:cs="Times New Roman"/>
          <w:bCs/>
          <w:sz w:val="24"/>
          <w:szCs w:val="24"/>
          <w:lang w:val="es-EC"/>
        </w:rPr>
        <w:t>H</w:t>
      </w:r>
      <w:r w:rsidR="00C8716E" w:rsidRPr="00516B96">
        <w:rPr>
          <w:rFonts w:ascii="Times New Roman" w:hAnsi="Times New Roman" w:cs="Times New Roman"/>
          <w:bCs/>
          <w:sz w:val="24"/>
          <w:szCs w:val="24"/>
          <w:lang w:val="es-EC"/>
        </w:rPr>
        <w:t>umanitario</w:t>
      </w:r>
      <w:r w:rsidRPr="00516B96">
        <w:rPr>
          <w:rFonts w:ascii="Times New Roman" w:hAnsi="Times New Roman" w:cs="Times New Roman"/>
          <w:bCs/>
          <w:sz w:val="24"/>
          <w:szCs w:val="24"/>
          <w:lang w:val="es-EC"/>
        </w:rPr>
        <w:t xml:space="preserve"> afronta numer</w:t>
      </w:r>
      <w:r w:rsidR="00C8716E" w:rsidRPr="00516B96">
        <w:rPr>
          <w:rFonts w:ascii="Times New Roman" w:hAnsi="Times New Roman" w:cs="Times New Roman"/>
          <w:bCs/>
          <w:sz w:val="24"/>
          <w:szCs w:val="24"/>
          <w:lang w:val="es-EC"/>
        </w:rPr>
        <w:t>osos desafíos que la Comunidad I</w:t>
      </w:r>
      <w:r w:rsidRPr="00516B96">
        <w:rPr>
          <w:rFonts w:ascii="Times New Roman" w:hAnsi="Times New Roman" w:cs="Times New Roman"/>
          <w:bCs/>
          <w:sz w:val="24"/>
          <w:szCs w:val="24"/>
          <w:lang w:val="es-EC"/>
        </w:rPr>
        <w:t>nternacional debe encarar, en ámbitos como el terrorismo, el internamiento, la conducción de las hostilidades, la ocupación y las sanciones.</w:t>
      </w:r>
    </w:p>
    <w:p w:rsidR="00C8716E" w:rsidRPr="00516B96" w:rsidRDefault="00C8716E" w:rsidP="00C8716E">
      <w:pPr>
        <w:pStyle w:val="Prrafodelista"/>
        <w:rPr>
          <w:rFonts w:ascii="Times New Roman" w:hAnsi="Times New Roman" w:cs="Times New Roman"/>
          <w:sz w:val="24"/>
          <w:szCs w:val="24"/>
          <w:lang w:val="es-EC"/>
        </w:rPr>
      </w:pPr>
    </w:p>
    <w:p w:rsidR="001D38ED" w:rsidRPr="00516B96" w:rsidRDefault="001D38ED" w:rsidP="001D38ED">
      <w:pPr>
        <w:pStyle w:val="Prrafodelista"/>
        <w:numPr>
          <w:ilvl w:val="0"/>
          <w:numId w:val="22"/>
        </w:numPr>
        <w:spacing w:line="360" w:lineRule="auto"/>
        <w:jc w:val="both"/>
        <w:rPr>
          <w:rFonts w:ascii="Times New Roman" w:hAnsi="Times New Roman" w:cs="Times New Roman"/>
          <w:bCs/>
          <w:sz w:val="24"/>
          <w:szCs w:val="24"/>
          <w:lang w:val="es-EC"/>
        </w:rPr>
      </w:pPr>
      <w:r w:rsidRPr="00516B96">
        <w:rPr>
          <w:rFonts w:ascii="Times New Roman" w:hAnsi="Times New Roman" w:cs="Times New Roman"/>
          <w:sz w:val="24"/>
          <w:szCs w:val="24"/>
        </w:rPr>
        <w:t>Fortalecer el respeto, la implementación y el cumplimiento del DIH sigue siendo</w:t>
      </w:r>
      <w:r w:rsidR="00C8716E" w:rsidRPr="00516B96">
        <w:rPr>
          <w:rFonts w:ascii="Times New Roman" w:hAnsi="Times New Roman" w:cs="Times New Roman"/>
          <w:sz w:val="24"/>
          <w:szCs w:val="24"/>
        </w:rPr>
        <w:t xml:space="preserve"> un desafío permanente para la Comunidad I</w:t>
      </w:r>
      <w:r w:rsidRPr="00516B96">
        <w:rPr>
          <w:rFonts w:ascii="Times New Roman" w:hAnsi="Times New Roman" w:cs="Times New Roman"/>
          <w:sz w:val="24"/>
          <w:szCs w:val="24"/>
        </w:rPr>
        <w:t xml:space="preserve">nternacional, a la vez que una prioridad </w:t>
      </w:r>
      <w:proofErr w:type="gramStart"/>
      <w:r w:rsidRPr="00516B96">
        <w:rPr>
          <w:rFonts w:ascii="Times New Roman" w:hAnsi="Times New Roman" w:cs="Times New Roman"/>
          <w:sz w:val="24"/>
          <w:szCs w:val="24"/>
        </w:rPr>
        <w:t>continua</w:t>
      </w:r>
      <w:proofErr w:type="gramEnd"/>
      <w:r w:rsidRPr="00516B96">
        <w:rPr>
          <w:rFonts w:ascii="Times New Roman" w:hAnsi="Times New Roman" w:cs="Times New Roman"/>
          <w:sz w:val="24"/>
          <w:szCs w:val="24"/>
        </w:rPr>
        <w:t xml:space="preserve"> para el C</w:t>
      </w:r>
      <w:r w:rsidR="00C8716E" w:rsidRPr="00516B96">
        <w:rPr>
          <w:rFonts w:ascii="Times New Roman" w:hAnsi="Times New Roman" w:cs="Times New Roman"/>
          <w:sz w:val="24"/>
          <w:szCs w:val="24"/>
        </w:rPr>
        <w:t xml:space="preserve">omité </w:t>
      </w:r>
      <w:r w:rsidRPr="00516B96">
        <w:rPr>
          <w:rFonts w:ascii="Times New Roman" w:hAnsi="Times New Roman" w:cs="Times New Roman"/>
          <w:sz w:val="24"/>
          <w:szCs w:val="24"/>
        </w:rPr>
        <w:t>I</w:t>
      </w:r>
      <w:r w:rsidR="00C8716E" w:rsidRPr="00516B96">
        <w:rPr>
          <w:rFonts w:ascii="Times New Roman" w:hAnsi="Times New Roman" w:cs="Times New Roman"/>
          <w:sz w:val="24"/>
          <w:szCs w:val="24"/>
        </w:rPr>
        <w:t xml:space="preserve">nternacional de la </w:t>
      </w:r>
      <w:r w:rsidRPr="00516B96">
        <w:rPr>
          <w:rFonts w:ascii="Times New Roman" w:hAnsi="Times New Roman" w:cs="Times New Roman"/>
          <w:sz w:val="24"/>
          <w:szCs w:val="24"/>
        </w:rPr>
        <w:t>C</w:t>
      </w:r>
      <w:r w:rsidR="00C8716E" w:rsidRPr="00516B96">
        <w:rPr>
          <w:rFonts w:ascii="Times New Roman" w:hAnsi="Times New Roman" w:cs="Times New Roman"/>
          <w:sz w:val="24"/>
          <w:szCs w:val="24"/>
        </w:rPr>
        <w:t xml:space="preserve">ruz </w:t>
      </w:r>
      <w:r w:rsidRPr="00516B96">
        <w:rPr>
          <w:rFonts w:ascii="Times New Roman" w:hAnsi="Times New Roman" w:cs="Times New Roman"/>
          <w:sz w:val="24"/>
          <w:szCs w:val="24"/>
        </w:rPr>
        <w:t>R</w:t>
      </w:r>
      <w:r w:rsidR="00C8716E" w:rsidRPr="00516B96">
        <w:rPr>
          <w:rFonts w:ascii="Times New Roman" w:hAnsi="Times New Roman" w:cs="Times New Roman"/>
          <w:sz w:val="24"/>
          <w:szCs w:val="24"/>
        </w:rPr>
        <w:t>oja</w:t>
      </w:r>
      <w:r w:rsidRPr="00516B96">
        <w:rPr>
          <w:rFonts w:ascii="Times New Roman" w:hAnsi="Times New Roman" w:cs="Times New Roman"/>
          <w:sz w:val="24"/>
          <w:szCs w:val="24"/>
        </w:rPr>
        <w:t xml:space="preserve">. La consecución </w:t>
      </w:r>
      <w:r w:rsidRPr="00516B96">
        <w:rPr>
          <w:rFonts w:ascii="Times New Roman" w:hAnsi="Times New Roman" w:cs="Times New Roman"/>
          <w:sz w:val="24"/>
          <w:szCs w:val="24"/>
        </w:rPr>
        <w:lastRenderedPageBreak/>
        <w:t>de estos objetivos incumbe a las partes en los conflictos, sean estatales o no estatales, pero también exige acciones por parte de los Estados en tiempo de paz. Además, es imprescindible que se adopten sanciones de índole disciplinaria o penal.</w:t>
      </w:r>
    </w:p>
    <w:p w:rsidR="009B0277" w:rsidRPr="00516B96" w:rsidRDefault="009B0277" w:rsidP="009B0277">
      <w:pPr>
        <w:pStyle w:val="Prrafodelista"/>
        <w:spacing w:line="360" w:lineRule="auto"/>
        <w:jc w:val="both"/>
        <w:rPr>
          <w:rFonts w:ascii="Times New Roman" w:hAnsi="Times New Roman" w:cs="Times New Roman"/>
          <w:bCs/>
          <w:sz w:val="24"/>
          <w:szCs w:val="24"/>
          <w:lang w:val="es-EC"/>
        </w:rPr>
      </w:pPr>
    </w:p>
    <w:p w:rsidR="00C8716E" w:rsidRPr="00516B96" w:rsidRDefault="00C8716E" w:rsidP="001D38ED">
      <w:pPr>
        <w:pStyle w:val="Prrafodelista"/>
        <w:numPr>
          <w:ilvl w:val="0"/>
          <w:numId w:val="22"/>
        </w:num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El Derecho I</w:t>
      </w:r>
      <w:r w:rsidR="001D38ED" w:rsidRPr="00516B96">
        <w:rPr>
          <w:rFonts w:ascii="Times New Roman" w:hAnsi="Times New Roman" w:cs="Times New Roman"/>
          <w:sz w:val="24"/>
          <w:szCs w:val="24"/>
        </w:rPr>
        <w:t>nternacional</w:t>
      </w:r>
      <w:r w:rsidRPr="00516B96">
        <w:rPr>
          <w:rFonts w:ascii="Times New Roman" w:hAnsi="Times New Roman" w:cs="Times New Roman"/>
          <w:sz w:val="24"/>
          <w:szCs w:val="24"/>
        </w:rPr>
        <w:t xml:space="preserve"> Humanitario</w:t>
      </w:r>
      <w:r w:rsidR="001D38ED" w:rsidRPr="00516B96">
        <w:rPr>
          <w:rFonts w:ascii="Times New Roman" w:hAnsi="Times New Roman" w:cs="Times New Roman"/>
          <w:sz w:val="24"/>
          <w:szCs w:val="24"/>
        </w:rPr>
        <w:t xml:space="preserve">, para tener verdadero valor en las relaciones internacionales, tiene que aplicarse en situaciones similares de una manera similar. El que no se aplique consecuentemente la ley debilita seriamente el derecho y sus restricciones de la acción internacional. </w:t>
      </w:r>
    </w:p>
    <w:p w:rsidR="00C8716E" w:rsidRPr="00516B96" w:rsidRDefault="00C8716E" w:rsidP="00C8716E">
      <w:pPr>
        <w:pStyle w:val="Prrafodelista"/>
        <w:rPr>
          <w:rFonts w:ascii="Times New Roman" w:hAnsi="Times New Roman" w:cs="Times New Roman"/>
          <w:sz w:val="24"/>
          <w:szCs w:val="24"/>
          <w:lang w:val="es-EC"/>
        </w:rPr>
      </w:pPr>
    </w:p>
    <w:p w:rsidR="00C8716E" w:rsidRPr="00516B96" w:rsidRDefault="00C8716E" w:rsidP="00C8716E">
      <w:pPr>
        <w:pStyle w:val="Prrafodelista"/>
        <w:numPr>
          <w:ilvl w:val="0"/>
          <w:numId w:val="22"/>
        </w:numPr>
        <w:spacing w:line="360" w:lineRule="auto"/>
        <w:jc w:val="both"/>
        <w:rPr>
          <w:rFonts w:ascii="Times New Roman" w:hAnsi="Times New Roman" w:cs="Times New Roman"/>
          <w:sz w:val="24"/>
          <w:szCs w:val="24"/>
        </w:rPr>
      </w:pPr>
      <w:r w:rsidRPr="00516B96">
        <w:rPr>
          <w:rFonts w:ascii="Times New Roman" w:hAnsi="Times New Roman" w:cs="Times New Roman"/>
          <w:sz w:val="24"/>
          <w:szCs w:val="24"/>
          <w:lang w:val="es-EC"/>
        </w:rPr>
        <w:t xml:space="preserve">Los intereses </w:t>
      </w:r>
      <w:r w:rsidR="001D38ED" w:rsidRPr="00516B96">
        <w:rPr>
          <w:rFonts w:ascii="Times New Roman" w:hAnsi="Times New Roman" w:cs="Times New Roman"/>
          <w:sz w:val="24"/>
          <w:szCs w:val="24"/>
          <w:lang w:val="es-EC"/>
        </w:rPr>
        <w:t>norteamericano</w:t>
      </w:r>
      <w:r w:rsidRPr="00516B96">
        <w:rPr>
          <w:rFonts w:ascii="Times New Roman" w:hAnsi="Times New Roman" w:cs="Times New Roman"/>
          <w:sz w:val="24"/>
          <w:szCs w:val="24"/>
          <w:lang w:val="es-EC"/>
        </w:rPr>
        <w:t>s</w:t>
      </w:r>
      <w:r w:rsidR="001D38ED" w:rsidRPr="00516B96">
        <w:rPr>
          <w:rFonts w:ascii="Times New Roman" w:hAnsi="Times New Roman" w:cs="Times New Roman"/>
          <w:sz w:val="24"/>
          <w:szCs w:val="24"/>
          <w:lang w:val="es-EC"/>
        </w:rPr>
        <w:t>, cuyo gobierno en su discurso de doble moral siempre se ha querido mostrar ante el mundo como defensores de la “li</w:t>
      </w:r>
      <w:r w:rsidRPr="00516B96">
        <w:rPr>
          <w:rFonts w:ascii="Times New Roman" w:hAnsi="Times New Roman" w:cs="Times New Roman"/>
          <w:sz w:val="24"/>
          <w:szCs w:val="24"/>
          <w:lang w:val="es-EC"/>
        </w:rPr>
        <w:t xml:space="preserve">bertad y la democracia”, reflejan </w:t>
      </w:r>
      <w:r w:rsidR="001D38ED" w:rsidRPr="00516B96">
        <w:rPr>
          <w:rFonts w:ascii="Times New Roman" w:hAnsi="Times New Roman" w:cs="Times New Roman"/>
          <w:sz w:val="24"/>
          <w:szCs w:val="24"/>
          <w:lang w:val="es-EC"/>
        </w:rPr>
        <w:t xml:space="preserve">todo lo contrario. </w:t>
      </w:r>
      <w:r w:rsidRPr="00516B96">
        <w:rPr>
          <w:rFonts w:ascii="Times New Roman" w:hAnsi="Times New Roman" w:cs="Times New Roman"/>
          <w:sz w:val="24"/>
          <w:szCs w:val="24"/>
          <w:lang w:val="es-EC"/>
        </w:rPr>
        <w:t>Se invade</w:t>
      </w:r>
      <w:r w:rsidR="001D38ED" w:rsidRPr="00516B96">
        <w:rPr>
          <w:rFonts w:ascii="Times New Roman" w:hAnsi="Times New Roman" w:cs="Times New Roman"/>
          <w:sz w:val="24"/>
          <w:szCs w:val="24"/>
          <w:lang w:val="es-EC"/>
        </w:rPr>
        <w:t xml:space="preserve"> países y desconocen resoluciones de las Naciones Unidas</w:t>
      </w:r>
      <w:r w:rsidRPr="00516B96">
        <w:rPr>
          <w:rFonts w:ascii="Times New Roman" w:hAnsi="Times New Roman" w:cs="Times New Roman"/>
          <w:sz w:val="24"/>
          <w:szCs w:val="24"/>
          <w:lang w:val="es-EC"/>
        </w:rPr>
        <w:t xml:space="preserve"> para alcanzar sus fines, como en los siguientes casos:</w:t>
      </w:r>
    </w:p>
    <w:p w:rsidR="00C8716E" w:rsidRPr="00516B96" w:rsidRDefault="00C8716E" w:rsidP="00C8716E">
      <w:pPr>
        <w:pStyle w:val="Prrafodelista"/>
        <w:rPr>
          <w:rFonts w:ascii="Times New Roman" w:hAnsi="Times New Roman" w:cs="Times New Roman"/>
          <w:sz w:val="24"/>
          <w:szCs w:val="24"/>
          <w:lang w:val="es-EC"/>
        </w:rPr>
      </w:pPr>
    </w:p>
    <w:p w:rsidR="001D38ED" w:rsidRPr="00516B96" w:rsidRDefault="001D38ED" w:rsidP="00C8716E">
      <w:pPr>
        <w:pStyle w:val="Prrafodelista"/>
        <w:numPr>
          <w:ilvl w:val="1"/>
          <w:numId w:val="22"/>
        </w:numPr>
        <w:spacing w:line="360" w:lineRule="auto"/>
        <w:jc w:val="both"/>
        <w:rPr>
          <w:rFonts w:ascii="Times New Roman" w:hAnsi="Times New Roman" w:cs="Times New Roman"/>
          <w:sz w:val="24"/>
          <w:szCs w:val="24"/>
        </w:rPr>
      </w:pPr>
      <w:r w:rsidRPr="00516B96">
        <w:rPr>
          <w:rFonts w:ascii="Times New Roman" w:hAnsi="Times New Roman" w:cs="Times New Roman"/>
          <w:sz w:val="24"/>
          <w:szCs w:val="24"/>
          <w:lang w:val="es-EC"/>
        </w:rPr>
        <w:t>Invasión a Irak: saldo de 700 mil civiles muertos en 10 años con el pretexto de derrocar a Saddam Husein; invasión a Afganistán, más de 100 mil civiles muertos, y el caso más reciente, la invasión a Libia con 40 mil civiles muertos.</w:t>
      </w:r>
    </w:p>
    <w:p w:rsidR="009B0277" w:rsidRPr="00516B96" w:rsidRDefault="009B0277" w:rsidP="009B0277">
      <w:pPr>
        <w:pStyle w:val="Prrafodelista"/>
        <w:spacing w:line="360" w:lineRule="auto"/>
        <w:ind w:left="1440"/>
        <w:jc w:val="both"/>
        <w:rPr>
          <w:rFonts w:ascii="Times New Roman" w:hAnsi="Times New Roman" w:cs="Times New Roman"/>
          <w:sz w:val="24"/>
          <w:szCs w:val="24"/>
        </w:rPr>
      </w:pPr>
    </w:p>
    <w:p w:rsidR="00C8716E" w:rsidRPr="00516B96" w:rsidRDefault="009B0277" w:rsidP="00C8716E">
      <w:pPr>
        <w:pStyle w:val="Prrafodelista"/>
        <w:numPr>
          <w:ilvl w:val="0"/>
          <w:numId w:val="22"/>
        </w:num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Las superpotencias mundiales usan a la ONU para ocultar los crímenes de aliados o para castigar crimines ficticios de sus enemigos violentando el Derecho Internacional Humanitario y usándolo como una herramienta para justificar sus atrocidades.</w:t>
      </w:r>
    </w:p>
    <w:p w:rsidR="00A40B7C" w:rsidRPr="00516B96" w:rsidRDefault="00A40B7C" w:rsidP="00A40B7C">
      <w:pPr>
        <w:spacing w:line="360" w:lineRule="auto"/>
        <w:jc w:val="both"/>
        <w:rPr>
          <w:rFonts w:ascii="Times New Roman" w:hAnsi="Times New Roman" w:cs="Times New Roman"/>
          <w:sz w:val="24"/>
          <w:szCs w:val="24"/>
        </w:rPr>
      </w:pPr>
    </w:p>
    <w:p w:rsidR="00A40B7C" w:rsidRDefault="00A40B7C" w:rsidP="00A40B7C">
      <w:pPr>
        <w:spacing w:line="360" w:lineRule="auto"/>
        <w:jc w:val="both"/>
        <w:rPr>
          <w:rFonts w:ascii="Times New Roman" w:hAnsi="Times New Roman" w:cs="Times New Roman"/>
          <w:sz w:val="24"/>
          <w:szCs w:val="24"/>
        </w:rPr>
      </w:pPr>
    </w:p>
    <w:p w:rsidR="00A6120C" w:rsidRDefault="00A6120C" w:rsidP="00A40B7C">
      <w:pPr>
        <w:spacing w:line="360" w:lineRule="auto"/>
        <w:jc w:val="both"/>
        <w:rPr>
          <w:rFonts w:ascii="Times New Roman" w:hAnsi="Times New Roman" w:cs="Times New Roman"/>
          <w:sz w:val="24"/>
          <w:szCs w:val="24"/>
        </w:rPr>
      </w:pPr>
    </w:p>
    <w:p w:rsidR="00A6120C" w:rsidRPr="00516B96" w:rsidRDefault="00A6120C" w:rsidP="00A40B7C">
      <w:pPr>
        <w:spacing w:line="360" w:lineRule="auto"/>
        <w:jc w:val="both"/>
        <w:rPr>
          <w:rFonts w:ascii="Times New Roman" w:hAnsi="Times New Roman" w:cs="Times New Roman"/>
          <w:sz w:val="24"/>
          <w:szCs w:val="24"/>
        </w:rPr>
      </w:pPr>
    </w:p>
    <w:p w:rsidR="00A40B7C" w:rsidRPr="00516B96" w:rsidRDefault="00A40B7C" w:rsidP="00A40B7C">
      <w:pPr>
        <w:spacing w:line="360" w:lineRule="auto"/>
        <w:jc w:val="both"/>
        <w:rPr>
          <w:rFonts w:ascii="Times New Roman" w:hAnsi="Times New Roman" w:cs="Times New Roman"/>
          <w:sz w:val="24"/>
          <w:szCs w:val="24"/>
        </w:rPr>
      </w:pPr>
    </w:p>
    <w:p w:rsidR="00EC1969" w:rsidRPr="00516B96" w:rsidRDefault="00EC1969" w:rsidP="00A40B7C">
      <w:pPr>
        <w:spacing w:line="360" w:lineRule="auto"/>
        <w:jc w:val="center"/>
        <w:rPr>
          <w:rFonts w:ascii="Times New Roman" w:hAnsi="Times New Roman" w:cs="Times New Roman"/>
          <w:b/>
          <w:sz w:val="24"/>
          <w:szCs w:val="24"/>
        </w:rPr>
      </w:pPr>
    </w:p>
    <w:p w:rsidR="00A40B7C" w:rsidRPr="00516B96" w:rsidRDefault="00A40B7C" w:rsidP="00A40B7C">
      <w:pPr>
        <w:spacing w:line="360" w:lineRule="auto"/>
        <w:jc w:val="center"/>
        <w:rPr>
          <w:rFonts w:ascii="Times New Roman" w:hAnsi="Times New Roman" w:cs="Times New Roman"/>
          <w:b/>
          <w:sz w:val="24"/>
          <w:szCs w:val="24"/>
        </w:rPr>
      </w:pPr>
      <w:r w:rsidRPr="00516B96">
        <w:rPr>
          <w:rFonts w:ascii="Times New Roman" w:hAnsi="Times New Roman" w:cs="Times New Roman"/>
          <w:b/>
          <w:sz w:val="24"/>
          <w:szCs w:val="24"/>
        </w:rPr>
        <w:lastRenderedPageBreak/>
        <w:t>RECOMENDACIONES</w:t>
      </w:r>
    </w:p>
    <w:p w:rsidR="00A40B7C" w:rsidRPr="00516B96" w:rsidRDefault="00A40B7C" w:rsidP="00A40B7C">
      <w:pPr>
        <w:spacing w:line="360" w:lineRule="auto"/>
        <w:jc w:val="both"/>
        <w:rPr>
          <w:rFonts w:ascii="Times New Roman" w:hAnsi="Times New Roman" w:cs="Times New Roman"/>
          <w:sz w:val="24"/>
          <w:szCs w:val="24"/>
        </w:rPr>
      </w:pPr>
    </w:p>
    <w:p w:rsidR="00A40B7C" w:rsidRPr="00516B96" w:rsidRDefault="00A40B7C" w:rsidP="00A40B7C">
      <w:p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Una vez terminado el presente proyecto de fin de carrera se recomienda que:</w:t>
      </w:r>
    </w:p>
    <w:p w:rsidR="00EC1969" w:rsidRPr="00516B96" w:rsidRDefault="00EC1969" w:rsidP="00A40B7C">
      <w:pPr>
        <w:spacing w:line="360" w:lineRule="auto"/>
        <w:jc w:val="both"/>
        <w:rPr>
          <w:rFonts w:ascii="Times New Roman" w:hAnsi="Times New Roman" w:cs="Times New Roman"/>
          <w:sz w:val="24"/>
          <w:szCs w:val="24"/>
        </w:rPr>
      </w:pPr>
    </w:p>
    <w:p w:rsidR="00A40B7C" w:rsidRPr="00516B96" w:rsidRDefault="008B20D3" w:rsidP="008B20D3">
      <w:pPr>
        <w:pStyle w:val="Prrafodelista"/>
        <w:numPr>
          <w:ilvl w:val="0"/>
          <w:numId w:val="24"/>
        </w:numPr>
        <w:spacing w:line="360" w:lineRule="auto"/>
        <w:jc w:val="both"/>
        <w:rPr>
          <w:rFonts w:ascii="Times New Roman" w:hAnsi="Times New Roman" w:cs="Times New Roman"/>
          <w:b/>
          <w:sz w:val="24"/>
          <w:szCs w:val="24"/>
        </w:rPr>
      </w:pPr>
      <w:r w:rsidRPr="00516B96">
        <w:rPr>
          <w:rFonts w:ascii="Times New Roman" w:hAnsi="Times New Roman" w:cs="Times New Roman"/>
          <w:sz w:val="24"/>
          <w:szCs w:val="24"/>
        </w:rPr>
        <w:t>Se continúe y se intensifique el apoyo mundial al Comité Internacional de la Cruz Roja</w:t>
      </w:r>
      <w:r w:rsidR="00002196" w:rsidRPr="00516B96">
        <w:rPr>
          <w:rFonts w:ascii="Times New Roman" w:hAnsi="Times New Roman" w:cs="Times New Roman"/>
          <w:sz w:val="24"/>
          <w:szCs w:val="24"/>
        </w:rPr>
        <w:t xml:space="preserve"> pues es el principal organismo que se ha encargado del desarrollo y compilación del Derecho Internacional Humanitario, además de contar con la mejor reputación a nivel mundial y gozar de la confianza y respeto de todos los países del mundo. Es indispensable que el CICR se fortalezca para que continúe su labor a fin de evitar o en todo caso minorar los abusos en caso de guerra</w:t>
      </w:r>
      <w:r w:rsidRPr="00516B96">
        <w:rPr>
          <w:rFonts w:ascii="Times New Roman" w:hAnsi="Times New Roman" w:cs="Times New Roman"/>
          <w:sz w:val="24"/>
          <w:szCs w:val="24"/>
        </w:rPr>
        <w:t>.</w:t>
      </w:r>
    </w:p>
    <w:p w:rsidR="002B3E05" w:rsidRPr="00516B96" w:rsidRDefault="002B3E05" w:rsidP="002B3E05">
      <w:pPr>
        <w:pStyle w:val="Prrafodelista"/>
        <w:spacing w:line="360" w:lineRule="auto"/>
        <w:jc w:val="both"/>
        <w:rPr>
          <w:rFonts w:ascii="Times New Roman" w:hAnsi="Times New Roman" w:cs="Times New Roman"/>
          <w:b/>
          <w:sz w:val="24"/>
          <w:szCs w:val="24"/>
        </w:rPr>
      </w:pPr>
    </w:p>
    <w:p w:rsidR="00EC1969" w:rsidRPr="00516B96" w:rsidRDefault="00EC1969" w:rsidP="002B3E05">
      <w:pPr>
        <w:pStyle w:val="Prrafodelista"/>
        <w:spacing w:line="360" w:lineRule="auto"/>
        <w:jc w:val="both"/>
        <w:rPr>
          <w:rFonts w:ascii="Times New Roman" w:hAnsi="Times New Roman" w:cs="Times New Roman"/>
          <w:b/>
          <w:sz w:val="24"/>
          <w:szCs w:val="24"/>
        </w:rPr>
      </w:pPr>
    </w:p>
    <w:p w:rsidR="00EC1969" w:rsidRPr="00516B96" w:rsidRDefault="008B20D3" w:rsidP="00EC1969">
      <w:pPr>
        <w:pStyle w:val="Prrafodelista"/>
        <w:numPr>
          <w:ilvl w:val="0"/>
          <w:numId w:val="24"/>
        </w:numPr>
        <w:spacing w:line="360" w:lineRule="auto"/>
        <w:jc w:val="both"/>
        <w:rPr>
          <w:rFonts w:ascii="Times New Roman" w:hAnsi="Times New Roman" w:cs="Times New Roman"/>
          <w:b/>
          <w:sz w:val="24"/>
          <w:szCs w:val="24"/>
        </w:rPr>
      </w:pPr>
      <w:r w:rsidRPr="00516B96">
        <w:rPr>
          <w:rFonts w:ascii="Times New Roman" w:hAnsi="Times New Roman" w:cs="Times New Roman"/>
          <w:sz w:val="24"/>
          <w:szCs w:val="24"/>
        </w:rPr>
        <w:t xml:space="preserve">Se tomen las medidas necesarias para lograr que </w:t>
      </w:r>
      <w:r w:rsidR="0092392E" w:rsidRPr="00516B96">
        <w:rPr>
          <w:rFonts w:ascii="Times New Roman" w:hAnsi="Times New Roman" w:cs="Times New Roman"/>
          <w:sz w:val="24"/>
          <w:szCs w:val="24"/>
        </w:rPr>
        <w:t>una jurisdicción internacional independiente, confiable y eficaz</w:t>
      </w:r>
      <w:r w:rsidR="002B3E05" w:rsidRPr="00516B96">
        <w:rPr>
          <w:rFonts w:ascii="Times New Roman" w:hAnsi="Times New Roman" w:cs="Times New Roman"/>
          <w:sz w:val="24"/>
          <w:szCs w:val="24"/>
        </w:rPr>
        <w:t>.</w:t>
      </w:r>
      <w:r w:rsidR="0092392E" w:rsidRPr="00516B96">
        <w:rPr>
          <w:rFonts w:ascii="Times New Roman" w:hAnsi="Times New Roman" w:cs="Times New Roman"/>
          <w:sz w:val="24"/>
          <w:szCs w:val="24"/>
        </w:rPr>
        <w:t xml:space="preserve"> Entendiendo como jurisdicción internacional todo órgano cuya función sea la de dirimir conforme a Derecho, mediante decisión obligatoria y en nombre de los sujetos en litigio, todo diferendo que las partes sometan a dicha instancia.</w:t>
      </w:r>
      <w:r w:rsidR="00002196" w:rsidRPr="00516B96">
        <w:rPr>
          <w:rFonts w:ascii="Times New Roman" w:hAnsi="Times New Roman" w:cs="Times New Roman"/>
          <w:sz w:val="24"/>
          <w:szCs w:val="24"/>
        </w:rPr>
        <w:t xml:space="preserve"> </w:t>
      </w:r>
    </w:p>
    <w:p w:rsidR="00EC1969" w:rsidRPr="00516B96" w:rsidRDefault="00EC1969" w:rsidP="00EC1969">
      <w:pPr>
        <w:pStyle w:val="Prrafodelista"/>
        <w:rPr>
          <w:rFonts w:ascii="Times New Roman" w:hAnsi="Times New Roman" w:cs="Times New Roman"/>
          <w:sz w:val="24"/>
          <w:szCs w:val="24"/>
        </w:rPr>
      </w:pPr>
    </w:p>
    <w:p w:rsidR="0092392E" w:rsidRPr="00516B96" w:rsidRDefault="0092392E" w:rsidP="00EC1969">
      <w:pPr>
        <w:pStyle w:val="Prrafodelista"/>
        <w:spacing w:line="360" w:lineRule="auto"/>
        <w:jc w:val="both"/>
        <w:rPr>
          <w:rFonts w:ascii="Times New Roman" w:hAnsi="Times New Roman" w:cs="Times New Roman"/>
          <w:b/>
          <w:sz w:val="24"/>
          <w:szCs w:val="24"/>
        </w:rPr>
      </w:pPr>
      <w:r w:rsidRPr="00516B96">
        <w:rPr>
          <w:rFonts w:ascii="Times New Roman" w:hAnsi="Times New Roman" w:cs="Times New Roman"/>
          <w:sz w:val="24"/>
          <w:szCs w:val="24"/>
        </w:rPr>
        <w:t>Actualmente, la falta de confianza de los Estados respecto de la composición de las instituciones con jurisdicción internacional y de la incertidumbre que resienten en cuanto a la aplicación del Derecho Internacional, podría expli</w:t>
      </w:r>
      <w:r w:rsidR="00B03093" w:rsidRPr="00516B96">
        <w:rPr>
          <w:rFonts w:ascii="Times New Roman" w:hAnsi="Times New Roman" w:cs="Times New Roman"/>
          <w:sz w:val="24"/>
          <w:szCs w:val="24"/>
        </w:rPr>
        <w:t>car en gran parte el problema d</w:t>
      </w:r>
      <w:r w:rsidRPr="00516B96">
        <w:rPr>
          <w:rFonts w:ascii="Times New Roman" w:hAnsi="Times New Roman" w:cs="Times New Roman"/>
          <w:sz w:val="24"/>
          <w:szCs w:val="24"/>
        </w:rPr>
        <w:t>e</w:t>
      </w:r>
      <w:r w:rsidR="00B03093" w:rsidRPr="00516B96">
        <w:rPr>
          <w:rFonts w:ascii="Times New Roman" w:hAnsi="Times New Roman" w:cs="Times New Roman"/>
          <w:sz w:val="24"/>
          <w:szCs w:val="24"/>
        </w:rPr>
        <w:t xml:space="preserve"> </w:t>
      </w:r>
      <w:r w:rsidRPr="00516B96">
        <w:rPr>
          <w:rFonts w:ascii="Times New Roman" w:hAnsi="Times New Roman" w:cs="Times New Roman"/>
          <w:sz w:val="24"/>
          <w:szCs w:val="24"/>
        </w:rPr>
        <w:t>la llamada crisis actual por la que atraviesa esta jurisdicción.</w:t>
      </w:r>
    </w:p>
    <w:p w:rsidR="00EC1969" w:rsidRPr="00516B96" w:rsidRDefault="00EC1969" w:rsidP="0092392E">
      <w:pPr>
        <w:pStyle w:val="Prrafodelista"/>
        <w:spacing w:line="360" w:lineRule="auto"/>
        <w:jc w:val="both"/>
        <w:rPr>
          <w:rFonts w:ascii="Times New Roman" w:hAnsi="Times New Roman" w:cs="Times New Roman"/>
          <w:sz w:val="24"/>
          <w:szCs w:val="24"/>
        </w:rPr>
      </w:pPr>
    </w:p>
    <w:p w:rsidR="00B03093" w:rsidRPr="00516B96" w:rsidRDefault="00B03093" w:rsidP="00B03093">
      <w:pPr>
        <w:pStyle w:val="Prrafodelista"/>
        <w:spacing w:line="360" w:lineRule="auto"/>
        <w:jc w:val="both"/>
        <w:rPr>
          <w:rFonts w:ascii="Times New Roman" w:hAnsi="Times New Roman" w:cs="Times New Roman"/>
          <w:b/>
          <w:sz w:val="24"/>
          <w:szCs w:val="24"/>
        </w:rPr>
      </w:pPr>
      <w:r w:rsidRPr="00516B96">
        <w:rPr>
          <w:rFonts w:ascii="Times New Roman" w:hAnsi="Times New Roman" w:cs="Times New Roman"/>
          <w:sz w:val="24"/>
          <w:szCs w:val="24"/>
        </w:rPr>
        <w:t>Por ello, se hace urgente e impostergable despolitizar las Cortes Internacionales para que sus fallos se embistan del reconocimiento que deben tener y se erijan así instituciones respetables de las cuales ningún Estado pueda burlarse. Y se logre establecer una jurisdicción de carácter coactivo sobre los países y personas parte de un conflicto, para lograr perseguir y hacer cumplir las resoluciones de las Cortes y los tribunales internacionales.</w:t>
      </w:r>
    </w:p>
    <w:p w:rsidR="00B03093" w:rsidRPr="00516B96" w:rsidRDefault="00B03093" w:rsidP="0092392E">
      <w:pPr>
        <w:pStyle w:val="Prrafodelista"/>
        <w:spacing w:line="360" w:lineRule="auto"/>
        <w:jc w:val="both"/>
        <w:rPr>
          <w:rFonts w:ascii="Times New Roman" w:hAnsi="Times New Roman" w:cs="Times New Roman"/>
          <w:sz w:val="24"/>
          <w:szCs w:val="24"/>
        </w:rPr>
      </w:pPr>
    </w:p>
    <w:p w:rsidR="002B3E05" w:rsidRPr="00516B96" w:rsidRDefault="002B3E05" w:rsidP="002B3E05">
      <w:pPr>
        <w:pStyle w:val="Prrafodelista"/>
        <w:spacing w:line="360" w:lineRule="auto"/>
        <w:jc w:val="both"/>
        <w:rPr>
          <w:rFonts w:ascii="Times New Roman" w:hAnsi="Times New Roman" w:cs="Times New Roman"/>
          <w:b/>
          <w:sz w:val="24"/>
          <w:szCs w:val="24"/>
        </w:rPr>
      </w:pPr>
    </w:p>
    <w:p w:rsidR="002B3E05" w:rsidRPr="00516B96" w:rsidRDefault="002B3E05" w:rsidP="002B3E05">
      <w:pPr>
        <w:pStyle w:val="Prrafodelista"/>
        <w:numPr>
          <w:ilvl w:val="0"/>
          <w:numId w:val="24"/>
        </w:numPr>
        <w:spacing w:line="360" w:lineRule="auto"/>
        <w:jc w:val="both"/>
        <w:rPr>
          <w:rFonts w:ascii="Times New Roman" w:hAnsi="Times New Roman" w:cs="Times New Roman"/>
          <w:b/>
          <w:sz w:val="24"/>
          <w:szCs w:val="24"/>
        </w:rPr>
      </w:pPr>
      <w:r w:rsidRPr="00516B96">
        <w:rPr>
          <w:rFonts w:ascii="Times New Roman" w:hAnsi="Times New Roman" w:cs="Times New Roman"/>
          <w:sz w:val="24"/>
          <w:szCs w:val="24"/>
        </w:rPr>
        <w:lastRenderedPageBreak/>
        <w:t>Repensar en la restructuración de la ONU para lograr un verdadero equilibrio mundial.</w:t>
      </w:r>
      <w:r w:rsidR="007277EF" w:rsidRPr="00516B96">
        <w:rPr>
          <w:rFonts w:ascii="Times New Roman" w:hAnsi="Times New Roman" w:cs="Times New Roman"/>
          <w:sz w:val="24"/>
          <w:szCs w:val="24"/>
        </w:rPr>
        <w:t xml:space="preserve"> Sobre todo en lo referido al</w:t>
      </w:r>
      <w:r w:rsidR="00C37759" w:rsidRPr="00516B96">
        <w:rPr>
          <w:rFonts w:ascii="Times New Roman" w:hAnsi="Times New Roman" w:cs="Times New Roman"/>
          <w:sz w:val="24"/>
          <w:szCs w:val="24"/>
        </w:rPr>
        <w:t xml:space="preserve"> derecho a veto del que gozan los miembros del Consejo de Seguridad.</w:t>
      </w:r>
    </w:p>
    <w:p w:rsidR="00C37759" w:rsidRPr="00516B96" w:rsidRDefault="00C37759" w:rsidP="00C37759">
      <w:pPr>
        <w:pStyle w:val="Prrafodelista"/>
        <w:rPr>
          <w:rFonts w:ascii="Times New Roman" w:hAnsi="Times New Roman" w:cs="Times New Roman"/>
          <w:b/>
          <w:sz w:val="24"/>
          <w:szCs w:val="24"/>
        </w:rPr>
      </w:pPr>
    </w:p>
    <w:p w:rsidR="00C37759" w:rsidRPr="00516B96" w:rsidRDefault="00C37759" w:rsidP="00C37759">
      <w:pPr>
        <w:pStyle w:val="Prrafodelista"/>
        <w:spacing w:line="360" w:lineRule="auto"/>
        <w:jc w:val="both"/>
        <w:rPr>
          <w:rFonts w:ascii="Times New Roman" w:hAnsi="Times New Roman" w:cs="Times New Roman"/>
          <w:sz w:val="24"/>
          <w:szCs w:val="24"/>
          <w:lang w:val="es-MX"/>
        </w:rPr>
      </w:pPr>
      <w:r w:rsidRPr="00516B96">
        <w:rPr>
          <w:rFonts w:ascii="Times New Roman" w:hAnsi="Times New Roman" w:cs="Times New Roman"/>
          <w:sz w:val="24"/>
          <w:szCs w:val="24"/>
        </w:rPr>
        <w:t xml:space="preserve">Como es sabido, </w:t>
      </w:r>
      <w:r w:rsidRPr="00516B96">
        <w:rPr>
          <w:rFonts w:ascii="Times New Roman" w:hAnsi="Times New Roman" w:cs="Times New Roman"/>
          <w:sz w:val="24"/>
          <w:szCs w:val="24"/>
          <w:lang w:val="es-MX"/>
        </w:rPr>
        <w:t>la Asamblea General de la ONU la forman todos los países parte y todos los votos tienen el mismo valor; el problema es que sus decisiones son sólo consultivas para el Consejo de Seguridad, el verdadero ente de la ONU, éste está formado por 15 países, 5 de los cuales son fijos y tienen derecho a veto (EE.UU., China, Rusia, Reino Unido y Francia). Derecho a veto es vetar o eliminar cualquier decisión. Es decir, si por ejemplo se toma una decisión en el Consejo pero algunos de estos países la vetan, esa decisión no se lleva a cabo.</w:t>
      </w:r>
    </w:p>
    <w:p w:rsidR="00C37759" w:rsidRPr="00516B96" w:rsidRDefault="00C37759" w:rsidP="00C37759">
      <w:pPr>
        <w:pStyle w:val="Prrafodelista"/>
        <w:spacing w:line="360" w:lineRule="auto"/>
        <w:jc w:val="both"/>
        <w:rPr>
          <w:rFonts w:ascii="Times New Roman" w:hAnsi="Times New Roman" w:cs="Times New Roman"/>
          <w:sz w:val="24"/>
          <w:szCs w:val="24"/>
          <w:lang w:val="es-MX"/>
        </w:rPr>
      </w:pPr>
    </w:p>
    <w:p w:rsidR="00EC1969" w:rsidRPr="00516B96" w:rsidRDefault="00EC1969" w:rsidP="00C37759">
      <w:pPr>
        <w:pStyle w:val="Prrafodelista"/>
        <w:spacing w:line="360" w:lineRule="auto"/>
        <w:jc w:val="both"/>
        <w:rPr>
          <w:rFonts w:ascii="Times New Roman" w:hAnsi="Times New Roman" w:cs="Times New Roman"/>
          <w:sz w:val="24"/>
          <w:szCs w:val="24"/>
          <w:lang w:val="es-MX"/>
        </w:rPr>
      </w:pPr>
    </w:p>
    <w:p w:rsidR="00EC1969" w:rsidRPr="00516B96" w:rsidRDefault="00C37759" w:rsidP="00C37759">
      <w:pPr>
        <w:pStyle w:val="Prrafodelista"/>
        <w:spacing w:line="360" w:lineRule="auto"/>
        <w:jc w:val="both"/>
        <w:rPr>
          <w:rFonts w:ascii="Times New Roman" w:hAnsi="Times New Roman" w:cs="Times New Roman"/>
          <w:sz w:val="24"/>
          <w:szCs w:val="24"/>
        </w:rPr>
      </w:pPr>
      <w:r w:rsidRPr="00516B96">
        <w:rPr>
          <w:rFonts w:ascii="Times New Roman" w:hAnsi="Times New Roman" w:cs="Times New Roman"/>
          <w:sz w:val="24"/>
          <w:szCs w:val="24"/>
          <w:lang w:val="es-MX"/>
        </w:rPr>
        <w:t xml:space="preserve">Es por ello que se debe </w:t>
      </w:r>
      <w:r w:rsidRPr="00516B96">
        <w:rPr>
          <w:rFonts w:ascii="Times New Roman" w:hAnsi="Times New Roman" w:cs="Times New Roman"/>
          <w:sz w:val="24"/>
          <w:szCs w:val="24"/>
        </w:rPr>
        <w:t xml:space="preserve">promover una reforma que elimine el veto y la membrecía permanente dentro del Consejo de Seguridad y que instaure un sistema de rotación regional periódica que garantice el juego democrático en el sistema de toma de decisiones del mismo. Este objetivo requiere la gestación de condiciones políticas propicias para avanzar en el cambio democratizador. De allí el sentido de esta recomendación. </w:t>
      </w:r>
    </w:p>
    <w:p w:rsidR="00EC1969" w:rsidRPr="00516B96" w:rsidRDefault="00EC1969" w:rsidP="00C37759">
      <w:pPr>
        <w:pStyle w:val="Prrafodelista"/>
        <w:spacing w:line="360" w:lineRule="auto"/>
        <w:jc w:val="both"/>
        <w:rPr>
          <w:rFonts w:ascii="Times New Roman" w:hAnsi="Times New Roman" w:cs="Times New Roman"/>
          <w:sz w:val="24"/>
          <w:szCs w:val="24"/>
        </w:rPr>
      </w:pPr>
    </w:p>
    <w:p w:rsidR="00C37759" w:rsidRPr="00516B96" w:rsidRDefault="00C37759" w:rsidP="00C37759">
      <w:pPr>
        <w:pStyle w:val="Prrafodelista"/>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La eliminación del privilegio del veto, la supresión de la categoría de miembro permanente del Consejo, la rotación regional han sido y seguirán siendo la fórmula que se plantea para darle a las Naciones Unidas y a su Consejo de Seguridad la legitimidad y representatividad que hoy están perdiendo. Porque los miembros con poder de veto podrán seguir negándose a cumplir la voluntad de la mayoría sólo hasta que la fuerza de la representatividad democrática abra el camino a la reforma definitiva.</w:t>
      </w:r>
    </w:p>
    <w:p w:rsidR="00EC1969" w:rsidRPr="00516B96" w:rsidRDefault="00EC1969" w:rsidP="00C37759">
      <w:pPr>
        <w:pStyle w:val="Prrafodelista"/>
        <w:spacing w:line="360" w:lineRule="auto"/>
        <w:jc w:val="both"/>
        <w:rPr>
          <w:rFonts w:ascii="Times New Roman" w:hAnsi="Times New Roman" w:cs="Times New Roman"/>
          <w:sz w:val="24"/>
          <w:szCs w:val="24"/>
        </w:rPr>
      </w:pPr>
    </w:p>
    <w:p w:rsidR="00EC1969" w:rsidRPr="00516B96" w:rsidRDefault="00EC1969" w:rsidP="00C37759">
      <w:pPr>
        <w:pStyle w:val="Prrafodelista"/>
        <w:spacing w:line="360" w:lineRule="auto"/>
        <w:jc w:val="both"/>
        <w:rPr>
          <w:rFonts w:ascii="Times New Roman" w:hAnsi="Times New Roman" w:cs="Times New Roman"/>
          <w:sz w:val="24"/>
          <w:szCs w:val="24"/>
        </w:rPr>
      </w:pPr>
    </w:p>
    <w:p w:rsidR="00B03093" w:rsidRPr="00516B96" w:rsidRDefault="007A54D6" w:rsidP="00B03093">
      <w:pPr>
        <w:pStyle w:val="Prrafodelista"/>
        <w:numPr>
          <w:ilvl w:val="0"/>
          <w:numId w:val="24"/>
        </w:num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Llevar al tabloide internacional la propuesta de creación de un ejército internacional que sea quien se ocupe de llevar a cabo las invasiones a los países que se encuentran en situaciones de CAN o de CANI con el fin de buscar el cese al fuego y el fin de toda violación a los Derechos Humanos.</w:t>
      </w:r>
    </w:p>
    <w:p w:rsidR="00EC1969" w:rsidRPr="00516B96" w:rsidRDefault="00EC1969" w:rsidP="007A54D6">
      <w:pPr>
        <w:pStyle w:val="Prrafodelista"/>
        <w:spacing w:line="360" w:lineRule="auto"/>
        <w:jc w:val="both"/>
        <w:rPr>
          <w:rFonts w:ascii="Times New Roman" w:hAnsi="Times New Roman" w:cs="Times New Roman"/>
          <w:sz w:val="24"/>
          <w:szCs w:val="24"/>
        </w:rPr>
      </w:pPr>
    </w:p>
    <w:p w:rsidR="007A54D6" w:rsidRPr="00516B96" w:rsidRDefault="007A54D6" w:rsidP="007A54D6">
      <w:pPr>
        <w:pStyle w:val="Prrafodelista"/>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lastRenderedPageBreak/>
        <w:t xml:space="preserve">Lamentablemente la historia ha demostrado que en la mayoría de CAN y CANI la única salida que tiene la Comunidad Internacional es intervenir por la fuerza, </w:t>
      </w:r>
      <w:r w:rsidR="00EC1969" w:rsidRPr="00516B96">
        <w:rPr>
          <w:rFonts w:ascii="Times New Roman" w:hAnsi="Times New Roman" w:cs="Times New Roman"/>
          <w:sz w:val="24"/>
          <w:szCs w:val="24"/>
        </w:rPr>
        <w:t>y es en base a ello y amparados en el artículo 43 de la Carta de las Naciones Unidas que el Consejo de Seguridad ha autorizado las invasiones a Estados en conflicto.</w:t>
      </w:r>
    </w:p>
    <w:p w:rsidR="00EC1969" w:rsidRPr="00516B96" w:rsidRDefault="00EC1969" w:rsidP="007A54D6">
      <w:pPr>
        <w:pStyle w:val="Prrafodelista"/>
        <w:spacing w:line="360" w:lineRule="auto"/>
        <w:jc w:val="both"/>
        <w:rPr>
          <w:rFonts w:ascii="Times New Roman" w:hAnsi="Times New Roman" w:cs="Times New Roman"/>
          <w:sz w:val="24"/>
          <w:szCs w:val="24"/>
        </w:rPr>
      </w:pPr>
    </w:p>
    <w:p w:rsidR="00EC1969" w:rsidRPr="00516B96" w:rsidRDefault="00EC1969" w:rsidP="007A54D6">
      <w:pPr>
        <w:pStyle w:val="Prrafodelista"/>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Por ello, de la observación de los resultados que las intervenciones han dado es necesario que las mismas se planteen de otra manera; no puede ser el ejército de la OTAN o el de los Estados Unidos los que necesariamente deban intervenir en estos casos ya que han demostrado seguir a sus intereses nacionalistas.</w:t>
      </w:r>
    </w:p>
    <w:p w:rsidR="00EC1969" w:rsidRPr="00516B96" w:rsidRDefault="00EC1969" w:rsidP="007A54D6">
      <w:pPr>
        <w:pStyle w:val="Prrafodelista"/>
        <w:spacing w:line="360" w:lineRule="auto"/>
        <w:jc w:val="both"/>
        <w:rPr>
          <w:rFonts w:ascii="Times New Roman" w:hAnsi="Times New Roman" w:cs="Times New Roman"/>
          <w:sz w:val="24"/>
          <w:szCs w:val="24"/>
        </w:rPr>
      </w:pPr>
    </w:p>
    <w:p w:rsidR="00EC1969" w:rsidRPr="00516B96" w:rsidRDefault="00EC1969" w:rsidP="007A54D6">
      <w:pPr>
        <w:pStyle w:val="Prrafodelista"/>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Si existiera un ejército de carácter internacional, con miembros de todos los Estados, una especie de Cascos Azules pero con fines militares también, entonces podríamos encontrar una manera de legitimar el uso de la fuerza para restablecer el orden, con respeto siempre, claro está, a los principios del Derecho Internacional Humanitario.</w:t>
      </w:r>
    </w:p>
    <w:p w:rsidR="002B3E05" w:rsidRPr="00516B96" w:rsidRDefault="002B3E05" w:rsidP="002B3E05">
      <w:pPr>
        <w:pStyle w:val="Prrafodelista"/>
        <w:rPr>
          <w:rFonts w:ascii="Times New Roman" w:hAnsi="Times New Roman" w:cs="Times New Roman"/>
          <w:b/>
          <w:sz w:val="24"/>
          <w:szCs w:val="24"/>
        </w:rPr>
      </w:pPr>
    </w:p>
    <w:p w:rsidR="002B3E05" w:rsidRPr="00516B96" w:rsidRDefault="002B3E05" w:rsidP="002B3E05">
      <w:pPr>
        <w:pStyle w:val="Prrafodelista"/>
        <w:rPr>
          <w:rFonts w:ascii="Times New Roman" w:hAnsi="Times New Roman" w:cs="Times New Roman"/>
          <w:b/>
          <w:sz w:val="24"/>
          <w:szCs w:val="24"/>
        </w:rPr>
      </w:pPr>
    </w:p>
    <w:p w:rsidR="002B3E05" w:rsidRPr="00516B96" w:rsidRDefault="002B3E05" w:rsidP="002B3E05">
      <w:pPr>
        <w:pStyle w:val="Prrafodelista"/>
        <w:numPr>
          <w:ilvl w:val="0"/>
          <w:numId w:val="24"/>
        </w:numPr>
        <w:spacing w:line="360" w:lineRule="auto"/>
        <w:jc w:val="both"/>
        <w:rPr>
          <w:rFonts w:ascii="Times New Roman" w:hAnsi="Times New Roman" w:cs="Times New Roman"/>
          <w:b/>
          <w:sz w:val="24"/>
          <w:szCs w:val="24"/>
        </w:rPr>
      </w:pPr>
      <w:r w:rsidRPr="00516B96">
        <w:rPr>
          <w:rFonts w:ascii="Times New Roman" w:hAnsi="Times New Roman" w:cs="Times New Roman"/>
          <w:sz w:val="24"/>
          <w:szCs w:val="24"/>
        </w:rPr>
        <w:t>Formar más profesionales especializados en temas de Derecho Internacional Humanitario</w:t>
      </w:r>
      <w:r w:rsidR="008B2E97" w:rsidRPr="00516B96">
        <w:rPr>
          <w:rFonts w:ascii="Times New Roman" w:hAnsi="Times New Roman" w:cs="Times New Roman"/>
          <w:sz w:val="24"/>
          <w:szCs w:val="24"/>
        </w:rPr>
        <w:t xml:space="preserve"> que desarrollen normativa aplicable para los conflictos armados actuales y futuros, buscando por sobre todo la resolución de conflictos sin tener que empuñar más armas; creando una cultura de negociación y no de guerra</w:t>
      </w:r>
      <w:r w:rsidRPr="00516B96">
        <w:rPr>
          <w:rFonts w:ascii="Times New Roman" w:hAnsi="Times New Roman" w:cs="Times New Roman"/>
          <w:sz w:val="24"/>
          <w:szCs w:val="24"/>
        </w:rPr>
        <w:t>.</w:t>
      </w:r>
    </w:p>
    <w:p w:rsidR="002B3E05" w:rsidRPr="00516B96" w:rsidRDefault="002B3E05" w:rsidP="002B3E05">
      <w:pPr>
        <w:pStyle w:val="Prrafodelista"/>
        <w:rPr>
          <w:rFonts w:ascii="Times New Roman" w:hAnsi="Times New Roman" w:cs="Times New Roman"/>
          <w:b/>
          <w:sz w:val="24"/>
          <w:szCs w:val="24"/>
        </w:rPr>
      </w:pPr>
    </w:p>
    <w:p w:rsidR="00EC1969" w:rsidRPr="00516B96" w:rsidRDefault="00EC1969" w:rsidP="002B3E05">
      <w:pPr>
        <w:pStyle w:val="Prrafodelista"/>
        <w:rPr>
          <w:rFonts w:ascii="Times New Roman" w:hAnsi="Times New Roman" w:cs="Times New Roman"/>
          <w:b/>
          <w:sz w:val="24"/>
          <w:szCs w:val="24"/>
        </w:rPr>
      </w:pPr>
    </w:p>
    <w:p w:rsidR="002B3E05" w:rsidRPr="00516B96" w:rsidRDefault="002B3E05" w:rsidP="002B3E05">
      <w:pPr>
        <w:pStyle w:val="Prrafodelista"/>
        <w:numPr>
          <w:ilvl w:val="0"/>
          <w:numId w:val="24"/>
        </w:numPr>
        <w:spacing w:line="360" w:lineRule="auto"/>
        <w:jc w:val="both"/>
        <w:rPr>
          <w:rFonts w:ascii="Times New Roman" w:hAnsi="Times New Roman" w:cs="Times New Roman"/>
          <w:sz w:val="24"/>
          <w:szCs w:val="24"/>
        </w:rPr>
      </w:pPr>
      <w:r w:rsidRPr="00516B96">
        <w:rPr>
          <w:rFonts w:ascii="Times New Roman" w:hAnsi="Times New Roman" w:cs="Times New Roman"/>
          <w:sz w:val="24"/>
          <w:szCs w:val="24"/>
        </w:rPr>
        <w:t>Potencializar el estudio del Derecho Internacional Humanitario a fin de dar a luz a nuevas propuestas para alcanzar la paz y la justicia internacionales</w:t>
      </w:r>
      <w:r w:rsidR="008F0AAE" w:rsidRPr="00516B96">
        <w:rPr>
          <w:rFonts w:ascii="Times New Roman" w:hAnsi="Times New Roman" w:cs="Times New Roman"/>
          <w:sz w:val="24"/>
          <w:szCs w:val="24"/>
        </w:rPr>
        <w:t>, teniendo como baluarte el respeto al otro, sin tratar de imponer modelos o estructuras predefinidas, con la intención de vivir en armonía en la diversidad</w:t>
      </w:r>
      <w:r w:rsidRPr="00516B96">
        <w:rPr>
          <w:rFonts w:ascii="Times New Roman" w:hAnsi="Times New Roman" w:cs="Times New Roman"/>
          <w:sz w:val="24"/>
          <w:szCs w:val="24"/>
        </w:rPr>
        <w:t>.</w:t>
      </w:r>
    </w:p>
    <w:p w:rsidR="00020C93" w:rsidRDefault="00020C93" w:rsidP="00651C43">
      <w:pPr>
        <w:spacing w:line="360" w:lineRule="auto"/>
        <w:ind w:left="360"/>
        <w:jc w:val="both"/>
        <w:rPr>
          <w:rFonts w:ascii="Times New Roman" w:hAnsi="Times New Roman" w:cs="Times New Roman"/>
          <w:sz w:val="24"/>
          <w:szCs w:val="24"/>
        </w:rPr>
      </w:pPr>
    </w:p>
    <w:p w:rsidR="009B4B0F" w:rsidRDefault="009B4B0F" w:rsidP="00651C43">
      <w:pPr>
        <w:spacing w:line="360" w:lineRule="auto"/>
        <w:ind w:left="360"/>
        <w:jc w:val="both"/>
        <w:rPr>
          <w:rFonts w:ascii="Times New Roman" w:hAnsi="Times New Roman" w:cs="Times New Roman"/>
          <w:sz w:val="24"/>
          <w:szCs w:val="24"/>
        </w:rPr>
      </w:pPr>
    </w:p>
    <w:p w:rsidR="009B4B0F" w:rsidRDefault="009B4B0F" w:rsidP="00651C43">
      <w:pPr>
        <w:spacing w:line="360" w:lineRule="auto"/>
        <w:ind w:left="360"/>
        <w:jc w:val="both"/>
        <w:rPr>
          <w:rFonts w:ascii="Times New Roman" w:hAnsi="Times New Roman" w:cs="Times New Roman"/>
          <w:sz w:val="24"/>
          <w:szCs w:val="24"/>
        </w:rPr>
      </w:pPr>
    </w:p>
    <w:p w:rsidR="009B4B0F" w:rsidRDefault="009B4B0F" w:rsidP="00651C43">
      <w:pPr>
        <w:spacing w:line="360" w:lineRule="auto"/>
        <w:ind w:left="360"/>
        <w:jc w:val="both"/>
        <w:rPr>
          <w:rFonts w:ascii="Times New Roman" w:hAnsi="Times New Roman" w:cs="Times New Roman"/>
          <w:sz w:val="24"/>
          <w:szCs w:val="24"/>
        </w:rPr>
      </w:pPr>
    </w:p>
    <w:p w:rsidR="009B4B0F" w:rsidRPr="009B4B0F" w:rsidRDefault="009B4B0F" w:rsidP="009B4B0F">
      <w:pPr>
        <w:spacing w:line="360" w:lineRule="auto"/>
        <w:ind w:left="360"/>
        <w:jc w:val="center"/>
        <w:rPr>
          <w:rFonts w:ascii="Times New Roman" w:hAnsi="Times New Roman" w:cs="Times New Roman"/>
          <w:b/>
          <w:sz w:val="24"/>
          <w:szCs w:val="24"/>
        </w:rPr>
      </w:pPr>
      <w:r w:rsidRPr="009B4B0F">
        <w:rPr>
          <w:rFonts w:ascii="Times New Roman" w:hAnsi="Times New Roman" w:cs="Times New Roman"/>
          <w:b/>
          <w:sz w:val="24"/>
          <w:szCs w:val="24"/>
        </w:rPr>
        <w:lastRenderedPageBreak/>
        <w:t>APÉNDICE I</w:t>
      </w:r>
    </w:p>
    <w:p w:rsidR="009B4B0F" w:rsidRPr="009B4B0F" w:rsidRDefault="009B4B0F" w:rsidP="009B4B0F">
      <w:pPr>
        <w:autoSpaceDE w:val="0"/>
        <w:autoSpaceDN w:val="0"/>
        <w:adjustRightInd w:val="0"/>
        <w:spacing w:after="0" w:line="360" w:lineRule="auto"/>
        <w:jc w:val="center"/>
        <w:rPr>
          <w:rFonts w:ascii="Times New Roman" w:hAnsi="Times New Roman" w:cs="Times New Roman"/>
          <w:b/>
          <w:bCs/>
          <w:sz w:val="24"/>
          <w:szCs w:val="24"/>
        </w:rPr>
      </w:pPr>
      <w:r w:rsidRPr="009B4B0F">
        <w:rPr>
          <w:rFonts w:ascii="Times New Roman" w:hAnsi="Times New Roman" w:cs="Times New Roman"/>
          <w:b/>
          <w:bCs/>
          <w:sz w:val="24"/>
          <w:szCs w:val="24"/>
        </w:rPr>
        <w:t>Convenios de Ginebra del 12 de agosto de 1949 y Protocolos adicionales del 8 de junio de 1977: ratificaciones, adhesiones y sucesiones</w:t>
      </w:r>
    </w:p>
    <w:p w:rsidR="009B4B0F" w:rsidRPr="009B4B0F" w:rsidRDefault="009B4B0F" w:rsidP="009B4B0F">
      <w:pPr>
        <w:autoSpaceDE w:val="0"/>
        <w:autoSpaceDN w:val="0"/>
        <w:adjustRightInd w:val="0"/>
        <w:spacing w:after="0" w:line="360" w:lineRule="auto"/>
        <w:rPr>
          <w:rFonts w:ascii="Times New Roman" w:hAnsi="Times New Roman" w:cs="Times New Roman"/>
          <w:sz w:val="24"/>
          <w:szCs w:val="24"/>
        </w:rPr>
      </w:pPr>
    </w:p>
    <w:p w:rsidR="009B4B0F" w:rsidRPr="009B4B0F" w:rsidRDefault="009B4B0F" w:rsidP="009B4B0F">
      <w:pPr>
        <w:autoSpaceDE w:val="0"/>
        <w:autoSpaceDN w:val="0"/>
        <w:adjustRightInd w:val="0"/>
        <w:spacing w:after="0" w:line="360" w:lineRule="auto"/>
        <w:jc w:val="both"/>
        <w:rPr>
          <w:rFonts w:ascii="Times New Roman" w:hAnsi="Times New Roman" w:cs="Times New Roman"/>
          <w:sz w:val="24"/>
          <w:szCs w:val="24"/>
        </w:rPr>
      </w:pPr>
      <w:r w:rsidRPr="009B4B0F">
        <w:rPr>
          <w:rFonts w:ascii="Times New Roman" w:hAnsi="Times New Roman" w:cs="Times New Roman"/>
          <w:sz w:val="24"/>
          <w:szCs w:val="24"/>
        </w:rPr>
        <w:t xml:space="preserve">La presente lista se basa en las informaciones recibidas por parte del </w:t>
      </w:r>
      <w:r w:rsidRPr="009B4B0F">
        <w:rPr>
          <w:rFonts w:ascii="Times New Roman" w:hAnsi="Times New Roman" w:cs="Times New Roman"/>
          <w:bCs/>
          <w:sz w:val="24"/>
          <w:szCs w:val="24"/>
        </w:rPr>
        <w:t xml:space="preserve">Departamento Federal de Asuntos Exteriores </w:t>
      </w:r>
      <w:r w:rsidRPr="009B4B0F">
        <w:rPr>
          <w:rFonts w:ascii="Times New Roman" w:hAnsi="Times New Roman" w:cs="Times New Roman"/>
          <w:sz w:val="24"/>
          <w:szCs w:val="24"/>
        </w:rPr>
        <w:t>de la Confederación Suiza, que es depositario de dichos Convenios.</w:t>
      </w:r>
    </w:p>
    <w:p w:rsidR="009B4B0F" w:rsidRPr="009B4B0F" w:rsidRDefault="009B4B0F" w:rsidP="009B4B0F">
      <w:pPr>
        <w:autoSpaceDE w:val="0"/>
        <w:autoSpaceDN w:val="0"/>
        <w:adjustRightInd w:val="0"/>
        <w:spacing w:after="0" w:line="360" w:lineRule="auto"/>
        <w:jc w:val="both"/>
        <w:rPr>
          <w:rFonts w:ascii="Times New Roman" w:hAnsi="Times New Roman" w:cs="Times New Roman"/>
          <w:sz w:val="24"/>
          <w:szCs w:val="24"/>
        </w:rPr>
      </w:pPr>
    </w:p>
    <w:p w:rsidR="009B4B0F" w:rsidRPr="009B4B0F" w:rsidRDefault="009B4B0F" w:rsidP="009B4B0F">
      <w:pPr>
        <w:autoSpaceDE w:val="0"/>
        <w:autoSpaceDN w:val="0"/>
        <w:adjustRightInd w:val="0"/>
        <w:spacing w:after="0" w:line="360" w:lineRule="auto"/>
        <w:jc w:val="both"/>
        <w:rPr>
          <w:rFonts w:ascii="Times New Roman" w:hAnsi="Times New Roman" w:cs="Times New Roman"/>
          <w:bCs/>
          <w:sz w:val="24"/>
          <w:szCs w:val="24"/>
        </w:rPr>
      </w:pPr>
      <w:r w:rsidRPr="009B4B0F">
        <w:rPr>
          <w:rFonts w:ascii="Times New Roman" w:hAnsi="Times New Roman" w:cs="Times New Roman"/>
          <w:bCs/>
          <w:sz w:val="24"/>
          <w:szCs w:val="24"/>
        </w:rPr>
        <w:t xml:space="preserve">1. </w:t>
      </w:r>
      <w:r w:rsidRPr="009B4B0F">
        <w:rPr>
          <w:rFonts w:ascii="Times New Roman" w:hAnsi="Times New Roman" w:cs="Times New Roman"/>
          <w:bCs/>
          <w:sz w:val="24"/>
          <w:szCs w:val="24"/>
          <w:u w:val="single"/>
        </w:rPr>
        <w:t>Abreviaturas y notas</w:t>
      </w:r>
    </w:p>
    <w:p w:rsidR="009B4B0F" w:rsidRPr="009B4B0F" w:rsidRDefault="009B4B0F" w:rsidP="009B4B0F">
      <w:pPr>
        <w:autoSpaceDE w:val="0"/>
        <w:autoSpaceDN w:val="0"/>
        <w:adjustRightInd w:val="0"/>
        <w:spacing w:after="0" w:line="360" w:lineRule="auto"/>
        <w:jc w:val="both"/>
        <w:rPr>
          <w:rFonts w:ascii="Times New Roman" w:hAnsi="Times New Roman" w:cs="Times New Roman"/>
          <w:b/>
          <w:bCs/>
          <w:sz w:val="24"/>
          <w:szCs w:val="24"/>
        </w:rPr>
      </w:pPr>
    </w:p>
    <w:p w:rsidR="009B4B0F" w:rsidRPr="009B4B0F" w:rsidRDefault="009B4B0F" w:rsidP="009B4B0F">
      <w:pPr>
        <w:autoSpaceDE w:val="0"/>
        <w:autoSpaceDN w:val="0"/>
        <w:adjustRightInd w:val="0"/>
        <w:spacing w:after="0" w:line="360" w:lineRule="auto"/>
        <w:jc w:val="both"/>
        <w:rPr>
          <w:rFonts w:ascii="Times New Roman" w:hAnsi="Times New Roman" w:cs="Times New Roman"/>
          <w:bCs/>
          <w:sz w:val="24"/>
          <w:szCs w:val="24"/>
        </w:rPr>
      </w:pPr>
      <w:r w:rsidRPr="009B4B0F">
        <w:rPr>
          <w:rFonts w:ascii="Times New Roman" w:hAnsi="Times New Roman" w:cs="Times New Roman"/>
          <w:bCs/>
          <w:sz w:val="24"/>
          <w:szCs w:val="24"/>
        </w:rPr>
        <w:t>R/A/S = Ratificación / Adhesión / Sucesión</w:t>
      </w:r>
    </w:p>
    <w:p w:rsidR="009B4B0F" w:rsidRDefault="009B4B0F" w:rsidP="009B4B0F">
      <w:pPr>
        <w:autoSpaceDE w:val="0"/>
        <w:autoSpaceDN w:val="0"/>
        <w:adjustRightInd w:val="0"/>
        <w:spacing w:after="0" w:line="360" w:lineRule="auto"/>
        <w:jc w:val="both"/>
        <w:rPr>
          <w:rFonts w:ascii="Times New Roman" w:hAnsi="Times New Roman" w:cs="Times New Roman"/>
          <w:b/>
          <w:bCs/>
          <w:sz w:val="24"/>
          <w:szCs w:val="24"/>
        </w:rPr>
      </w:pPr>
    </w:p>
    <w:p w:rsidR="009B4B0F" w:rsidRPr="009B4B0F" w:rsidRDefault="009B4B0F" w:rsidP="009B4B0F">
      <w:pPr>
        <w:autoSpaceDE w:val="0"/>
        <w:autoSpaceDN w:val="0"/>
        <w:adjustRightInd w:val="0"/>
        <w:spacing w:after="0" w:line="360" w:lineRule="auto"/>
        <w:jc w:val="both"/>
        <w:rPr>
          <w:rFonts w:ascii="Times New Roman" w:hAnsi="Times New Roman" w:cs="Times New Roman"/>
          <w:bCs/>
          <w:sz w:val="24"/>
          <w:szCs w:val="24"/>
        </w:rPr>
      </w:pPr>
      <w:r w:rsidRPr="009B4B0F">
        <w:rPr>
          <w:rFonts w:ascii="Times New Roman" w:hAnsi="Times New Roman" w:cs="Times New Roman"/>
          <w:bCs/>
          <w:sz w:val="24"/>
          <w:szCs w:val="24"/>
          <w:u w:val="single"/>
        </w:rPr>
        <w:t>Ratificación</w:t>
      </w:r>
      <w:r w:rsidRPr="009B4B0F">
        <w:rPr>
          <w:rFonts w:ascii="Times New Roman" w:hAnsi="Times New Roman" w:cs="Times New Roman"/>
          <w:bCs/>
          <w:sz w:val="24"/>
          <w:szCs w:val="24"/>
        </w:rPr>
        <w:t>: un tratado está generalmente abierto para la firma durante cierto tiempo, después de la conferencia en que se aprueba. Sin embargo, la firma sólo obliga a un Estado tras la ratificación. Finalizados los plazos respectivos, los Convenios y los Protocolos ya no están abiertos para la firma. Los Estados no signatarios pueden siempre llegar a ser Partes por vía de adhesión o, en su caso, de sucesión.</w:t>
      </w:r>
    </w:p>
    <w:p w:rsidR="009B4B0F" w:rsidRPr="009B4B0F" w:rsidRDefault="009B4B0F" w:rsidP="009B4B0F">
      <w:pPr>
        <w:autoSpaceDE w:val="0"/>
        <w:autoSpaceDN w:val="0"/>
        <w:adjustRightInd w:val="0"/>
        <w:spacing w:after="0" w:line="360" w:lineRule="auto"/>
        <w:jc w:val="both"/>
        <w:rPr>
          <w:rFonts w:ascii="Times New Roman" w:hAnsi="Times New Roman" w:cs="Times New Roman"/>
          <w:b/>
          <w:bCs/>
          <w:sz w:val="24"/>
          <w:szCs w:val="24"/>
        </w:rPr>
      </w:pPr>
    </w:p>
    <w:p w:rsidR="009B4B0F" w:rsidRPr="009B4B0F" w:rsidRDefault="009B4B0F" w:rsidP="009B4B0F">
      <w:pPr>
        <w:autoSpaceDE w:val="0"/>
        <w:autoSpaceDN w:val="0"/>
        <w:adjustRightInd w:val="0"/>
        <w:spacing w:after="0" w:line="360" w:lineRule="auto"/>
        <w:jc w:val="both"/>
        <w:rPr>
          <w:rFonts w:ascii="Times New Roman" w:hAnsi="Times New Roman" w:cs="Times New Roman"/>
          <w:bCs/>
          <w:sz w:val="24"/>
          <w:szCs w:val="24"/>
        </w:rPr>
      </w:pPr>
      <w:r w:rsidRPr="009B4B0F">
        <w:rPr>
          <w:rFonts w:ascii="Times New Roman" w:hAnsi="Times New Roman" w:cs="Times New Roman"/>
          <w:bCs/>
          <w:sz w:val="24"/>
          <w:szCs w:val="24"/>
          <w:u w:val="single"/>
        </w:rPr>
        <w:t>Adhesión</w:t>
      </w:r>
      <w:r w:rsidRPr="009B4B0F">
        <w:rPr>
          <w:rFonts w:ascii="Times New Roman" w:hAnsi="Times New Roman" w:cs="Times New Roman"/>
          <w:bCs/>
          <w:sz w:val="24"/>
          <w:szCs w:val="24"/>
        </w:rPr>
        <w:t>: en vez de firmar y ratificar ulteriormente, un Estado puede obligarse por un acto único llamado adhesión.</w:t>
      </w:r>
    </w:p>
    <w:p w:rsidR="009B4B0F" w:rsidRPr="009B4B0F" w:rsidRDefault="009B4B0F" w:rsidP="009B4B0F">
      <w:pPr>
        <w:autoSpaceDE w:val="0"/>
        <w:autoSpaceDN w:val="0"/>
        <w:adjustRightInd w:val="0"/>
        <w:spacing w:after="0" w:line="360" w:lineRule="auto"/>
        <w:jc w:val="both"/>
        <w:rPr>
          <w:rFonts w:ascii="Times New Roman" w:hAnsi="Times New Roman" w:cs="Times New Roman"/>
          <w:b/>
          <w:bCs/>
          <w:sz w:val="24"/>
          <w:szCs w:val="24"/>
        </w:rPr>
      </w:pPr>
    </w:p>
    <w:p w:rsidR="009B4B0F" w:rsidRPr="009B4B0F" w:rsidRDefault="009B4B0F" w:rsidP="009B4B0F">
      <w:pPr>
        <w:autoSpaceDE w:val="0"/>
        <w:autoSpaceDN w:val="0"/>
        <w:adjustRightInd w:val="0"/>
        <w:spacing w:after="0" w:line="360" w:lineRule="auto"/>
        <w:jc w:val="both"/>
        <w:rPr>
          <w:rFonts w:ascii="Times New Roman" w:hAnsi="Times New Roman" w:cs="Times New Roman"/>
          <w:bCs/>
          <w:sz w:val="24"/>
          <w:szCs w:val="24"/>
        </w:rPr>
      </w:pPr>
      <w:r w:rsidRPr="009B4B0F">
        <w:rPr>
          <w:rFonts w:ascii="Times New Roman" w:hAnsi="Times New Roman" w:cs="Times New Roman"/>
          <w:bCs/>
          <w:sz w:val="24"/>
          <w:szCs w:val="24"/>
          <w:u w:val="single"/>
        </w:rPr>
        <w:t>Sucesión</w:t>
      </w:r>
      <w:r w:rsidRPr="009B4B0F">
        <w:rPr>
          <w:rFonts w:ascii="Times New Roman" w:hAnsi="Times New Roman" w:cs="Times New Roman"/>
          <w:bCs/>
          <w:sz w:val="24"/>
          <w:szCs w:val="24"/>
        </w:rPr>
        <w:t>: un nuevo Estado independiente puede declarar que seguirá estando obligado por los tratados que le eran aplicables antes de la independencia. Puede también hacer una declaración de aplicación de los tratados (DAPT), por la que se compromete a continuar aplicando dichos tratados durante el tiempo que considere necesario para examinar detalladamente sus textos y decidir a cuáles de ellos adherirse o suceder. Actualmente, esta declaración no concierne a ningún Estado.</w:t>
      </w:r>
    </w:p>
    <w:p w:rsidR="009B4B0F" w:rsidRPr="009B4B0F" w:rsidRDefault="009B4B0F" w:rsidP="009B4B0F">
      <w:pPr>
        <w:autoSpaceDE w:val="0"/>
        <w:autoSpaceDN w:val="0"/>
        <w:adjustRightInd w:val="0"/>
        <w:spacing w:after="0" w:line="360" w:lineRule="auto"/>
        <w:jc w:val="both"/>
        <w:rPr>
          <w:rFonts w:ascii="Times New Roman" w:hAnsi="Times New Roman" w:cs="Times New Roman"/>
          <w:b/>
          <w:bCs/>
          <w:sz w:val="24"/>
          <w:szCs w:val="24"/>
        </w:rPr>
      </w:pPr>
    </w:p>
    <w:p w:rsidR="009B4B0F" w:rsidRPr="009B4B0F" w:rsidRDefault="009B4B0F" w:rsidP="009B4B0F">
      <w:pPr>
        <w:autoSpaceDE w:val="0"/>
        <w:autoSpaceDN w:val="0"/>
        <w:adjustRightInd w:val="0"/>
        <w:spacing w:after="0" w:line="360" w:lineRule="auto"/>
        <w:jc w:val="both"/>
        <w:rPr>
          <w:rFonts w:ascii="Times New Roman" w:hAnsi="Times New Roman" w:cs="Times New Roman"/>
          <w:bCs/>
          <w:sz w:val="24"/>
          <w:szCs w:val="24"/>
        </w:rPr>
      </w:pPr>
      <w:r w:rsidRPr="009B4B0F">
        <w:rPr>
          <w:rFonts w:ascii="Times New Roman" w:hAnsi="Times New Roman" w:cs="Times New Roman"/>
          <w:bCs/>
          <w:sz w:val="24"/>
          <w:szCs w:val="24"/>
        </w:rPr>
        <w:t xml:space="preserve">R/D = </w:t>
      </w:r>
      <w:r w:rsidRPr="009B4B0F">
        <w:rPr>
          <w:rFonts w:ascii="Times New Roman" w:hAnsi="Times New Roman" w:cs="Times New Roman"/>
          <w:bCs/>
          <w:sz w:val="24"/>
          <w:szCs w:val="24"/>
          <w:u w:val="single"/>
        </w:rPr>
        <w:t>Reserva/Declaración</w:t>
      </w:r>
      <w:r w:rsidRPr="009B4B0F">
        <w:rPr>
          <w:rFonts w:ascii="Times New Roman" w:hAnsi="Times New Roman" w:cs="Times New Roman"/>
          <w:bCs/>
          <w:sz w:val="24"/>
          <w:szCs w:val="24"/>
        </w:rPr>
        <w:t>: declaración unilateral, sea cual fuere su texto o su designación, hecha por un Estado en el momento de ratificar, adherirse o suceder a un tratado, para que se excluya o se modifique el efecto jurídico de ciertas disposiciones del tratado en su aplicación a ese Estado (siempre que tales reservas no sean incompatible s con el objeto y la finalidad del tratado).</w:t>
      </w:r>
    </w:p>
    <w:p w:rsidR="009B4B0F" w:rsidRPr="009B4B0F" w:rsidRDefault="009B4B0F" w:rsidP="009B4B0F">
      <w:pPr>
        <w:autoSpaceDE w:val="0"/>
        <w:autoSpaceDN w:val="0"/>
        <w:adjustRightInd w:val="0"/>
        <w:spacing w:after="0" w:line="360" w:lineRule="auto"/>
        <w:jc w:val="both"/>
        <w:rPr>
          <w:rFonts w:ascii="Times New Roman" w:hAnsi="Times New Roman" w:cs="Times New Roman"/>
          <w:b/>
          <w:bCs/>
          <w:sz w:val="24"/>
          <w:szCs w:val="24"/>
        </w:rPr>
      </w:pPr>
    </w:p>
    <w:p w:rsidR="009B4B0F" w:rsidRPr="009B4B0F" w:rsidRDefault="009B4B0F" w:rsidP="009B4B0F">
      <w:pPr>
        <w:autoSpaceDE w:val="0"/>
        <w:autoSpaceDN w:val="0"/>
        <w:adjustRightInd w:val="0"/>
        <w:spacing w:after="0" w:line="360" w:lineRule="auto"/>
        <w:jc w:val="both"/>
        <w:rPr>
          <w:rFonts w:ascii="Times New Roman" w:hAnsi="Times New Roman" w:cs="Times New Roman"/>
          <w:bCs/>
          <w:sz w:val="24"/>
          <w:szCs w:val="24"/>
        </w:rPr>
      </w:pPr>
      <w:r w:rsidRPr="009B4B0F">
        <w:rPr>
          <w:rFonts w:ascii="Times New Roman" w:hAnsi="Times New Roman" w:cs="Times New Roman"/>
          <w:bCs/>
          <w:sz w:val="24"/>
          <w:szCs w:val="24"/>
        </w:rPr>
        <w:t xml:space="preserve">D90 = </w:t>
      </w:r>
      <w:r w:rsidRPr="009B4B0F">
        <w:rPr>
          <w:rFonts w:ascii="Times New Roman" w:hAnsi="Times New Roman" w:cs="Times New Roman"/>
          <w:bCs/>
          <w:sz w:val="24"/>
          <w:szCs w:val="24"/>
          <w:u w:val="single"/>
        </w:rPr>
        <w:t>Declaración prevista en el artículo 90 del Protocolo I</w:t>
      </w:r>
      <w:r w:rsidRPr="009B4B0F">
        <w:rPr>
          <w:rFonts w:ascii="Times New Roman" w:hAnsi="Times New Roman" w:cs="Times New Roman"/>
          <w:b/>
          <w:bCs/>
          <w:sz w:val="24"/>
          <w:szCs w:val="24"/>
        </w:rPr>
        <w:t xml:space="preserve"> </w:t>
      </w:r>
      <w:r w:rsidRPr="009B4B0F">
        <w:rPr>
          <w:rFonts w:ascii="Times New Roman" w:hAnsi="Times New Roman" w:cs="Times New Roman"/>
          <w:bCs/>
          <w:sz w:val="24"/>
          <w:szCs w:val="24"/>
        </w:rPr>
        <w:t>(Aceptación previa de la competencia de la Comisión Internacional de Encuesta).</w:t>
      </w:r>
    </w:p>
    <w:p w:rsidR="009B4B0F" w:rsidRPr="009B4B0F" w:rsidRDefault="009B4B0F" w:rsidP="009B4B0F">
      <w:pPr>
        <w:autoSpaceDE w:val="0"/>
        <w:autoSpaceDN w:val="0"/>
        <w:adjustRightInd w:val="0"/>
        <w:spacing w:after="0" w:line="360" w:lineRule="auto"/>
        <w:jc w:val="both"/>
        <w:rPr>
          <w:rFonts w:ascii="Times New Roman" w:hAnsi="Times New Roman" w:cs="Times New Roman"/>
          <w:bCs/>
          <w:sz w:val="24"/>
          <w:szCs w:val="24"/>
        </w:rPr>
      </w:pPr>
    </w:p>
    <w:p w:rsidR="009B4B0F" w:rsidRPr="009B4B0F" w:rsidRDefault="009B4B0F" w:rsidP="009B4B0F">
      <w:pPr>
        <w:autoSpaceDE w:val="0"/>
        <w:autoSpaceDN w:val="0"/>
        <w:adjustRightInd w:val="0"/>
        <w:spacing w:after="0" w:line="360" w:lineRule="auto"/>
        <w:jc w:val="both"/>
        <w:rPr>
          <w:rFonts w:ascii="Times New Roman" w:hAnsi="Times New Roman" w:cs="Times New Roman"/>
          <w:bCs/>
          <w:sz w:val="24"/>
          <w:szCs w:val="24"/>
        </w:rPr>
      </w:pPr>
      <w:r w:rsidRPr="009B4B0F">
        <w:rPr>
          <w:rFonts w:ascii="Times New Roman" w:hAnsi="Times New Roman" w:cs="Times New Roman"/>
          <w:bCs/>
          <w:sz w:val="24"/>
          <w:szCs w:val="24"/>
        </w:rPr>
        <w:t xml:space="preserve">2. </w:t>
      </w:r>
      <w:r w:rsidRPr="009B4B0F">
        <w:rPr>
          <w:rFonts w:ascii="Times New Roman" w:hAnsi="Times New Roman" w:cs="Times New Roman"/>
          <w:bCs/>
          <w:sz w:val="24"/>
          <w:szCs w:val="24"/>
          <w:u w:val="single"/>
        </w:rPr>
        <w:t>Fechas</w:t>
      </w:r>
    </w:p>
    <w:p w:rsidR="009B4B0F" w:rsidRPr="009B4B0F" w:rsidRDefault="009B4B0F" w:rsidP="009B4B0F">
      <w:pPr>
        <w:autoSpaceDE w:val="0"/>
        <w:autoSpaceDN w:val="0"/>
        <w:adjustRightInd w:val="0"/>
        <w:spacing w:after="0" w:line="360" w:lineRule="auto"/>
        <w:jc w:val="both"/>
        <w:rPr>
          <w:rFonts w:ascii="Times New Roman" w:hAnsi="Times New Roman" w:cs="Times New Roman"/>
          <w:bCs/>
          <w:sz w:val="24"/>
          <w:szCs w:val="24"/>
        </w:rPr>
      </w:pPr>
    </w:p>
    <w:p w:rsidR="009B4B0F" w:rsidRPr="009B4B0F" w:rsidRDefault="009B4B0F" w:rsidP="009B4B0F">
      <w:pPr>
        <w:autoSpaceDE w:val="0"/>
        <w:autoSpaceDN w:val="0"/>
        <w:adjustRightInd w:val="0"/>
        <w:spacing w:after="0" w:line="360" w:lineRule="auto"/>
        <w:jc w:val="both"/>
        <w:rPr>
          <w:rFonts w:ascii="Times New Roman" w:hAnsi="Times New Roman" w:cs="Times New Roman"/>
          <w:bCs/>
          <w:sz w:val="24"/>
          <w:szCs w:val="24"/>
        </w:rPr>
      </w:pPr>
      <w:r w:rsidRPr="009B4B0F">
        <w:rPr>
          <w:rFonts w:ascii="Times New Roman" w:hAnsi="Times New Roman" w:cs="Times New Roman"/>
          <w:bCs/>
          <w:sz w:val="24"/>
          <w:szCs w:val="24"/>
        </w:rPr>
        <w:t>Las fechas indicadas son las del día de recepción, por el Departamento Federal Suizo de Asuntos Exteriores, del acta oficial transmitida por el Estado que ratifica, se adhiere, sucede o hace la declaración según el artículo 90 del Protocolo I. No se trata, pues, ni de la fecha de aprobación del acta oficial relativa a la ratificación, adhesión, sucesión o declaración, ni de la fecha del eventual envío.</w:t>
      </w:r>
    </w:p>
    <w:p w:rsidR="009B4B0F" w:rsidRPr="009B4B0F" w:rsidRDefault="009B4B0F" w:rsidP="009B4B0F">
      <w:pPr>
        <w:autoSpaceDE w:val="0"/>
        <w:autoSpaceDN w:val="0"/>
        <w:adjustRightInd w:val="0"/>
        <w:spacing w:after="0" w:line="360" w:lineRule="auto"/>
        <w:jc w:val="both"/>
        <w:rPr>
          <w:rFonts w:ascii="Times New Roman" w:hAnsi="Times New Roman" w:cs="Times New Roman"/>
          <w:bCs/>
          <w:sz w:val="24"/>
          <w:szCs w:val="24"/>
        </w:rPr>
      </w:pPr>
    </w:p>
    <w:p w:rsidR="009B4B0F" w:rsidRPr="009B4B0F" w:rsidRDefault="009B4B0F" w:rsidP="009B4B0F">
      <w:pPr>
        <w:autoSpaceDE w:val="0"/>
        <w:autoSpaceDN w:val="0"/>
        <w:adjustRightInd w:val="0"/>
        <w:spacing w:after="0" w:line="360" w:lineRule="auto"/>
        <w:jc w:val="both"/>
        <w:rPr>
          <w:rFonts w:ascii="Times New Roman" w:hAnsi="Times New Roman" w:cs="Times New Roman"/>
          <w:bCs/>
          <w:iCs/>
          <w:sz w:val="24"/>
          <w:szCs w:val="24"/>
        </w:rPr>
      </w:pPr>
      <w:r w:rsidRPr="009B4B0F">
        <w:rPr>
          <w:rFonts w:ascii="Times New Roman" w:hAnsi="Times New Roman" w:cs="Times New Roman"/>
          <w:bCs/>
          <w:iCs/>
          <w:sz w:val="24"/>
          <w:szCs w:val="24"/>
        </w:rPr>
        <w:t xml:space="preserve">Las fechas consignadas con respecto a la sucesión a los Convenios de Congo, Jamaica, Madagascar, Mauritania, </w:t>
      </w:r>
      <w:proofErr w:type="spellStart"/>
      <w:r w:rsidRPr="009B4B0F">
        <w:rPr>
          <w:rFonts w:ascii="Times New Roman" w:hAnsi="Times New Roman" w:cs="Times New Roman"/>
          <w:bCs/>
          <w:iCs/>
          <w:sz w:val="24"/>
          <w:szCs w:val="24"/>
        </w:rPr>
        <w:t>Niger</w:t>
      </w:r>
      <w:proofErr w:type="spellEnd"/>
      <w:r w:rsidRPr="009B4B0F">
        <w:rPr>
          <w:rFonts w:ascii="Times New Roman" w:hAnsi="Times New Roman" w:cs="Times New Roman"/>
          <w:bCs/>
          <w:iCs/>
          <w:sz w:val="24"/>
          <w:szCs w:val="24"/>
        </w:rPr>
        <w:t>, Nigeria, Ruanda, Senegal, Sierra Leona y Zaire, eran las de aprobación del acta oficial pertinente. Se reemplazaron por las fechas de recepción de esas actas por el Depositario.</w:t>
      </w:r>
    </w:p>
    <w:p w:rsidR="009B4B0F" w:rsidRPr="009B4B0F" w:rsidRDefault="009B4B0F" w:rsidP="009B4B0F">
      <w:pPr>
        <w:autoSpaceDE w:val="0"/>
        <w:autoSpaceDN w:val="0"/>
        <w:adjustRightInd w:val="0"/>
        <w:spacing w:after="0" w:line="360" w:lineRule="auto"/>
        <w:jc w:val="both"/>
        <w:rPr>
          <w:rFonts w:ascii="Times New Roman" w:hAnsi="Times New Roman" w:cs="Times New Roman"/>
          <w:b/>
          <w:bCs/>
          <w:sz w:val="24"/>
          <w:szCs w:val="24"/>
        </w:rPr>
      </w:pPr>
    </w:p>
    <w:p w:rsidR="009B4B0F" w:rsidRPr="009B4B0F" w:rsidRDefault="009B4B0F" w:rsidP="009B4B0F">
      <w:pPr>
        <w:autoSpaceDE w:val="0"/>
        <w:autoSpaceDN w:val="0"/>
        <w:adjustRightInd w:val="0"/>
        <w:spacing w:after="0" w:line="360" w:lineRule="auto"/>
        <w:jc w:val="both"/>
        <w:rPr>
          <w:rFonts w:ascii="Times New Roman" w:hAnsi="Times New Roman" w:cs="Times New Roman"/>
          <w:bCs/>
          <w:sz w:val="24"/>
          <w:szCs w:val="24"/>
        </w:rPr>
      </w:pPr>
      <w:r w:rsidRPr="009B4B0F">
        <w:rPr>
          <w:rFonts w:ascii="Times New Roman" w:hAnsi="Times New Roman" w:cs="Times New Roman"/>
          <w:bCs/>
          <w:sz w:val="24"/>
          <w:szCs w:val="24"/>
        </w:rPr>
        <w:t xml:space="preserve">3. </w:t>
      </w:r>
      <w:r w:rsidRPr="009B4B0F">
        <w:rPr>
          <w:rFonts w:ascii="Times New Roman" w:hAnsi="Times New Roman" w:cs="Times New Roman"/>
          <w:bCs/>
          <w:sz w:val="24"/>
          <w:szCs w:val="24"/>
          <w:u w:val="single"/>
        </w:rPr>
        <w:t>Entrada en vigor</w:t>
      </w:r>
    </w:p>
    <w:p w:rsidR="009B4B0F" w:rsidRPr="009B4B0F" w:rsidRDefault="009B4B0F" w:rsidP="009B4B0F">
      <w:pPr>
        <w:autoSpaceDE w:val="0"/>
        <w:autoSpaceDN w:val="0"/>
        <w:adjustRightInd w:val="0"/>
        <w:spacing w:after="0" w:line="360" w:lineRule="auto"/>
        <w:jc w:val="both"/>
        <w:rPr>
          <w:rFonts w:ascii="Times New Roman" w:hAnsi="Times New Roman" w:cs="Times New Roman"/>
          <w:bCs/>
          <w:sz w:val="24"/>
          <w:szCs w:val="24"/>
        </w:rPr>
      </w:pPr>
    </w:p>
    <w:p w:rsidR="009B4B0F" w:rsidRPr="009B4B0F" w:rsidRDefault="009B4B0F" w:rsidP="009B4B0F">
      <w:pPr>
        <w:autoSpaceDE w:val="0"/>
        <w:autoSpaceDN w:val="0"/>
        <w:adjustRightInd w:val="0"/>
        <w:spacing w:after="0" w:line="360" w:lineRule="auto"/>
        <w:jc w:val="both"/>
        <w:rPr>
          <w:rFonts w:ascii="Times New Roman" w:hAnsi="Times New Roman" w:cs="Times New Roman"/>
          <w:bCs/>
          <w:sz w:val="24"/>
          <w:szCs w:val="24"/>
        </w:rPr>
      </w:pPr>
      <w:r w:rsidRPr="009B4B0F">
        <w:rPr>
          <w:rFonts w:ascii="Times New Roman" w:hAnsi="Times New Roman" w:cs="Times New Roman"/>
          <w:bCs/>
          <w:sz w:val="24"/>
          <w:szCs w:val="24"/>
        </w:rPr>
        <w:t>Salvo las excepciones que figuran en una nota al pie del cuadro, los Convenios y los Protocolos entran en vigor para cada Estado seis meses después de la fecha en el presente documento; para los Estados que hagan una declaración de sucesión, entran en vigor retroactivamente el día de proclamación de la independencia.</w:t>
      </w:r>
    </w:p>
    <w:p w:rsidR="009B4B0F" w:rsidRPr="009B4B0F" w:rsidRDefault="009B4B0F" w:rsidP="009B4B0F">
      <w:pPr>
        <w:autoSpaceDE w:val="0"/>
        <w:autoSpaceDN w:val="0"/>
        <w:adjustRightInd w:val="0"/>
        <w:spacing w:after="0" w:line="360" w:lineRule="auto"/>
        <w:jc w:val="both"/>
        <w:rPr>
          <w:rFonts w:ascii="Times New Roman" w:hAnsi="Times New Roman" w:cs="Times New Roman"/>
          <w:bCs/>
          <w:sz w:val="24"/>
          <w:szCs w:val="24"/>
        </w:rPr>
      </w:pPr>
    </w:p>
    <w:p w:rsidR="009B4B0F" w:rsidRPr="009B4B0F" w:rsidRDefault="009B4B0F" w:rsidP="009B4B0F">
      <w:pPr>
        <w:autoSpaceDE w:val="0"/>
        <w:autoSpaceDN w:val="0"/>
        <w:adjustRightInd w:val="0"/>
        <w:spacing w:after="0" w:line="360" w:lineRule="auto"/>
        <w:jc w:val="both"/>
        <w:rPr>
          <w:rFonts w:ascii="Times New Roman" w:hAnsi="Times New Roman" w:cs="Times New Roman"/>
          <w:bCs/>
          <w:sz w:val="24"/>
          <w:szCs w:val="24"/>
        </w:rPr>
      </w:pPr>
      <w:r w:rsidRPr="009B4B0F">
        <w:rPr>
          <w:rFonts w:ascii="Times New Roman" w:hAnsi="Times New Roman" w:cs="Times New Roman"/>
          <w:bCs/>
          <w:sz w:val="24"/>
          <w:szCs w:val="24"/>
        </w:rPr>
        <w:t>Los Convenios de Ginebra entraron en vigor el 21 de octubre de 1950.</w:t>
      </w:r>
    </w:p>
    <w:p w:rsidR="009B4B0F" w:rsidRPr="009B4B0F" w:rsidRDefault="009B4B0F" w:rsidP="009B4B0F">
      <w:pPr>
        <w:autoSpaceDE w:val="0"/>
        <w:autoSpaceDN w:val="0"/>
        <w:adjustRightInd w:val="0"/>
        <w:spacing w:after="0" w:line="360" w:lineRule="auto"/>
        <w:jc w:val="both"/>
        <w:rPr>
          <w:rFonts w:ascii="Times New Roman" w:hAnsi="Times New Roman" w:cs="Times New Roman"/>
          <w:bCs/>
          <w:sz w:val="24"/>
          <w:szCs w:val="24"/>
        </w:rPr>
      </w:pPr>
      <w:r w:rsidRPr="009B4B0F">
        <w:rPr>
          <w:rFonts w:ascii="Times New Roman" w:hAnsi="Times New Roman" w:cs="Times New Roman"/>
          <w:bCs/>
          <w:sz w:val="24"/>
          <w:szCs w:val="24"/>
        </w:rPr>
        <w:t>Los Protocolos adicionales entraron en vigor el 7 de diciembre de 1978.</w:t>
      </w:r>
    </w:p>
    <w:p w:rsidR="009B4B0F" w:rsidRDefault="009B4B0F" w:rsidP="009B4B0F">
      <w:pPr>
        <w:autoSpaceDE w:val="0"/>
        <w:autoSpaceDN w:val="0"/>
        <w:adjustRightInd w:val="0"/>
        <w:spacing w:after="0" w:line="360" w:lineRule="auto"/>
        <w:rPr>
          <w:rFonts w:ascii="Arial" w:hAnsi="Arial" w:cs="Arial"/>
          <w:b/>
          <w:bCs/>
          <w:sz w:val="24"/>
          <w:szCs w:val="24"/>
        </w:rPr>
      </w:pPr>
      <w:r w:rsidRPr="009B4B0F">
        <w:rPr>
          <w:rFonts w:ascii="Times New Roman" w:hAnsi="Times New Roman" w:cs="Times New Roman"/>
          <w:bCs/>
          <w:sz w:val="24"/>
          <w:szCs w:val="24"/>
        </w:rPr>
        <w:lastRenderedPageBreak/>
        <w:t xml:space="preserve">4. </w:t>
      </w:r>
      <w:r w:rsidRPr="009B4B0F">
        <w:rPr>
          <w:rFonts w:ascii="Times New Roman" w:hAnsi="Times New Roman" w:cs="Times New Roman"/>
          <w:bCs/>
          <w:sz w:val="24"/>
          <w:szCs w:val="24"/>
          <w:u w:val="single"/>
        </w:rPr>
        <w:t>Ratificaciones</w:t>
      </w:r>
      <w:r>
        <w:rPr>
          <w:rFonts w:ascii="Arial" w:hAnsi="Arial" w:cs="Arial"/>
          <w:b/>
          <w:bCs/>
          <w:noProof/>
          <w:sz w:val="24"/>
          <w:szCs w:val="24"/>
        </w:rPr>
        <w:drawing>
          <wp:inline distT="0" distB="0" distL="0" distR="0">
            <wp:extent cx="5612130" cy="5349203"/>
            <wp:effectExtent l="19050" t="0" r="762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612130" cy="5349203"/>
                    </a:xfrm>
                    <a:prstGeom prst="rect">
                      <a:avLst/>
                    </a:prstGeom>
                    <a:noFill/>
                    <a:ln w="9525">
                      <a:noFill/>
                      <a:miter lim="800000"/>
                      <a:headEnd/>
                      <a:tailEnd/>
                    </a:ln>
                  </pic:spPr>
                </pic:pic>
              </a:graphicData>
            </a:graphic>
          </wp:inline>
        </w:drawing>
      </w:r>
      <w:r>
        <w:rPr>
          <w:rFonts w:ascii="Arial" w:hAnsi="Arial" w:cs="Arial"/>
          <w:b/>
          <w:bCs/>
          <w:noProof/>
          <w:sz w:val="24"/>
          <w:szCs w:val="24"/>
        </w:rPr>
        <w:lastRenderedPageBreak/>
        <w:drawing>
          <wp:inline distT="0" distB="0" distL="0" distR="0">
            <wp:extent cx="5612130" cy="7781451"/>
            <wp:effectExtent l="19050" t="0" r="762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5612130" cy="7781451"/>
                    </a:xfrm>
                    <a:prstGeom prst="rect">
                      <a:avLst/>
                    </a:prstGeom>
                    <a:noFill/>
                    <a:ln w="9525">
                      <a:noFill/>
                      <a:miter lim="800000"/>
                      <a:headEnd/>
                      <a:tailEnd/>
                    </a:ln>
                  </pic:spPr>
                </pic:pic>
              </a:graphicData>
            </a:graphic>
          </wp:inline>
        </w:drawing>
      </w:r>
      <w:r>
        <w:rPr>
          <w:rFonts w:ascii="Arial" w:hAnsi="Arial" w:cs="Arial"/>
          <w:b/>
          <w:bCs/>
          <w:noProof/>
          <w:sz w:val="24"/>
          <w:szCs w:val="24"/>
        </w:rPr>
        <w:lastRenderedPageBreak/>
        <w:drawing>
          <wp:inline distT="0" distB="0" distL="0" distR="0">
            <wp:extent cx="5612130" cy="7906789"/>
            <wp:effectExtent l="19050" t="0" r="762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srcRect/>
                    <a:stretch>
                      <a:fillRect/>
                    </a:stretch>
                  </pic:blipFill>
                  <pic:spPr bwMode="auto">
                    <a:xfrm>
                      <a:off x="0" y="0"/>
                      <a:ext cx="5612130" cy="7906789"/>
                    </a:xfrm>
                    <a:prstGeom prst="rect">
                      <a:avLst/>
                    </a:prstGeom>
                    <a:noFill/>
                    <a:ln w="9525">
                      <a:noFill/>
                      <a:miter lim="800000"/>
                      <a:headEnd/>
                      <a:tailEnd/>
                    </a:ln>
                  </pic:spPr>
                </pic:pic>
              </a:graphicData>
            </a:graphic>
          </wp:inline>
        </w:drawing>
      </w:r>
      <w:r>
        <w:rPr>
          <w:rFonts w:ascii="Arial" w:hAnsi="Arial" w:cs="Arial"/>
          <w:b/>
          <w:bCs/>
          <w:noProof/>
          <w:sz w:val="24"/>
          <w:szCs w:val="24"/>
        </w:rPr>
        <w:lastRenderedPageBreak/>
        <w:drawing>
          <wp:inline distT="0" distB="0" distL="0" distR="0">
            <wp:extent cx="5612130" cy="7767956"/>
            <wp:effectExtent l="19050" t="0" r="762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a:stretch>
                      <a:fillRect/>
                    </a:stretch>
                  </pic:blipFill>
                  <pic:spPr bwMode="auto">
                    <a:xfrm>
                      <a:off x="0" y="0"/>
                      <a:ext cx="5612130" cy="7767956"/>
                    </a:xfrm>
                    <a:prstGeom prst="rect">
                      <a:avLst/>
                    </a:prstGeom>
                    <a:noFill/>
                    <a:ln w="9525">
                      <a:noFill/>
                      <a:miter lim="800000"/>
                      <a:headEnd/>
                      <a:tailEnd/>
                    </a:ln>
                  </pic:spPr>
                </pic:pic>
              </a:graphicData>
            </a:graphic>
          </wp:inline>
        </w:drawing>
      </w:r>
      <w:r>
        <w:rPr>
          <w:rFonts w:ascii="Arial" w:hAnsi="Arial" w:cs="Arial"/>
          <w:b/>
          <w:bCs/>
          <w:noProof/>
          <w:sz w:val="24"/>
          <w:szCs w:val="24"/>
        </w:rPr>
        <w:lastRenderedPageBreak/>
        <w:drawing>
          <wp:inline distT="0" distB="0" distL="0" distR="0">
            <wp:extent cx="5612130" cy="6706095"/>
            <wp:effectExtent l="19050" t="0" r="762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srcRect/>
                    <a:stretch>
                      <a:fillRect/>
                    </a:stretch>
                  </pic:blipFill>
                  <pic:spPr bwMode="auto">
                    <a:xfrm>
                      <a:off x="0" y="0"/>
                      <a:ext cx="5612130" cy="6706095"/>
                    </a:xfrm>
                    <a:prstGeom prst="rect">
                      <a:avLst/>
                    </a:prstGeom>
                    <a:noFill/>
                    <a:ln w="9525">
                      <a:noFill/>
                      <a:miter lim="800000"/>
                      <a:headEnd/>
                      <a:tailEnd/>
                    </a:ln>
                  </pic:spPr>
                </pic:pic>
              </a:graphicData>
            </a:graphic>
          </wp:inline>
        </w:drawing>
      </w:r>
    </w:p>
    <w:p w:rsidR="009B4B0F" w:rsidRPr="009B4B0F" w:rsidRDefault="009B4B0F" w:rsidP="009B4B0F">
      <w:pPr>
        <w:autoSpaceDE w:val="0"/>
        <w:autoSpaceDN w:val="0"/>
        <w:adjustRightInd w:val="0"/>
        <w:spacing w:after="0" w:line="240" w:lineRule="auto"/>
        <w:rPr>
          <w:rFonts w:ascii="Times New Roman" w:hAnsi="Times New Roman" w:cs="Times New Roman"/>
          <w:bCs/>
          <w:sz w:val="24"/>
          <w:szCs w:val="24"/>
        </w:rPr>
      </w:pPr>
      <w:r w:rsidRPr="009B4B0F">
        <w:rPr>
          <w:rFonts w:ascii="Times New Roman" w:hAnsi="Times New Roman" w:cs="Times New Roman"/>
          <w:bCs/>
          <w:sz w:val="24"/>
          <w:szCs w:val="24"/>
        </w:rPr>
        <w:t xml:space="preserve">5.- </w:t>
      </w:r>
      <w:r>
        <w:rPr>
          <w:rFonts w:ascii="Times New Roman" w:hAnsi="Times New Roman" w:cs="Times New Roman"/>
          <w:bCs/>
          <w:sz w:val="24"/>
          <w:szCs w:val="24"/>
        </w:rPr>
        <w:t>T</w:t>
      </w:r>
      <w:r w:rsidRPr="009B4B0F">
        <w:rPr>
          <w:rFonts w:ascii="Times New Roman" w:hAnsi="Times New Roman" w:cs="Times New Roman"/>
          <w:bCs/>
          <w:sz w:val="24"/>
          <w:szCs w:val="24"/>
          <w:u w:val="single"/>
        </w:rPr>
        <w:t>otales</w:t>
      </w:r>
    </w:p>
    <w:p w:rsidR="009B4B0F" w:rsidRPr="009B4B0F" w:rsidRDefault="009B4B0F" w:rsidP="009B4B0F">
      <w:pPr>
        <w:autoSpaceDE w:val="0"/>
        <w:autoSpaceDN w:val="0"/>
        <w:adjustRightInd w:val="0"/>
        <w:spacing w:after="0" w:line="240" w:lineRule="auto"/>
        <w:rPr>
          <w:rFonts w:ascii="Times New Roman" w:hAnsi="Times New Roman" w:cs="Times New Roman"/>
          <w:b/>
          <w:bCs/>
          <w:sz w:val="24"/>
          <w:szCs w:val="24"/>
        </w:rPr>
      </w:pPr>
    </w:p>
    <w:p w:rsidR="009B4B0F" w:rsidRPr="009B4B0F" w:rsidRDefault="009B4B0F" w:rsidP="009B4B0F">
      <w:pPr>
        <w:autoSpaceDE w:val="0"/>
        <w:autoSpaceDN w:val="0"/>
        <w:adjustRightInd w:val="0"/>
        <w:spacing w:after="0" w:line="240" w:lineRule="auto"/>
        <w:rPr>
          <w:rFonts w:ascii="Times New Roman" w:hAnsi="Times New Roman" w:cs="Times New Roman"/>
          <w:bCs/>
          <w:sz w:val="24"/>
          <w:szCs w:val="24"/>
        </w:rPr>
      </w:pPr>
      <w:r w:rsidRPr="009B4B0F">
        <w:rPr>
          <w:rFonts w:ascii="Times New Roman" w:hAnsi="Times New Roman" w:cs="Times New Roman"/>
          <w:bCs/>
          <w:sz w:val="24"/>
          <w:szCs w:val="24"/>
        </w:rPr>
        <w:t>Número de Estados partes a los Convenios de Ginebra de 1949: 192</w:t>
      </w:r>
    </w:p>
    <w:p w:rsidR="009B4B0F" w:rsidRPr="009B4B0F" w:rsidRDefault="009B4B0F" w:rsidP="009B4B0F">
      <w:pPr>
        <w:autoSpaceDE w:val="0"/>
        <w:autoSpaceDN w:val="0"/>
        <w:adjustRightInd w:val="0"/>
        <w:spacing w:after="0" w:line="240" w:lineRule="auto"/>
        <w:rPr>
          <w:rFonts w:ascii="Times New Roman" w:hAnsi="Times New Roman" w:cs="Times New Roman"/>
          <w:bCs/>
          <w:sz w:val="24"/>
          <w:szCs w:val="24"/>
        </w:rPr>
      </w:pPr>
      <w:r w:rsidRPr="009B4B0F">
        <w:rPr>
          <w:rFonts w:ascii="Times New Roman" w:hAnsi="Times New Roman" w:cs="Times New Roman"/>
          <w:bCs/>
          <w:sz w:val="24"/>
          <w:szCs w:val="24"/>
        </w:rPr>
        <w:t>Número de Estados partes al Protocolo adicional I: 163</w:t>
      </w:r>
    </w:p>
    <w:p w:rsidR="009B4B0F" w:rsidRPr="009B4B0F" w:rsidRDefault="009B4B0F" w:rsidP="009B4B0F">
      <w:pPr>
        <w:autoSpaceDE w:val="0"/>
        <w:autoSpaceDN w:val="0"/>
        <w:adjustRightInd w:val="0"/>
        <w:spacing w:after="0" w:line="240" w:lineRule="auto"/>
        <w:rPr>
          <w:rFonts w:ascii="Times New Roman" w:hAnsi="Times New Roman" w:cs="Times New Roman"/>
          <w:bCs/>
          <w:sz w:val="24"/>
          <w:szCs w:val="24"/>
        </w:rPr>
      </w:pPr>
      <w:r w:rsidRPr="009B4B0F">
        <w:rPr>
          <w:rFonts w:ascii="Times New Roman" w:hAnsi="Times New Roman" w:cs="Times New Roman"/>
          <w:bCs/>
          <w:sz w:val="24"/>
          <w:szCs w:val="24"/>
        </w:rPr>
        <w:t>Número de Estados que han hecho la declaración del artículo 90: 68</w:t>
      </w:r>
    </w:p>
    <w:p w:rsidR="009B4B0F" w:rsidRPr="009B4B0F" w:rsidRDefault="009B4B0F" w:rsidP="009B4B0F">
      <w:pPr>
        <w:autoSpaceDE w:val="0"/>
        <w:autoSpaceDN w:val="0"/>
        <w:adjustRightInd w:val="0"/>
        <w:spacing w:after="0" w:line="240" w:lineRule="auto"/>
        <w:rPr>
          <w:rFonts w:ascii="Times New Roman" w:hAnsi="Times New Roman" w:cs="Times New Roman"/>
          <w:bCs/>
          <w:sz w:val="24"/>
          <w:szCs w:val="24"/>
        </w:rPr>
      </w:pPr>
      <w:r w:rsidRPr="009B4B0F">
        <w:rPr>
          <w:rFonts w:ascii="Times New Roman" w:hAnsi="Times New Roman" w:cs="Times New Roman"/>
          <w:bCs/>
          <w:sz w:val="24"/>
          <w:szCs w:val="24"/>
        </w:rPr>
        <w:t>Número de Estados partes al Protocolo adicional II: 159</w:t>
      </w:r>
    </w:p>
    <w:p w:rsidR="009B4B0F" w:rsidRPr="009B4B0F" w:rsidRDefault="009B4B0F" w:rsidP="009B4B0F">
      <w:pPr>
        <w:autoSpaceDE w:val="0"/>
        <w:autoSpaceDN w:val="0"/>
        <w:adjustRightInd w:val="0"/>
        <w:spacing w:after="0" w:line="240" w:lineRule="auto"/>
        <w:rPr>
          <w:rFonts w:ascii="Times New Roman" w:hAnsi="Times New Roman" w:cs="Times New Roman"/>
          <w:bCs/>
          <w:sz w:val="24"/>
          <w:szCs w:val="24"/>
        </w:rPr>
      </w:pPr>
      <w:r w:rsidRPr="009B4B0F">
        <w:rPr>
          <w:rFonts w:ascii="Times New Roman" w:hAnsi="Times New Roman" w:cs="Times New Roman"/>
          <w:bCs/>
          <w:sz w:val="24"/>
          <w:szCs w:val="24"/>
        </w:rPr>
        <w:t>Número de Estados miembros de las Naciones Unidas: 191</w:t>
      </w:r>
    </w:p>
    <w:p w:rsidR="009B4B0F" w:rsidRDefault="009B4B0F" w:rsidP="009B4B0F">
      <w:pPr>
        <w:spacing w:line="360" w:lineRule="auto"/>
        <w:ind w:left="360"/>
        <w:jc w:val="center"/>
        <w:rPr>
          <w:rFonts w:ascii="Times New Roman" w:hAnsi="Times New Roman" w:cs="Times New Roman"/>
          <w:sz w:val="24"/>
          <w:szCs w:val="24"/>
        </w:rPr>
      </w:pPr>
    </w:p>
    <w:p w:rsidR="00476D14" w:rsidRDefault="00476D14" w:rsidP="009B4B0F">
      <w:pPr>
        <w:spacing w:line="360" w:lineRule="auto"/>
        <w:ind w:left="360"/>
        <w:jc w:val="center"/>
        <w:rPr>
          <w:rFonts w:ascii="Times New Roman" w:hAnsi="Times New Roman" w:cs="Times New Roman"/>
          <w:sz w:val="24"/>
          <w:szCs w:val="24"/>
        </w:rPr>
      </w:pPr>
    </w:p>
    <w:p w:rsidR="00476D14" w:rsidRDefault="00462619" w:rsidP="009B4B0F">
      <w:pPr>
        <w:spacing w:line="360" w:lineRule="auto"/>
        <w:ind w:left="360"/>
        <w:jc w:val="center"/>
        <w:rPr>
          <w:rFonts w:ascii="Times New Roman" w:hAnsi="Times New Roman" w:cs="Times New Roman"/>
          <w:b/>
          <w:sz w:val="24"/>
          <w:szCs w:val="24"/>
        </w:rPr>
      </w:pPr>
      <w:r>
        <w:rPr>
          <w:rFonts w:ascii="Times New Roman" w:hAnsi="Times New Roman" w:cs="Times New Roman"/>
          <w:b/>
          <w:sz w:val="24"/>
          <w:szCs w:val="24"/>
        </w:rPr>
        <w:lastRenderedPageBreak/>
        <w:t>A</w:t>
      </w:r>
      <w:r w:rsidR="00476D14">
        <w:rPr>
          <w:rFonts w:ascii="Times New Roman" w:hAnsi="Times New Roman" w:cs="Times New Roman"/>
          <w:b/>
          <w:sz w:val="24"/>
          <w:szCs w:val="24"/>
        </w:rPr>
        <w:t>PÉNDICE II</w:t>
      </w:r>
    </w:p>
    <w:p w:rsidR="00462619" w:rsidRPr="00462619" w:rsidRDefault="00462619" w:rsidP="00462619">
      <w:pPr>
        <w:spacing w:before="100" w:beforeAutospacing="1" w:after="100" w:afterAutospacing="1" w:line="240" w:lineRule="auto"/>
        <w:jc w:val="center"/>
        <w:outlineLvl w:val="0"/>
        <w:rPr>
          <w:rFonts w:ascii="Times New Roman" w:eastAsia="Times New Roman" w:hAnsi="Times New Roman" w:cs="Times New Roman"/>
          <w:b/>
          <w:bCs/>
          <w:kern w:val="36"/>
          <w:sz w:val="24"/>
          <w:szCs w:val="24"/>
          <w:lang w:eastAsia="es-EC"/>
        </w:rPr>
      </w:pPr>
      <w:r w:rsidRPr="00462619">
        <w:rPr>
          <w:rFonts w:ascii="Times New Roman" w:eastAsia="Times New Roman" w:hAnsi="Times New Roman" w:cs="Times New Roman"/>
          <w:b/>
          <w:bCs/>
          <w:kern w:val="36"/>
          <w:sz w:val="24"/>
          <w:szCs w:val="24"/>
          <w:lang w:eastAsia="es-EC"/>
        </w:rPr>
        <w:t>Acusados por el Tribunal Penal Internacional para la ex Yugoslavia</w:t>
      </w:r>
    </w:p>
    <w:p w:rsidR="00462619" w:rsidRPr="00462619" w:rsidRDefault="00462619" w:rsidP="00462619">
      <w:pPr>
        <w:spacing w:before="100" w:beforeAutospacing="1" w:after="100" w:afterAutospacing="1" w:line="240" w:lineRule="auto"/>
        <w:jc w:val="both"/>
        <w:outlineLvl w:val="0"/>
        <w:rPr>
          <w:rFonts w:ascii="Times New Roman" w:eastAsia="Times New Roman" w:hAnsi="Times New Roman" w:cs="Times New Roman"/>
          <w:bCs/>
          <w:kern w:val="36"/>
          <w:sz w:val="24"/>
          <w:szCs w:val="24"/>
          <w:lang w:eastAsia="es-EC"/>
        </w:rPr>
      </w:pPr>
      <w:r w:rsidRPr="00462619">
        <w:rPr>
          <w:rFonts w:ascii="Times New Roman" w:eastAsia="Times New Roman" w:hAnsi="Times New Roman" w:cs="Times New Roman"/>
          <w:bCs/>
          <w:kern w:val="36"/>
          <w:sz w:val="24"/>
          <w:szCs w:val="24"/>
          <w:lang w:eastAsia="es-EC"/>
        </w:rPr>
        <w:t xml:space="preserve">Listado de acusados por el Tribunal Penal Internacional para la ex Yugoslavia (TPIY), junto con su origen étnico, rango u ocupación, detalles de los cargos imputados y disposición de sus casos. El 20 de julio de 2011 fue capturado el último acusado en libertad, el antiguo líder de los serbios de Krajina, </w:t>
      </w:r>
      <w:proofErr w:type="spellStart"/>
      <w:r w:rsidRPr="00462619">
        <w:rPr>
          <w:rFonts w:ascii="Times New Roman" w:eastAsia="Times New Roman" w:hAnsi="Times New Roman" w:cs="Times New Roman"/>
          <w:bCs/>
          <w:kern w:val="36"/>
          <w:sz w:val="24"/>
          <w:szCs w:val="24"/>
          <w:lang w:eastAsia="es-EC"/>
        </w:rPr>
        <w:t>Goran</w:t>
      </w:r>
      <w:proofErr w:type="spellEnd"/>
      <w:r w:rsidRPr="00462619">
        <w:rPr>
          <w:rFonts w:ascii="Times New Roman" w:eastAsia="Times New Roman" w:hAnsi="Times New Roman" w:cs="Times New Roman"/>
          <w:bCs/>
          <w:kern w:val="36"/>
          <w:sz w:val="24"/>
          <w:szCs w:val="24"/>
          <w:lang w:eastAsia="es-EC"/>
        </w:rPr>
        <w:t xml:space="preserve"> </w:t>
      </w:r>
      <w:proofErr w:type="spellStart"/>
      <w:r w:rsidRPr="00462619">
        <w:rPr>
          <w:rFonts w:ascii="Times New Roman" w:eastAsia="Times New Roman" w:hAnsi="Times New Roman" w:cs="Times New Roman"/>
          <w:bCs/>
          <w:kern w:val="36"/>
          <w:sz w:val="24"/>
          <w:szCs w:val="24"/>
          <w:lang w:eastAsia="es-EC"/>
        </w:rPr>
        <w:t>Hadžić</w:t>
      </w:r>
      <w:proofErr w:type="spellEnd"/>
      <w:r w:rsidRPr="00462619">
        <w:rPr>
          <w:rFonts w:ascii="Times New Roman" w:eastAsia="Times New Roman" w:hAnsi="Times New Roman" w:cs="Times New Roman"/>
          <w:bCs/>
          <w:kern w:val="36"/>
          <w:sz w:val="24"/>
          <w:szCs w:val="24"/>
          <w:lang w:eastAsia="es-EC"/>
        </w:rPr>
        <w:t>.</w:t>
      </w:r>
    </w:p>
    <w:tbl>
      <w:tblPr>
        <w:tblW w:w="0" w:type="auto"/>
        <w:tblCellSpacing w:w="1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top w:w="15" w:type="dxa"/>
          <w:left w:w="15" w:type="dxa"/>
          <w:bottom w:w="15" w:type="dxa"/>
          <w:right w:w="15" w:type="dxa"/>
        </w:tblCellMar>
        <w:tblLook w:val="04A0" w:firstRow="1" w:lastRow="0" w:firstColumn="1" w:lastColumn="0" w:noHBand="0" w:noVBand="1"/>
      </w:tblPr>
      <w:tblGrid>
        <w:gridCol w:w="2189"/>
        <w:gridCol w:w="1787"/>
        <w:gridCol w:w="2851"/>
        <w:gridCol w:w="1787"/>
      </w:tblGrid>
      <w:tr w:rsidR="00462619" w:rsidRPr="00561363" w:rsidTr="008B427A">
        <w:trPr>
          <w:tblHeader/>
          <w:tblCellSpacing w:w="15" w:type="dxa"/>
        </w:trPr>
        <w:tc>
          <w:tcPr>
            <w:tcW w:w="2144" w:type="dxa"/>
            <w:vAlign w:val="center"/>
            <w:hideMark/>
          </w:tcPr>
          <w:p w:rsidR="00462619" w:rsidRPr="00561363" w:rsidRDefault="00462619" w:rsidP="008B427A">
            <w:pPr>
              <w:spacing w:after="0" w:line="240" w:lineRule="auto"/>
              <w:jc w:val="center"/>
              <w:rPr>
                <w:rFonts w:eastAsia="Times New Roman" w:cstheme="minorHAnsi"/>
                <w:b/>
                <w:bCs/>
                <w:sz w:val="20"/>
                <w:szCs w:val="20"/>
                <w:lang w:eastAsia="es-EC"/>
              </w:rPr>
            </w:pPr>
            <w:r w:rsidRPr="00561363">
              <w:rPr>
                <w:rFonts w:eastAsia="Times New Roman" w:cstheme="minorHAnsi"/>
                <w:b/>
                <w:bCs/>
                <w:sz w:val="20"/>
                <w:szCs w:val="20"/>
                <w:lang w:eastAsia="es-EC"/>
              </w:rPr>
              <w:t>Nombre</w:t>
            </w:r>
          </w:p>
        </w:tc>
        <w:tc>
          <w:tcPr>
            <w:tcW w:w="0" w:type="auto"/>
            <w:vAlign w:val="center"/>
            <w:hideMark/>
          </w:tcPr>
          <w:p w:rsidR="00462619" w:rsidRPr="00561363" w:rsidRDefault="00462619" w:rsidP="008B427A">
            <w:pPr>
              <w:spacing w:after="0" w:line="240" w:lineRule="auto"/>
              <w:jc w:val="center"/>
              <w:rPr>
                <w:rFonts w:eastAsia="Times New Roman" w:cstheme="minorHAnsi"/>
                <w:b/>
                <w:bCs/>
                <w:sz w:val="20"/>
                <w:szCs w:val="20"/>
                <w:lang w:eastAsia="es-EC"/>
              </w:rPr>
            </w:pPr>
            <w:r w:rsidRPr="00561363">
              <w:rPr>
                <w:rFonts w:eastAsia="Times New Roman" w:cstheme="minorHAnsi"/>
                <w:b/>
                <w:bCs/>
                <w:sz w:val="20"/>
                <w:szCs w:val="20"/>
                <w:lang w:eastAsia="es-EC"/>
              </w:rPr>
              <w:t>Etnia</w:t>
            </w:r>
            <w:r w:rsidRPr="00561363">
              <w:rPr>
                <w:rFonts w:eastAsia="Times New Roman" w:cstheme="minorHAnsi"/>
                <w:b/>
                <w:bCs/>
                <w:sz w:val="20"/>
                <w:szCs w:val="20"/>
                <w:lang w:eastAsia="es-EC"/>
              </w:rPr>
              <w:br/>
              <w:t>Antiguo rango u ocupación</w:t>
            </w:r>
          </w:p>
        </w:tc>
        <w:tc>
          <w:tcPr>
            <w:tcW w:w="0" w:type="auto"/>
            <w:vAlign w:val="center"/>
            <w:hideMark/>
          </w:tcPr>
          <w:p w:rsidR="00462619" w:rsidRPr="00561363" w:rsidRDefault="00462619" w:rsidP="008B427A">
            <w:pPr>
              <w:spacing w:after="0" w:line="240" w:lineRule="auto"/>
              <w:jc w:val="center"/>
              <w:rPr>
                <w:rFonts w:eastAsia="Times New Roman" w:cstheme="minorHAnsi"/>
                <w:b/>
                <w:bCs/>
                <w:sz w:val="20"/>
                <w:szCs w:val="20"/>
                <w:lang w:eastAsia="es-EC"/>
              </w:rPr>
            </w:pPr>
            <w:r w:rsidRPr="00561363">
              <w:rPr>
                <w:rFonts w:eastAsia="Times New Roman" w:cstheme="minorHAnsi"/>
                <w:b/>
                <w:bCs/>
                <w:sz w:val="20"/>
                <w:szCs w:val="20"/>
                <w:lang w:eastAsia="es-EC"/>
              </w:rPr>
              <w:t>Acusación</w:t>
            </w:r>
          </w:p>
        </w:tc>
        <w:tc>
          <w:tcPr>
            <w:tcW w:w="0" w:type="auto"/>
            <w:vAlign w:val="center"/>
            <w:hideMark/>
          </w:tcPr>
          <w:p w:rsidR="00462619" w:rsidRPr="00561363" w:rsidRDefault="00462619" w:rsidP="008B427A">
            <w:pPr>
              <w:spacing w:after="0" w:line="240" w:lineRule="auto"/>
              <w:jc w:val="center"/>
              <w:rPr>
                <w:rFonts w:eastAsia="Times New Roman" w:cstheme="minorHAnsi"/>
                <w:b/>
                <w:bCs/>
                <w:sz w:val="20"/>
                <w:szCs w:val="20"/>
                <w:lang w:eastAsia="es-EC"/>
              </w:rPr>
            </w:pPr>
            <w:r w:rsidRPr="00561363">
              <w:rPr>
                <w:rFonts w:eastAsia="Times New Roman" w:cstheme="minorHAnsi"/>
                <w:b/>
                <w:bCs/>
                <w:sz w:val="20"/>
                <w:szCs w:val="20"/>
                <w:lang w:eastAsia="es-EC"/>
              </w:rPr>
              <w:t>Disposición</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5" w:tooltip="Rahim Ademi (aún no redactado)" w:history="1">
              <w:proofErr w:type="spellStart"/>
              <w:r w:rsidR="00462619" w:rsidRPr="00561363">
                <w:rPr>
                  <w:rFonts w:eastAsia="Times New Roman" w:cstheme="minorHAnsi"/>
                  <w:sz w:val="20"/>
                  <w:szCs w:val="20"/>
                  <w:lang w:eastAsia="es-EC"/>
                </w:rPr>
                <w:t>Rahim</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Ademi</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Albano-kosovar, General del </w:t>
            </w:r>
            <w:hyperlink r:id="rId16" w:tooltip="Fuerzas Armadas de Croacia" w:history="1">
              <w:r w:rsidRPr="00561363">
                <w:rPr>
                  <w:rFonts w:eastAsia="Times New Roman" w:cstheme="minorHAnsi"/>
                  <w:sz w:val="20"/>
                  <w:szCs w:val="20"/>
                  <w:lang w:eastAsia="es-EC"/>
                </w:rPr>
                <w:t>ejército croata</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Operaciones en el enclave de </w:t>
            </w:r>
            <w:proofErr w:type="spellStart"/>
            <w:r w:rsidRPr="00561363">
              <w:rPr>
                <w:rFonts w:eastAsia="Times New Roman" w:cstheme="minorHAnsi"/>
                <w:sz w:val="20"/>
                <w:szCs w:val="20"/>
                <w:lang w:eastAsia="es-EC"/>
              </w:rPr>
              <w:t>Medak</w:t>
            </w:r>
            <w:proofErr w:type="spellEnd"/>
            <w:r w:rsidRPr="00561363">
              <w:rPr>
                <w:rFonts w:eastAsia="Times New Roman" w:cstheme="minorHAnsi"/>
                <w:sz w:val="20"/>
                <w:szCs w:val="20"/>
                <w:lang w:eastAsia="es-EC"/>
              </w:rPr>
              <w:t xml:space="preserve"> de Krajina, </w:t>
            </w:r>
            <w:hyperlink r:id="rId17" w:tooltip="Croacia" w:history="1">
              <w:r w:rsidRPr="00561363">
                <w:rPr>
                  <w:rFonts w:eastAsia="Times New Roman" w:cstheme="minorHAnsi"/>
                  <w:sz w:val="20"/>
                  <w:szCs w:val="20"/>
                  <w:lang w:eastAsia="es-EC"/>
                </w:rPr>
                <w:t>Croacia</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Caso transferido a los tribunales croatas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8" w:tooltip="Mehmed Alagić (aún no redactado)" w:history="1">
              <w:proofErr w:type="spellStart"/>
              <w:r w:rsidR="00462619" w:rsidRPr="00561363">
                <w:rPr>
                  <w:rFonts w:eastAsia="Times New Roman" w:cstheme="minorHAnsi"/>
                  <w:sz w:val="20"/>
                  <w:szCs w:val="20"/>
                  <w:lang w:eastAsia="es-EC"/>
                </w:rPr>
                <w:t>Mehmed</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Alagić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Bosníaco, Comandante del 7º cuerpo del </w:t>
            </w:r>
            <w:hyperlink r:id="rId19" w:tooltip="Ejército de la República de Bosnia y Herzegovina" w:history="1">
              <w:r w:rsidRPr="00561363">
                <w:rPr>
                  <w:rFonts w:eastAsia="Times New Roman" w:cstheme="minorHAnsi"/>
                  <w:sz w:val="20"/>
                  <w:szCs w:val="20"/>
                  <w:lang w:eastAsia="es-EC"/>
                </w:rPr>
                <w:t>Ejército de la República de Bosnia y Herzegovina</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Acciones </w:t>
            </w:r>
            <w:hyperlink r:id="rId20" w:tooltip="Muyahidin" w:history="1">
              <w:r w:rsidRPr="00561363">
                <w:rPr>
                  <w:rFonts w:eastAsia="Times New Roman" w:cstheme="minorHAnsi"/>
                  <w:sz w:val="20"/>
                  <w:szCs w:val="20"/>
                  <w:lang w:eastAsia="es-EC"/>
                </w:rPr>
                <w:t>muyahidines</w:t>
              </w:r>
            </w:hyperlink>
            <w:r w:rsidRPr="00561363">
              <w:rPr>
                <w:rFonts w:eastAsia="Times New Roman" w:cstheme="minorHAnsi"/>
                <w:sz w:val="20"/>
                <w:szCs w:val="20"/>
                <w:lang w:eastAsia="es-EC"/>
              </w:rPr>
              <w:t xml:space="preserve"> en Bosnia Central</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Murió en libertad condicional antes de la resolución de su caso</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1" w:tooltip="Zlatko Aleksovski (aún no redactado)" w:history="1">
              <w:proofErr w:type="spellStart"/>
              <w:r w:rsidR="00462619" w:rsidRPr="00561363">
                <w:rPr>
                  <w:rFonts w:eastAsia="Times New Roman" w:cstheme="minorHAnsi"/>
                  <w:sz w:val="20"/>
                  <w:szCs w:val="20"/>
                  <w:lang w:eastAsia="es-EC"/>
                </w:rPr>
                <w:t>Zlatko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Aleksovski</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roofErr w:type="spellStart"/>
            <w:r w:rsidRPr="00561363">
              <w:rPr>
                <w:rFonts w:eastAsia="Times New Roman" w:cstheme="minorHAnsi"/>
                <w:sz w:val="20"/>
                <w:szCs w:val="20"/>
                <w:lang w:eastAsia="es-EC"/>
              </w:rPr>
              <w:t>Bosniocroata</w:t>
            </w:r>
            <w:proofErr w:type="spellEnd"/>
            <w:r w:rsidRPr="00561363">
              <w:rPr>
                <w:rFonts w:eastAsia="Times New Roman" w:cstheme="minorHAnsi"/>
                <w:sz w:val="20"/>
                <w:szCs w:val="20"/>
                <w:lang w:eastAsia="es-EC"/>
              </w:rPr>
              <w:t>, Comandante de prisión</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Tratamiento ilegal de los detenidos en la zona del valle del </w:t>
            </w:r>
            <w:proofErr w:type="spellStart"/>
            <w:r w:rsidRPr="00561363">
              <w:rPr>
                <w:rFonts w:eastAsia="Times New Roman" w:cstheme="minorHAnsi"/>
                <w:sz w:val="20"/>
                <w:szCs w:val="20"/>
                <w:lang w:eastAsia="es-EC"/>
              </w:rPr>
              <w:t>Lašva</w:t>
            </w:r>
            <w:proofErr w:type="spellEnd"/>
            <w:r w:rsidRPr="00561363">
              <w:rPr>
                <w:rFonts w:eastAsia="Times New Roman" w:cstheme="minorHAnsi"/>
                <w:sz w:val="20"/>
                <w:szCs w:val="20"/>
                <w:lang w:eastAsia="es-EC"/>
              </w:rPr>
              <w:t>, en Bosnia y Herzegovina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a 7 años, libertad anticipada concedida</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2" w:tooltip="Stipo Alilović (aún no redactado)" w:history="1">
              <w:proofErr w:type="spellStart"/>
              <w:r w:rsidR="00462619" w:rsidRPr="00561363">
                <w:rPr>
                  <w:rFonts w:eastAsia="Times New Roman" w:cstheme="minorHAnsi"/>
                  <w:sz w:val="20"/>
                  <w:szCs w:val="20"/>
                  <w:lang w:eastAsia="es-EC"/>
                </w:rPr>
                <w:t>Stipo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Alilović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roofErr w:type="spellStart"/>
            <w:r w:rsidRPr="00561363">
              <w:rPr>
                <w:rFonts w:eastAsia="Times New Roman" w:cstheme="minorHAnsi"/>
                <w:sz w:val="20"/>
                <w:szCs w:val="20"/>
                <w:lang w:eastAsia="es-EC"/>
              </w:rPr>
              <w:t>Bosniocroata</w:t>
            </w:r>
            <w:proofErr w:type="spellEnd"/>
            <w:r w:rsidRPr="00561363">
              <w:rPr>
                <w:rFonts w:eastAsia="Times New Roman" w:cstheme="minorHAnsi"/>
                <w:sz w:val="20"/>
                <w:szCs w:val="20"/>
                <w:lang w:eastAsia="es-EC"/>
              </w:rPr>
              <w:t>, soldado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Asesinato y destrucción injustificada en el Valle del </w:t>
            </w:r>
            <w:proofErr w:type="spellStart"/>
            <w:r w:rsidRPr="00561363">
              <w:rPr>
                <w:rFonts w:eastAsia="Times New Roman" w:cstheme="minorHAnsi"/>
                <w:sz w:val="20"/>
                <w:szCs w:val="20"/>
                <w:lang w:eastAsia="es-EC"/>
              </w:rPr>
              <w:t>Lašva</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 retiró la acusación tras la noticia de su muerte</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3" w:tooltip="Milan Babić" w:history="1">
              <w:proofErr w:type="spellStart"/>
              <w:r w:rsidR="00462619" w:rsidRPr="00561363">
                <w:rPr>
                  <w:rFonts w:eastAsia="Times New Roman" w:cstheme="minorHAnsi"/>
                  <w:sz w:val="20"/>
                  <w:szCs w:val="20"/>
                  <w:lang w:eastAsia="es-EC"/>
                </w:rPr>
                <w:t>Milan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Babić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Serbocroata, Primer Ministro de la </w:t>
            </w:r>
            <w:hyperlink r:id="rId24" w:tooltip="República Serbia de Krajina" w:history="1">
              <w:r w:rsidRPr="00561363">
                <w:rPr>
                  <w:rFonts w:eastAsia="Times New Roman" w:cstheme="minorHAnsi"/>
                  <w:sz w:val="20"/>
                  <w:szCs w:val="20"/>
                  <w:lang w:eastAsia="es-EC"/>
                </w:rPr>
                <w:t>República Serbia de Krajina</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Participación en la </w:t>
            </w:r>
            <w:hyperlink r:id="rId25" w:tooltip="Limpieza étnica" w:history="1">
              <w:r w:rsidRPr="00561363">
                <w:rPr>
                  <w:rFonts w:eastAsia="Times New Roman" w:cstheme="minorHAnsi"/>
                  <w:sz w:val="20"/>
                  <w:szCs w:val="20"/>
                  <w:lang w:eastAsia="es-EC"/>
                </w:rPr>
                <w:t>limpieza étnica</w:t>
              </w:r>
            </w:hyperlink>
            <w:r w:rsidRPr="00561363">
              <w:rPr>
                <w:rFonts w:eastAsia="Times New Roman" w:cstheme="minorHAnsi"/>
                <w:sz w:val="20"/>
                <w:szCs w:val="20"/>
                <w:lang w:eastAsia="es-EC"/>
              </w:rPr>
              <w:t xml:space="preserve"> en Croacia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13 años, se suicidó en su celda en marzo de 2006</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6" w:tooltip="Mirko Babić (aún no redactado)" w:history="1">
              <w:proofErr w:type="spellStart"/>
              <w:r w:rsidR="00462619" w:rsidRPr="00561363">
                <w:rPr>
                  <w:rFonts w:eastAsia="Times New Roman" w:cstheme="minorHAnsi"/>
                  <w:sz w:val="20"/>
                  <w:szCs w:val="20"/>
                  <w:lang w:eastAsia="es-EC"/>
                </w:rPr>
                <w:t>Mirko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Babić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Violaciones en el Campo de </w:t>
            </w:r>
            <w:proofErr w:type="spellStart"/>
            <w:r w:rsidRPr="00561363">
              <w:rPr>
                <w:rFonts w:eastAsia="Times New Roman" w:cstheme="minorHAnsi"/>
                <w:sz w:val="20"/>
                <w:szCs w:val="20"/>
                <w:lang w:eastAsia="es-EC"/>
              </w:rPr>
              <w:t>Omarska</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Acusación retirada</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7" w:tooltip="Haradin Bala" w:history="1">
              <w:proofErr w:type="spellStart"/>
              <w:r w:rsidR="00462619" w:rsidRPr="00561363">
                <w:rPr>
                  <w:rFonts w:eastAsia="Times New Roman" w:cstheme="minorHAnsi"/>
                  <w:sz w:val="20"/>
                  <w:szCs w:val="20"/>
                  <w:lang w:eastAsia="es-EC"/>
                </w:rPr>
                <w:t>Haradin</w:t>
              </w:r>
              <w:proofErr w:type="spellEnd"/>
              <w:r w:rsidR="00462619" w:rsidRPr="00561363">
                <w:rPr>
                  <w:rFonts w:eastAsia="Times New Roman" w:cstheme="minorHAnsi"/>
                  <w:sz w:val="20"/>
                  <w:szCs w:val="20"/>
                  <w:lang w:eastAsia="es-EC"/>
                </w:rPr>
                <w:t xml:space="preserve"> Bala</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Albano-kosovar, </w:t>
            </w:r>
            <w:hyperlink r:id="rId28" w:tooltip="Ejército de Liberación de Kosovo" w:history="1">
              <w:r w:rsidRPr="00561363">
                <w:rPr>
                  <w:rFonts w:eastAsia="Times New Roman" w:cstheme="minorHAnsi"/>
                  <w:sz w:val="20"/>
                  <w:szCs w:val="20"/>
                  <w:lang w:eastAsia="es-EC"/>
                </w:rPr>
                <w:t>Ejército de Liberación de Kosovo</w:t>
              </w:r>
            </w:hyperlink>
            <w:r w:rsidRPr="00561363">
              <w:rPr>
                <w:rFonts w:eastAsia="Times New Roman" w:cstheme="minorHAnsi"/>
                <w:sz w:val="20"/>
                <w:szCs w:val="20"/>
                <w:lang w:eastAsia="es-EC"/>
              </w:rPr>
              <w:t xml:space="preserve"> (UÇK), guardia de prisión</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Participación directa en asesinatos de serbios en las Montañas </w:t>
            </w:r>
            <w:proofErr w:type="spellStart"/>
            <w:r w:rsidRPr="00561363">
              <w:rPr>
                <w:rFonts w:eastAsia="Times New Roman" w:cstheme="minorHAnsi"/>
                <w:sz w:val="20"/>
                <w:szCs w:val="20"/>
                <w:lang w:eastAsia="es-EC"/>
              </w:rPr>
              <w:t>Bersisha</w:t>
            </w:r>
            <w:proofErr w:type="spellEnd"/>
            <w:r w:rsidRPr="00561363">
              <w:rPr>
                <w:rFonts w:eastAsia="Times New Roman" w:cstheme="minorHAnsi"/>
                <w:sz w:val="20"/>
                <w:szCs w:val="20"/>
                <w:lang w:eastAsia="es-EC"/>
              </w:rPr>
              <w:t xml:space="preserve"> (</w:t>
            </w:r>
            <w:hyperlink r:id="rId29" w:tooltip="Campo de prisioneros de Lapušnik" w:history="1">
              <w:r w:rsidRPr="00561363">
                <w:rPr>
                  <w:rFonts w:eastAsia="Times New Roman" w:cstheme="minorHAnsi"/>
                  <w:sz w:val="20"/>
                  <w:szCs w:val="20"/>
                  <w:lang w:eastAsia="es-EC"/>
                </w:rPr>
                <w:t xml:space="preserve">Campo de prisioneros de </w:t>
              </w:r>
              <w:proofErr w:type="spellStart"/>
              <w:r w:rsidRPr="00561363">
                <w:rPr>
                  <w:rFonts w:eastAsia="Times New Roman" w:cstheme="minorHAnsi"/>
                  <w:sz w:val="20"/>
                  <w:szCs w:val="20"/>
                  <w:lang w:eastAsia="es-EC"/>
                </w:rPr>
                <w:t>Lapušnik</w:t>
              </w:r>
              <w:proofErr w:type="spellEnd"/>
            </w:hyperlink>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13 años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30" w:tooltip="Idriz Balaj (aún no redactado)" w:history="1">
              <w:proofErr w:type="spellStart"/>
              <w:r w:rsidR="00462619" w:rsidRPr="00561363">
                <w:rPr>
                  <w:rFonts w:eastAsia="Times New Roman" w:cstheme="minorHAnsi"/>
                  <w:sz w:val="20"/>
                  <w:szCs w:val="20"/>
                  <w:lang w:eastAsia="es-EC"/>
                </w:rPr>
                <w:t>Idriz</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Balaj</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Albano-kosovar, Comandante del UÇK</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Asesinatos, violaciones y persecución de serbios en Kosovo Occidental</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Absuelto de todos los cargos </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31" w:tooltip="Nenad Banović (aún no redactado)" w:history="1">
              <w:proofErr w:type="spellStart"/>
              <w:r w:rsidR="00462619" w:rsidRPr="00561363">
                <w:rPr>
                  <w:rFonts w:eastAsia="Times New Roman" w:cstheme="minorHAnsi"/>
                  <w:sz w:val="20"/>
                  <w:szCs w:val="20"/>
                  <w:lang w:eastAsia="es-EC"/>
                </w:rPr>
                <w:t>Nenad</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Banović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 guardia de prisión</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Asesinatos, tortura y persecución en el Campo de </w:t>
            </w:r>
            <w:proofErr w:type="spellStart"/>
            <w:r w:rsidRPr="00561363">
              <w:rPr>
                <w:rFonts w:eastAsia="Times New Roman" w:cstheme="minorHAnsi"/>
                <w:sz w:val="20"/>
                <w:szCs w:val="20"/>
                <w:lang w:eastAsia="es-EC"/>
              </w:rPr>
              <w:t>Keraterm</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Acusación retirada</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32" w:tooltip="Predrag Banović (aún no redactado)" w:history="1">
              <w:proofErr w:type="spellStart"/>
              <w:r w:rsidR="00462619" w:rsidRPr="00561363">
                <w:rPr>
                  <w:rFonts w:eastAsia="Times New Roman" w:cstheme="minorHAnsi"/>
                  <w:sz w:val="20"/>
                  <w:szCs w:val="20"/>
                  <w:lang w:eastAsia="es-EC"/>
                </w:rPr>
                <w:t>Predrag</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Banović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 guardia de prisión</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Asesinatos, tortura y persecución en el Campo de </w:t>
            </w:r>
            <w:proofErr w:type="spellStart"/>
            <w:r w:rsidRPr="00561363">
              <w:rPr>
                <w:rFonts w:eastAsia="Times New Roman" w:cstheme="minorHAnsi"/>
                <w:sz w:val="20"/>
                <w:szCs w:val="20"/>
                <w:lang w:eastAsia="es-EC"/>
              </w:rPr>
              <w:t>Keraterm</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8 años</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33" w:tooltip="Ljubiša Beara (aún no redactado)" w:history="1">
              <w:proofErr w:type="spellStart"/>
              <w:r w:rsidR="00462619" w:rsidRPr="00561363">
                <w:rPr>
                  <w:rFonts w:eastAsia="Times New Roman" w:cstheme="minorHAnsi"/>
                  <w:sz w:val="20"/>
                  <w:szCs w:val="20"/>
                  <w:lang w:eastAsia="es-EC"/>
                </w:rPr>
                <w:t>Ljubiša</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Beara</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 Coronel de Policía Militar</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Genocidio, asesinato, persecución y deportación forzosa durante la </w:t>
            </w:r>
            <w:hyperlink r:id="rId34" w:tooltip="Masacre de Srebrenica" w:history="1">
              <w:r w:rsidRPr="00561363">
                <w:rPr>
                  <w:rFonts w:eastAsia="Times New Roman" w:cstheme="minorHAnsi"/>
                  <w:sz w:val="20"/>
                  <w:szCs w:val="20"/>
                  <w:lang w:eastAsia="es-EC"/>
                </w:rPr>
                <w:t>Masacre de Srebrenica</w:t>
              </w:r>
            </w:hyperlink>
            <w:r w:rsidRPr="00561363">
              <w:rPr>
                <w:rFonts w:eastAsia="Times New Roman" w:cstheme="minorHAnsi"/>
                <w:sz w:val="20"/>
                <w:szCs w:val="20"/>
                <w:lang w:eastAsia="es-EC"/>
              </w:rPr>
              <w:t xml:space="preserve"> y la toma de </w:t>
            </w:r>
            <w:hyperlink r:id="rId35" w:tooltip="Žepa" w:history="1">
              <w:proofErr w:type="spellStart"/>
              <w:r w:rsidRPr="00561363">
                <w:rPr>
                  <w:rFonts w:eastAsia="Times New Roman" w:cstheme="minorHAnsi"/>
                  <w:sz w:val="20"/>
                  <w:szCs w:val="20"/>
                  <w:lang w:eastAsia="es-EC"/>
                </w:rPr>
                <w:t>Žepa</w:t>
              </w:r>
              <w:proofErr w:type="spellEnd"/>
            </w:hyperlink>
            <w:r w:rsidRPr="00561363">
              <w:rPr>
                <w:rFonts w:eastAsia="Times New Roman" w:cstheme="minorHAnsi"/>
                <w:sz w:val="20"/>
                <w:szCs w:val="20"/>
                <w:lang w:eastAsia="es-EC"/>
              </w:rPr>
              <w:t>.</w:t>
            </w:r>
          </w:p>
        </w:tc>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36" w:tooltip="Cadena perpetua" w:history="1">
              <w:r w:rsidR="00462619" w:rsidRPr="00561363">
                <w:rPr>
                  <w:rFonts w:eastAsia="Times New Roman" w:cstheme="minorHAnsi"/>
                  <w:sz w:val="20"/>
                  <w:szCs w:val="20"/>
                  <w:lang w:eastAsia="es-EC"/>
                </w:rPr>
                <w:t xml:space="preserve">Cadena </w:t>
              </w:r>
              <w:proofErr w:type="gramStart"/>
              <w:r w:rsidR="00462619" w:rsidRPr="00561363">
                <w:rPr>
                  <w:rFonts w:eastAsia="Times New Roman" w:cstheme="minorHAnsi"/>
                  <w:sz w:val="20"/>
                  <w:szCs w:val="20"/>
                  <w:lang w:eastAsia="es-EC"/>
                </w:rPr>
                <w:t>perpetua</w:t>
              </w:r>
              <w:proofErr w:type="gramEnd"/>
            </w:hyperlink>
            <w:r w:rsidR="00462619" w:rsidRPr="00561363">
              <w:rPr>
                <w:rFonts w:eastAsia="Times New Roman" w:cstheme="minorHAnsi"/>
                <w:sz w:val="20"/>
                <w:szCs w:val="20"/>
                <w:lang w:eastAsia="es-EC"/>
              </w:rPr>
              <w:t>.</w:t>
            </w:r>
            <w:r w:rsidR="00462619"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37" w:tooltip="Beqë Beqaj (aún no redactado)" w:history="1">
              <w:proofErr w:type="spellStart"/>
              <w:r w:rsidR="00462619" w:rsidRPr="00561363">
                <w:rPr>
                  <w:rFonts w:eastAsia="Times New Roman" w:cstheme="minorHAnsi"/>
                  <w:sz w:val="20"/>
                  <w:szCs w:val="20"/>
                  <w:lang w:eastAsia="es-EC"/>
                </w:rPr>
                <w:t>Beqë</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Beqaj</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Albano-kosovar</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Acusado de desacato al tribunal por interferir con testigos en la causa contra </w:t>
            </w:r>
            <w:proofErr w:type="spellStart"/>
            <w:r w:rsidRPr="00561363">
              <w:rPr>
                <w:rFonts w:eastAsia="Times New Roman" w:cstheme="minorHAnsi"/>
                <w:sz w:val="20"/>
                <w:szCs w:val="20"/>
                <w:lang w:eastAsia="es-EC"/>
              </w:rPr>
              <w:t>Fatmir</w:t>
            </w:r>
            <w:proofErr w:type="spellEnd"/>
            <w:r w:rsidRPr="00561363">
              <w:rPr>
                <w:rFonts w:eastAsia="Times New Roman" w:cstheme="minorHAnsi"/>
                <w:sz w:val="20"/>
                <w:szCs w:val="20"/>
                <w:lang w:eastAsia="es-EC"/>
              </w:rPr>
              <w:t xml:space="preserve"> </w:t>
            </w:r>
            <w:proofErr w:type="spellStart"/>
            <w:r w:rsidRPr="00561363">
              <w:rPr>
                <w:rFonts w:eastAsia="Times New Roman" w:cstheme="minorHAnsi"/>
                <w:sz w:val="20"/>
                <w:szCs w:val="20"/>
                <w:lang w:eastAsia="es-EC"/>
              </w:rPr>
              <w:t>Limaj</w:t>
            </w:r>
            <w:proofErr w:type="spellEnd"/>
            <w:r w:rsidRPr="00561363">
              <w:rPr>
                <w:rFonts w:eastAsia="Times New Roman" w:cstheme="minorHAnsi"/>
                <w:sz w:val="20"/>
                <w:szCs w:val="20"/>
                <w:lang w:eastAsia="es-EC"/>
              </w:rPr>
              <w:t xml:space="preserve"> e </w:t>
            </w:r>
            <w:proofErr w:type="spellStart"/>
            <w:r w:rsidRPr="00561363">
              <w:rPr>
                <w:rFonts w:eastAsia="Times New Roman" w:cstheme="minorHAnsi"/>
                <w:sz w:val="20"/>
                <w:szCs w:val="20"/>
                <w:lang w:eastAsia="es-EC"/>
              </w:rPr>
              <w:t>Isak</w:t>
            </w:r>
            <w:proofErr w:type="spellEnd"/>
            <w:r w:rsidRPr="00561363">
              <w:rPr>
                <w:rFonts w:eastAsia="Times New Roman" w:cstheme="minorHAnsi"/>
                <w:sz w:val="20"/>
                <w:szCs w:val="20"/>
                <w:lang w:eastAsia="es-EC"/>
              </w:rPr>
              <w:t xml:space="preserve"> </w:t>
            </w:r>
            <w:proofErr w:type="spellStart"/>
            <w:r w:rsidRPr="00561363">
              <w:rPr>
                <w:rFonts w:eastAsia="Times New Roman" w:cstheme="minorHAnsi"/>
                <w:sz w:val="20"/>
                <w:szCs w:val="20"/>
                <w:lang w:eastAsia="es-EC"/>
              </w:rPr>
              <w:t>Musliu</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4 meses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38" w:tooltip="Vidoje Blagojević (aún no redactado)" w:history="1">
              <w:proofErr w:type="spellStart"/>
              <w:r w:rsidR="00462619" w:rsidRPr="00561363">
                <w:rPr>
                  <w:rFonts w:eastAsia="Times New Roman" w:cstheme="minorHAnsi"/>
                  <w:sz w:val="20"/>
                  <w:szCs w:val="20"/>
                  <w:lang w:eastAsia="es-EC"/>
                </w:rPr>
                <w:t>Vidoje</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Blagojević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Serbobosnio, oficial del </w:t>
            </w:r>
            <w:hyperlink r:id="rId39" w:tooltip="Ejército de la República Srpska" w:history="1">
              <w:r w:rsidRPr="00561363">
                <w:rPr>
                  <w:rFonts w:eastAsia="Times New Roman" w:cstheme="minorHAnsi"/>
                  <w:sz w:val="20"/>
                  <w:szCs w:val="20"/>
                  <w:lang w:eastAsia="es-EC"/>
                </w:rPr>
                <w:t xml:space="preserve">Ejército de la República </w:t>
              </w:r>
              <w:proofErr w:type="spellStart"/>
              <w:r w:rsidRPr="00561363">
                <w:rPr>
                  <w:rFonts w:eastAsia="Times New Roman" w:cstheme="minorHAnsi"/>
                  <w:sz w:val="20"/>
                  <w:szCs w:val="20"/>
                  <w:lang w:eastAsia="es-EC"/>
                </w:rPr>
                <w:t>Srpska</w:t>
              </w:r>
              <w:proofErr w:type="spellEnd"/>
            </w:hyperlink>
            <w:r w:rsidRPr="00561363">
              <w:rPr>
                <w:rFonts w:eastAsia="Times New Roman" w:cstheme="minorHAnsi"/>
                <w:sz w:val="20"/>
                <w:szCs w:val="20"/>
                <w:lang w:eastAsia="es-EC"/>
              </w:rPr>
              <w:t xml:space="preserve"> (VRS)</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Implicación en la </w:t>
            </w:r>
            <w:hyperlink r:id="rId40" w:tooltip="Masacre de Srebrenica" w:history="1">
              <w:r w:rsidRPr="00561363">
                <w:rPr>
                  <w:rFonts w:eastAsia="Times New Roman" w:cstheme="minorHAnsi"/>
                  <w:sz w:val="20"/>
                  <w:szCs w:val="20"/>
                  <w:lang w:eastAsia="es-EC"/>
                </w:rPr>
                <w:t>Masacre de Srebrenica</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18 años</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41" w:tooltip="Tihomir Blaškić" w:history="1">
              <w:proofErr w:type="spellStart"/>
              <w:r w:rsidR="00462619" w:rsidRPr="00561363">
                <w:rPr>
                  <w:rFonts w:eastAsia="Times New Roman" w:cstheme="minorHAnsi"/>
                  <w:sz w:val="20"/>
                  <w:szCs w:val="20"/>
                  <w:lang w:eastAsia="es-EC"/>
                </w:rPr>
                <w:t>Tihomir</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Blaškić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roofErr w:type="spellStart"/>
            <w:r w:rsidRPr="00561363">
              <w:rPr>
                <w:rFonts w:eastAsia="Times New Roman" w:cstheme="minorHAnsi"/>
                <w:sz w:val="20"/>
                <w:szCs w:val="20"/>
                <w:lang w:eastAsia="es-EC"/>
              </w:rPr>
              <w:t>Bosniocroata</w:t>
            </w:r>
            <w:proofErr w:type="spellEnd"/>
            <w:r w:rsidRPr="00561363">
              <w:rPr>
                <w:rFonts w:eastAsia="Times New Roman" w:cstheme="minorHAnsi"/>
                <w:sz w:val="20"/>
                <w:szCs w:val="20"/>
                <w:lang w:eastAsia="es-EC"/>
              </w:rPr>
              <w:t>, General del ejército croata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Persecución contra la población civil en Bosnia.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desestimado parcialmente su recurso de apelación, condenado a 9 años, y concedida la libertad anticipada</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42" w:tooltip="Janko Bobetko (aún no redactado)" w:history="1">
              <w:proofErr w:type="spellStart"/>
              <w:r w:rsidR="00462619" w:rsidRPr="00561363">
                <w:rPr>
                  <w:rFonts w:eastAsia="Times New Roman" w:cstheme="minorHAnsi"/>
                  <w:sz w:val="20"/>
                  <w:szCs w:val="20"/>
                  <w:lang w:eastAsia="es-EC"/>
                </w:rPr>
                <w:t>Janko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Bobetko</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Croata, Jefe de Estado Mayor del ejército croata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Acusado de ordenar la operación contra el enclave de </w:t>
            </w:r>
            <w:proofErr w:type="spellStart"/>
            <w:r w:rsidRPr="00561363">
              <w:rPr>
                <w:rFonts w:eastAsia="Times New Roman" w:cstheme="minorHAnsi"/>
                <w:sz w:val="20"/>
                <w:szCs w:val="20"/>
                <w:lang w:eastAsia="es-EC"/>
              </w:rPr>
              <w:t>Medak</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Murió durante la instrucción del caso</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43" w:tooltip="Ljubomir Borovčanin (aún no redactado)" w:history="1">
              <w:proofErr w:type="spellStart"/>
              <w:r w:rsidR="00462619" w:rsidRPr="00561363">
                <w:rPr>
                  <w:rFonts w:eastAsia="Times New Roman" w:cstheme="minorHAnsi"/>
                  <w:sz w:val="20"/>
                  <w:szCs w:val="20"/>
                  <w:lang w:eastAsia="es-EC"/>
                </w:rPr>
                <w:t>Ljubomir</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Borovčanin</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Serbio, Comandante de la Policía Especial de la República </w:t>
            </w:r>
            <w:proofErr w:type="spellStart"/>
            <w:r w:rsidRPr="00561363">
              <w:rPr>
                <w:rFonts w:eastAsia="Times New Roman" w:cstheme="minorHAnsi"/>
                <w:sz w:val="20"/>
                <w:szCs w:val="20"/>
                <w:lang w:eastAsia="es-EC"/>
              </w:rPr>
              <w:t>Srpska</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Implicado en el caso </w:t>
            </w:r>
            <w:hyperlink r:id="rId44" w:tooltip="Srebrenica" w:history="1">
              <w:r w:rsidRPr="00561363">
                <w:rPr>
                  <w:rFonts w:eastAsia="Times New Roman" w:cstheme="minorHAnsi"/>
                  <w:sz w:val="20"/>
                  <w:szCs w:val="20"/>
                  <w:lang w:eastAsia="es-EC"/>
                </w:rPr>
                <w:t>Srebrenica</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Capturado en marzo de 2005, actualmente en </w:t>
            </w:r>
            <w:hyperlink r:id="rId45" w:tooltip="La Haya" w:history="1">
              <w:r w:rsidRPr="00561363">
                <w:rPr>
                  <w:rFonts w:eastAsia="Times New Roman" w:cstheme="minorHAnsi"/>
                  <w:sz w:val="20"/>
                  <w:szCs w:val="20"/>
                  <w:lang w:eastAsia="es-EC"/>
                </w:rPr>
                <w:t>La Haya</w:t>
              </w:r>
            </w:hyperlink>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46" w:tooltip="Goran Borovnica (aún no redactado)" w:history="1">
              <w:proofErr w:type="spellStart"/>
              <w:r w:rsidR="00462619" w:rsidRPr="00561363">
                <w:rPr>
                  <w:rFonts w:eastAsia="Times New Roman" w:cstheme="minorHAnsi"/>
                  <w:sz w:val="20"/>
                  <w:szCs w:val="20"/>
                  <w:lang w:eastAsia="es-EC"/>
                </w:rPr>
                <w:t>Goran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Borovnica</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Serbio, soldado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Acusado del caso </w:t>
            </w:r>
            <w:hyperlink r:id="rId47" w:tooltip="Prijedor" w:history="1">
              <w:proofErr w:type="spellStart"/>
              <w:r w:rsidRPr="00561363">
                <w:rPr>
                  <w:rFonts w:eastAsia="Times New Roman" w:cstheme="minorHAnsi"/>
                  <w:sz w:val="20"/>
                  <w:szCs w:val="20"/>
                  <w:lang w:eastAsia="es-EC"/>
                </w:rPr>
                <w:t>Prijedor</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La acusación se retiró debido a su muerte</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48" w:tooltip="Ljube Boškoski (aún no redactado)" w:history="1">
              <w:proofErr w:type="spellStart"/>
              <w:r w:rsidR="00462619" w:rsidRPr="00561363">
                <w:rPr>
                  <w:rFonts w:eastAsia="Times New Roman" w:cstheme="minorHAnsi"/>
                  <w:sz w:val="20"/>
                  <w:szCs w:val="20"/>
                  <w:lang w:eastAsia="es-EC"/>
                </w:rPr>
                <w:t>Ljube</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Boškoski</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Macedonio, Ministro de Interior de Macedonia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Responsabilidad en ataque a </w:t>
            </w:r>
            <w:hyperlink r:id="rId49" w:tooltip="Ljuboten" w:history="1">
              <w:proofErr w:type="spellStart"/>
              <w:r w:rsidRPr="00561363">
                <w:rPr>
                  <w:rFonts w:eastAsia="Times New Roman" w:cstheme="minorHAnsi"/>
                  <w:sz w:val="20"/>
                  <w:szCs w:val="20"/>
                  <w:lang w:eastAsia="es-EC"/>
                </w:rPr>
                <w:t>Ljuboten</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Absuelto en julio de 2008</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50" w:tooltip="Lahi Brahimaj (aún no redactado)" w:history="1">
              <w:proofErr w:type="spellStart"/>
              <w:r w:rsidR="00462619" w:rsidRPr="00561363">
                <w:rPr>
                  <w:rFonts w:eastAsia="Times New Roman" w:cstheme="minorHAnsi"/>
                  <w:sz w:val="20"/>
                  <w:szCs w:val="20"/>
                  <w:lang w:eastAsia="es-EC"/>
                </w:rPr>
                <w:t>Lahi</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Brahimaj</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Albano-kosovar, miembro del </w:t>
            </w:r>
            <w:hyperlink r:id="rId51" w:tooltip="UÇK" w:history="1">
              <w:r w:rsidRPr="00561363">
                <w:rPr>
                  <w:rFonts w:eastAsia="Times New Roman" w:cstheme="minorHAnsi"/>
                  <w:sz w:val="20"/>
                  <w:szCs w:val="20"/>
                  <w:lang w:eastAsia="es-EC"/>
                </w:rPr>
                <w:t>UÇK</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Por su papel en el acoso, abuso, expulsión, captura, encarcelamiento, asesinato y tortura de civiles serbios y gitanos de los pueblos de la región de </w:t>
            </w:r>
            <w:proofErr w:type="spellStart"/>
            <w:r w:rsidRPr="00561363">
              <w:rPr>
                <w:rFonts w:eastAsia="Times New Roman" w:cstheme="minorHAnsi"/>
                <w:sz w:val="20"/>
                <w:szCs w:val="20"/>
                <w:lang w:eastAsia="es-EC"/>
              </w:rPr>
              <w:t>Glodjane</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6 años.</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52" w:tooltip="Radoslav Brđanin (aún no redactado)" w:history="1">
              <w:proofErr w:type="spellStart"/>
              <w:r w:rsidR="00462619" w:rsidRPr="00561363">
                <w:rPr>
                  <w:rFonts w:eastAsia="Times New Roman" w:cstheme="minorHAnsi"/>
                  <w:sz w:val="20"/>
                  <w:szCs w:val="20"/>
                  <w:lang w:eastAsia="es-EC"/>
                </w:rPr>
                <w:t>Radoslav</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Brđanin</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Serbobosnio, presidente del comité de crisis de la </w:t>
            </w:r>
            <w:hyperlink r:id="rId53" w:tooltip="Región autónoma de Krajina (aún no redactado)" w:history="1">
              <w:r w:rsidRPr="00561363">
                <w:rPr>
                  <w:rFonts w:eastAsia="Times New Roman" w:cstheme="minorHAnsi"/>
                  <w:sz w:val="20"/>
                  <w:szCs w:val="20"/>
                  <w:lang w:eastAsia="es-EC"/>
                </w:rPr>
                <w:t>Región autónoma de Krajina</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Persecuciones, deportaciones, asesinatos, torturas y destrucción en la Región Autónoma de Krajina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32 años.</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54" w:tooltip="Miroslav Bralo (aún no redactado)" w:history="1">
              <w:proofErr w:type="spellStart"/>
              <w:r w:rsidR="00462619" w:rsidRPr="00561363">
                <w:rPr>
                  <w:rFonts w:eastAsia="Times New Roman" w:cstheme="minorHAnsi"/>
                  <w:sz w:val="20"/>
                  <w:szCs w:val="20"/>
                  <w:lang w:eastAsia="es-EC"/>
                </w:rPr>
                <w:t>Miroslav</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Bralo</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roofErr w:type="spellStart"/>
            <w:r w:rsidRPr="00561363">
              <w:rPr>
                <w:rFonts w:eastAsia="Times New Roman" w:cstheme="minorHAnsi"/>
                <w:sz w:val="20"/>
                <w:szCs w:val="20"/>
                <w:lang w:eastAsia="es-EC"/>
              </w:rPr>
              <w:t>Bosniocroata</w:t>
            </w:r>
            <w:proofErr w:type="spellEnd"/>
            <w:r w:rsidRPr="00561363">
              <w:rPr>
                <w:rFonts w:eastAsia="Times New Roman" w:cstheme="minorHAnsi"/>
                <w:sz w:val="20"/>
                <w:szCs w:val="20"/>
                <w:lang w:eastAsia="es-EC"/>
              </w:rPr>
              <w:t xml:space="preserve">, policía militar del </w:t>
            </w:r>
            <w:hyperlink r:id="rId55" w:tooltip="HVO" w:history="1">
              <w:r w:rsidRPr="00561363">
                <w:rPr>
                  <w:rFonts w:eastAsia="Times New Roman" w:cstheme="minorHAnsi"/>
                  <w:sz w:val="20"/>
                  <w:szCs w:val="20"/>
                  <w:lang w:eastAsia="es-EC"/>
                </w:rPr>
                <w:t>HVO</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Por su papel en el asesinato múltiple, violación, tortura, detención ilegal y el trato inhumano de civiles musulmanes bosnios, entre ellos varios niños, en el centro de Bosnia y Herzegovina (</w:t>
            </w:r>
            <w:proofErr w:type="spellStart"/>
            <w:r w:rsidRPr="00561363">
              <w:rPr>
                <w:rFonts w:eastAsia="Times New Roman" w:cstheme="minorHAnsi"/>
                <w:sz w:val="20"/>
                <w:szCs w:val="20"/>
                <w:lang w:eastAsia="es-EC"/>
              </w:rPr>
              <w:t>BiH</w:t>
            </w:r>
            <w:proofErr w:type="spellEnd"/>
            <w:r w:rsidRPr="00561363">
              <w:rPr>
                <w:rFonts w:eastAsia="Times New Roman" w:cstheme="minorHAnsi"/>
                <w:sz w:val="20"/>
                <w:szCs w:val="20"/>
                <w:lang w:eastAsia="es-EC"/>
              </w:rPr>
              <w:t>), entre enero y mediados de julio de 1993</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a 20 años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56" w:tooltip="Mario Čerkez (aún no redactado)" w:history="1">
              <w:r w:rsidR="00462619" w:rsidRPr="00561363">
                <w:rPr>
                  <w:rFonts w:eastAsia="Times New Roman" w:cstheme="minorHAnsi"/>
                  <w:sz w:val="20"/>
                  <w:szCs w:val="20"/>
                  <w:lang w:eastAsia="es-EC"/>
                </w:rPr>
                <w:t xml:space="preserve">Mario </w:t>
              </w:r>
              <w:proofErr w:type="spellStart"/>
              <w:r w:rsidR="00462619" w:rsidRPr="00561363">
                <w:rPr>
                  <w:rFonts w:eastAsia="Times New Roman" w:cstheme="minorHAnsi"/>
                  <w:sz w:val="20"/>
                  <w:szCs w:val="20"/>
                  <w:lang w:eastAsia="es-EC"/>
                </w:rPr>
                <w:t>Čerkez</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Croata, comandante </w:t>
            </w:r>
            <w:r w:rsidRPr="00561363">
              <w:rPr>
                <w:rFonts w:eastAsia="Times New Roman" w:cstheme="minorHAnsi"/>
                <w:sz w:val="20"/>
                <w:szCs w:val="20"/>
                <w:lang w:eastAsia="es-EC"/>
              </w:rPr>
              <w:lastRenderedPageBreak/>
              <w:t>de brigada del HVO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lastRenderedPageBreak/>
              <w:t xml:space="preserve">Por ofensivas en el Valle de </w:t>
            </w:r>
            <w:proofErr w:type="spellStart"/>
            <w:r w:rsidRPr="00561363">
              <w:rPr>
                <w:rFonts w:eastAsia="Times New Roman" w:cstheme="minorHAnsi"/>
                <w:sz w:val="20"/>
                <w:szCs w:val="20"/>
                <w:lang w:eastAsia="es-EC"/>
              </w:rPr>
              <w:t>Lašva</w:t>
            </w:r>
            <w:proofErr w:type="spellEnd"/>
            <w:r w:rsidRPr="00561363">
              <w:rPr>
                <w:rFonts w:eastAsia="Times New Roman" w:cstheme="minorHAnsi"/>
                <w:sz w:val="20"/>
                <w:szCs w:val="20"/>
                <w:lang w:eastAsia="es-EC"/>
              </w:rPr>
              <w:t xml:space="preserve">, </w:t>
            </w:r>
            <w:r w:rsidRPr="00561363">
              <w:rPr>
                <w:rFonts w:eastAsia="Times New Roman" w:cstheme="minorHAnsi"/>
                <w:sz w:val="20"/>
                <w:szCs w:val="20"/>
                <w:lang w:eastAsia="es-EC"/>
              </w:rPr>
              <w:lastRenderedPageBreak/>
              <w:t>Bosnia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lastRenderedPageBreak/>
              <w:t>Condenado a 6 años</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57" w:tooltip="Ivan Čermak (aún no redactado)" w:history="1">
              <w:proofErr w:type="spellStart"/>
              <w:r w:rsidR="00462619" w:rsidRPr="00561363">
                <w:rPr>
                  <w:rFonts w:eastAsia="Times New Roman" w:cstheme="minorHAnsi"/>
                  <w:sz w:val="20"/>
                  <w:szCs w:val="20"/>
                  <w:lang w:eastAsia="es-EC"/>
                </w:rPr>
                <w:t>Ivan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Čermak</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General del ejército croata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Por su papel en la expulsión de la población serbia de la región de Krajina, por la fuerza, el miedo o la amenaza de la fuerza, la persecución, el desplazamiento forzado, la transferencia y la deportación, la apropiación y destrucción de bienes y otros medios, que constituyen o que participan de la comisión de los crímenes de</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En espera de juicio, concedida la libertad provisional</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58" w:tooltip="Ranko Ćesić (aún no redactado)" w:history="1">
              <w:proofErr w:type="spellStart"/>
              <w:r w:rsidR="00462619" w:rsidRPr="00561363">
                <w:rPr>
                  <w:rFonts w:eastAsia="Times New Roman" w:cstheme="minorHAnsi"/>
                  <w:sz w:val="20"/>
                  <w:szCs w:val="20"/>
                  <w:lang w:eastAsia="es-EC"/>
                </w:rPr>
                <w:t>Ranko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Ćesić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 miembro de la Brigada de Intervención en el Cuerpo de Reservistas de la fuerza de la policía serbia de Bosnia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Asesinato y abuso sexual en el campamento de Luka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a 18 años</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59" w:tooltip="Zejnil Delalić (aún no redactado)" w:history="1">
              <w:proofErr w:type="spellStart"/>
              <w:r w:rsidR="00462619" w:rsidRPr="00561363">
                <w:rPr>
                  <w:rFonts w:eastAsia="Times New Roman" w:cstheme="minorHAnsi"/>
                  <w:sz w:val="20"/>
                  <w:szCs w:val="20"/>
                  <w:lang w:eastAsia="es-EC"/>
                </w:rPr>
                <w:t>Zejnil</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Delalić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Bosnio musulmán, comandante del Grupo Táctico Primera de las fuerzas musulmanas de Bosnia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Acusado del mando y control sobre el </w:t>
            </w:r>
            <w:hyperlink r:id="rId60" w:tooltip="Campo de Čelebići" w:history="1">
              <w:r w:rsidRPr="00561363">
                <w:rPr>
                  <w:rFonts w:eastAsia="Times New Roman" w:cstheme="minorHAnsi"/>
                  <w:sz w:val="20"/>
                  <w:szCs w:val="20"/>
                  <w:lang w:eastAsia="es-EC"/>
                </w:rPr>
                <w:t xml:space="preserve">campo de prisioneros de </w:t>
              </w:r>
              <w:proofErr w:type="spellStart"/>
              <w:r w:rsidRPr="00561363">
                <w:rPr>
                  <w:rFonts w:eastAsia="Times New Roman" w:cstheme="minorHAnsi"/>
                  <w:sz w:val="20"/>
                  <w:szCs w:val="20"/>
                  <w:lang w:eastAsia="es-EC"/>
                </w:rPr>
                <w:t>Čelebići</w:t>
              </w:r>
              <w:proofErr w:type="spellEnd"/>
            </w:hyperlink>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Absuelto por la Sala de Primera Instancia</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61" w:tooltip="Hazim Delić (aún no redactado)" w:history="1">
              <w:proofErr w:type="spellStart"/>
              <w:r w:rsidR="00462619" w:rsidRPr="00561363">
                <w:rPr>
                  <w:rFonts w:eastAsia="Times New Roman" w:cstheme="minorHAnsi"/>
                  <w:sz w:val="20"/>
                  <w:szCs w:val="20"/>
                  <w:lang w:eastAsia="es-EC"/>
                </w:rPr>
                <w:t>Hazim</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Delić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Musulmán bosnio, comandante adjunto del campo-prisión</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Asesinatos y violaciones en el </w:t>
            </w:r>
            <w:hyperlink r:id="rId62" w:tooltip="Campo de Čelebići" w:history="1">
              <w:r w:rsidRPr="00561363">
                <w:rPr>
                  <w:rFonts w:eastAsia="Times New Roman" w:cstheme="minorHAnsi"/>
                  <w:sz w:val="20"/>
                  <w:szCs w:val="20"/>
                  <w:lang w:eastAsia="es-EC"/>
                </w:rPr>
                <w:t xml:space="preserve">campo de </w:t>
              </w:r>
              <w:proofErr w:type="spellStart"/>
              <w:r w:rsidRPr="00561363">
                <w:rPr>
                  <w:rFonts w:eastAsia="Times New Roman" w:cstheme="minorHAnsi"/>
                  <w:sz w:val="20"/>
                  <w:szCs w:val="20"/>
                  <w:lang w:eastAsia="es-EC"/>
                </w:rPr>
                <w:t>Čelebići</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a 18 años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63" w:tooltip="Rasim Delić" w:history="1">
              <w:proofErr w:type="spellStart"/>
              <w:r w:rsidR="00462619" w:rsidRPr="00561363">
                <w:rPr>
                  <w:rFonts w:eastAsia="Times New Roman" w:cstheme="minorHAnsi"/>
                  <w:sz w:val="20"/>
                  <w:szCs w:val="20"/>
                  <w:lang w:eastAsia="es-EC"/>
                </w:rPr>
                <w:t>Rasim</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Delić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Musulmán bosnio, jefe del Estado Mayor del Ejército de los musulmanes bosnios</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Por no impedir a los miembros de los Muyahidín del ejército de Bosnia la comisión de crímenes contra civiles y combatientes capturados (asesinato, violación, tortura)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Libertad provisional concedida el 6 de mayo de 2005, a la espera del inicio de su juicio</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64" w:tooltip="Miroslav Deronjić (aún no redactado)" w:history="1">
              <w:proofErr w:type="spellStart"/>
              <w:r w:rsidR="00462619" w:rsidRPr="00561363">
                <w:rPr>
                  <w:rFonts w:eastAsia="Times New Roman" w:cstheme="minorHAnsi"/>
                  <w:sz w:val="20"/>
                  <w:szCs w:val="20"/>
                  <w:lang w:eastAsia="es-EC"/>
                </w:rPr>
                <w:t>Miroslav</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Deronjić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Serbobosnio, presidente del comité de crisis en </w:t>
            </w:r>
            <w:hyperlink r:id="rId65" w:tooltip="Bratunac" w:history="1">
              <w:proofErr w:type="spellStart"/>
              <w:r w:rsidRPr="00561363">
                <w:rPr>
                  <w:rFonts w:eastAsia="Times New Roman" w:cstheme="minorHAnsi"/>
                  <w:sz w:val="20"/>
                  <w:szCs w:val="20"/>
                  <w:lang w:eastAsia="es-EC"/>
                </w:rPr>
                <w:t>Bratunac</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Por el ataque contra la aldea de </w:t>
            </w:r>
            <w:proofErr w:type="spellStart"/>
            <w:r w:rsidRPr="00561363">
              <w:rPr>
                <w:rFonts w:eastAsia="Times New Roman" w:cstheme="minorHAnsi"/>
                <w:sz w:val="20"/>
                <w:szCs w:val="20"/>
                <w:lang w:eastAsia="es-EC"/>
              </w:rPr>
              <w:t>Glogova</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a 10 años</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66" w:tooltip="Slavko Dokmanović (aún no redactado)" w:history="1">
              <w:proofErr w:type="spellStart"/>
              <w:r w:rsidR="00462619" w:rsidRPr="00561363">
                <w:rPr>
                  <w:rFonts w:eastAsia="Times New Roman" w:cstheme="minorHAnsi"/>
                  <w:sz w:val="20"/>
                  <w:szCs w:val="20"/>
                  <w:lang w:eastAsia="es-EC"/>
                </w:rPr>
                <w:t>Slavko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Dokmanović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Serbocroata, alcalde de </w:t>
            </w:r>
            <w:hyperlink r:id="rId67" w:tooltip="Vukovar" w:history="1">
              <w:proofErr w:type="spellStart"/>
              <w:r w:rsidRPr="00561363">
                <w:rPr>
                  <w:rFonts w:eastAsia="Times New Roman" w:cstheme="minorHAnsi"/>
                  <w:sz w:val="20"/>
                  <w:szCs w:val="20"/>
                  <w:lang w:eastAsia="es-EC"/>
                </w:rPr>
                <w:t>Vukovar</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Acusado en relación con el asesinato de los reclusos del hospital</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 suicidó antes del juicio</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68" w:tooltip="Damir Došen (aún no redactado)" w:history="1">
              <w:proofErr w:type="spellStart"/>
              <w:r w:rsidR="00462619" w:rsidRPr="00561363">
                <w:rPr>
                  <w:rFonts w:eastAsia="Times New Roman" w:cstheme="minorHAnsi"/>
                  <w:sz w:val="20"/>
                  <w:szCs w:val="20"/>
                  <w:lang w:eastAsia="es-EC"/>
                </w:rPr>
                <w:t>Damir</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Došen</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Serbobosnio, comandante de turno en el campo de prisioneros de </w:t>
            </w:r>
            <w:proofErr w:type="spellStart"/>
            <w:r w:rsidRPr="00561363">
              <w:rPr>
                <w:rFonts w:eastAsia="Times New Roman" w:cstheme="minorHAnsi"/>
                <w:sz w:val="20"/>
                <w:szCs w:val="20"/>
                <w:lang w:eastAsia="es-EC"/>
              </w:rPr>
              <w:t>Keraterm</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Por su papel en el tratamiento inhumano de los reclusos en la prisión de </w:t>
            </w:r>
            <w:proofErr w:type="spellStart"/>
            <w:r w:rsidRPr="00561363">
              <w:rPr>
                <w:rFonts w:eastAsia="Times New Roman" w:cstheme="minorHAnsi"/>
                <w:sz w:val="20"/>
                <w:szCs w:val="20"/>
                <w:lang w:eastAsia="es-EC"/>
              </w:rPr>
              <w:t>Keraterm</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Pr>
                <w:rFonts w:eastAsia="Times New Roman" w:cstheme="minorHAnsi"/>
                <w:sz w:val="20"/>
                <w:szCs w:val="20"/>
                <w:lang w:eastAsia="es-EC"/>
              </w:rPr>
              <w:t>Condenado a 5 años, conce</w:t>
            </w:r>
            <w:r w:rsidRPr="00561363">
              <w:rPr>
                <w:rFonts w:eastAsia="Times New Roman" w:cstheme="minorHAnsi"/>
                <w:sz w:val="20"/>
                <w:szCs w:val="20"/>
                <w:lang w:eastAsia="es-EC"/>
              </w:rPr>
              <w:t>dida la libertad anticipada</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69" w:tooltip="Simo Drljaca (aún no redactado)" w:history="1">
              <w:proofErr w:type="spellStart"/>
              <w:r w:rsidR="00462619" w:rsidRPr="00561363">
                <w:rPr>
                  <w:rFonts w:eastAsia="Times New Roman" w:cstheme="minorHAnsi"/>
                  <w:sz w:val="20"/>
                  <w:szCs w:val="20"/>
                  <w:lang w:eastAsia="es-EC"/>
                </w:rPr>
                <w:t>Simo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Drljaca</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Serbobosnio, jefe de la Estación de </w:t>
            </w:r>
            <w:r w:rsidRPr="00561363">
              <w:rPr>
                <w:rFonts w:eastAsia="Times New Roman" w:cstheme="minorHAnsi"/>
                <w:sz w:val="20"/>
                <w:szCs w:val="20"/>
                <w:lang w:eastAsia="es-EC"/>
              </w:rPr>
              <w:lastRenderedPageBreak/>
              <w:t xml:space="preserve">Seguridad Pública para </w:t>
            </w:r>
            <w:proofErr w:type="spellStart"/>
            <w:r w:rsidRPr="00561363">
              <w:rPr>
                <w:rFonts w:eastAsia="Times New Roman" w:cstheme="minorHAnsi"/>
                <w:sz w:val="20"/>
                <w:szCs w:val="20"/>
                <w:lang w:eastAsia="es-EC"/>
              </w:rPr>
              <w:t>Prijedor</w:t>
            </w:r>
            <w:proofErr w:type="spellEnd"/>
          </w:p>
          <w:p w:rsidR="00462619" w:rsidRPr="00561363" w:rsidRDefault="00462619" w:rsidP="008B427A">
            <w:pPr>
              <w:spacing w:before="100" w:beforeAutospacing="1" w:after="100" w:afterAutospacing="1"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Acciones | alrededor de </w:t>
            </w:r>
            <w:hyperlink r:id="rId70" w:tooltip="Prijedor" w:history="1">
              <w:proofErr w:type="spellStart"/>
              <w:r w:rsidRPr="00561363">
                <w:rPr>
                  <w:rFonts w:eastAsia="Times New Roman" w:cstheme="minorHAnsi"/>
                  <w:sz w:val="20"/>
                  <w:szCs w:val="20"/>
                  <w:lang w:eastAsia="es-EC"/>
                </w:rPr>
                <w:t>Prijedor</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lastRenderedPageBreak/>
              <w:t>Muerto en intento de arresto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71" w:tooltip="Vlastimir Đorđević, (aún no redactado)" w:history="1">
              <w:proofErr w:type="spellStart"/>
              <w:r w:rsidR="00462619" w:rsidRPr="00561363">
                <w:rPr>
                  <w:rFonts w:eastAsia="Times New Roman" w:cstheme="minorHAnsi"/>
                  <w:sz w:val="20"/>
                  <w:szCs w:val="20"/>
                  <w:lang w:eastAsia="es-EC"/>
                </w:rPr>
                <w:t>Vlastimir</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Đorđević</w:t>
              </w:r>
              <w:proofErr w:type="spellEnd"/>
              <w:r w:rsidR="00462619" w:rsidRPr="00561363">
                <w:rPr>
                  <w:rFonts w:eastAsia="Times New Roman" w:cstheme="minorHAnsi"/>
                  <w:sz w:val="20"/>
                  <w:szCs w:val="20"/>
                  <w:lang w:eastAsia="es-EC"/>
                </w:rPr>
                <w:t>,</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General del ejército serbio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Deportación, la persecución y el asesinato de albaneses de Kosovo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Detenido el </w:t>
            </w:r>
            <w:hyperlink r:id="rId72" w:tooltip="17 de junio" w:history="1">
              <w:r w:rsidRPr="00561363">
                <w:rPr>
                  <w:rFonts w:eastAsia="Times New Roman" w:cstheme="minorHAnsi"/>
                  <w:sz w:val="20"/>
                  <w:szCs w:val="20"/>
                  <w:lang w:eastAsia="es-EC"/>
                </w:rPr>
                <w:t>17 de junio</w:t>
              </w:r>
            </w:hyperlink>
            <w:r w:rsidRPr="00561363">
              <w:rPr>
                <w:rFonts w:eastAsia="Times New Roman" w:cstheme="minorHAnsi"/>
                <w:sz w:val="20"/>
                <w:szCs w:val="20"/>
                <w:lang w:eastAsia="es-EC"/>
              </w:rPr>
              <w:t xml:space="preserve"> de </w:t>
            </w:r>
            <w:hyperlink r:id="rId73" w:tooltip="2007" w:history="1">
              <w:r w:rsidRPr="00561363">
                <w:rPr>
                  <w:rFonts w:eastAsia="Times New Roman" w:cstheme="minorHAnsi"/>
                  <w:sz w:val="20"/>
                  <w:szCs w:val="20"/>
                  <w:lang w:eastAsia="es-EC"/>
                </w:rPr>
                <w:t>2007</w:t>
              </w:r>
            </w:hyperlink>
            <w:r w:rsidRPr="00561363">
              <w:rPr>
                <w:rFonts w:eastAsia="Times New Roman" w:cstheme="minorHAnsi"/>
                <w:sz w:val="20"/>
                <w:szCs w:val="20"/>
                <w:lang w:eastAsia="es-EC"/>
              </w:rPr>
              <w:t xml:space="preserve"> en </w:t>
            </w:r>
            <w:hyperlink r:id="rId74" w:tooltip="Montenegro" w:history="1">
              <w:r w:rsidRPr="00561363">
                <w:rPr>
                  <w:rFonts w:eastAsia="Times New Roman" w:cstheme="minorHAnsi"/>
                  <w:sz w:val="20"/>
                  <w:szCs w:val="20"/>
                  <w:lang w:eastAsia="es-EC"/>
                </w:rPr>
                <w:t>Montenegro</w:t>
              </w:r>
            </w:hyperlink>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75" w:tooltip="Djordje Djukić (aún no redactado)" w:history="1">
              <w:proofErr w:type="spellStart"/>
              <w:r w:rsidR="00462619" w:rsidRPr="00561363">
                <w:rPr>
                  <w:rFonts w:eastAsia="Times New Roman" w:cstheme="minorHAnsi"/>
                  <w:sz w:val="20"/>
                  <w:szCs w:val="20"/>
                  <w:lang w:eastAsia="es-EC"/>
                </w:rPr>
                <w:t>Djordje</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Djukić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Serbios de Bosnia, miembro del Estado Mayor del ejército de los serbios de Bosnia,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Acusado de bombardeos contra objetivos civiles en Sarajevo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Puesto en libertad condicional por razones de salud, murió antes de que se trató el caso de</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76" w:tooltip="Dražen Erdemović (aún no redactado)" w:history="1">
              <w:proofErr w:type="spellStart"/>
              <w:r w:rsidR="00462619" w:rsidRPr="00561363">
                <w:rPr>
                  <w:rFonts w:eastAsia="Times New Roman" w:cstheme="minorHAnsi"/>
                  <w:sz w:val="20"/>
                  <w:szCs w:val="20"/>
                  <w:lang w:eastAsia="es-EC"/>
                </w:rPr>
                <w:t>Dražen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Erdemović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Croata, soldado del Ejército de los serbios de Bosnia,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Asesinato de hombres musulmanes bosnios en Srebrenica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a 5 año</w:t>
            </w:r>
            <w:r>
              <w:rPr>
                <w:rFonts w:eastAsia="Times New Roman" w:cstheme="minorHAnsi"/>
                <w:sz w:val="20"/>
                <w:szCs w:val="20"/>
                <w:lang w:eastAsia="es-EC"/>
              </w:rPr>
              <w:t>s</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77" w:tooltip="Anto Furundžija (aún no redactado)" w:history="1">
              <w:proofErr w:type="spellStart"/>
              <w:r w:rsidR="00462619" w:rsidRPr="00561363">
                <w:rPr>
                  <w:rFonts w:eastAsia="Times New Roman" w:cstheme="minorHAnsi"/>
                  <w:sz w:val="20"/>
                  <w:szCs w:val="20"/>
                  <w:lang w:eastAsia="es-EC"/>
                </w:rPr>
                <w:t>Anto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Furundžija</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Croata, comandante local de la unidad del HVO </w:t>
            </w:r>
            <w:r w:rsidRPr="00561363">
              <w:rPr>
                <w:rFonts w:eastAsia="Times New Roman" w:cstheme="minorHAnsi"/>
                <w:i/>
                <w:iCs/>
                <w:sz w:val="20"/>
                <w:szCs w:val="20"/>
                <w:lang w:eastAsia="es-EC"/>
              </w:rPr>
              <w:t>Jokers</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Tortura de civiles musulmanes bosnios en </w:t>
            </w:r>
            <w:proofErr w:type="spellStart"/>
            <w:r w:rsidRPr="00561363">
              <w:rPr>
                <w:rFonts w:eastAsia="Times New Roman" w:cstheme="minorHAnsi"/>
                <w:sz w:val="20"/>
                <w:szCs w:val="20"/>
                <w:lang w:eastAsia="es-EC"/>
              </w:rPr>
              <w:t>Nadioci</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a 10 años, concedida la libertad anticipada</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78" w:tooltip="Dušan Fuštar (aún no redactado)" w:history="1">
              <w:proofErr w:type="spellStart"/>
              <w:r w:rsidR="00462619" w:rsidRPr="00561363">
                <w:rPr>
                  <w:rFonts w:eastAsia="Times New Roman" w:cstheme="minorHAnsi"/>
                  <w:sz w:val="20"/>
                  <w:szCs w:val="20"/>
                  <w:lang w:eastAsia="es-EC"/>
                </w:rPr>
                <w:t>Dušan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Fuštar</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Serbios de Bosnia, jefe de turno en el campo de prisioneros de </w:t>
            </w:r>
            <w:proofErr w:type="spellStart"/>
            <w:r w:rsidRPr="00561363">
              <w:rPr>
                <w:rFonts w:eastAsia="Times New Roman" w:cstheme="minorHAnsi"/>
                <w:sz w:val="20"/>
                <w:szCs w:val="20"/>
                <w:lang w:eastAsia="es-EC"/>
              </w:rPr>
              <w:t>Keraterm</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Persecución, actos inhumanos y asesinato de croatas de Bosnia, los musulmanes bosnios y otros no serbios bosnios en torno a </w:t>
            </w:r>
            <w:proofErr w:type="spellStart"/>
            <w:r w:rsidRPr="00561363">
              <w:rPr>
                <w:rFonts w:eastAsia="Times New Roman" w:cstheme="minorHAnsi"/>
                <w:sz w:val="20"/>
                <w:szCs w:val="20"/>
                <w:lang w:eastAsia="es-EC"/>
              </w:rPr>
              <w:t>Prijedor</w:t>
            </w:r>
            <w:proofErr w:type="spellEnd"/>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Caso transferido a Bosnia y Herzegovina</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79" w:tooltip="Dragan Gagović (aún no redactado)" w:history="1">
              <w:r w:rsidR="00462619" w:rsidRPr="00561363">
                <w:rPr>
                  <w:rFonts w:eastAsia="Times New Roman" w:cstheme="minorHAnsi"/>
                  <w:sz w:val="20"/>
                  <w:szCs w:val="20"/>
                  <w:lang w:eastAsia="es-EC"/>
                </w:rPr>
                <w:t xml:space="preserve">Dragan </w:t>
              </w:r>
              <w:proofErr w:type="spellStart"/>
              <w:r w:rsidR="00462619" w:rsidRPr="00561363">
                <w:rPr>
                  <w:rFonts w:eastAsia="Times New Roman" w:cstheme="minorHAnsi"/>
                  <w:sz w:val="20"/>
                  <w:szCs w:val="20"/>
                  <w:lang w:eastAsia="es-EC"/>
                </w:rPr>
                <w:t>Gagović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Serbios de Bosnia, jefe de la policía de </w:t>
            </w:r>
            <w:proofErr w:type="spellStart"/>
            <w:r w:rsidRPr="00561363">
              <w:rPr>
                <w:rFonts w:eastAsia="Times New Roman" w:cstheme="minorHAnsi"/>
                <w:sz w:val="20"/>
                <w:szCs w:val="20"/>
                <w:lang w:eastAsia="es-EC"/>
              </w:rPr>
              <w:t>Foča</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Por su papel en las persecuciones en el centro de Deportes </w:t>
            </w:r>
            <w:proofErr w:type="spellStart"/>
            <w:r w:rsidRPr="00561363">
              <w:rPr>
                <w:rFonts w:eastAsia="Times New Roman" w:cstheme="minorHAnsi"/>
                <w:sz w:val="20"/>
                <w:szCs w:val="20"/>
                <w:lang w:eastAsia="es-EC"/>
              </w:rPr>
              <w:t>Partizan</w:t>
            </w:r>
            <w:proofErr w:type="spellEnd"/>
            <w:r w:rsidRPr="00561363">
              <w:rPr>
                <w:rFonts w:eastAsia="Times New Roman" w:cstheme="minorHAnsi"/>
                <w:sz w:val="20"/>
                <w:szCs w:val="20"/>
                <w:lang w:eastAsia="es-EC"/>
              </w:rPr>
              <w:t xml:space="preserve"> sala de detención</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Muerto en intento de arresto, la acusación retiró</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80" w:tooltip="Stanislav Galić" w:history="1">
              <w:proofErr w:type="spellStart"/>
              <w:r w:rsidR="00462619" w:rsidRPr="00561363">
                <w:rPr>
                  <w:rFonts w:eastAsia="Times New Roman" w:cstheme="minorHAnsi"/>
                  <w:sz w:val="20"/>
                  <w:szCs w:val="20"/>
                  <w:lang w:eastAsia="es-EC"/>
                </w:rPr>
                <w:t>Stanislav</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Galić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Serbios de Bosnia, comandante del Cuerpo </w:t>
            </w:r>
            <w:proofErr w:type="spellStart"/>
            <w:r w:rsidRPr="00561363">
              <w:rPr>
                <w:rFonts w:eastAsia="Times New Roman" w:cstheme="minorHAnsi"/>
                <w:sz w:val="20"/>
                <w:szCs w:val="20"/>
                <w:lang w:eastAsia="es-EC"/>
              </w:rPr>
              <w:t>Romanija</w:t>
            </w:r>
            <w:proofErr w:type="spellEnd"/>
            <w:r w:rsidRPr="00561363">
              <w:rPr>
                <w:rFonts w:eastAsia="Times New Roman" w:cstheme="minorHAnsi"/>
                <w:sz w:val="20"/>
                <w:szCs w:val="20"/>
                <w:lang w:eastAsia="es-EC"/>
              </w:rPr>
              <w:t xml:space="preserve"> de Sarajevo,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Acusado por los bombardeos y francotiradores de Sarajevo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a cadena perpetua por la Sala de Apelaciones, de hacer caso omiso veredicto inicial de 20 años</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81" w:tooltip="Ante Gotovina" w:history="1">
              <w:r w:rsidR="00462619" w:rsidRPr="00561363">
                <w:rPr>
                  <w:rFonts w:eastAsia="Times New Roman" w:cstheme="minorHAnsi"/>
                  <w:sz w:val="20"/>
                  <w:szCs w:val="20"/>
                  <w:lang w:eastAsia="es-EC"/>
                </w:rPr>
                <w:t xml:space="preserve">Ante </w:t>
              </w:r>
              <w:proofErr w:type="spellStart"/>
              <w:r w:rsidR="00462619" w:rsidRPr="00561363">
                <w:rPr>
                  <w:rFonts w:eastAsia="Times New Roman" w:cstheme="minorHAnsi"/>
                  <w:sz w:val="20"/>
                  <w:szCs w:val="20"/>
                  <w:lang w:eastAsia="es-EC"/>
                </w:rPr>
                <w:t>Gotovina</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Croata, general del Ejército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Crímenes de lesa humanidad y </w:t>
            </w:r>
            <w:proofErr w:type="spellStart"/>
            <w:r w:rsidRPr="00561363">
              <w:rPr>
                <w:rFonts w:eastAsia="Times New Roman" w:cstheme="minorHAnsi"/>
                <w:sz w:val="20"/>
                <w:szCs w:val="20"/>
                <w:lang w:eastAsia="es-EC"/>
              </w:rPr>
              <w:t>violaciónes</w:t>
            </w:r>
            <w:proofErr w:type="spellEnd"/>
            <w:r w:rsidRPr="00561363">
              <w:rPr>
                <w:rFonts w:eastAsia="Times New Roman" w:cstheme="minorHAnsi"/>
                <w:sz w:val="20"/>
                <w:szCs w:val="20"/>
                <w:lang w:eastAsia="es-EC"/>
              </w:rPr>
              <w:t xml:space="preserve"> de las leyes o costumbres de la guerra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a 24 años de prisión.</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82" w:tooltip="Zdravko Govedarica (aún no redactado)" w:history="1">
              <w:proofErr w:type="spellStart"/>
              <w:r w:rsidR="00462619" w:rsidRPr="00561363">
                <w:rPr>
                  <w:rFonts w:eastAsia="Times New Roman" w:cstheme="minorHAnsi"/>
                  <w:sz w:val="20"/>
                  <w:szCs w:val="20"/>
                  <w:lang w:eastAsia="es-EC"/>
                </w:rPr>
                <w:t>Zdravko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Govedarica</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Serbios de Bosnia, guardia de campo de prisión</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Acusado de golpear a un preso en el campamento de </w:t>
            </w:r>
            <w:proofErr w:type="spellStart"/>
            <w:r w:rsidRPr="00561363">
              <w:rPr>
                <w:rFonts w:eastAsia="Times New Roman" w:cstheme="minorHAnsi"/>
                <w:sz w:val="20"/>
                <w:szCs w:val="20"/>
                <w:lang w:eastAsia="es-EC"/>
              </w:rPr>
              <w:t>Omarska</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La acusación se retiró</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83" w:tooltip="Momčilo Gruban (aún no redactado)" w:history="1">
              <w:proofErr w:type="spellStart"/>
              <w:r w:rsidR="00462619" w:rsidRPr="00561363">
                <w:rPr>
                  <w:rFonts w:eastAsia="Times New Roman" w:cstheme="minorHAnsi"/>
                  <w:sz w:val="20"/>
                  <w:szCs w:val="20"/>
                  <w:lang w:eastAsia="es-EC"/>
                </w:rPr>
                <w:t>Momčilo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Gruban</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Serbios de Bosnia, comandante del turno de guardia en el campamento de </w:t>
            </w:r>
            <w:proofErr w:type="spellStart"/>
            <w:r w:rsidRPr="00561363">
              <w:rPr>
                <w:rFonts w:eastAsia="Times New Roman" w:cstheme="minorHAnsi"/>
                <w:sz w:val="20"/>
                <w:szCs w:val="20"/>
                <w:lang w:eastAsia="es-EC"/>
              </w:rPr>
              <w:t>Omarska</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Acusado de persecución, asesinato y actos inhumanos</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Caso transferido a Bosnia y Herzegovina, condenado a 11 años en 30 de mayo de 2008</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84" w:tooltip="Milan Gvero (aún no redactado)" w:history="1">
              <w:proofErr w:type="spellStart"/>
              <w:r w:rsidR="00462619" w:rsidRPr="00561363">
                <w:rPr>
                  <w:rFonts w:eastAsia="Times New Roman" w:cstheme="minorHAnsi"/>
                  <w:sz w:val="20"/>
                  <w:szCs w:val="20"/>
                  <w:lang w:eastAsia="es-EC"/>
                </w:rPr>
                <w:t>Milan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Gvero</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Serbios de Bosnia, comandante </w:t>
            </w:r>
            <w:r w:rsidRPr="00561363">
              <w:rPr>
                <w:rFonts w:eastAsia="Times New Roman" w:cstheme="minorHAnsi"/>
                <w:sz w:val="20"/>
                <w:szCs w:val="20"/>
                <w:lang w:eastAsia="es-EC"/>
              </w:rPr>
              <w:lastRenderedPageBreak/>
              <w:t>asistente militar para la moral, jurídico y de Asuntos Religiosos,</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lastRenderedPageBreak/>
              <w:t>Acusado de Srebrenica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Juicio en proceso</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85" w:tooltip="Goran Hadžić" w:history="1">
              <w:proofErr w:type="spellStart"/>
              <w:r w:rsidR="00462619" w:rsidRPr="00561363">
                <w:rPr>
                  <w:rFonts w:eastAsia="Times New Roman" w:cstheme="minorHAnsi"/>
                  <w:sz w:val="20"/>
                  <w:szCs w:val="20"/>
                  <w:lang w:eastAsia="es-EC"/>
                </w:rPr>
                <w:t>Goran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Hadžić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Serbios de Croacia, presidente de la </w:t>
            </w:r>
            <w:hyperlink r:id="rId86" w:tooltip="República Serbia de Krajina" w:history="1">
              <w:r w:rsidRPr="00561363">
                <w:rPr>
                  <w:rFonts w:eastAsia="Times New Roman" w:cstheme="minorHAnsi"/>
                  <w:sz w:val="20"/>
                  <w:szCs w:val="20"/>
                  <w:lang w:eastAsia="es-EC"/>
                </w:rPr>
                <w:t>República Serbia de Krajina</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Persecución, asesinato, tortura, deportación y destrucción indiscriminada en la Krajina Serbia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Capturado en </w:t>
            </w:r>
            <w:hyperlink r:id="rId87" w:tooltip="Serbia" w:history="1">
              <w:r w:rsidRPr="00561363">
                <w:rPr>
                  <w:rFonts w:eastAsia="Times New Roman" w:cstheme="minorHAnsi"/>
                  <w:sz w:val="20"/>
                  <w:szCs w:val="20"/>
                  <w:lang w:eastAsia="es-EC"/>
                </w:rPr>
                <w:t>Serbia</w:t>
              </w:r>
            </w:hyperlink>
            <w:r w:rsidRPr="00561363">
              <w:rPr>
                <w:rFonts w:eastAsia="Times New Roman" w:cstheme="minorHAnsi"/>
                <w:sz w:val="20"/>
                <w:szCs w:val="20"/>
                <w:lang w:eastAsia="es-EC"/>
              </w:rPr>
              <w:t xml:space="preserve"> en julio de </w:t>
            </w:r>
            <w:hyperlink r:id="rId88" w:tooltip="2011" w:history="1">
              <w:r w:rsidRPr="00561363">
                <w:rPr>
                  <w:rFonts w:eastAsia="Times New Roman" w:cstheme="minorHAnsi"/>
                  <w:sz w:val="20"/>
                  <w:szCs w:val="20"/>
                  <w:lang w:eastAsia="es-EC"/>
                </w:rPr>
                <w:t>2011</w:t>
              </w:r>
            </w:hyperlink>
            <w:r w:rsidRPr="00561363">
              <w:rPr>
                <w:rFonts w:eastAsia="Times New Roman" w:cstheme="minorHAnsi"/>
                <w:sz w:val="20"/>
                <w:szCs w:val="20"/>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89" w:tooltip="Enver Hadžihasanović (aún no redactado)" w:history="1">
              <w:proofErr w:type="spellStart"/>
              <w:r w:rsidR="00462619" w:rsidRPr="00561363">
                <w:rPr>
                  <w:rFonts w:eastAsia="Times New Roman" w:cstheme="minorHAnsi"/>
                  <w:sz w:val="20"/>
                  <w:szCs w:val="20"/>
                  <w:lang w:eastAsia="es-EC"/>
                </w:rPr>
                <w:t>Enver</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Hadžihasanović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Bosnio, general de brigada del </w:t>
            </w:r>
            <w:hyperlink r:id="rId90" w:tooltip="ARBiH" w:history="1">
              <w:proofErr w:type="spellStart"/>
              <w:r w:rsidRPr="00561363">
                <w:rPr>
                  <w:rFonts w:eastAsia="Times New Roman" w:cstheme="minorHAnsi"/>
                  <w:sz w:val="20"/>
                  <w:szCs w:val="20"/>
                  <w:lang w:eastAsia="es-EC"/>
                </w:rPr>
                <w:t>ARBiH</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Responsabilidad en actos de asesinato y destrucción sin sentido en Bosnia central</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El 22 de abril de 2008, condenado a 3 años y medio</w:t>
            </w:r>
            <w:r>
              <w:rPr>
                <w:rFonts w:eastAsia="Times New Roman" w:cstheme="minorHAnsi"/>
                <w:sz w:val="20"/>
                <w:szCs w:val="20"/>
                <w:lang w:eastAsia="es-EC"/>
              </w:rPr>
              <w:t>.</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91" w:tooltip="Sefer Halilović (aún no redactado)" w:history="1">
              <w:proofErr w:type="spellStart"/>
              <w:r w:rsidR="00462619" w:rsidRPr="00561363">
                <w:rPr>
                  <w:rFonts w:eastAsia="Times New Roman" w:cstheme="minorHAnsi"/>
                  <w:sz w:val="20"/>
                  <w:szCs w:val="20"/>
                  <w:lang w:eastAsia="es-EC"/>
                </w:rPr>
                <w:t>Sefer</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Halilović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Bosnio Musulmán, </w:t>
            </w:r>
            <w:proofErr w:type="spellStart"/>
            <w:r w:rsidRPr="00561363">
              <w:rPr>
                <w:rFonts w:eastAsia="Times New Roman" w:cstheme="minorHAnsi"/>
                <w:sz w:val="20"/>
                <w:szCs w:val="20"/>
                <w:lang w:eastAsia="es-EC"/>
              </w:rPr>
              <w:t>Genral</w:t>
            </w:r>
            <w:proofErr w:type="spellEnd"/>
            <w:r w:rsidRPr="00561363">
              <w:rPr>
                <w:rFonts w:eastAsia="Times New Roman" w:cstheme="minorHAnsi"/>
                <w:sz w:val="20"/>
                <w:szCs w:val="20"/>
                <w:lang w:eastAsia="es-EC"/>
              </w:rPr>
              <w:t xml:space="preserve"> del </w:t>
            </w:r>
            <w:proofErr w:type="spellStart"/>
            <w:r w:rsidRPr="00561363">
              <w:rPr>
                <w:rFonts w:eastAsia="Times New Roman" w:cstheme="minorHAnsi"/>
                <w:sz w:val="20"/>
                <w:szCs w:val="20"/>
                <w:lang w:eastAsia="es-EC"/>
              </w:rPr>
              <w:t>ARBiH</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Masacres en las localidades de </w:t>
            </w:r>
            <w:proofErr w:type="spellStart"/>
            <w:r w:rsidRPr="00561363">
              <w:rPr>
                <w:rFonts w:eastAsia="Times New Roman" w:cstheme="minorHAnsi"/>
                <w:sz w:val="20"/>
                <w:szCs w:val="20"/>
                <w:lang w:eastAsia="es-EC"/>
              </w:rPr>
              <w:t>Grabovica</w:t>
            </w:r>
            <w:proofErr w:type="spellEnd"/>
            <w:r w:rsidRPr="00561363">
              <w:rPr>
                <w:rFonts w:eastAsia="Times New Roman" w:cstheme="minorHAnsi"/>
                <w:sz w:val="20"/>
                <w:szCs w:val="20"/>
                <w:lang w:eastAsia="es-EC"/>
              </w:rPr>
              <w:t xml:space="preserve"> y </w:t>
            </w:r>
            <w:proofErr w:type="spellStart"/>
            <w:r w:rsidRPr="00561363">
              <w:rPr>
                <w:rFonts w:eastAsia="Times New Roman" w:cstheme="minorHAnsi"/>
                <w:sz w:val="20"/>
                <w:szCs w:val="20"/>
                <w:lang w:eastAsia="es-EC"/>
              </w:rPr>
              <w:t>Uzdol</w:t>
            </w:r>
            <w:proofErr w:type="spellEnd"/>
            <w:r w:rsidRPr="00561363">
              <w:rPr>
                <w:rFonts w:eastAsia="Times New Roman" w:cstheme="minorHAnsi"/>
                <w:sz w:val="20"/>
                <w:szCs w:val="20"/>
                <w:lang w:eastAsia="es-EC"/>
              </w:rPr>
              <w:t>, Bosnia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Absuelto de todos los cargos y puesto en libertad.</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92" w:tooltip="Ramush Haradinaj" w:history="1">
              <w:proofErr w:type="spellStart"/>
              <w:r w:rsidR="00462619" w:rsidRPr="00561363">
                <w:rPr>
                  <w:rFonts w:eastAsia="Times New Roman" w:cstheme="minorHAnsi"/>
                  <w:sz w:val="20"/>
                  <w:szCs w:val="20"/>
                  <w:lang w:eastAsia="es-EC"/>
                </w:rPr>
                <w:t>Ramush</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Haradinaj</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Albanés, Primer Ministro de </w:t>
            </w:r>
            <w:hyperlink r:id="rId93" w:tooltip="Kosovo" w:history="1">
              <w:r w:rsidRPr="00561363">
                <w:rPr>
                  <w:rFonts w:eastAsia="Times New Roman" w:cstheme="minorHAnsi"/>
                  <w:sz w:val="20"/>
                  <w:szCs w:val="20"/>
                  <w:lang w:eastAsia="es-EC"/>
                </w:rPr>
                <w:t>Kosovo</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Acusado de acciones cometidas siendo comandante regional del </w:t>
            </w:r>
            <w:hyperlink r:id="rId94" w:tooltip="Ejército de Liberación de Kosovo" w:history="1">
              <w:r w:rsidRPr="00561363">
                <w:rPr>
                  <w:rFonts w:eastAsia="Times New Roman" w:cstheme="minorHAnsi"/>
                  <w:sz w:val="20"/>
                  <w:szCs w:val="20"/>
                  <w:lang w:eastAsia="es-EC"/>
                </w:rPr>
                <w:t>Ejército de Liberación de Kosovo</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Absuelto en mayo de 2008, después de la muerte y desaparición de los testigos; su caso se reabrió en 2010.</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95" w:tooltip="Janko Janjić (aún no redactado)" w:history="1">
              <w:proofErr w:type="spellStart"/>
              <w:r w:rsidR="00462619" w:rsidRPr="00561363">
                <w:rPr>
                  <w:rFonts w:eastAsia="Times New Roman" w:cstheme="minorHAnsi"/>
                  <w:sz w:val="20"/>
                  <w:szCs w:val="20"/>
                  <w:lang w:eastAsia="es-EC"/>
                </w:rPr>
                <w:t>Janko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Janjić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 oficial de policía militar</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Acusado de violaciones y torturas en </w:t>
            </w:r>
            <w:hyperlink r:id="rId96" w:tooltip="Foča" w:history="1">
              <w:proofErr w:type="spellStart"/>
              <w:r w:rsidRPr="00561363">
                <w:rPr>
                  <w:rFonts w:eastAsia="Times New Roman" w:cstheme="minorHAnsi"/>
                  <w:sz w:val="20"/>
                  <w:szCs w:val="20"/>
                  <w:lang w:eastAsia="es-EC"/>
                </w:rPr>
                <w:t>Foča</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Muerto durante su arresto, en el que resultaron heridos 4 soldados de </w:t>
            </w:r>
            <w:hyperlink r:id="rId97" w:tooltip="SFOR" w:history="1">
              <w:r w:rsidRPr="00561363">
                <w:rPr>
                  <w:rFonts w:eastAsia="Times New Roman" w:cstheme="minorHAnsi"/>
                  <w:sz w:val="20"/>
                  <w:szCs w:val="20"/>
                  <w:lang w:eastAsia="es-EC"/>
                </w:rPr>
                <w:t>SFOR</w:t>
              </w:r>
            </w:hyperlink>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98" w:tooltip="Nikica Janjić (aún no redactado)" w:history="1">
              <w:proofErr w:type="spellStart"/>
              <w:r w:rsidR="00462619" w:rsidRPr="00561363">
                <w:rPr>
                  <w:rFonts w:eastAsia="Times New Roman" w:cstheme="minorHAnsi"/>
                  <w:sz w:val="20"/>
                  <w:szCs w:val="20"/>
                  <w:lang w:eastAsia="es-EC"/>
                </w:rPr>
                <w:t>Nikica</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Janjić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 guardia de prisión</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Acusado de torturas y asesinatos en los campos de </w:t>
            </w:r>
            <w:proofErr w:type="spellStart"/>
            <w:r w:rsidRPr="00561363">
              <w:rPr>
                <w:rFonts w:eastAsia="Times New Roman" w:cstheme="minorHAnsi"/>
                <w:sz w:val="20"/>
                <w:szCs w:val="20"/>
                <w:lang w:eastAsia="es-EC"/>
              </w:rPr>
              <w:t>Omarska</w:t>
            </w:r>
            <w:proofErr w:type="spellEnd"/>
            <w:r w:rsidRPr="00561363">
              <w:rPr>
                <w:rFonts w:eastAsia="Times New Roman" w:cstheme="minorHAnsi"/>
                <w:sz w:val="20"/>
                <w:szCs w:val="20"/>
                <w:lang w:eastAsia="es-EC"/>
              </w:rPr>
              <w:t xml:space="preserve"> y </w:t>
            </w:r>
            <w:proofErr w:type="spellStart"/>
            <w:r w:rsidRPr="00561363">
              <w:rPr>
                <w:rFonts w:eastAsia="Times New Roman" w:cstheme="minorHAnsi"/>
                <w:sz w:val="20"/>
                <w:szCs w:val="20"/>
                <w:lang w:eastAsia="es-EC"/>
              </w:rPr>
              <w:t>Keraterm</w:t>
            </w:r>
            <w:proofErr w:type="spellEnd"/>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Fallecido sin ser arrestado.</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99" w:tooltip="Gojko Janković (aún no redactado)" w:history="1">
              <w:proofErr w:type="spellStart"/>
              <w:r w:rsidR="00462619" w:rsidRPr="00561363">
                <w:rPr>
                  <w:rFonts w:eastAsia="Times New Roman" w:cstheme="minorHAnsi"/>
                  <w:sz w:val="20"/>
                  <w:szCs w:val="20"/>
                  <w:lang w:eastAsia="es-EC"/>
                </w:rPr>
                <w:t>Gojko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Janković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Violaciones y torturas en </w:t>
            </w:r>
            <w:proofErr w:type="spellStart"/>
            <w:r w:rsidRPr="00561363">
              <w:rPr>
                <w:rFonts w:eastAsia="Times New Roman" w:cstheme="minorHAnsi"/>
                <w:sz w:val="20"/>
                <w:szCs w:val="20"/>
                <w:lang w:eastAsia="es-EC"/>
              </w:rPr>
              <w:t>Foča</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Caso transferido a tribunal de Bosnia and Herzegovina</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00" w:tooltip="Goran Jelisić (aún no redactado)" w:history="1">
              <w:proofErr w:type="spellStart"/>
              <w:r w:rsidR="00462619" w:rsidRPr="00561363">
                <w:rPr>
                  <w:rFonts w:eastAsia="Times New Roman" w:cstheme="minorHAnsi"/>
                  <w:sz w:val="20"/>
                  <w:szCs w:val="20"/>
                  <w:lang w:eastAsia="es-EC"/>
                </w:rPr>
                <w:t>Goran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Jelisić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Genocidio, asesinatos y actos inhumanos en los campos de Luka y Brcko.»</w:t>
            </w:r>
            <w:hyperlink r:id="rId101" w:anchor="cite_note-22" w:history="1">
              <w:r w:rsidRPr="00561363">
                <w:rPr>
                  <w:rFonts w:eastAsia="Times New Roman" w:cstheme="minorHAnsi"/>
                  <w:vanish/>
                  <w:sz w:val="20"/>
                  <w:szCs w:val="20"/>
                  <w:vertAlign w:val="superscript"/>
                  <w:lang w:eastAsia="es-EC"/>
                </w:rPr>
                <w:t>[</w:t>
              </w:r>
              <w:r w:rsidRPr="00561363">
                <w:rPr>
                  <w:rFonts w:eastAsia="Times New Roman" w:cstheme="minorHAnsi"/>
                  <w:sz w:val="20"/>
                  <w:szCs w:val="20"/>
                  <w:vertAlign w:val="superscript"/>
                  <w:lang w:eastAsia="es-EC"/>
                </w:rPr>
                <w:t>23</w:t>
              </w:r>
              <w:r w:rsidRPr="00561363">
                <w:rPr>
                  <w:rFonts w:eastAsia="Times New Roman" w:cstheme="minorHAnsi"/>
                  <w:vanish/>
                  <w:sz w:val="20"/>
                  <w:szCs w:val="20"/>
                  <w:vertAlign w:val="superscript"/>
                  <w:lang w:eastAsia="es-EC"/>
                </w:rPr>
                <w:t>]</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40 años (encontrado no culpable de genocidio)</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02" w:tooltip="Dragan Jokić (aún no redactado)" w:history="1">
              <w:r w:rsidR="00462619" w:rsidRPr="00561363">
                <w:rPr>
                  <w:rFonts w:eastAsia="Times New Roman" w:cstheme="minorHAnsi"/>
                  <w:sz w:val="20"/>
                  <w:szCs w:val="20"/>
                  <w:lang w:eastAsia="es-EC"/>
                </w:rPr>
                <w:t xml:space="preserve">Dragan </w:t>
              </w:r>
              <w:proofErr w:type="spellStart"/>
              <w:r w:rsidR="00462619" w:rsidRPr="00561363">
                <w:rPr>
                  <w:rFonts w:eastAsia="Times New Roman" w:cstheme="minorHAnsi"/>
                  <w:sz w:val="20"/>
                  <w:szCs w:val="20"/>
                  <w:lang w:eastAsia="es-EC"/>
                </w:rPr>
                <w:t>Jokić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Participación en la </w:t>
            </w:r>
            <w:hyperlink r:id="rId103" w:tooltip="Masacre de Srebrenica" w:history="1">
              <w:r w:rsidRPr="00561363">
                <w:rPr>
                  <w:rFonts w:eastAsia="Times New Roman" w:cstheme="minorHAnsi"/>
                  <w:sz w:val="20"/>
                  <w:szCs w:val="20"/>
                  <w:lang w:eastAsia="es-EC"/>
                </w:rPr>
                <w:t>masacre de Srebrenica</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9 años</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04" w:tooltip="Miodrag Jokić (aún no redactado)" w:history="1">
              <w:proofErr w:type="spellStart"/>
              <w:r w:rsidR="00462619" w:rsidRPr="00561363">
                <w:rPr>
                  <w:rFonts w:eastAsia="Times New Roman" w:cstheme="minorHAnsi"/>
                  <w:sz w:val="20"/>
                  <w:szCs w:val="20"/>
                  <w:lang w:eastAsia="es-EC"/>
                </w:rPr>
                <w:t>Miodrag</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Jokić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Serbio, almirante de la armada yugoslava.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Bombardeo de </w:t>
            </w:r>
            <w:hyperlink r:id="rId105" w:tooltip="Dubrovnik" w:history="1">
              <w:proofErr w:type="spellStart"/>
              <w:r w:rsidRPr="00561363">
                <w:rPr>
                  <w:rFonts w:eastAsia="Times New Roman" w:cstheme="minorHAnsi"/>
                  <w:sz w:val="20"/>
                  <w:szCs w:val="20"/>
                  <w:lang w:eastAsia="es-EC"/>
                </w:rPr>
                <w:t>Dubrovnik</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7 años</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06" w:tooltip="Drago Josipović (aún no redactado)" w:history="1">
              <w:r w:rsidR="00462619" w:rsidRPr="00561363">
                <w:rPr>
                  <w:rFonts w:eastAsia="Times New Roman" w:cstheme="minorHAnsi"/>
                  <w:sz w:val="20"/>
                  <w:szCs w:val="20"/>
                  <w:lang w:eastAsia="es-EC"/>
                </w:rPr>
                <w:t xml:space="preserve">Drago </w:t>
              </w:r>
              <w:proofErr w:type="spellStart"/>
              <w:r w:rsidR="00462619" w:rsidRPr="00561363">
                <w:rPr>
                  <w:rFonts w:eastAsia="Times New Roman" w:cstheme="minorHAnsi"/>
                  <w:sz w:val="20"/>
                  <w:szCs w:val="20"/>
                  <w:lang w:eastAsia="es-EC"/>
                </w:rPr>
                <w:t>Josipović</w:t>
              </w:r>
              <w:proofErr w:type="spellEnd"/>
            </w:hyperlink>
          </w:p>
        </w:tc>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07" w:tooltip="Bosniocroata" w:history="1">
              <w:proofErr w:type="spellStart"/>
              <w:r w:rsidR="00462619" w:rsidRPr="00561363">
                <w:rPr>
                  <w:rFonts w:eastAsia="Times New Roman" w:cstheme="minorHAnsi"/>
                  <w:sz w:val="20"/>
                  <w:szCs w:val="20"/>
                  <w:lang w:eastAsia="es-EC"/>
                </w:rPr>
                <w:t>Bosniocroata</w:t>
              </w:r>
              <w:proofErr w:type="spellEnd"/>
            </w:hyperlink>
            <w:r w:rsidR="00462619" w:rsidRPr="00561363">
              <w:rPr>
                <w:rFonts w:eastAsia="Times New Roman" w:cstheme="minorHAnsi"/>
                <w:sz w:val="20"/>
                <w:szCs w:val="20"/>
                <w:lang w:eastAsia="es-EC"/>
              </w:rPr>
              <w:t xml:space="preserve">, miembro del </w:t>
            </w:r>
            <w:hyperlink r:id="rId108" w:tooltip="HVO" w:history="1">
              <w:r w:rsidR="00462619" w:rsidRPr="00561363">
                <w:rPr>
                  <w:rFonts w:eastAsia="Times New Roman" w:cstheme="minorHAnsi"/>
                  <w:sz w:val="20"/>
                  <w:szCs w:val="20"/>
                  <w:lang w:eastAsia="es-EC"/>
                </w:rPr>
                <w:t>HVO</w:t>
              </w:r>
            </w:hyperlink>
            <w:r w:rsidR="00462619"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Masacres del valle del </w:t>
            </w:r>
            <w:hyperlink r:id="rId109" w:tooltip="Lašva" w:history="1">
              <w:proofErr w:type="spellStart"/>
              <w:r w:rsidRPr="00561363">
                <w:rPr>
                  <w:rFonts w:eastAsia="Times New Roman" w:cstheme="minorHAnsi"/>
                  <w:sz w:val="20"/>
                  <w:szCs w:val="20"/>
                  <w:lang w:eastAsia="es-EC"/>
                </w:rPr>
                <w:t>Lašva</w:t>
              </w:r>
              <w:proofErr w:type="spellEnd"/>
            </w:hyperlink>
            <w:r w:rsidRPr="00561363">
              <w:rPr>
                <w:rFonts w:eastAsia="Times New Roman" w:cstheme="minorHAnsi"/>
                <w:sz w:val="20"/>
                <w:szCs w:val="20"/>
                <w:lang w:eastAsia="es-EC"/>
              </w:rPr>
              <w:t xml:space="preserve"> contra civiles bosnios.</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12 años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10" w:tooltip="Radovan Karadžić" w:history="1">
              <w:r w:rsidR="00462619" w:rsidRPr="00561363">
                <w:rPr>
                  <w:rFonts w:eastAsia="Times New Roman" w:cstheme="minorHAnsi"/>
                  <w:sz w:val="20"/>
                  <w:szCs w:val="20"/>
                  <w:lang w:eastAsia="es-EC"/>
                </w:rPr>
                <w:t xml:space="preserve">Radovan </w:t>
              </w:r>
              <w:proofErr w:type="spellStart"/>
              <w:r w:rsidR="00462619" w:rsidRPr="00561363">
                <w:rPr>
                  <w:rFonts w:eastAsia="Times New Roman" w:cstheme="minorHAnsi"/>
                  <w:sz w:val="20"/>
                  <w:szCs w:val="20"/>
                  <w:lang w:eastAsia="es-EC"/>
                </w:rPr>
                <w:t>Karadžić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Serbobosnio, ex presidente de la </w:t>
            </w:r>
            <w:hyperlink r:id="rId111" w:tooltip="República Srpska" w:history="1">
              <w:r w:rsidRPr="00561363">
                <w:rPr>
                  <w:rFonts w:eastAsia="Times New Roman" w:cstheme="minorHAnsi"/>
                  <w:sz w:val="20"/>
                  <w:szCs w:val="20"/>
                  <w:lang w:eastAsia="es-EC"/>
                </w:rPr>
                <w:t xml:space="preserve">República </w:t>
              </w:r>
              <w:proofErr w:type="spellStart"/>
              <w:r w:rsidRPr="00561363">
                <w:rPr>
                  <w:rFonts w:eastAsia="Times New Roman" w:cstheme="minorHAnsi"/>
                  <w:sz w:val="20"/>
                  <w:szCs w:val="20"/>
                  <w:lang w:eastAsia="es-EC"/>
                </w:rPr>
                <w:t>Srpska</w:t>
              </w:r>
              <w:proofErr w:type="spellEnd"/>
            </w:hyperlink>
          </w:p>
        </w:tc>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12" w:tooltip="Genocidio" w:history="1">
              <w:r w:rsidR="00462619" w:rsidRPr="00561363">
                <w:rPr>
                  <w:rFonts w:eastAsia="Times New Roman" w:cstheme="minorHAnsi"/>
                  <w:sz w:val="20"/>
                  <w:szCs w:val="20"/>
                  <w:lang w:eastAsia="es-EC"/>
                </w:rPr>
                <w:t>Genocidio</w:t>
              </w:r>
            </w:hyperlink>
            <w:r w:rsidR="00462619" w:rsidRPr="00561363">
              <w:rPr>
                <w:rFonts w:eastAsia="Times New Roman" w:cstheme="minorHAnsi"/>
                <w:sz w:val="20"/>
                <w:szCs w:val="20"/>
                <w:lang w:eastAsia="es-EC"/>
              </w:rPr>
              <w:t xml:space="preserve">, </w:t>
            </w:r>
            <w:hyperlink r:id="rId113" w:tooltip="Crímenes contra la humanidad" w:history="1">
              <w:r w:rsidR="00462619" w:rsidRPr="00561363">
                <w:rPr>
                  <w:rFonts w:eastAsia="Times New Roman" w:cstheme="minorHAnsi"/>
                  <w:sz w:val="20"/>
                  <w:szCs w:val="20"/>
                  <w:lang w:eastAsia="es-EC"/>
                </w:rPr>
                <w:t>crímenes contra la humanidad</w:t>
              </w:r>
            </w:hyperlink>
            <w:r w:rsidR="00462619" w:rsidRPr="00561363">
              <w:rPr>
                <w:rFonts w:eastAsia="Times New Roman" w:cstheme="minorHAnsi"/>
                <w:sz w:val="20"/>
                <w:szCs w:val="20"/>
                <w:lang w:eastAsia="es-EC"/>
              </w:rPr>
              <w:t xml:space="preserve">, violaciones de las leyes y costumbres de la guerra, </w:t>
            </w:r>
            <w:proofErr w:type="spellStart"/>
            <w:r w:rsidR="00462619" w:rsidRPr="00561363">
              <w:rPr>
                <w:rFonts w:eastAsia="Times New Roman" w:cstheme="minorHAnsi"/>
                <w:sz w:val="20"/>
                <w:szCs w:val="20"/>
                <w:lang w:eastAsia="es-EC"/>
              </w:rPr>
              <w:t>violaciónes</w:t>
            </w:r>
            <w:proofErr w:type="spellEnd"/>
            <w:r w:rsidR="00462619" w:rsidRPr="00561363">
              <w:rPr>
                <w:rFonts w:eastAsia="Times New Roman" w:cstheme="minorHAnsi"/>
                <w:sz w:val="20"/>
                <w:szCs w:val="20"/>
                <w:lang w:eastAsia="es-EC"/>
              </w:rPr>
              <w:t xml:space="preserve"> de la Convención de Ginebra de 1949.</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En juicio</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14" w:tooltip="Marinko Katava (aún no redactado)" w:history="1">
              <w:proofErr w:type="spellStart"/>
              <w:r w:rsidR="00462619" w:rsidRPr="00561363">
                <w:rPr>
                  <w:rFonts w:eastAsia="Times New Roman" w:cstheme="minorHAnsi"/>
                  <w:sz w:val="20"/>
                  <w:szCs w:val="20"/>
                  <w:lang w:eastAsia="es-EC"/>
                </w:rPr>
                <w:t>Marinko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Katava</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roofErr w:type="spellStart"/>
            <w:r w:rsidRPr="00561363">
              <w:rPr>
                <w:rFonts w:eastAsia="Times New Roman" w:cstheme="minorHAnsi"/>
                <w:sz w:val="20"/>
                <w:szCs w:val="20"/>
                <w:lang w:eastAsia="es-EC"/>
              </w:rPr>
              <w:t>Bosniocroata</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Participación en la campaña contra los musulmanes de Bosnia </w:t>
            </w:r>
            <w:r w:rsidRPr="00561363">
              <w:rPr>
                <w:rFonts w:eastAsia="Times New Roman" w:cstheme="minorHAnsi"/>
                <w:sz w:val="20"/>
                <w:szCs w:val="20"/>
                <w:lang w:eastAsia="es-EC"/>
              </w:rPr>
              <w:lastRenderedPageBreak/>
              <w:t>Central en 1993</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lastRenderedPageBreak/>
              <w:t>Acusación retirada por falta de pruebas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15" w:tooltip="Duško Knežević (aún no redactado)" w:history="1">
              <w:proofErr w:type="spellStart"/>
              <w:r w:rsidR="00462619" w:rsidRPr="00561363">
                <w:rPr>
                  <w:rFonts w:eastAsia="Times New Roman" w:cstheme="minorHAnsi"/>
                  <w:sz w:val="20"/>
                  <w:szCs w:val="20"/>
                  <w:lang w:eastAsia="es-EC"/>
                </w:rPr>
                <w:t>Duško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Knežević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Implicación el caso del </w:t>
            </w:r>
            <w:hyperlink r:id="rId116" w:tooltip="Campo de Omarska (aún no redactado)" w:history="1">
              <w:r w:rsidRPr="00561363">
                <w:rPr>
                  <w:rFonts w:eastAsia="Times New Roman" w:cstheme="minorHAnsi"/>
                  <w:sz w:val="20"/>
                  <w:szCs w:val="20"/>
                  <w:lang w:eastAsia="es-EC"/>
                </w:rPr>
                <w:t xml:space="preserve">campo de </w:t>
              </w:r>
              <w:proofErr w:type="spellStart"/>
              <w:r w:rsidRPr="00561363">
                <w:rPr>
                  <w:rFonts w:eastAsia="Times New Roman" w:cstheme="minorHAnsi"/>
                  <w:sz w:val="20"/>
                  <w:szCs w:val="20"/>
                  <w:lang w:eastAsia="es-EC"/>
                </w:rPr>
                <w:t>Omarska</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Caso transferido a Bosnia-Herzegovina</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17" w:tooltip="Dragan Kolundžija (aún no redactado)" w:history="1">
              <w:r w:rsidR="00462619" w:rsidRPr="00561363">
                <w:rPr>
                  <w:rFonts w:eastAsia="Times New Roman" w:cstheme="minorHAnsi"/>
                  <w:sz w:val="20"/>
                  <w:szCs w:val="20"/>
                  <w:lang w:eastAsia="es-EC"/>
                </w:rPr>
                <w:t xml:space="preserve">Dragan </w:t>
              </w:r>
              <w:proofErr w:type="spellStart"/>
              <w:r w:rsidR="00462619" w:rsidRPr="00561363">
                <w:rPr>
                  <w:rFonts w:eastAsia="Times New Roman" w:cstheme="minorHAnsi"/>
                  <w:sz w:val="20"/>
                  <w:szCs w:val="20"/>
                  <w:lang w:eastAsia="es-EC"/>
                </w:rPr>
                <w:t>Kolundžija</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Crímenes contra la población no serbia de la municipalidad de </w:t>
            </w:r>
            <w:proofErr w:type="spellStart"/>
            <w:r w:rsidRPr="00561363">
              <w:rPr>
                <w:rFonts w:eastAsia="Times New Roman" w:cstheme="minorHAnsi"/>
                <w:sz w:val="20"/>
                <w:szCs w:val="20"/>
                <w:lang w:eastAsia="es-EC"/>
              </w:rPr>
              <w:t>Prijedor</w:t>
            </w:r>
            <w:proofErr w:type="spellEnd"/>
            <w:r w:rsidRPr="00561363">
              <w:rPr>
                <w:rFonts w:eastAsia="Times New Roman" w:cstheme="minorHAnsi"/>
                <w:sz w:val="20"/>
                <w:szCs w:val="20"/>
                <w:lang w:eastAsia="es-EC"/>
              </w:rPr>
              <w:t xml:space="preserve"> en el </w:t>
            </w:r>
            <w:hyperlink r:id="rId118" w:tooltip="Campo de Keraterm (aún no redactado)" w:history="1">
              <w:r w:rsidRPr="00561363">
                <w:rPr>
                  <w:rFonts w:eastAsia="Times New Roman" w:cstheme="minorHAnsi"/>
                  <w:sz w:val="20"/>
                  <w:szCs w:val="20"/>
                  <w:lang w:eastAsia="es-EC"/>
                </w:rPr>
                <w:t xml:space="preserve">campo de </w:t>
              </w:r>
              <w:proofErr w:type="spellStart"/>
              <w:r w:rsidRPr="00561363">
                <w:rPr>
                  <w:rFonts w:eastAsia="Times New Roman" w:cstheme="minorHAnsi"/>
                  <w:sz w:val="20"/>
                  <w:szCs w:val="20"/>
                  <w:lang w:eastAsia="es-EC"/>
                </w:rPr>
                <w:t>Keraterm</w:t>
              </w:r>
              <w:proofErr w:type="spellEnd"/>
            </w:hyperlink>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3 años, concedida la libertad anticipada.</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19" w:tooltip="Dragan Kondić (aún no redactado)" w:history="1">
              <w:r w:rsidR="00462619" w:rsidRPr="00561363">
                <w:rPr>
                  <w:rFonts w:eastAsia="Times New Roman" w:cstheme="minorHAnsi"/>
                  <w:sz w:val="20"/>
                  <w:szCs w:val="20"/>
                  <w:lang w:eastAsia="es-EC"/>
                </w:rPr>
                <w:t xml:space="preserve">Dragan </w:t>
              </w:r>
              <w:proofErr w:type="spellStart"/>
              <w:r w:rsidR="00462619" w:rsidRPr="00561363">
                <w:rPr>
                  <w:rFonts w:eastAsia="Times New Roman" w:cstheme="minorHAnsi"/>
                  <w:sz w:val="20"/>
                  <w:szCs w:val="20"/>
                  <w:lang w:eastAsia="es-EC"/>
                </w:rPr>
                <w:t>Kondić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Acusación retirada</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20" w:tooltip="Dario Kordić" w:history="1">
              <w:proofErr w:type="spellStart"/>
              <w:r w:rsidR="00462619" w:rsidRPr="00561363">
                <w:rPr>
                  <w:rFonts w:eastAsia="Times New Roman" w:cstheme="minorHAnsi"/>
                  <w:sz w:val="20"/>
                  <w:szCs w:val="20"/>
                  <w:lang w:eastAsia="es-EC"/>
                </w:rPr>
                <w:t>Dario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Kordić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roofErr w:type="spellStart"/>
            <w:r w:rsidRPr="00561363">
              <w:rPr>
                <w:rFonts w:eastAsia="Times New Roman" w:cstheme="minorHAnsi"/>
                <w:sz w:val="20"/>
                <w:szCs w:val="20"/>
                <w:lang w:eastAsia="es-EC"/>
              </w:rPr>
              <w:t>Bosniocroata</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Ofensiva en el valle del </w:t>
            </w:r>
            <w:hyperlink r:id="rId121" w:tooltip="Lašva" w:history="1">
              <w:proofErr w:type="spellStart"/>
              <w:r w:rsidRPr="00561363">
                <w:rPr>
                  <w:rFonts w:eastAsia="Times New Roman" w:cstheme="minorHAnsi"/>
                  <w:sz w:val="20"/>
                  <w:szCs w:val="20"/>
                  <w:lang w:eastAsia="es-EC"/>
                </w:rPr>
                <w:t>Lašva</w:t>
              </w:r>
              <w:proofErr w:type="spellEnd"/>
            </w:hyperlink>
            <w:r w:rsidRPr="00561363">
              <w:rPr>
                <w:rFonts w:eastAsia="Times New Roman" w:cstheme="minorHAnsi"/>
                <w:sz w:val="20"/>
                <w:szCs w:val="20"/>
                <w:lang w:eastAsia="es-EC"/>
              </w:rPr>
              <w:t xml:space="preserve">, Bosnia. </w:t>
            </w:r>
            <w:hyperlink r:id="rId122" w:tooltip="Masacre de Ahmici" w:history="1">
              <w:r w:rsidRPr="00561363">
                <w:rPr>
                  <w:rFonts w:eastAsia="Times New Roman" w:cstheme="minorHAnsi"/>
                  <w:sz w:val="20"/>
                  <w:szCs w:val="20"/>
                  <w:lang w:eastAsia="es-EC"/>
                </w:rPr>
                <w:t xml:space="preserve">Masacre de </w:t>
              </w:r>
              <w:proofErr w:type="spellStart"/>
              <w:r w:rsidRPr="00561363">
                <w:rPr>
                  <w:rFonts w:eastAsia="Times New Roman" w:cstheme="minorHAnsi"/>
                  <w:sz w:val="20"/>
                  <w:szCs w:val="20"/>
                  <w:lang w:eastAsia="es-EC"/>
                </w:rPr>
                <w:t>Ahmici</w:t>
              </w:r>
              <w:proofErr w:type="spellEnd"/>
            </w:hyperlink>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25 años</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23" w:tooltip="Milojica Kos (aún no redactado)" w:history="1">
              <w:proofErr w:type="spellStart"/>
              <w:r w:rsidR="00462619" w:rsidRPr="00561363">
                <w:rPr>
                  <w:rFonts w:eastAsia="Times New Roman" w:cstheme="minorHAnsi"/>
                  <w:sz w:val="20"/>
                  <w:szCs w:val="20"/>
                  <w:lang w:eastAsia="es-EC"/>
                </w:rPr>
                <w:t>Milojica</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Kos</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6 años, concedida la libertad anticipada.</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24" w:tooltip="Predag Kostić (aún no redactado)" w:history="1">
              <w:proofErr w:type="spellStart"/>
              <w:r w:rsidR="00462619" w:rsidRPr="00561363">
                <w:rPr>
                  <w:rFonts w:eastAsia="Times New Roman" w:cstheme="minorHAnsi"/>
                  <w:sz w:val="20"/>
                  <w:szCs w:val="20"/>
                  <w:lang w:eastAsia="es-EC"/>
                </w:rPr>
                <w:t>Predag</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Kostić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Acusación retirada</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25" w:tooltip="Radomir Kovač (aún no redactado)" w:history="1">
              <w:proofErr w:type="spellStart"/>
              <w:r w:rsidR="00462619" w:rsidRPr="00561363">
                <w:rPr>
                  <w:rFonts w:eastAsia="Times New Roman" w:cstheme="minorHAnsi"/>
                  <w:sz w:val="20"/>
                  <w:szCs w:val="20"/>
                  <w:lang w:eastAsia="es-EC"/>
                </w:rPr>
                <w:t>Radomir</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Kovač</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Violaciones masivas y torturas en </w:t>
            </w:r>
            <w:hyperlink r:id="rId126" w:tooltip="Foča" w:history="1">
              <w:proofErr w:type="spellStart"/>
              <w:r w:rsidRPr="00561363">
                <w:rPr>
                  <w:rFonts w:eastAsia="Times New Roman" w:cstheme="minorHAnsi"/>
                  <w:sz w:val="20"/>
                  <w:szCs w:val="20"/>
                  <w:lang w:eastAsia="es-EC"/>
                </w:rPr>
                <w:t>Foča</w:t>
              </w:r>
              <w:proofErr w:type="spellEnd"/>
            </w:hyperlink>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20 años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27" w:tooltip="Milan Kovačević (aún no redactado)" w:history="1">
              <w:proofErr w:type="spellStart"/>
              <w:r w:rsidR="00462619" w:rsidRPr="00561363">
                <w:rPr>
                  <w:rFonts w:eastAsia="Times New Roman" w:cstheme="minorHAnsi"/>
                  <w:sz w:val="20"/>
                  <w:szCs w:val="20"/>
                  <w:lang w:eastAsia="es-EC"/>
                </w:rPr>
                <w:t>Milan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Kovačević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Caso </w:t>
            </w:r>
            <w:hyperlink r:id="rId128" w:tooltip="Prijedor" w:history="1">
              <w:proofErr w:type="spellStart"/>
              <w:r w:rsidRPr="00561363">
                <w:rPr>
                  <w:rFonts w:eastAsia="Times New Roman" w:cstheme="minorHAnsi"/>
                  <w:sz w:val="20"/>
                  <w:szCs w:val="20"/>
                  <w:lang w:eastAsia="es-EC"/>
                </w:rPr>
                <w:t>Prijedor</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Fallecido antes de concluir su juicio.</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29" w:tooltip="Vladimir Kovačević (aún no redactado)" w:history="1">
              <w:r w:rsidR="00462619" w:rsidRPr="00561363">
                <w:rPr>
                  <w:rFonts w:eastAsia="Times New Roman" w:cstheme="minorHAnsi"/>
                  <w:sz w:val="20"/>
                  <w:szCs w:val="20"/>
                  <w:lang w:eastAsia="es-EC"/>
                </w:rPr>
                <w:t xml:space="preserve">Vladimir </w:t>
              </w:r>
              <w:proofErr w:type="spellStart"/>
              <w:r w:rsidR="00462619" w:rsidRPr="00561363">
                <w:rPr>
                  <w:rFonts w:eastAsia="Times New Roman" w:cstheme="minorHAnsi"/>
                  <w:sz w:val="20"/>
                  <w:szCs w:val="20"/>
                  <w:lang w:eastAsia="es-EC"/>
                </w:rPr>
                <w:t>Kovačević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Montenegrino, comandante del </w:t>
            </w:r>
            <w:hyperlink r:id="rId130" w:tooltip="JNA" w:history="1">
              <w:r w:rsidRPr="00561363">
                <w:rPr>
                  <w:rFonts w:eastAsia="Times New Roman" w:cstheme="minorHAnsi"/>
                  <w:sz w:val="20"/>
                  <w:szCs w:val="20"/>
                  <w:lang w:eastAsia="es-EC"/>
                </w:rPr>
                <w:t>JNA</w:t>
              </w:r>
            </w:hyperlink>
            <w:r w:rsidRPr="00561363">
              <w:rPr>
                <w:rFonts w:eastAsia="Times New Roman" w:cstheme="minorHAnsi"/>
                <w:sz w:val="20"/>
                <w:szCs w:val="20"/>
                <w:lang w:eastAsia="es-EC"/>
              </w:rPr>
              <w:t>.</w:t>
            </w:r>
          </w:p>
        </w:tc>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31" w:tooltip="Asedio de Dubrovnik (aún no redactado)" w:history="1">
              <w:r w:rsidR="00462619" w:rsidRPr="00561363">
                <w:rPr>
                  <w:rFonts w:eastAsia="Times New Roman" w:cstheme="minorHAnsi"/>
                  <w:sz w:val="20"/>
                  <w:szCs w:val="20"/>
                  <w:lang w:eastAsia="es-EC"/>
                </w:rPr>
                <w:t xml:space="preserve">Asedio de </w:t>
              </w:r>
              <w:proofErr w:type="spellStart"/>
              <w:r w:rsidR="00462619" w:rsidRPr="00561363">
                <w:rPr>
                  <w:rFonts w:eastAsia="Times New Roman" w:cstheme="minorHAnsi"/>
                  <w:sz w:val="20"/>
                  <w:szCs w:val="20"/>
                  <w:lang w:eastAsia="es-EC"/>
                </w:rPr>
                <w:t>Dubrovnik</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No apto para ser juzgado.</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32" w:tooltip="Momčilo Krajišnik (aún no redactado)" w:history="1">
              <w:proofErr w:type="spellStart"/>
              <w:r w:rsidR="00462619" w:rsidRPr="00561363">
                <w:rPr>
                  <w:rFonts w:eastAsia="Times New Roman" w:cstheme="minorHAnsi"/>
                  <w:sz w:val="20"/>
                  <w:szCs w:val="20"/>
                  <w:lang w:eastAsia="es-EC"/>
                </w:rPr>
                <w:t>Momčilo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Krajišnik</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Serbobosnio, primer ministro de la </w:t>
            </w:r>
            <w:hyperlink r:id="rId133" w:tooltip="Republika Srpska" w:history="1">
              <w:proofErr w:type="spellStart"/>
              <w:r w:rsidRPr="00561363">
                <w:rPr>
                  <w:rFonts w:eastAsia="Times New Roman" w:cstheme="minorHAnsi"/>
                  <w:sz w:val="20"/>
                  <w:szCs w:val="20"/>
                  <w:lang w:eastAsia="es-EC"/>
                </w:rPr>
                <w:t>Republika</w:t>
              </w:r>
              <w:proofErr w:type="spellEnd"/>
              <w:r w:rsidRPr="00561363">
                <w:rPr>
                  <w:rFonts w:eastAsia="Times New Roman" w:cstheme="minorHAnsi"/>
                  <w:sz w:val="20"/>
                  <w:szCs w:val="20"/>
                  <w:lang w:eastAsia="es-EC"/>
                </w:rPr>
                <w:t xml:space="preserve"> </w:t>
              </w:r>
              <w:proofErr w:type="spellStart"/>
              <w:r w:rsidRPr="00561363">
                <w:rPr>
                  <w:rFonts w:eastAsia="Times New Roman" w:cstheme="minorHAnsi"/>
                  <w:sz w:val="20"/>
                  <w:szCs w:val="20"/>
                  <w:lang w:eastAsia="es-EC"/>
                </w:rPr>
                <w:t>Srpska</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Genocidio, asesinato, exterminio, deportación, y persecución.</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27 años de prisión (encontrado no culpable de genocidio)</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34" w:tooltip="Milorad Krnojelac (aún no redactado)" w:history="1">
              <w:proofErr w:type="spellStart"/>
              <w:r w:rsidR="00462619" w:rsidRPr="00561363">
                <w:rPr>
                  <w:rFonts w:eastAsia="Times New Roman" w:cstheme="minorHAnsi"/>
                  <w:sz w:val="20"/>
                  <w:szCs w:val="20"/>
                  <w:lang w:eastAsia="es-EC"/>
                </w:rPr>
                <w:t>Milorad</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Krnojelac</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 comandante de prisión.</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Actos en el campo de detención de </w:t>
            </w:r>
            <w:proofErr w:type="spellStart"/>
            <w:r w:rsidRPr="00561363">
              <w:rPr>
                <w:rFonts w:eastAsia="Times New Roman" w:cstheme="minorHAnsi"/>
                <w:sz w:val="20"/>
                <w:szCs w:val="20"/>
                <w:lang w:eastAsia="es-EC"/>
              </w:rPr>
              <w:t>Foča</w:t>
            </w:r>
            <w:proofErr w:type="spellEnd"/>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15 años.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35" w:tooltip="Radislav Krstić" w:history="1">
              <w:proofErr w:type="spellStart"/>
              <w:r w:rsidR="00462619" w:rsidRPr="00561363">
                <w:rPr>
                  <w:rFonts w:eastAsia="Times New Roman" w:cstheme="minorHAnsi"/>
                  <w:sz w:val="20"/>
                  <w:szCs w:val="20"/>
                  <w:lang w:eastAsia="es-EC"/>
                </w:rPr>
                <w:t>Radislav</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Krstić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 General del VRS</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Genocidio, crímenes contra la humanidad, violación de las leyes y costumbres de la guerra.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35 años (Originalmente 46 años)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36" w:tooltip="Amir Kubura (aún no redactado)" w:history="1">
              <w:r w:rsidR="00462619" w:rsidRPr="00561363">
                <w:rPr>
                  <w:rFonts w:eastAsia="Times New Roman" w:cstheme="minorHAnsi"/>
                  <w:sz w:val="20"/>
                  <w:szCs w:val="20"/>
                  <w:lang w:eastAsia="es-EC"/>
                </w:rPr>
                <w:t xml:space="preserve">Amir </w:t>
              </w:r>
              <w:proofErr w:type="spellStart"/>
              <w:r w:rsidR="00462619" w:rsidRPr="00561363">
                <w:rPr>
                  <w:rFonts w:eastAsia="Times New Roman" w:cstheme="minorHAnsi"/>
                  <w:sz w:val="20"/>
                  <w:szCs w:val="20"/>
                  <w:lang w:eastAsia="es-EC"/>
                </w:rPr>
                <w:t>Kubura</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Bosnio, Comandante en Jefe de la 7ª Brigada de Montaña del </w:t>
            </w:r>
            <w:proofErr w:type="spellStart"/>
            <w:r w:rsidRPr="00561363">
              <w:rPr>
                <w:rFonts w:eastAsia="Times New Roman" w:cstheme="minorHAnsi"/>
                <w:sz w:val="20"/>
                <w:szCs w:val="20"/>
                <w:lang w:eastAsia="es-EC"/>
              </w:rPr>
              <w:t>ARBiH</w:t>
            </w:r>
            <w:proofErr w:type="spellEnd"/>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Responsabilidad en actos de asesinato y destrucción sin sentido en </w:t>
            </w:r>
            <w:hyperlink r:id="rId137" w:tooltip="Cantón de Bosnia Central" w:history="1">
              <w:r w:rsidRPr="00561363">
                <w:rPr>
                  <w:rFonts w:eastAsia="Times New Roman" w:cstheme="minorHAnsi"/>
                  <w:sz w:val="20"/>
                  <w:szCs w:val="20"/>
                  <w:lang w:eastAsia="es-EC"/>
                </w:rPr>
                <w:t>Bosnia Central</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2 años</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38" w:tooltip="Dragoljub Kunarac (aún no redactado)" w:history="1">
              <w:proofErr w:type="spellStart"/>
              <w:r w:rsidR="00462619" w:rsidRPr="00561363">
                <w:rPr>
                  <w:rFonts w:eastAsia="Times New Roman" w:cstheme="minorHAnsi"/>
                  <w:sz w:val="20"/>
                  <w:szCs w:val="20"/>
                  <w:lang w:eastAsia="es-EC"/>
                </w:rPr>
                <w:t>Dragoljub</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Kunarac</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Violaciones masivas y torturas en </w:t>
            </w:r>
            <w:proofErr w:type="spellStart"/>
            <w:r w:rsidRPr="00561363">
              <w:rPr>
                <w:rFonts w:eastAsia="Times New Roman" w:cstheme="minorHAnsi"/>
                <w:sz w:val="20"/>
                <w:szCs w:val="20"/>
                <w:lang w:eastAsia="es-EC"/>
              </w:rPr>
              <w:t>Foča</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28 años.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39" w:tooltip="Mirjan Kupreškić (aún no redactado)" w:history="1">
              <w:proofErr w:type="spellStart"/>
              <w:r w:rsidR="00462619" w:rsidRPr="00561363">
                <w:rPr>
                  <w:rFonts w:eastAsia="Times New Roman" w:cstheme="minorHAnsi"/>
                  <w:sz w:val="20"/>
                  <w:szCs w:val="20"/>
                  <w:lang w:eastAsia="es-EC"/>
                </w:rPr>
                <w:t>Mirjan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Kupreškić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roofErr w:type="spellStart"/>
            <w:r w:rsidRPr="00561363">
              <w:rPr>
                <w:rFonts w:eastAsia="Times New Roman" w:cstheme="minorHAnsi"/>
                <w:sz w:val="20"/>
                <w:szCs w:val="20"/>
                <w:lang w:eastAsia="es-EC"/>
              </w:rPr>
              <w:t>Bosniocroata</w:t>
            </w:r>
            <w:proofErr w:type="spellEnd"/>
            <w:r w:rsidRPr="00561363">
              <w:rPr>
                <w:rFonts w:eastAsia="Times New Roman" w:cstheme="minorHAnsi"/>
                <w:sz w:val="20"/>
                <w:szCs w:val="20"/>
                <w:lang w:eastAsia="es-EC"/>
              </w:rPr>
              <w:t>, miembro del HVO.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Masacres en el valle del </w:t>
            </w:r>
            <w:proofErr w:type="spellStart"/>
            <w:r w:rsidRPr="00561363">
              <w:rPr>
                <w:rFonts w:eastAsia="Times New Roman" w:cstheme="minorHAnsi"/>
                <w:sz w:val="20"/>
                <w:szCs w:val="20"/>
                <w:lang w:eastAsia="es-EC"/>
              </w:rPr>
              <w:t>Lašva</w:t>
            </w:r>
            <w:proofErr w:type="spellEnd"/>
            <w:r w:rsidRPr="00561363">
              <w:rPr>
                <w:rFonts w:eastAsia="Times New Roman" w:cstheme="minorHAnsi"/>
                <w:sz w:val="20"/>
                <w:szCs w:val="20"/>
                <w:lang w:eastAsia="es-EC"/>
              </w:rPr>
              <w:t xml:space="preserve"> contra civiles bosnios.</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Absuelto por la sala de apelaciones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40" w:tooltip="Vlatko Kupreškić (aún no redactado)" w:history="1">
              <w:proofErr w:type="spellStart"/>
              <w:r w:rsidR="00462619" w:rsidRPr="00561363">
                <w:rPr>
                  <w:rFonts w:eastAsia="Times New Roman" w:cstheme="minorHAnsi"/>
                  <w:sz w:val="20"/>
                  <w:szCs w:val="20"/>
                  <w:lang w:eastAsia="es-EC"/>
                </w:rPr>
                <w:t>Vlatko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Kupreškić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roofErr w:type="spellStart"/>
            <w:r w:rsidRPr="00561363">
              <w:rPr>
                <w:rFonts w:eastAsia="Times New Roman" w:cstheme="minorHAnsi"/>
                <w:sz w:val="20"/>
                <w:szCs w:val="20"/>
                <w:lang w:eastAsia="es-EC"/>
              </w:rPr>
              <w:t>Bosniocroata</w:t>
            </w:r>
            <w:proofErr w:type="spellEnd"/>
            <w:r w:rsidRPr="00561363">
              <w:rPr>
                <w:rFonts w:eastAsia="Times New Roman" w:cstheme="minorHAnsi"/>
                <w:sz w:val="20"/>
                <w:szCs w:val="20"/>
                <w:lang w:eastAsia="es-EC"/>
              </w:rPr>
              <w:t>, miembro del HVO.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Masacres en el valle del </w:t>
            </w:r>
            <w:proofErr w:type="spellStart"/>
            <w:r w:rsidRPr="00561363">
              <w:rPr>
                <w:rFonts w:eastAsia="Times New Roman" w:cstheme="minorHAnsi"/>
                <w:sz w:val="20"/>
                <w:szCs w:val="20"/>
                <w:lang w:eastAsia="es-EC"/>
              </w:rPr>
              <w:t>Lašva</w:t>
            </w:r>
            <w:proofErr w:type="spellEnd"/>
            <w:r w:rsidRPr="00561363">
              <w:rPr>
                <w:rFonts w:eastAsia="Times New Roman" w:cstheme="minorHAnsi"/>
                <w:sz w:val="20"/>
                <w:szCs w:val="20"/>
                <w:lang w:eastAsia="es-EC"/>
              </w:rPr>
              <w:t xml:space="preserve"> contra civiles bosnios.</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Absuelto por la sala de apelaciones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41" w:tooltip="Zoran Kupreškić (aún no redactado)" w:history="1">
              <w:proofErr w:type="spellStart"/>
              <w:r w:rsidR="00462619" w:rsidRPr="00561363">
                <w:rPr>
                  <w:rFonts w:eastAsia="Times New Roman" w:cstheme="minorHAnsi"/>
                  <w:sz w:val="20"/>
                  <w:szCs w:val="20"/>
                  <w:lang w:eastAsia="es-EC"/>
                </w:rPr>
                <w:t>Zoran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Kupreškić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roofErr w:type="spellStart"/>
            <w:r w:rsidRPr="00561363">
              <w:rPr>
                <w:rFonts w:eastAsia="Times New Roman" w:cstheme="minorHAnsi"/>
                <w:sz w:val="20"/>
                <w:szCs w:val="20"/>
                <w:lang w:eastAsia="es-EC"/>
              </w:rPr>
              <w:t>Bosniocroata</w:t>
            </w:r>
            <w:proofErr w:type="spellEnd"/>
            <w:r w:rsidRPr="00561363">
              <w:rPr>
                <w:rFonts w:eastAsia="Times New Roman" w:cstheme="minorHAnsi"/>
                <w:sz w:val="20"/>
                <w:szCs w:val="20"/>
                <w:lang w:eastAsia="es-EC"/>
              </w:rPr>
              <w:t>, miembro del HVO.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Masacres en el valle del </w:t>
            </w:r>
            <w:proofErr w:type="spellStart"/>
            <w:r w:rsidRPr="00561363">
              <w:rPr>
                <w:rFonts w:eastAsia="Times New Roman" w:cstheme="minorHAnsi"/>
                <w:sz w:val="20"/>
                <w:szCs w:val="20"/>
                <w:lang w:eastAsia="es-EC"/>
              </w:rPr>
              <w:t>Lašva</w:t>
            </w:r>
            <w:proofErr w:type="spellEnd"/>
            <w:r w:rsidRPr="00561363">
              <w:rPr>
                <w:rFonts w:eastAsia="Times New Roman" w:cstheme="minorHAnsi"/>
                <w:sz w:val="20"/>
                <w:szCs w:val="20"/>
                <w:lang w:eastAsia="es-EC"/>
              </w:rPr>
              <w:t xml:space="preserve"> contra civiles bosnios.</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Absuelto por la sala de apelaciones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42" w:tooltip="Miroslav Kvočka (aún no redactado)" w:history="1">
              <w:proofErr w:type="spellStart"/>
              <w:r w:rsidR="00462619" w:rsidRPr="00561363">
                <w:rPr>
                  <w:rFonts w:eastAsia="Times New Roman" w:cstheme="minorHAnsi"/>
                  <w:sz w:val="20"/>
                  <w:szCs w:val="20"/>
                  <w:lang w:eastAsia="es-EC"/>
                </w:rPr>
                <w:t>Miroslav</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Kvočka</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Campos de </w:t>
            </w:r>
            <w:hyperlink r:id="rId143" w:tooltip="Omarska (aún no redactado)" w:history="1">
              <w:proofErr w:type="spellStart"/>
              <w:r w:rsidRPr="00561363">
                <w:rPr>
                  <w:rFonts w:eastAsia="Times New Roman" w:cstheme="minorHAnsi"/>
                  <w:sz w:val="20"/>
                  <w:szCs w:val="20"/>
                  <w:lang w:eastAsia="es-EC"/>
                </w:rPr>
                <w:t>Omarska</w:t>
              </w:r>
              <w:proofErr w:type="spellEnd"/>
            </w:hyperlink>
            <w:r w:rsidRPr="00561363">
              <w:rPr>
                <w:rFonts w:eastAsia="Times New Roman" w:cstheme="minorHAnsi"/>
                <w:sz w:val="20"/>
                <w:szCs w:val="20"/>
                <w:lang w:eastAsia="es-EC"/>
              </w:rPr>
              <w:t xml:space="preserve"> y </w:t>
            </w:r>
            <w:hyperlink r:id="rId144" w:tooltip="Keraterm (aún no redactado)" w:history="1">
              <w:proofErr w:type="spellStart"/>
              <w:r w:rsidRPr="00561363">
                <w:rPr>
                  <w:rFonts w:eastAsia="Times New Roman" w:cstheme="minorHAnsi"/>
                  <w:sz w:val="20"/>
                  <w:szCs w:val="20"/>
                  <w:lang w:eastAsia="es-EC"/>
                </w:rPr>
                <w:t>Keraterm</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7 años</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45" w:tooltip="Goran Lajić (aún no redactado)" w:history="1">
              <w:proofErr w:type="spellStart"/>
              <w:r w:rsidR="00462619" w:rsidRPr="00561363">
                <w:rPr>
                  <w:rFonts w:eastAsia="Times New Roman" w:cstheme="minorHAnsi"/>
                  <w:sz w:val="20"/>
                  <w:szCs w:val="20"/>
                  <w:lang w:eastAsia="es-EC"/>
                </w:rPr>
                <w:t>Goran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Lajić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Acusación retirada</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46" w:tooltip="Esad Landžo (aún no redactado)" w:history="1">
              <w:proofErr w:type="spellStart"/>
              <w:r w:rsidR="00462619" w:rsidRPr="00561363">
                <w:rPr>
                  <w:rFonts w:eastAsia="Times New Roman" w:cstheme="minorHAnsi"/>
                  <w:sz w:val="20"/>
                  <w:szCs w:val="20"/>
                  <w:lang w:eastAsia="es-EC"/>
                </w:rPr>
                <w:t>Esad</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Landžo</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Bosnio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15 años.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47" w:tooltip="Vladimir Lazarević (aún no redactado)" w:history="1">
              <w:r w:rsidR="00462619" w:rsidRPr="00561363">
                <w:rPr>
                  <w:rFonts w:eastAsia="Times New Roman" w:cstheme="minorHAnsi"/>
                  <w:sz w:val="20"/>
                  <w:szCs w:val="20"/>
                  <w:lang w:eastAsia="es-EC"/>
                </w:rPr>
                <w:t xml:space="preserve">Vladimir </w:t>
              </w:r>
              <w:proofErr w:type="spellStart"/>
              <w:r w:rsidR="00462619" w:rsidRPr="00561363">
                <w:rPr>
                  <w:rFonts w:eastAsia="Times New Roman" w:cstheme="minorHAnsi"/>
                  <w:sz w:val="20"/>
                  <w:szCs w:val="20"/>
                  <w:lang w:eastAsia="es-EC"/>
                </w:rPr>
                <w:t>Lazarević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Serbio, General del ejército.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Crímenes de guerra, deportación y traslado forzoso, asesinato y persecución contra albaneses de </w:t>
            </w:r>
            <w:hyperlink r:id="rId148" w:tooltip="Kosovo" w:history="1">
              <w:r w:rsidRPr="00561363">
                <w:rPr>
                  <w:rFonts w:eastAsia="Times New Roman" w:cstheme="minorHAnsi"/>
                  <w:sz w:val="20"/>
                  <w:szCs w:val="20"/>
                  <w:lang w:eastAsia="es-EC"/>
                </w:rPr>
                <w:t>Kosovo</w:t>
              </w:r>
            </w:hyperlink>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Sentenciado a 15 años de prisión.</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49" w:tooltip="Fatmir Limaj (aún no redactado)" w:history="1">
              <w:proofErr w:type="spellStart"/>
              <w:r w:rsidR="00462619" w:rsidRPr="00561363">
                <w:rPr>
                  <w:rFonts w:eastAsia="Times New Roman" w:cstheme="minorHAnsi"/>
                  <w:sz w:val="20"/>
                  <w:szCs w:val="20"/>
                  <w:lang w:eastAsia="es-EC"/>
                </w:rPr>
                <w:t>Fatmir</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Limaj</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Albanés</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Ataques a civiles serbios de Kosovo (</w:t>
            </w:r>
            <w:hyperlink r:id="rId150" w:tooltip="Campo de prisioneros de Lapušnik" w:history="1">
              <w:r w:rsidRPr="00561363">
                <w:rPr>
                  <w:rFonts w:eastAsia="Times New Roman" w:cstheme="minorHAnsi"/>
                  <w:sz w:val="20"/>
                  <w:szCs w:val="20"/>
                  <w:lang w:eastAsia="es-EC"/>
                </w:rPr>
                <w:t xml:space="preserve">Campo de prisioneros de </w:t>
              </w:r>
              <w:proofErr w:type="spellStart"/>
              <w:r w:rsidRPr="00561363">
                <w:rPr>
                  <w:rFonts w:eastAsia="Times New Roman" w:cstheme="minorHAnsi"/>
                  <w:sz w:val="20"/>
                  <w:szCs w:val="20"/>
                  <w:lang w:eastAsia="es-EC"/>
                </w:rPr>
                <w:t>Lapušnik</w:t>
              </w:r>
              <w:proofErr w:type="spellEnd"/>
            </w:hyperlink>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Absuelto por la Sala de Primera Instancia</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51" w:tooltip="Milan Lukić (aún no redactado)" w:history="1">
              <w:proofErr w:type="spellStart"/>
              <w:r w:rsidR="00462619" w:rsidRPr="00561363">
                <w:rPr>
                  <w:rFonts w:eastAsia="Times New Roman" w:cstheme="minorHAnsi"/>
                  <w:sz w:val="20"/>
                  <w:szCs w:val="20"/>
                  <w:lang w:eastAsia="es-EC"/>
                </w:rPr>
                <w:t>Milan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Lukić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 comandante del grupo paramilitar "Águilas Blancas"</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Asesinato de al menos 100 musulmanes en </w:t>
            </w:r>
            <w:hyperlink r:id="rId152" w:tooltip="Višegrad" w:history="1">
              <w:proofErr w:type="spellStart"/>
              <w:r w:rsidRPr="00561363">
                <w:rPr>
                  <w:rFonts w:eastAsia="Times New Roman" w:cstheme="minorHAnsi"/>
                  <w:sz w:val="20"/>
                  <w:szCs w:val="20"/>
                  <w:lang w:eastAsia="es-EC"/>
                </w:rPr>
                <w:t>Višegrad</w:t>
              </w:r>
              <w:proofErr w:type="spellEnd"/>
            </w:hyperlink>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Capturado en </w:t>
            </w:r>
            <w:hyperlink r:id="rId153" w:tooltip="Argentina" w:history="1">
              <w:r w:rsidRPr="00561363">
                <w:rPr>
                  <w:rFonts w:eastAsia="Times New Roman" w:cstheme="minorHAnsi"/>
                  <w:sz w:val="20"/>
                  <w:szCs w:val="20"/>
                  <w:lang w:eastAsia="es-EC"/>
                </w:rPr>
                <w:t>Argentina</w:t>
              </w:r>
            </w:hyperlink>
            <w:r w:rsidRPr="00561363">
              <w:rPr>
                <w:rFonts w:eastAsia="Times New Roman" w:cstheme="minorHAnsi"/>
                <w:sz w:val="20"/>
                <w:szCs w:val="20"/>
                <w:lang w:eastAsia="es-EC"/>
              </w:rPr>
              <w:t xml:space="preserve">. Sentenciado a </w:t>
            </w:r>
            <w:hyperlink r:id="rId154" w:tooltip="Cadena perpetua" w:history="1">
              <w:r w:rsidRPr="00561363">
                <w:rPr>
                  <w:rFonts w:eastAsia="Times New Roman" w:cstheme="minorHAnsi"/>
                  <w:sz w:val="20"/>
                  <w:szCs w:val="20"/>
                  <w:lang w:eastAsia="es-EC"/>
                </w:rPr>
                <w:t xml:space="preserve">cadena </w:t>
              </w:r>
              <w:proofErr w:type="gramStart"/>
              <w:r w:rsidRPr="00561363">
                <w:rPr>
                  <w:rFonts w:eastAsia="Times New Roman" w:cstheme="minorHAnsi"/>
                  <w:sz w:val="20"/>
                  <w:szCs w:val="20"/>
                  <w:lang w:eastAsia="es-EC"/>
                </w:rPr>
                <w:t>perpetua</w:t>
              </w:r>
              <w:proofErr w:type="gramEnd"/>
            </w:hyperlink>
            <w:r w:rsidRPr="00561363">
              <w:rPr>
                <w:rFonts w:eastAsia="Times New Roman" w:cstheme="minorHAnsi"/>
                <w:sz w:val="20"/>
                <w:szCs w:val="20"/>
                <w:lang w:eastAsia="es-EC"/>
              </w:rPr>
              <w:t>.</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55" w:tooltip="Sredoje Lukić (aún no redactado)" w:history="1">
              <w:proofErr w:type="spellStart"/>
              <w:r w:rsidR="00462619" w:rsidRPr="00561363">
                <w:rPr>
                  <w:rFonts w:eastAsia="Times New Roman" w:cstheme="minorHAnsi"/>
                  <w:sz w:val="20"/>
                  <w:szCs w:val="20"/>
                  <w:lang w:eastAsia="es-EC"/>
                </w:rPr>
                <w:t>Sredoje</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Lukić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 miembro del grupo paramilitar "Vengadores"</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Asesinato de al menos 100 musulmanes en </w:t>
            </w:r>
            <w:hyperlink r:id="rId156" w:tooltip="Višegrad" w:history="1">
              <w:proofErr w:type="spellStart"/>
              <w:r w:rsidRPr="00561363">
                <w:rPr>
                  <w:rFonts w:eastAsia="Times New Roman" w:cstheme="minorHAnsi"/>
                  <w:sz w:val="20"/>
                  <w:szCs w:val="20"/>
                  <w:lang w:eastAsia="es-EC"/>
                </w:rPr>
                <w:t>Višegrad</w:t>
              </w:r>
              <w:proofErr w:type="spellEnd"/>
            </w:hyperlink>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30 años de prisión.</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57" w:tooltip="Sreten Lukić (aún no redactado)" w:history="1">
              <w:proofErr w:type="spellStart"/>
              <w:r w:rsidR="00462619" w:rsidRPr="00561363">
                <w:rPr>
                  <w:rFonts w:eastAsia="Times New Roman" w:cstheme="minorHAnsi"/>
                  <w:sz w:val="20"/>
                  <w:szCs w:val="20"/>
                  <w:lang w:eastAsia="es-EC"/>
                </w:rPr>
                <w:t>Sreten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Lukić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Serbio, oficial de policía federal.</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Crímenes contra la humanidad en Kosovo.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22 años de prisión</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58" w:tooltip="Paško Ljubičić (aún no redactado)" w:history="1">
              <w:proofErr w:type="spellStart"/>
              <w:r w:rsidR="00462619" w:rsidRPr="00561363">
                <w:rPr>
                  <w:rFonts w:eastAsia="Times New Roman" w:cstheme="minorHAnsi"/>
                  <w:sz w:val="20"/>
                  <w:szCs w:val="20"/>
                  <w:lang w:eastAsia="es-EC"/>
                </w:rPr>
                <w:t>Paško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Ljubičić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roofErr w:type="spellStart"/>
            <w:r w:rsidRPr="00561363">
              <w:rPr>
                <w:rFonts w:eastAsia="Times New Roman" w:cstheme="minorHAnsi"/>
                <w:sz w:val="20"/>
                <w:szCs w:val="20"/>
                <w:lang w:eastAsia="es-EC"/>
              </w:rPr>
              <w:t>Bosniocroata</w:t>
            </w:r>
            <w:proofErr w:type="spellEnd"/>
            <w:r w:rsidRPr="00561363">
              <w:rPr>
                <w:rFonts w:eastAsia="Times New Roman" w:cstheme="minorHAnsi"/>
                <w:sz w:val="20"/>
                <w:szCs w:val="20"/>
                <w:lang w:eastAsia="es-EC"/>
              </w:rPr>
              <w:t>, comandante del 4º Batallón del HVO.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Crímenes de guerra contra civiles bosnios en el valle del </w:t>
            </w:r>
            <w:proofErr w:type="spellStart"/>
            <w:r w:rsidRPr="00561363">
              <w:rPr>
                <w:rFonts w:eastAsia="Times New Roman" w:cstheme="minorHAnsi"/>
                <w:sz w:val="20"/>
                <w:szCs w:val="20"/>
                <w:lang w:eastAsia="es-EC"/>
              </w:rPr>
              <w:t>Lašva</w:t>
            </w:r>
            <w:proofErr w:type="spellEnd"/>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En prisión, esperando juicio.</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59" w:tooltip="Gruban Malić (aún no redactado)" w:history="1">
              <w:proofErr w:type="spellStart"/>
              <w:r w:rsidR="00462619" w:rsidRPr="00561363">
                <w:rPr>
                  <w:rFonts w:eastAsia="Times New Roman" w:cstheme="minorHAnsi"/>
                  <w:sz w:val="20"/>
                  <w:szCs w:val="20"/>
                  <w:lang w:eastAsia="es-EC"/>
                </w:rPr>
                <w:t>Gruban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Malić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Personaje ficticio.</w:t>
            </w:r>
            <w:hyperlink r:id="rId160" w:anchor="cite_note-28" w:history="1">
              <w:r w:rsidRPr="00561363">
                <w:rPr>
                  <w:rFonts w:eastAsia="Times New Roman" w:cstheme="minorHAnsi"/>
                  <w:vanish/>
                  <w:sz w:val="20"/>
                  <w:szCs w:val="20"/>
                  <w:vertAlign w:val="superscript"/>
                  <w:lang w:eastAsia="es-EC"/>
                </w:rPr>
                <w:t>[</w:t>
              </w:r>
              <w:r w:rsidRPr="00561363">
                <w:rPr>
                  <w:rFonts w:eastAsia="Times New Roman" w:cstheme="minorHAnsi"/>
                  <w:sz w:val="20"/>
                  <w:szCs w:val="20"/>
                  <w:vertAlign w:val="superscript"/>
                  <w:lang w:eastAsia="es-EC"/>
                </w:rPr>
                <w:t>29</w:t>
              </w:r>
              <w:r w:rsidRPr="00561363">
                <w:rPr>
                  <w:rFonts w:eastAsia="Times New Roman" w:cstheme="minorHAnsi"/>
                  <w:vanish/>
                  <w:sz w:val="20"/>
                  <w:szCs w:val="20"/>
                  <w:vertAlign w:val="superscript"/>
                  <w:lang w:eastAsia="es-EC"/>
                </w:rPr>
                <w:t>]</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Violación, violación de las leyes y costumbres de la guerra y crímenes contra la humanidad.</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Cargos retirados al comprobarse la inexistencia del acusado.</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61" w:tooltip="Mladen Markač (aún no redactado)" w:history="1">
              <w:proofErr w:type="spellStart"/>
              <w:r w:rsidR="00462619" w:rsidRPr="00561363">
                <w:rPr>
                  <w:rFonts w:eastAsia="Times New Roman" w:cstheme="minorHAnsi"/>
                  <w:sz w:val="20"/>
                  <w:szCs w:val="20"/>
                  <w:lang w:eastAsia="es-EC"/>
                </w:rPr>
                <w:t>Mladen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Markač</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Croata, oficial del ejército.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En espera de juicio, en libertad provisional</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62" w:tooltip="Milan Martić (aún no redactado)" w:history="1">
              <w:proofErr w:type="spellStart"/>
              <w:r w:rsidR="00462619" w:rsidRPr="00561363">
                <w:rPr>
                  <w:rFonts w:eastAsia="Times New Roman" w:cstheme="minorHAnsi"/>
                  <w:sz w:val="20"/>
                  <w:szCs w:val="20"/>
                  <w:lang w:eastAsia="es-EC"/>
                </w:rPr>
                <w:t>Milan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Martić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Serbocroata, Primer </w:t>
            </w:r>
            <w:proofErr w:type="spellStart"/>
            <w:r w:rsidRPr="00561363">
              <w:rPr>
                <w:rFonts w:eastAsia="Times New Roman" w:cstheme="minorHAnsi"/>
                <w:sz w:val="20"/>
                <w:szCs w:val="20"/>
                <w:lang w:eastAsia="es-EC"/>
              </w:rPr>
              <w:t>Minister</w:t>
            </w:r>
            <w:proofErr w:type="spellEnd"/>
            <w:r w:rsidRPr="00561363">
              <w:rPr>
                <w:rFonts w:eastAsia="Times New Roman" w:cstheme="minorHAnsi"/>
                <w:sz w:val="20"/>
                <w:szCs w:val="20"/>
                <w:lang w:eastAsia="es-EC"/>
              </w:rPr>
              <w:t xml:space="preserve"> de la </w:t>
            </w:r>
            <w:hyperlink r:id="rId163" w:tooltip="República Serbia de Krajina" w:history="1">
              <w:r w:rsidRPr="00561363">
                <w:rPr>
                  <w:rFonts w:eastAsia="Times New Roman" w:cstheme="minorHAnsi"/>
                  <w:sz w:val="20"/>
                  <w:szCs w:val="20"/>
                  <w:lang w:eastAsia="es-EC"/>
                </w:rPr>
                <w:t>República Serbia de Krajina</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Ataques en </w:t>
            </w:r>
            <w:hyperlink r:id="rId164" w:tooltip="Zagreb" w:history="1">
              <w:r w:rsidRPr="00561363">
                <w:rPr>
                  <w:rFonts w:eastAsia="Times New Roman" w:cstheme="minorHAnsi"/>
                  <w:sz w:val="20"/>
                  <w:szCs w:val="20"/>
                  <w:lang w:eastAsia="es-EC"/>
                </w:rPr>
                <w:t>Zagreb</w:t>
              </w:r>
            </w:hyperlink>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35 años de prisión</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65" w:tooltip="Željko Meakić (aún no redactado)" w:history="1">
              <w:proofErr w:type="spellStart"/>
              <w:r w:rsidR="00462619" w:rsidRPr="00561363">
                <w:rPr>
                  <w:rFonts w:eastAsia="Times New Roman" w:cstheme="minorHAnsi"/>
                  <w:sz w:val="20"/>
                  <w:szCs w:val="20"/>
                  <w:lang w:eastAsia="es-EC"/>
                </w:rPr>
                <w:t>Željko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Meakić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Actos inhumanos en el campo de </w:t>
            </w:r>
            <w:proofErr w:type="spellStart"/>
            <w:r w:rsidRPr="00561363">
              <w:rPr>
                <w:rFonts w:eastAsia="Times New Roman" w:cstheme="minorHAnsi"/>
                <w:sz w:val="20"/>
                <w:szCs w:val="20"/>
                <w:lang w:eastAsia="es-EC"/>
              </w:rPr>
              <w:t>Omarska</w:t>
            </w:r>
            <w:proofErr w:type="spellEnd"/>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Caso transferido a Bosnia-Herzegovina</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66" w:tooltip="Radivoj Miletić (aún no redactado)" w:history="1">
              <w:proofErr w:type="spellStart"/>
              <w:r w:rsidR="00462619" w:rsidRPr="00561363">
                <w:rPr>
                  <w:rFonts w:eastAsia="Times New Roman" w:cstheme="minorHAnsi"/>
                  <w:sz w:val="20"/>
                  <w:szCs w:val="20"/>
                  <w:lang w:eastAsia="es-EC"/>
                </w:rPr>
                <w:t>Radivoj</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Miletić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Masacre de Srebrenica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67" w:tooltip="Slobodan Miljković (aún no redactado)" w:history="1">
              <w:r w:rsidR="00462619" w:rsidRPr="00561363">
                <w:rPr>
                  <w:rFonts w:eastAsia="Times New Roman" w:cstheme="minorHAnsi"/>
                  <w:sz w:val="20"/>
                  <w:szCs w:val="20"/>
                  <w:lang w:eastAsia="es-EC"/>
                </w:rPr>
                <w:t xml:space="preserve">Slobodan </w:t>
              </w:r>
              <w:proofErr w:type="spellStart"/>
              <w:r w:rsidR="00462619" w:rsidRPr="00561363">
                <w:rPr>
                  <w:rFonts w:eastAsia="Times New Roman" w:cstheme="minorHAnsi"/>
                  <w:sz w:val="20"/>
                  <w:szCs w:val="20"/>
                  <w:lang w:eastAsia="es-EC"/>
                </w:rPr>
                <w:t>Miljković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Fallecido antes de su arresto</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68" w:tooltip="Dragomir Milošević" w:history="1">
              <w:proofErr w:type="spellStart"/>
              <w:r w:rsidR="00462619" w:rsidRPr="00561363">
                <w:rPr>
                  <w:rFonts w:eastAsia="Times New Roman" w:cstheme="minorHAnsi"/>
                  <w:sz w:val="20"/>
                  <w:szCs w:val="20"/>
                  <w:lang w:eastAsia="es-EC"/>
                </w:rPr>
                <w:t>Dragomir</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Milošević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Responsabilidad en el </w:t>
            </w:r>
            <w:hyperlink r:id="rId169" w:tooltip="Sitio de Sarajevo" w:history="1">
              <w:r w:rsidRPr="00561363">
                <w:rPr>
                  <w:rFonts w:eastAsia="Times New Roman" w:cstheme="minorHAnsi"/>
                  <w:sz w:val="20"/>
                  <w:szCs w:val="20"/>
                  <w:lang w:eastAsia="es-EC"/>
                </w:rPr>
                <w:t>Sitio de Sarajevo</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33 años de prisión</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70" w:tooltip="Slobodan Milošević" w:history="1">
              <w:r w:rsidR="00462619" w:rsidRPr="00561363">
                <w:rPr>
                  <w:rFonts w:eastAsia="Times New Roman" w:cstheme="minorHAnsi"/>
                  <w:sz w:val="20"/>
                  <w:szCs w:val="20"/>
                  <w:lang w:eastAsia="es-EC"/>
                </w:rPr>
                <w:t xml:space="preserve">Slobodan </w:t>
              </w:r>
              <w:proofErr w:type="spellStart"/>
              <w:r w:rsidR="00462619" w:rsidRPr="00561363">
                <w:rPr>
                  <w:rFonts w:eastAsia="Times New Roman" w:cstheme="minorHAnsi"/>
                  <w:sz w:val="20"/>
                  <w:szCs w:val="20"/>
                  <w:lang w:eastAsia="es-EC"/>
                </w:rPr>
                <w:t>Milošević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Serbio, </w:t>
            </w:r>
            <w:hyperlink r:id="rId171" w:tooltip="Presidente de Serbia" w:history="1">
              <w:r w:rsidRPr="00561363">
                <w:rPr>
                  <w:rFonts w:eastAsia="Times New Roman" w:cstheme="minorHAnsi"/>
                  <w:sz w:val="20"/>
                  <w:szCs w:val="20"/>
                  <w:lang w:eastAsia="es-EC"/>
                </w:rPr>
                <w:t>Presidente de Serbia</w:t>
              </w:r>
            </w:hyperlink>
            <w:r w:rsidRPr="00561363">
              <w:rPr>
                <w:rFonts w:eastAsia="Times New Roman" w:cstheme="minorHAnsi"/>
                <w:sz w:val="20"/>
                <w:szCs w:val="20"/>
                <w:lang w:eastAsia="es-EC"/>
              </w:rPr>
              <w:t xml:space="preserve">, </w:t>
            </w:r>
            <w:hyperlink r:id="rId172" w:tooltip="Presidente de Yugoslavia (aún no redactado)" w:history="1">
              <w:r w:rsidRPr="00561363">
                <w:rPr>
                  <w:rFonts w:eastAsia="Times New Roman" w:cstheme="minorHAnsi"/>
                  <w:sz w:val="20"/>
                  <w:szCs w:val="20"/>
                  <w:lang w:eastAsia="es-EC"/>
                </w:rPr>
                <w:t>Presidente de Yugoslavia</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Responsabilidad en la </w:t>
            </w:r>
            <w:hyperlink r:id="rId173" w:tooltip="Guerra de Kosovo" w:history="1">
              <w:r w:rsidRPr="00561363">
                <w:rPr>
                  <w:rFonts w:eastAsia="Times New Roman" w:cstheme="minorHAnsi"/>
                  <w:sz w:val="20"/>
                  <w:szCs w:val="20"/>
                  <w:lang w:eastAsia="es-EC"/>
                </w:rPr>
                <w:t>Guerra de Kosovo</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Encontrado muerto en la celda del tribunal el 11 de marzo de </w:t>
            </w:r>
            <w:hyperlink r:id="rId174" w:tooltip="2006" w:history="1">
              <w:r w:rsidRPr="00561363">
                <w:rPr>
                  <w:rFonts w:eastAsia="Times New Roman" w:cstheme="minorHAnsi"/>
                  <w:sz w:val="20"/>
                  <w:szCs w:val="20"/>
                  <w:lang w:eastAsia="es-EC"/>
                </w:rPr>
                <w:t>2006</w:t>
              </w:r>
            </w:hyperlink>
            <w:r w:rsidRPr="00561363">
              <w:rPr>
                <w:rFonts w:eastAsia="Times New Roman" w:cstheme="minorHAnsi"/>
                <w:sz w:val="20"/>
                <w:szCs w:val="20"/>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75" w:tooltip="Milan Milutinović" w:history="1">
              <w:proofErr w:type="spellStart"/>
              <w:r w:rsidR="00462619" w:rsidRPr="00561363">
                <w:rPr>
                  <w:rFonts w:eastAsia="Times New Roman" w:cstheme="minorHAnsi"/>
                  <w:sz w:val="20"/>
                  <w:szCs w:val="20"/>
                  <w:lang w:eastAsia="es-EC"/>
                </w:rPr>
                <w:t>Milan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Milutinović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Serbio, presidente de </w:t>
            </w:r>
            <w:hyperlink r:id="rId176" w:tooltip="Serbia" w:history="1">
              <w:r w:rsidRPr="00561363">
                <w:rPr>
                  <w:rFonts w:eastAsia="Times New Roman" w:cstheme="minorHAnsi"/>
                  <w:sz w:val="20"/>
                  <w:szCs w:val="20"/>
                  <w:lang w:eastAsia="es-EC"/>
                </w:rPr>
                <w:t>Serbia</w:t>
              </w:r>
            </w:hyperlink>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Responsabilidad en la </w:t>
            </w:r>
            <w:hyperlink r:id="rId177" w:tooltip="Guerra de Kosovo" w:history="1">
              <w:r w:rsidRPr="00561363">
                <w:rPr>
                  <w:rFonts w:eastAsia="Times New Roman" w:cstheme="minorHAnsi"/>
                  <w:sz w:val="20"/>
                  <w:szCs w:val="20"/>
                  <w:lang w:eastAsia="es-EC"/>
                </w:rPr>
                <w:t>Guerra de Kosovo</w:t>
              </w:r>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Absuelto de todos los cargos.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78" w:tooltip="Ratko Mladić" w:history="1">
              <w:proofErr w:type="spellStart"/>
              <w:r w:rsidR="00462619" w:rsidRPr="00561363">
                <w:rPr>
                  <w:rFonts w:eastAsia="Times New Roman" w:cstheme="minorHAnsi"/>
                  <w:sz w:val="20"/>
                  <w:szCs w:val="20"/>
                  <w:lang w:eastAsia="es-EC"/>
                </w:rPr>
                <w:t>Ratko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Mladić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Serbobosnio, comandante en jefe del </w:t>
            </w:r>
            <w:hyperlink r:id="rId179" w:tooltip="Ejército de la República Srpska" w:history="1">
              <w:r w:rsidRPr="00561363">
                <w:rPr>
                  <w:rFonts w:eastAsia="Times New Roman" w:cstheme="minorHAnsi"/>
                  <w:sz w:val="20"/>
                  <w:szCs w:val="20"/>
                  <w:lang w:eastAsia="es-EC"/>
                </w:rPr>
                <w:t xml:space="preserve">Ejército de la República </w:t>
              </w:r>
              <w:proofErr w:type="spellStart"/>
              <w:r w:rsidRPr="00561363">
                <w:rPr>
                  <w:rFonts w:eastAsia="Times New Roman" w:cstheme="minorHAnsi"/>
                  <w:sz w:val="20"/>
                  <w:szCs w:val="20"/>
                  <w:lang w:eastAsia="es-EC"/>
                </w:rPr>
                <w:t>Srpska</w:t>
              </w:r>
              <w:proofErr w:type="spellEnd"/>
            </w:hyperlink>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Genocidio, complicidad en genocidio, crímenes contra la humanidad, y </w:t>
            </w:r>
            <w:proofErr w:type="spellStart"/>
            <w:r w:rsidRPr="00561363">
              <w:rPr>
                <w:rFonts w:eastAsia="Times New Roman" w:cstheme="minorHAnsi"/>
                <w:sz w:val="20"/>
                <w:szCs w:val="20"/>
                <w:lang w:eastAsia="es-EC"/>
              </w:rPr>
              <w:t>violaciónes</w:t>
            </w:r>
            <w:proofErr w:type="spellEnd"/>
            <w:r w:rsidRPr="00561363">
              <w:rPr>
                <w:rFonts w:eastAsia="Times New Roman" w:cstheme="minorHAnsi"/>
                <w:sz w:val="20"/>
                <w:szCs w:val="20"/>
                <w:lang w:eastAsia="es-EC"/>
              </w:rPr>
              <w:t xml:space="preserve"> de las leyes y costumbres de guerra.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Juicio en proceso</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80" w:tooltip="Darko Mrda (aún no redactado)" w:history="1">
              <w:proofErr w:type="spellStart"/>
              <w:r w:rsidR="00462619" w:rsidRPr="00561363">
                <w:rPr>
                  <w:rFonts w:eastAsia="Times New Roman" w:cstheme="minorHAnsi"/>
                  <w:sz w:val="20"/>
                  <w:szCs w:val="20"/>
                  <w:lang w:eastAsia="es-EC"/>
                </w:rPr>
                <w:t>Darko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Mrda</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 comandante de policía.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Asesinato de 200 civiles en la zona de </w:t>
            </w:r>
            <w:hyperlink r:id="rId181" w:tooltip="Prijedor" w:history="1">
              <w:proofErr w:type="spellStart"/>
              <w:r w:rsidRPr="00561363">
                <w:rPr>
                  <w:rFonts w:eastAsia="Times New Roman" w:cstheme="minorHAnsi"/>
                  <w:sz w:val="20"/>
                  <w:szCs w:val="20"/>
                  <w:lang w:eastAsia="es-EC"/>
                </w:rPr>
                <w:t>Prijedor</w:t>
              </w:r>
              <w:proofErr w:type="spellEnd"/>
            </w:hyperlink>
            <w:r w:rsidRPr="00561363">
              <w:rPr>
                <w:rFonts w:eastAsia="Times New Roman" w:cstheme="minorHAnsi"/>
                <w:sz w:val="20"/>
                <w:szCs w:val="20"/>
                <w:lang w:eastAsia="es-EC"/>
              </w:rPr>
              <w:t>.</w:t>
            </w:r>
            <w:r w:rsidRPr="00561363">
              <w:rPr>
                <w:rFonts w:eastAsia="Times New Roman" w:cstheme="minorHAnsi"/>
                <w:vanish/>
                <w:sz w:val="20"/>
                <w:szCs w:val="20"/>
                <w:vertAlign w:val="superscript"/>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a 17 años de prisión.</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82" w:tooltip="Mile Mrkšić" w:history="1">
              <w:proofErr w:type="spellStart"/>
              <w:r w:rsidR="00462619" w:rsidRPr="00561363">
                <w:rPr>
                  <w:rFonts w:eastAsia="Times New Roman" w:cstheme="minorHAnsi"/>
                  <w:sz w:val="20"/>
                  <w:szCs w:val="20"/>
                  <w:lang w:eastAsia="es-EC"/>
                </w:rPr>
                <w:t>Mile</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Mrkšić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Serbocroata, coronel del ejército yugoslavo y de la </w:t>
            </w:r>
            <w:hyperlink r:id="rId183" w:tooltip="República Serbia de Krajina" w:history="1">
              <w:r w:rsidRPr="00561363">
                <w:rPr>
                  <w:rFonts w:eastAsia="Times New Roman" w:cstheme="minorHAnsi"/>
                  <w:sz w:val="20"/>
                  <w:szCs w:val="20"/>
                  <w:lang w:eastAsia="es-EC"/>
                </w:rPr>
                <w:t>República Serbia de Krajina</w:t>
              </w:r>
            </w:hyperlink>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Implicación en la </w:t>
            </w:r>
            <w:hyperlink r:id="rId184" w:tooltip="Masacre de Vukovar" w:history="1">
              <w:r w:rsidRPr="00561363">
                <w:rPr>
                  <w:rFonts w:eastAsia="Times New Roman" w:cstheme="minorHAnsi"/>
                  <w:sz w:val="20"/>
                  <w:szCs w:val="20"/>
                  <w:lang w:eastAsia="es-EC"/>
                </w:rPr>
                <w:t xml:space="preserve">Masacre de </w:t>
              </w:r>
              <w:proofErr w:type="spellStart"/>
              <w:r w:rsidRPr="00561363">
                <w:rPr>
                  <w:rFonts w:eastAsia="Times New Roman" w:cstheme="minorHAnsi"/>
                  <w:sz w:val="20"/>
                  <w:szCs w:val="20"/>
                  <w:lang w:eastAsia="es-EC"/>
                </w:rPr>
                <w:t>Vukovar</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Pr>
                <w:rFonts w:eastAsia="Times New Roman" w:cstheme="minorHAnsi"/>
                <w:sz w:val="20"/>
                <w:szCs w:val="20"/>
                <w:lang w:eastAsia="es-EC"/>
              </w:rPr>
              <w:t xml:space="preserve">Condenado a </w:t>
            </w:r>
            <w:r w:rsidRPr="00561363">
              <w:rPr>
                <w:rFonts w:eastAsia="Times New Roman" w:cstheme="minorHAnsi"/>
                <w:sz w:val="20"/>
                <w:szCs w:val="20"/>
                <w:lang w:eastAsia="es-EC"/>
              </w:rPr>
              <w:t>20 años de prisión</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85" w:tooltip="Zdravko Mucić (aún no redactado)" w:history="1">
              <w:proofErr w:type="spellStart"/>
              <w:r w:rsidR="00462619" w:rsidRPr="00561363">
                <w:rPr>
                  <w:rFonts w:eastAsia="Times New Roman" w:cstheme="minorHAnsi"/>
                  <w:sz w:val="20"/>
                  <w:szCs w:val="20"/>
                  <w:lang w:eastAsia="es-EC"/>
                </w:rPr>
                <w:t>Zdravko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Mucić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Comandante del </w:t>
            </w:r>
            <w:hyperlink r:id="rId186" w:tooltip="Campo de Čelebići" w:history="1">
              <w:r w:rsidRPr="00561363">
                <w:rPr>
                  <w:rFonts w:eastAsia="Times New Roman" w:cstheme="minorHAnsi"/>
                  <w:sz w:val="20"/>
                  <w:szCs w:val="20"/>
                  <w:lang w:eastAsia="es-EC"/>
                </w:rPr>
                <w:t>campo de detención</w:t>
              </w:r>
            </w:hyperlink>
            <w:r w:rsidRPr="00561363">
              <w:rPr>
                <w:rFonts w:eastAsia="Times New Roman" w:cstheme="minorHAnsi"/>
                <w:sz w:val="20"/>
                <w:szCs w:val="20"/>
                <w:lang w:eastAsia="es-EC"/>
              </w:rPr>
              <w:t xml:space="preserve"> de </w:t>
            </w:r>
            <w:hyperlink r:id="rId187" w:tooltip="Čelebići (aún no redactado)" w:history="1">
              <w:proofErr w:type="spellStart"/>
              <w:r w:rsidRPr="00561363">
                <w:rPr>
                  <w:rFonts w:eastAsia="Times New Roman" w:cstheme="minorHAnsi"/>
                  <w:sz w:val="20"/>
                  <w:szCs w:val="20"/>
                  <w:lang w:eastAsia="es-EC"/>
                </w:rPr>
                <w:t>Čelebići</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a 9 años, concedida la libertad anticipada.</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88" w:tooltip="Agim Murtezi (aún no redactado)" w:history="1">
              <w:proofErr w:type="spellStart"/>
              <w:r w:rsidR="00462619" w:rsidRPr="00561363">
                <w:rPr>
                  <w:rFonts w:eastAsia="Times New Roman" w:cstheme="minorHAnsi"/>
                  <w:sz w:val="20"/>
                  <w:szCs w:val="20"/>
                  <w:lang w:eastAsia="es-EC"/>
                </w:rPr>
                <w:t>Agim</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Murtezi</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Albaneses de Kosovo. Miembro del </w:t>
            </w:r>
            <w:hyperlink r:id="rId189" w:tooltip="UÇK" w:history="1">
              <w:r w:rsidRPr="00561363">
                <w:rPr>
                  <w:rFonts w:eastAsia="Times New Roman" w:cstheme="minorHAnsi"/>
                  <w:sz w:val="20"/>
                  <w:szCs w:val="20"/>
                  <w:lang w:eastAsia="es-EC"/>
                </w:rPr>
                <w:t>UÇK</w:t>
              </w:r>
            </w:hyperlink>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Asesinato de civiles serbios.</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Acusación retirada.</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90" w:tooltip="Isak Musliu (aún no redactado)" w:history="1">
              <w:proofErr w:type="spellStart"/>
              <w:r w:rsidR="00462619" w:rsidRPr="00561363">
                <w:rPr>
                  <w:rFonts w:eastAsia="Times New Roman" w:cstheme="minorHAnsi"/>
                  <w:sz w:val="20"/>
                  <w:szCs w:val="20"/>
                  <w:lang w:eastAsia="es-EC"/>
                </w:rPr>
                <w:t>Isak</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Musliu</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Albaneses de Kosovo, comandante del UÇK</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Asesinato de civiles serbios (</w:t>
            </w:r>
            <w:hyperlink r:id="rId191" w:tooltip="Campo de prisioneros de Lapušnik" w:history="1">
              <w:r w:rsidRPr="00561363">
                <w:rPr>
                  <w:rFonts w:eastAsia="Times New Roman" w:cstheme="minorHAnsi"/>
                  <w:sz w:val="20"/>
                  <w:szCs w:val="20"/>
                  <w:lang w:eastAsia="es-EC"/>
                </w:rPr>
                <w:t xml:space="preserve">Campo de prisioneros de </w:t>
              </w:r>
              <w:proofErr w:type="spellStart"/>
              <w:r w:rsidRPr="00561363">
                <w:rPr>
                  <w:rFonts w:eastAsia="Times New Roman" w:cstheme="minorHAnsi"/>
                  <w:sz w:val="20"/>
                  <w:szCs w:val="20"/>
                  <w:lang w:eastAsia="es-EC"/>
                </w:rPr>
                <w:t>Lapušnik</w:t>
              </w:r>
              <w:proofErr w:type="spellEnd"/>
            </w:hyperlink>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Absuelto por la Sala de Primera Instancia</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92" w:tooltip="Mladen Naletilić (aún no redactado)" w:history="1">
              <w:proofErr w:type="spellStart"/>
              <w:r w:rsidR="00462619" w:rsidRPr="00561363">
                <w:rPr>
                  <w:rFonts w:eastAsia="Times New Roman" w:cstheme="minorHAnsi"/>
                  <w:sz w:val="20"/>
                  <w:szCs w:val="20"/>
                  <w:lang w:eastAsia="es-EC"/>
                </w:rPr>
                <w:t>Mladen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Naletilić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Croatas de Bosnia, paramilitar.</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Crímenes de guerra contra civiles musulmanes bosnios en la zona de Mostar</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a 18 años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93" w:tooltip="Dragan Nikolic (criminal de guerra) (aún no redactado)" w:history="1">
              <w:r w:rsidR="00462619" w:rsidRPr="00561363">
                <w:rPr>
                  <w:rFonts w:eastAsia="Times New Roman" w:cstheme="minorHAnsi"/>
                  <w:sz w:val="20"/>
                  <w:szCs w:val="20"/>
                  <w:lang w:eastAsia="es-EC"/>
                </w:rPr>
                <w:t xml:space="preserve">Dragan </w:t>
              </w:r>
              <w:proofErr w:type="spellStart"/>
              <w:r w:rsidR="00462619" w:rsidRPr="00561363">
                <w:rPr>
                  <w:rFonts w:eastAsia="Times New Roman" w:cstheme="minorHAnsi"/>
                  <w:sz w:val="20"/>
                  <w:szCs w:val="20"/>
                  <w:lang w:eastAsia="es-EC"/>
                </w:rPr>
                <w:t>Nikolic</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 comandante de la prisión.</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Acusado por el caso del campo de </w:t>
            </w:r>
            <w:hyperlink r:id="rId194" w:tooltip="Sušica (aún no redactado)" w:history="1">
              <w:proofErr w:type="spellStart"/>
              <w:r w:rsidRPr="00561363">
                <w:rPr>
                  <w:rFonts w:eastAsia="Times New Roman" w:cstheme="minorHAnsi"/>
                  <w:sz w:val="20"/>
                  <w:szCs w:val="20"/>
                  <w:lang w:eastAsia="es-EC"/>
                </w:rPr>
                <w:t>Sušica</w:t>
              </w:r>
              <w:proofErr w:type="spellEnd"/>
            </w:hyperlink>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a 20 años de prisión.</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95" w:tooltip="Drago Nikolic (aún no redactado)" w:history="1">
              <w:r w:rsidR="00462619" w:rsidRPr="00561363">
                <w:rPr>
                  <w:rFonts w:eastAsia="Times New Roman" w:cstheme="minorHAnsi"/>
                  <w:sz w:val="20"/>
                  <w:szCs w:val="20"/>
                  <w:lang w:eastAsia="es-EC"/>
                </w:rPr>
                <w:t xml:space="preserve">Drago </w:t>
              </w:r>
              <w:proofErr w:type="spellStart"/>
              <w:r w:rsidR="00462619" w:rsidRPr="00561363">
                <w:rPr>
                  <w:rFonts w:eastAsia="Times New Roman" w:cstheme="minorHAnsi"/>
                  <w:sz w:val="20"/>
                  <w:szCs w:val="20"/>
                  <w:lang w:eastAsia="es-EC"/>
                </w:rPr>
                <w:t>Nikolic</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 oficial del VRS</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Acusado en el caso de Srebrenica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Pr>
                <w:rFonts w:eastAsia="Times New Roman" w:cstheme="minorHAnsi"/>
                <w:sz w:val="20"/>
                <w:szCs w:val="20"/>
                <w:lang w:eastAsia="es-EC"/>
              </w:rPr>
              <w:t xml:space="preserve">A espera de resolución </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96" w:tooltip="Momir Nikolic (aún no redactado)" w:history="1">
              <w:proofErr w:type="spellStart"/>
              <w:r w:rsidR="00462619" w:rsidRPr="00561363">
                <w:rPr>
                  <w:rFonts w:eastAsia="Times New Roman" w:cstheme="minorHAnsi"/>
                  <w:sz w:val="20"/>
                  <w:szCs w:val="20"/>
                  <w:lang w:eastAsia="es-EC"/>
                </w:rPr>
                <w:t>Momir</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Nikolic</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Serbios de Bosnia, Comandante Adjunto de la brigada de </w:t>
            </w:r>
            <w:proofErr w:type="spellStart"/>
            <w:r w:rsidRPr="00561363">
              <w:rPr>
                <w:rFonts w:eastAsia="Times New Roman" w:cstheme="minorHAnsi"/>
                <w:sz w:val="20"/>
                <w:szCs w:val="20"/>
                <w:lang w:eastAsia="es-EC"/>
              </w:rPr>
              <w:t>Bratunac</w:t>
            </w:r>
            <w:proofErr w:type="spellEnd"/>
            <w:r w:rsidRPr="00561363">
              <w:rPr>
                <w:rFonts w:eastAsia="Times New Roman" w:cstheme="minorHAnsi"/>
                <w:sz w:val="20"/>
                <w:szCs w:val="20"/>
                <w:lang w:eastAsia="es-EC"/>
              </w:rPr>
              <w:t xml:space="preserve"> VRS</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Caso de Srebrenica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Pr>
                <w:rFonts w:eastAsia="Times New Roman" w:cstheme="minorHAnsi"/>
                <w:sz w:val="20"/>
                <w:szCs w:val="20"/>
                <w:lang w:eastAsia="es-EC"/>
              </w:rPr>
              <w:t xml:space="preserve">Se declaró </w:t>
            </w:r>
            <w:r w:rsidRPr="00561363">
              <w:rPr>
                <w:rFonts w:eastAsia="Times New Roman" w:cstheme="minorHAnsi"/>
                <w:sz w:val="20"/>
                <w:szCs w:val="20"/>
                <w:lang w:eastAsia="es-EC"/>
              </w:rPr>
              <w:t>culpable y condenado a 27 años</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97" w:tooltip="Vinko Pandurević (aún no redactado)" w:history="1">
              <w:proofErr w:type="spellStart"/>
              <w:r w:rsidR="00462619" w:rsidRPr="00561363">
                <w:rPr>
                  <w:rFonts w:eastAsia="Times New Roman" w:cstheme="minorHAnsi"/>
                  <w:sz w:val="20"/>
                  <w:szCs w:val="20"/>
                  <w:lang w:eastAsia="es-EC"/>
                </w:rPr>
                <w:t>Vinko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Pandurević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Los serbios de Bosnia, los serbios de Bosnia del Ejército general</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Acusado en el caso de Srebrenica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Pr>
                <w:rFonts w:eastAsia="Times New Roman" w:cstheme="minorHAnsi"/>
                <w:sz w:val="20"/>
                <w:szCs w:val="20"/>
                <w:lang w:eastAsia="es-EC"/>
              </w:rPr>
              <w:t>La acusación se retiró</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98" w:tooltip="Dragan Papić (aún no redactado)" w:history="1">
              <w:r w:rsidR="00462619" w:rsidRPr="00561363">
                <w:rPr>
                  <w:rFonts w:eastAsia="Times New Roman" w:cstheme="minorHAnsi"/>
                  <w:sz w:val="20"/>
                  <w:szCs w:val="20"/>
                  <w:lang w:eastAsia="es-EC"/>
                </w:rPr>
                <w:t xml:space="preserve">Dragan </w:t>
              </w:r>
              <w:proofErr w:type="spellStart"/>
              <w:r w:rsidR="00462619" w:rsidRPr="00561363">
                <w:rPr>
                  <w:rFonts w:eastAsia="Times New Roman" w:cstheme="minorHAnsi"/>
                  <w:sz w:val="20"/>
                  <w:szCs w:val="20"/>
                  <w:lang w:eastAsia="es-EC"/>
                </w:rPr>
                <w:t>Papić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Croatas de Bosnia, miembro del HVO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Valle de </w:t>
            </w:r>
            <w:proofErr w:type="spellStart"/>
            <w:r w:rsidRPr="00561363">
              <w:rPr>
                <w:rFonts w:eastAsia="Times New Roman" w:cstheme="minorHAnsi"/>
                <w:sz w:val="20"/>
                <w:szCs w:val="20"/>
                <w:lang w:eastAsia="es-EC"/>
              </w:rPr>
              <w:t>Lašva</w:t>
            </w:r>
            <w:proofErr w:type="spellEnd"/>
            <w:r w:rsidRPr="00561363">
              <w:rPr>
                <w:rFonts w:eastAsia="Times New Roman" w:cstheme="minorHAnsi"/>
                <w:sz w:val="20"/>
                <w:szCs w:val="20"/>
                <w:lang w:eastAsia="es-EC"/>
              </w:rPr>
              <w:t xml:space="preserve"> masacres contra civiles musulmanes bosnios</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Absuelto por la Sala de Primera Instancia</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199" w:tooltip="Nedeljko Paspalj (aún no redactado)" w:history="1">
              <w:proofErr w:type="spellStart"/>
              <w:r w:rsidR="00462619" w:rsidRPr="00561363">
                <w:rPr>
                  <w:rFonts w:eastAsia="Times New Roman" w:cstheme="minorHAnsi"/>
                  <w:sz w:val="20"/>
                  <w:szCs w:val="20"/>
                  <w:lang w:eastAsia="es-EC"/>
                </w:rPr>
                <w:t>Nedeljko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Paspalj</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Serbios de Bosnia, de guardia en el campamento de </w:t>
            </w:r>
            <w:proofErr w:type="spellStart"/>
            <w:r w:rsidRPr="00561363">
              <w:rPr>
                <w:rFonts w:eastAsia="Times New Roman" w:cstheme="minorHAnsi"/>
                <w:sz w:val="20"/>
                <w:szCs w:val="20"/>
                <w:lang w:eastAsia="es-EC"/>
              </w:rPr>
              <w:t>Omarska</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Campamento de </w:t>
            </w:r>
            <w:proofErr w:type="spellStart"/>
            <w:r w:rsidRPr="00561363">
              <w:rPr>
                <w:rFonts w:eastAsia="Times New Roman" w:cstheme="minorHAnsi"/>
                <w:sz w:val="20"/>
                <w:szCs w:val="20"/>
                <w:lang w:eastAsia="es-EC"/>
              </w:rPr>
              <w:t>Omarska</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La acusación se retiró</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00" w:tooltip="Milan Pavlić (aún no redactado)" w:history="1">
              <w:proofErr w:type="spellStart"/>
              <w:r w:rsidR="00462619" w:rsidRPr="00561363">
                <w:rPr>
                  <w:rFonts w:eastAsia="Times New Roman" w:cstheme="minorHAnsi"/>
                  <w:sz w:val="20"/>
                  <w:szCs w:val="20"/>
                  <w:lang w:eastAsia="es-EC"/>
                </w:rPr>
                <w:t>Milan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Pavlić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Serbios de Bosnia, de guardia en el campamento de </w:t>
            </w:r>
            <w:proofErr w:type="spellStart"/>
            <w:r w:rsidRPr="00561363">
              <w:rPr>
                <w:rFonts w:eastAsia="Times New Roman" w:cstheme="minorHAnsi"/>
                <w:sz w:val="20"/>
                <w:szCs w:val="20"/>
                <w:lang w:eastAsia="es-EC"/>
              </w:rPr>
              <w:lastRenderedPageBreak/>
              <w:t>Omarska</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lastRenderedPageBreak/>
              <w:t xml:space="preserve">Campamento de </w:t>
            </w:r>
            <w:proofErr w:type="spellStart"/>
            <w:r w:rsidRPr="00561363">
              <w:rPr>
                <w:rFonts w:eastAsia="Times New Roman" w:cstheme="minorHAnsi"/>
                <w:sz w:val="20"/>
                <w:szCs w:val="20"/>
                <w:lang w:eastAsia="es-EC"/>
              </w:rPr>
              <w:t>Omarska</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La acusación se retiró</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01" w:tooltip="Momčilo Perišić (aún no redactado)" w:history="1">
              <w:proofErr w:type="spellStart"/>
              <w:r w:rsidR="00462619" w:rsidRPr="00561363">
                <w:rPr>
                  <w:rFonts w:eastAsia="Times New Roman" w:cstheme="minorHAnsi"/>
                  <w:sz w:val="20"/>
                  <w:szCs w:val="20"/>
                  <w:lang w:eastAsia="es-EC"/>
                </w:rPr>
                <w:t>Momčilo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Perišić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Jefe de Estado Mayor de Ejército Popular Yugoslavo / VJ</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Autoridad de mando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La acusación se retiró</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02" w:tooltip="Milivoj Petkovic (aún no redactado)" w:history="1">
              <w:proofErr w:type="spellStart"/>
              <w:r w:rsidR="00462619" w:rsidRPr="00561363">
                <w:rPr>
                  <w:rFonts w:eastAsia="Times New Roman" w:cstheme="minorHAnsi"/>
                  <w:sz w:val="20"/>
                  <w:szCs w:val="20"/>
                  <w:lang w:eastAsia="es-EC"/>
                </w:rPr>
                <w:t>Milivoj</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Petkovic</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Croatas de Bosnia, comandante en jefe del HVO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Los crímenes de guerra y limpieza étnica de bosnios en Herzegovina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Prueba en el proceso de</w:t>
            </w:r>
            <w:r>
              <w:rPr>
                <w:rFonts w:eastAsia="Times New Roman" w:cstheme="minorHAnsi"/>
                <w:sz w:val="20"/>
                <w:szCs w:val="20"/>
                <w:lang w:eastAsia="es-EC"/>
              </w:rPr>
              <w:t xml:space="preserve"> valoración</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03" w:tooltip="Biljana Plavšić" w:history="1">
              <w:proofErr w:type="spellStart"/>
              <w:r w:rsidR="00462619" w:rsidRPr="00561363">
                <w:rPr>
                  <w:rFonts w:eastAsia="Times New Roman" w:cstheme="minorHAnsi"/>
                  <w:sz w:val="20"/>
                  <w:szCs w:val="20"/>
                  <w:lang w:eastAsia="es-EC"/>
                </w:rPr>
                <w:t>Biljana</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Plavšić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Serbios de Bosnia, ex presidente de la </w:t>
            </w:r>
            <w:hyperlink r:id="rId204" w:tooltip="República Srpska" w:history="1">
              <w:r w:rsidRPr="00561363">
                <w:rPr>
                  <w:rFonts w:eastAsia="Times New Roman" w:cstheme="minorHAnsi"/>
                  <w:sz w:val="20"/>
                  <w:szCs w:val="20"/>
                  <w:lang w:eastAsia="es-EC"/>
                </w:rPr>
                <w:t xml:space="preserve">República </w:t>
              </w:r>
              <w:proofErr w:type="spellStart"/>
              <w:r w:rsidRPr="00561363">
                <w:rPr>
                  <w:rFonts w:eastAsia="Times New Roman" w:cstheme="minorHAnsi"/>
                  <w:sz w:val="20"/>
                  <w:szCs w:val="20"/>
                  <w:lang w:eastAsia="es-EC"/>
                </w:rPr>
                <w:t>Srpska</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Pr>
                <w:rFonts w:eastAsia="Times New Roman" w:cstheme="minorHAnsi"/>
                <w:sz w:val="20"/>
                <w:szCs w:val="20"/>
                <w:lang w:eastAsia="es-EC"/>
              </w:rPr>
              <w:t>Crímenes de guerra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Declarado culpable, condenado a 11 años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05" w:tooltip="Vujadin Popovic (aún no redactado)" w:history="1">
              <w:proofErr w:type="spellStart"/>
              <w:r w:rsidR="00462619" w:rsidRPr="00561363">
                <w:rPr>
                  <w:rFonts w:eastAsia="Times New Roman" w:cstheme="minorHAnsi"/>
                  <w:sz w:val="20"/>
                  <w:szCs w:val="20"/>
                  <w:lang w:eastAsia="es-EC"/>
                </w:rPr>
                <w:t>Vujadin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Popovic</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Serbobosnio, teniente coronel del VRS</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Acusado en el caso de Srebrenica.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Cadena </w:t>
            </w:r>
            <w:proofErr w:type="gramStart"/>
            <w:r w:rsidRPr="00561363">
              <w:rPr>
                <w:rFonts w:eastAsia="Times New Roman" w:cstheme="minorHAnsi"/>
                <w:sz w:val="20"/>
                <w:szCs w:val="20"/>
                <w:lang w:eastAsia="es-EC"/>
              </w:rPr>
              <w:t>perpetua</w:t>
            </w:r>
            <w:proofErr w:type="gramEnd"/>
            <w:r w:rsidRPr="00561363">
              <w:rPr>
                <w:rFonts w:eastAsia="Times New Roman" w:cstheme="minorHAnsi"/>
                <w:sz w:val="20"/>
                <w:szCs w:val="20"/>
                <w:lang w:eastAsia="es-EC"/>
              </w:rPr>
              <w:t>.</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06" w:tooltip="Dragoljub Prcać (aún no redactado)" w:history="1">
              <w:proofErr w:type="spellStart"/>
              <w:r w:rsidR="00462619" w:rsidRPr="00561363">
                <w:rPr>
                  <w:rFonts w:eastAsia="Times New Roman" w:cstheme="minorHAnsi"/>
                  <w:sz w:val="20"/>
                  <w:szCs w:val="20"/>
                  <w:lang w:eastAsia="es-EC"/>
                </w:rPr>
                <w:t>Dragoljub</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Prcać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Serbios de Bosnia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Acusado de </w:t>
            </w:r>
            <w:proofErr w:type="spellStart"/>
            <w:r w:rsidRPr="00561363">
              <w:rPr>
                <w:rFonts w:eastAsia="Times New Roman" w:cstheme="minorHAnsi"/>
                <w:sz w:val="20"/>
                <w:szCs w:val="20"/>
                <w:lang w:eastAsia="es-EC"/>
              </w:rPr>
              <w:t>Keraterm</w:t>
            </w:r>
            <w:proofErr w:type="spellEnd"/>
            <w:r w:rsidRPr="00561363">
              <w:rPr>
                <w:rFonts w:eastAsia="Times New Roman" w:cstheme="minorHAnsi"/>
                <w:sz w:val="20"/>
                <w:szCs w:val="20"/>
                <w:lang w:eastAsia="es-EC"/>
              </w:rPr>
              <w:t xml:space="preserve"> y </w:t>
            </w:r>
            <w:proofErr w:type="spellStart"/>
            <w:r w:rsidRPr="00561363">
              <w:rPr>
                <w:rFonts w:eastAsia="Times New Roman" w:cstheme="minorHAnsi"/>
                <w:sz w:val="20"/>
                <w:szCs w:val="20"/>
                <w:lang w:eastAsia="es-EC"/>
              </w:rPr>
              <w:t>Omarska</w:t>
            </w:r>
            <w:proofErr w:type="spellEnd"/>
            <w:r w:rsidRPr="00561363">
              <w:rPr>
                <w:rFonts w:eastAsia="Times New Roman" w:cstheme="minorHAnsi"/>
                <w:sz w:val="20"/>
                <w:szCs w:val="20"/>
                <w:lang w:eastAsia="es-EC"/>
              </w:rPr>
              <w:t xml:space="preserve"> caso de</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a 5 años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07" w:tooltip="Duško Tadić" w:history="1">
              <w:proofErr w:type="spellStart"/>
              <w:r w:rsidR="00462619" w:rsidRPr="00561363">
                <w:rPr>
                  <w:rFonts w:eastAsia="Times New Roman" w:cstheme="minorHAnsi"/>
                  <w:sz w:val="20"/>
                  <w:szCs w:val="20"/>
                  <w:lang w:eastAsia="es-EC"/>
                </w:rPr>
                <w:t>Duško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Tadić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Serbios de Bosnia, </w:t>
            </w:r>
            <w:hyperlink r:id="rId208" w:tooltip="Partido Democrático Serbio" w:history="1">
              <w:r w:rsidRPr="00561363">
                <w:rPr>
                  <w:rFonts w:eastAsia="Times New Roman" w:cstheme="minorHAnsi"/>
                  <w:sz w:val="20"/>
                  <w:szCs w:val="20"/>
                  <w:lang w:eastAsia="es-EC"/>
                </w:rPr>
                <w:t>Partido Democrático Serbio</w:t>
              </w:r>
            </w:hyperlink>
            <w:r w:rsidRPr="00561363">
              <w:rPr>
                <w:rFonts w:eastAsia="Times New Roman" w:cstheme="minorHAnsi"/>
                <w:sz w:val="20"/>
                <w:szCs w:val="20"/>
                <w:lang w:eastAsia="es-EC"/>
              </w:rPr>
              <w:t xml:space="preserve"> líder en </w:t>
            </w:r>
            <w:proofErr w:type="spellStart"/>
            <w:r w:rsidRPr="00561363">
              <w:rPr>
                <w:rFonts w:eastAsia="Times New Roman" w:cstheme="minorHAnsi"/>
                <w:sz w:val="20"/>
                <w:szCs w:val="20"/>
                <w:lang w:eastAsia="es-EC"/>
              </w:rPr>
              <w:t>Kozarac</w:t>
            </w:r>
            <w:proofErr w:type="spellEnd"/>
            <w:r w:rsidRPr="00561363">
              <w:rPr>
                <w:rFonts w:eastAsia="Times New Roman" w:cstheme="minorHAnsi"/>
                <w:sz w:val="20"/>
                <w:szCs w:val="20"/>
                <w:lang w:eastAsia="es-EC"/>
              </w:rPr>
              <w:t xml:space="preserve"> y miembro de la fuerza paramilitar</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persecución, asesinato, violación, tortura en el campamento de </w:t>
            </w:r>
            <w:proofErr w:type="spellStart"/>
            <w:r w:rsidRPr="00561363">
              <w:rPr>
                <w:rFonts w:eastAsia="Times New Roman" w:cstheme="minorHAnsi"/>
                <w:sz w:val="20"/>
                <w:szCs w:val="20"/>
                <w:lang w:eastAsia="es-EC"/>
              </w:rPr>
              <w:t>Omarska</w:t>
            </w:r>
            <w:proofErr w:type="spellEnd"/>
            <w:r w:rsidRPr="00561363">
              <w:rPr>
                <w:rFonts w:eastAsia="Times New Roman" w:cstheme="minorHAnsi"/>
                <w:sz w:val="20"/>
                <w:szCs w:val="20"/>
                <w:lang w:eastAsia="es-EC"/>
              </w:rPr>
              <w:t xml:space="preserve"> y en otros lugares</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a 20 años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09" w:tooltip="Miroslav Tadić (aún no redactado)" w:history="1">
              <w:proofErr w:type="spellStart"/>
              <w:r w:rsidR="00462619" w:rsidRPr="00561363">
                <w:rPr>
                  <w:rFonts w:eastAsia="Times New Roman" w:cstheme="minorHAnsi"/>
                  <w:sz w:val="20"/>
                  <w:szCs w:val="20"/>
                  <w:lang w:eastAsia="es-EC"/>
                </w:rPr>
                <w:t>Miroslav</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Tadić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Serbios de Bosnia, presidente de la comisión </w:t>
            </w:r>
            <w:proofErr w:type="spellStart"/>
            <w:r w:rsidRPr="00561363">
              <w:rPr>
                <w:rFonts w:eastAsia="Times New Roman" w:cstheme="minorHAnsi"/>
                <w:sz w:val="20"/>
                <w:szCs w:val="20"/>
                <w:lang w:eastAsia="es-EC"/>
              </w:rPr>
              <w:t>Bosanki</w:t>
            </w:r>
            <w:proofErr w:type="spellEnd"/>
            <w:r w:rsidRPr="00561363">
              <w:rPr>
                <w:rFonts w:eastAsia="Times New Roman" w:cstheme="minorHAnsi"/>
                <w:sz w:val="20"/>
                <w:szCs w:val="20"/>
                <w:lang w:eastAsia="es-EC"/>
              </w:rPr>
              <w:t xml:space="preserve"> </w:t>
            </w:r>
            <w:proofErr w:type="spellStart"/>
            <w:r w:rsidRPr="00561363">
              <w:rPr>
                <w:rFonts w:eastAsia="Times New Roman" w:cstheme="minorHAnsi"/>
                <w:sz w:val="20"/>
                <w:szCs w:val="20"/>
                <w:lang w:eastAsia="es-EC"/>
              </w:rPr>
              <w:t>Šamac</w:t>
            </w:r>
            <w:proofErr w:type="spellEnd"/>
            <w:r w:rsidRPr="00561363">
              <w:rPr>
                <w:rFonts w:eastAsia="Times New Roman" w:cstheme="minorHAnsi"/>
                <w:sz w:val="20"/>
                <w:szCs w:val="20"/>
                <w:lang w:eastAsia="es-EC"/>
              </w:rPr>
              <w:t xml:space="preserve"> "intercambio"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La persecución y deportación</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Condenado a 8 años en el caso de que el </w:t>
            </w:r>
            <w:proofErr w:type="spellStart"/>
            <w:r w:rsidRPr="00561363">
              <w:rPr>
                <w:rFonts w:eastAsia="Times New Roman" w:cstheme="minorHAnsi"/>
                <w:sz w:val="20"/>
                <w:szCs w:val="20"/>
                <w:lang w:eastAsia="es-EC"/>
              </w:rPr>
              <w:t>Bosanski</w:t>
            </w:r>
            <w:proofErr w:type="spellEnd"/>
            <w:r w:rsidRPr="00561363">
              <w:rPr>
                <w:rFonts w:eastAsia="Times New Roman" w:cstheme="minorHAnsi"/>
                <w:sz w:val="20"/>
                <w:szCs w:val="20"/>
                <w:lang w:eastAsia="es-EC"/>
              </w:rPr>
              <w:t xml:space="preserve"> </w:t>
            </w:r>
            <w:proofErr w:type="spellStart"/>
            <w:r w:rsidRPr="00561363">
              <w:rPr>
                <w:rFonts w:eastAsia="Times New Roman" w:cstheme="minorHAnsi"/>
                <w:sz w:val="20"/>
                <w:szCs w:val="20"/>
                <w:lang w:eastAsia="es-EC"/>
              </w:rPr>
              <w:t>Šamac</w:t>
            </w:r>
            <w:proofErr w:type="spellEnd"/>
            <w:r w:rsidRPr="00561363">
              <w:rPr>
                <w:rFonts w:eastAsia="Times New Roman" w:cstheme="minorHAnsi"/>
                <w:sz w:val="20"/>
                <w:szCs w:val="20"/>
                <w:lang w:eastAsia="es-EC"/>
              </w:rPr>
              <w:t>, concedió la libertad anticipada</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10" w:tooltip="Momir Talić (aún no redactado)" w:history="1">
              <w:proofErr w:type="spellStart"/>
              <w:r w:rsidR="00462619" w:rsidRPr="00561363">
                <w:rPr>
                  <w:rFonts w:eastAsia="Times New Roman" w:cstheme="minorHAnsi"/>
                  <w:sz w:val="20"/>
                  <w:szCs w:val="20"/>
                  <w:lang w:eastAsia="es-EC"/>
                </w:rPr>
                <w:t>Momir</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Talić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Serbios de Bosnia, general de 1 º Cuerpo de Krajina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Genocidio en el caso de Krajina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Muerto, mientras que en libertad condicional, antes de la conclusión de caso</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11" w:tooltip="Johan Tarčulovski (aún no redactado)" w:history="1">
              <w:r w:rsidR="00462619" w:rsidRPr="00561363">
                <w:rPr>
                  <w:rFonts w:eastAsia="Times New Roman" w:cstheme="minorHAnsi"/>
                  <w:sz w:val="20"/>
                  <w:szCs w:val="20"/>
                  <w:lang w:eastAsia="es-EC"/>
                </w:rPr>
                <w:t xml:space="preserve">Johan </w:t>
              </w:r>
              <w:proofErr w:type="spellStart"/>
              <w:r w:rsidR="00462619" w:rsidRPr="00561363">
                <w:rPr>
                  <w:rFonts w:eastAsia="Times New Roman" w:cstheme="minorHAnsi"/>
                  <w:sz w:val="20"/>
                  <w:szCs w:val="20"/>
                  <w:lang w:eastAsia="es-EC"/>
                </w:rPr>
                <w:t>Tarčulovski</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Macedonio, oficial de policía de Macedonia</w:t>
            </w:r>
          </w:p>
        </w:tc>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12" w:tooltip="Ljuboten" w:history="1">
              <w:proofErr w:type="spellStart"/>
              <w:r w:rsidR="00462619" w:rsidRPr="00561363">
                <w:rPr>
                  <w:rFonts w:eastAsia="Times New Roman" w:cstheme="minorHAnsi"/>
                  <w:sz w:val="20"/>
                  <w:szCs w:val="20"/>
                  <w:lang w:eastAsia="es-EC"/>
                </w:rPr>
                <w:t>Ljuboten</w:t>
              </w:r>
              <w:proofErr w:type="spellEnd"/>
            </w:hyperlink>
            <w:r w:rsidR="00462619" w:rsidRPr="00561363">
              <w:rPr>
                <w:rFonts w:eastAsia="Times New Roman" w:cstheme="minorHAnsi"/>
                <w:sz w:val="20"/>
                <w:szCs w:val="20"/>
                <w:lang w:eastAsia="es-EC"/>
              </w:rPr>
              <w:t xml:space="preserve"> el ataque</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a 12 años de prisión por el Tribunal el 10 de apelación julio de 2008, presentada el 8 de agosto de 2008</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13" w:tooltip="Nedjeljko Timarac (aún no redactado)" w:history="1">
              <w:proofErr w:type="spellStart"/>
              <w:r w:rsidR="00462619" w:rsidRPr="00561363">
                <w:rPr>
                  <w:rFonts w:eastAsia="Times New Roman" w:cstheme="minorHAnsi"/>
                  <w:sz w:val="20"/>
                  <w:szCs w:val="20"/>
                  <w:lang w:eastAsia="es-EC"/>
                </w:rPr>
                <w:t>Nedjeljko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Timarac</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Serbios de Bosnia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Asesinato, actos inhumanos, que sufren graves en el campamento de </w:t>
            </w:r>
            <w:proofErr w:type="spellStart"/>
            <w:r w:rsidRPr="00561363">
              <w:rPr>
                <w:rFonts w:eastAsia="Times New Roman" w:cstheme="minorHAnsi"/>
                <w:sz w:val="20"/>
                <w:szCs w:val="20"/>
                <w:lang w:eastAsia="es-EC"/>
              </w:rPr>
              <w:t>Keraterm</w:t>
            </w:r>
            <w:proofErr w:type="spellEnd"/>
            <w:r w:rsidRPr="00561363">
              <w:rPr>
                <w:rFonts w:eastAsia="Times New Roman" w:cstheme="minorHAnsi"/>
                <w:sz w:val="20"/>
                <w:szCs w:val="20"/>
                <w:lang w:eastAsia="es-EC"/>
              </w:rPr>
              <w:t>,</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La acusación se retiró</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14" w:tooltip="Savo Todović (aún no redactado)" w:history="1">
              <w:proofErr w:type="spellStart"/>
              <w:r w:rsidR="00462619" w:rsidRPr="00561363">
                <w:rPr>
                  <w:rFonts w:eastAsia="Times New Roman" w:cstheme="minorHAnsi"/>
                  <w:sz w:val="20"/>
                  <w:szCs w:val="20"/>
                  <w:lang w:eastAsia="es-EC"/>
                </w:rPr>
                <w:t>Savo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Todović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Serbios de Bosnia, comandante de la prisión de</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Acusado de persecución, la tortura, la esclavitud, el asesinato en prisión de Foca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Caso transferido a Bosnia y Herzegovina</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15" w:tooltip="Zdravko Tolimir (aún no redactado)" w:history="1">
              <w:proofErr w:type="spellStart"/>
              <w:r w:rsidR="00462619" w:rsidRPr="00561363">
                <w:rPr>
                  <w:rFonts w:eastAsia="Times New Roman" w:cstheme="minorHAnsi"/>
                  <w:sz w:val="20"/>
                  <w:szCs w:val="20"/>
                  <w:lang w:eastAsia="es-EC"/>
                </w:rPr>
                <w:t>Zdravko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Tolimir</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Los serbios de Bosnia, los serbios de Bosnia del Ejército Comandante </w:t>
            </w:r>
            <w:r w:rsidRPr="00561363">
              <w:rPr>
                <w:rFonts w:eastAsia="Times New Roman" w:cstheme="minorHAnsi"/>
                <w:sz w:val="20"/>
                <w:szCs w:val="20"/>
                <w:lang w:eastAsia="es-EC"/>
              </w:rPr>
              <w:lastRenderedPageBreak/>
              <w:t>Adjunto</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lastRenderedPageBreak/>
              <w:t xml:space="preserve">Crímenes de lesa humanidad y </w:t>
            </w:r>
            <w:proofErr w:type="spellStart"/>
            <w:r w:rsidRPr="00561363">
              <w:rPr>
                <w:rFonts w:eastAsia="Times New Roman" w:cstheme="minorHAnsi"/>
                <w:sz w:val="20"/>
                <w:szCs w:val="20"/>
                <w:lang w:eastAsia="es-EC"/>
              </w:rPr>
              <w:t>Violaciónes</w:t>
            </w:r>
            <w:proofErr w:type="spellEnd"/>
            <w:r w:rsidRPr="00561363">
              <w:rPr>
                <w:rFonts w:eastAsia="Times New Roman" w:cstheme="minorHAnsi"/>
                <w:sz w:val="20"/>
                <w:szCs w:val="20"/>
                <w:lang w:eastAsia="es-EC"/>
              </w:rPr>
              <w:t xml:space="preserve"> de las leyes o costumbres de la guerra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En espera de juicio</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16" w:tooltip="Milorad Trbić (aún no redactado)" w:history="1">
              <w:proofErr w:type="spellStart"/>
              <w:r w:rsidR="00462619" w:rsidRPr="00561363">
                <w:rPr>
                  <w:rFonts w:eastAsia="Times New Roman" w:cstheme="minorHAnsi"/>
                  <w:sz w:val="20"/>
                  <w:szCs w:val="20"/>
                  <w:lang w:eastAsia="es-EC"/>
                </w:rPr>
                <w:t>Milorad</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Trbić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Serbios de Bosnia, el capitán de la policía militar de</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Acusado de genocidio, asesinato, persecución de Srebrenica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Pr>
                <w:rFonts w:eastAsia="Times New Roman" w:cstheme="minorHAnsi"/>
                <w:sz w:val="20"/>
                <w:szCs w:val="20"/>
                <w:lang w:eastAsia="es-EC"/>
              </w:rPr>
              <w:t>En espera de sentencia</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17" w:tooltip="Mitar Vasiljević (aún no redactado)" w:history="1">
              <w:proofErr w:type="spellStart"/>
              <w:r w:rsidR="00462619" w:rsidRPr="00561363">
                <w:rPr>
                  <w:rFonts w:eastAsia="Times New Roman" w:cstheme="minorHAnsi"/>
                  <w:sz w:val="20"/>
                  <w:szCs w:val="20"/>
                  <w:lang w:eastAsia="es-EC"/>
                </w:rPr>
                <w:t>Mitar</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Vasiljević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Los serbios de Bosnia, los serbios de Bosnia paramilitares</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El asesinato y crímenes de lesa humanidad en el incidente en el río </w:t>
            </w:r>
            <w:proofErr w:type="spellStart"/>
            <w:r w:rsidRPr="00561363">
              <w:rPr>
                <w:rFonts w:eastAsia="Times New Roman" w:cstheme="minorHAnsi"/>
                <w:sz w:val="20"/>
                <w:szCs w:val="20"/>
                <w:lang w:eastAsia="es-EC"/>
              </w:rPr>
              <w:t>Drina</w:t>
            </w:r>
            <w:proofErr w:type="spellEnd"/>
            <w:r w:rsidRPr="00561363">
              <w:rPr>
                <w:rFonts w:eastAsia="Times New Roman" w:cstheme="minorHAnsi"/>
                <w:sz w:val="20"/>
                <w:szCs w:val="20"/>
                <w:lang w:eastAsia="es-EC"/>
              </w:rPr>
              <w:t xml:space="preserve"> </w:t>
            </w:r>
            <w:proofErr w:type="spellStart"/>
            <w:r w:rsidRPr="00561363">
              <w:rPr>
                <w:rFonts w:eastAsia="Times New Roman" w:cstheme="minorHAnsi"/>
                <w:sz w:val="20"/>
                <w:szCs w:val="20"/>
                <w:lang w:eastAsia="es-EC"/>
              </w:rPr>
              <w:t>Visegrad</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a 20 años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18" w:tooltip="Zoran Vuković (aún no redactado)" w:history="1">
              <w:proofErr w:type="spellStart"/>
              <w:r w:rsidR="00462619" w:rsidRPr="00561363">
                <w:rPr>
                  <w:rFonts w:eastAsia="Times New Roman" w:cstheme="minorHAnsi"/>
                  <w:sz w:val="20"/>
                  <w:szCs w:val="20"/>
                  <w:lang w:eastAsia="es-EC"/>
                </w:rPr>
                <w:t>Zoran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Vuković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Los serbios de Bosnia, los serbios de Bosnia soldado del Ejército de</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Violación y tortura en Foca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a 12 años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19" w:tooltip="Simo Zarić (aún no redactado)" w:history="1">
              <w:proofErr w:type="spellStart"/>
              <w:r w:rsidR="00462619" w:rsidRPr="00561363">
                <w:rPr>
                  <w:rFonts w:eastAsia="Times New Roman" w:cstheme="minorHAnsi"/>
                  <w:sz w:val="20"/>
                  <w:szCs w:val="20"/>
                  <w:lang w:eastAsia="es-EC"/>
                </w:rPr>
                <w:t>Simo</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Zarić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Serbios de Bosnia, ex comandante de la </w:t>
            </w:r>
            <w:hyperlink r:id="rId220" w:tooltip="Šamac" w:history="1">
              <w:proofErr w:type="spellStart"/>
              <w:r w:rsidRPr="00561363">
                <w:rPr>
                  <w:rFonts w:eastAsia="Times New Roman" w:cstheme="minorHAnsi"/>
                  <w:sz w:val="20"/>
                  <w:szCs w:val="20"/>
                  <w:lang w:eastAsia="es-EC"/>
                </w:rPr>
                <w:t>Šamac</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Crímenes de lesa humanidad</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a 6 años, concede la libertad anticipada</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21" w:tooltip="Milan Zec (aún no redactado)" w:history="1">
              <w:proofErr w:type="spellStart"/>
              <w:r w:rsidR="00462619" w:rsidRPr="00561363">
                <w:rPr>
                  <w:rFonts w:eastAsia="Times New Roman" w:cstheme="minorHAnsi"/>
                  <w:sz w:val="20"/>
                  <w:szCs w:val="20"/>
                  <w:lang w:eastAsia="es-EC"/>
                </w:rPr>
                <w:t>Milan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Zec</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Comandante de la Armada Yugoslava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Acusado de asesinato, ataque ilegal y daños intencionales para el bombardeo de </w:t>
            </w:r>
            <w:proofErr w:type="spellStart"/>
            <w:r w:rsidRPr="00561363">
              <w:rPr>
                <w:rFonts w:eastAsia="Times New Roman" w:cstheme="minorHAnsi"/>
                <w:sz w:val="20"/>
                <w:szCs w:val="20"/>
                <w:lang w:eastAsia="es-EC"/>
              </w:rPr>
              <w:t>Dubrovnik</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La acusación se retiró</w:t>
            </w:r>
            <w:r w:rsidRPr="00561363">
              <w:rPr>
                <w:rFonts w:eastAsia="Times New Roman" w:cstheme="minorHAnsi"/>
                <w:vanish/>
                <w:sz w:val="20"/>
                <w:szCs w:val="20"/>
                <w:vertAlign w:val="superscript"/>
                <w:lang w:eastAsia="es-EC"/>
              </w:rPr>
              <w:t>[]</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22" w:tooltip="Dragan Zelenović (aún no redactado)" w:history="1">
              <w:r w:rsidR="00462619" w:rsidRPr="00561363">
                <w:rPr>
                  <w:rFonts w:eastAsia="Times New Roman" w:cstheme="minorHAnsi"/>
                  <w:sz w:val="20"/>
                  <w:szCs w:val="20"/>
                  <w:lang w:eastAsia="es-EC"/>
                </w:rPr>
                <w:t xml:space="preserve">Dragan </w:t>
              </w:r>
              <w:proofErr w:type="spellStart"/>
              <w:r w:rsidR="00462619" w:rsidRPr="00561363">
                <w:rPr>
                  <w:rFonts w:eastAsia="Times New Roman" w:cstheme="minorHAnsi"/>
                  <w:sz w:val="20"/>
                  <w:szCs w:val="20"/>
                  <w:lang w:eastAsia="es-EC"/>
                </w:rPr>
                <w:t>Zelenović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Serbios de Bosnia, agente de policía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Violación y tortura en una prisión de </w:t>
            </w:r>
            <w:proofErr w:type="spellStart"/>
            <w:r w:rsidRPr="00561363">
              <w:rPr>
                <w:rFonts w:eastAsia="Times New Roman" w:cstheme="minorHAnsi"/>
                <w:sz w:val="20"/>
                <w:szCs w:val="20"/>
                <w:lang w:eastAsia="es-EC"/>
              </w:rPr>
              <w:t>Foča</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Pr>
                <w:rFonts w:eastAsia="Times New Roman" w:cstheme="minorHAnsi"/>
                <w:sz w:val="20"/>
                <w:szCs w:val="20"/>
                <w:lang w:eastAsia="es-EC"/>
              </w:rPr>
              <w:t>Se d</w:t>
            </w:r>
            <w:r w:rsidRPr="00561363">
              <w:rPr>
                <w:rFonts w:eastAsia="Times New Roman" w:cstheme="minorHAnsi"/>
                <w:sz w:val="20"/>
                <w:szCs w:val="20"/>
                <w:lang w:eastAsia="es-EC"/>
              </w:rPr>
              <w:t xml:space="preserve">eclaró culpable de cargos </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23" w:tooltip="Zoran Žigić (aún no redactado)" w:history="1">
              <w:proofErr w:type="spellStart"/>
              <w:r w:rsidR="00462619" w:rsidRPr="00561363">
                <w:rPr>
                  <w:rFonts w:eastAsia="Times New Roman" w:cstheme="minorHAnsi"/>
                  <w:sz w:val="20"/>
                  <w:szCs w:val="20"/>
                  <w:lang w:eastAsia="es-EC"/>
                </w:rPr>
                <w:t>Zoran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Žigić</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Serbios de Bosnia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 xml:space="preserve">Crímenes en la región de </w:t>
            </w:r>
            <w:proofErr w:type="spellStart"/>
            <w:r w:rsidRPr="00561363">
              <w:rPr>
                <w:rFonts w:eastAsia="Times New Roman" w:cstheme="minorHAnsi"/>
                <w:sz w:val="20"/>
                <w:szCs w:val="20"/>
                <w:lang w:eastAsia="es-EC"/>
              </w:rPr>
              <w:t>Prijedor</w:t>
            </w:r>
            <w:proofErr w:type="spellEnd"/>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Condenado a 25 años</w:t>
            </w:r>
          </w:p>
        </w:tc>
      </w:tr>
      <w:tr w:rsidR="00462619" w:rsidRPr="00561363" w:rsidTr="008B427A">
        <w:trPr>
          <w:tblCellSpacing w:w="15" w:type="dxa"/>
        </w:trPr>
        <w:tc>
          <w:tcPr>
            <w:tcW w:w="0" w:type="auto"/>
            <w:vAlign w:val="center"/>
            <w:hideMark/>
          </w:tcPr>
          <w:p w:rsidR="00462619" w:rsidRPr="00561363" w:rsidRDefault="00D5445D" w:rsidP="008B427A">
            <w:pPr>
              <w:spacing w:after="0" w:line="240" w:lineRule="auto"/>
              <w:rPr>
                <w:rFonts w:eastAsia="Times New Roman" w:cstheme="minorHAnsi"/>
                <w:sz w:val="20"/>
                <w:szCs w:val="20"/>
                <w:lang w:eastAsia="es-EC"/>
              </w:rPr>
            </w:pPr>
            <w:hyperlink r:id="rId224" w:tooltip="Stojan Župljanin" w:history="1">
              <w:proofErr w:type="spellStart"/>
              <w:r w:rsidR="00462619" w:rsidRPr="00561363">
                <w:rPr>
                  <w:rFonts w:eastAsia="Times New Roman" w:cstheme="minorHAnsi"/>
                  <w:sz w:val="20"/>
                  <w:szCs w:val="20"/>
                  <w:lang w:eastAsia="es-EC"/>
                </w:rPr>
                <w:t>Stojan</w:t>
              </w:r>
              <w:proofErr w:type="spellEnd"/>
              <w:r w:rsidR="00462619" w:rsidRPr="00561363">
                <w:rPr>
                  <w:rFonts w:eastAsia="Times New Roman" w:cstheme="minorHAnsi"/>
                  <w:sz w:val="20"/>
                  <w:szCs w:val="20"/>
                  <w:lang w:eastAsia="es-EC"/>
                </w:rPr>
                <w:t xml:space="preserve"> </w:t>
              </w:r>
              <w:proofErr w:type="spellStart"/>
              <w:r w:rsidR="00462619" w:rsidRPr="00561363">
                <w:rPr>
                  <w:rFonts w:eastAsia="Times New Roman" w:cstheme="minorHAnsi"/>
                  <w:sz w:val="20"/>
                  <w:szCs w:val="20"/>
                  <w:lang w:eastAsia="es-EC"/>
                </w:rPr>
                <w:t>Župljanin</w:t>
              </w:r>
              <w:proofErr w:type="spellEnd"/>
            </w:hyperlink>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Serbios de Bosnia, oficial superior de policía en la Región Autónoma de Krajina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sidRPr="00561363">
              <w:rPr>
                <w:rFonts w:eastAsia="Times New Roman" w:cstheme="minorHAnsi"/>
                <w:sz w:val="20"/>
                <w:szCs w:val="20"/>
                <w:lang w:eastAsia="es-EC"/>
              </w:rPr>
              <w:t>Acusado de la persecución, la destrucción arbitraria, deportación, tortura, asesinato en Krajina</w:t>
            </w: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r>
              <w:rPr>
                <w:rFonts w:eastAsia="Times New Roman" w:cstheme="minorHAnsi"/>
                <w:sz w:val="20"/>
                <w:szCs w:val="20"/>
                <w:lang w:eastAsia="es-EC"/>
              </w:rPr>
              <w:t>D</w:t>
            </w:r>
            <w:r w:rsidRPr="00561363">
              <w:rPr>
                <w:rFonts w:eastAsia="Times New Roman" w:cstheme="minorHAnsi"/>
                <w:sz w:val="20"/>
                <w:szCs w:val="20"/>
                <w:lang w:eastAsia="es-EC"/>
              </w:rPr>
              <w:t>etenido cerca de Belgrado el 11 de junio de 2008 por las autoridades serbias</w:t>
            </w:r>
          </w:p>
        </w:tc>
      </w:tr>
      <w:tr w:rsidR="00462619" w:rsidRPr="00561363" w:rsidTr="008B427A">
        <w:trPr>
          <w:tblCellSpacing w:w="15" w:type="dxa"/>
        </w:trPr>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
        </w:tc>
        <w:tc>
          <w:tcPr>
            <w:tcW w:w="0" w:type="auto"/>
            <w:vAlign w:val="center"/>
            <w:hideMark/>
          </w:tcPr>
          <w:p w:rsidR="00462619" w:rsidRPr="00561363" w:rsidRDefault="00462619" w:rsidP="008B427A">
            <w:pPr>
              <w:spacing w:after="0" w:line="240" w:lineRule="auto"/>
              <w:rPr>
                <w:rFonts w:eastAsia="Times New Roman" w:cstheme="minorHAnsi"/>
                <w:sz w:val="20"/>
                <w:szCs w:val="20"/>
                <w:lang w:eastAsia="es-EC"/>
              </w:rPr>
            </w:pPr>
          </w:p>
        </w:tc>
      </w:tr>
    </w:tbl>
    <w:p w:rsidR="00462619" w:rsidRDefault="00462619" w:rsidP="00462619">
      <w:pPr>
        <w:rPr>
          <w:rFonts w:cstheme="minorHAnsi"/>
          <w:sz w:val="20"/>
          <w:szCs w:val="20"/>
        </w:rPr>
      </w:pPr>
    </w:p>
    <w:p w:rsidR="00476D14" w:rsidRDefault="00476D14" w:rsidP="009B4B0F">
      <w:pPr>
        <w:spacing w:line="360" w:lineRule="auto"/>
        <w:ind w:left="360"/>
        <w:jc w:val="center"/>
        <w:rPr>
          <w:rFonts w:ascii="Times New Roman" w:hAnsi="Times New Roman" w:cs="Times New Roman"/>
          <w:b/>
          <w:sz w:val="24"/>
          <w:szCs w:val="24"/>
        </w:rPr>
      </w:pPr>
    </w:p>
    <w:p w:rsidR="00714868" w:rsidRDefault="00714868" w:rsidP="009B4B0F">
      <w:pPr>
        <w:spacing w:line="360" w:lineRule="auto"/>
        <w:ind w:left="360"/>
        <w:jc w:val="center"/>
        <w:rPr>
          <w:rFonts w:ascii="Times New Roman" w:hAnsi="Times New Roman" w:cs="Times New Roman"/>
          <w:b/>
          <w:sz w:val="24"/>
          <w:szCs w:val="24"/>
        </w:rPr>
      </w:pPr>
    </w:p>
    <w:p w:rsidR="00714868" w:rsidRDefault="00714868" w:rsidP="009B4B0F">
      <w:pPr>
        <w:spacing w:line="360" w:lineRule="auto"/>
        <w:ind w:left="360"/>
        <w:jc w:val="center"/>
        <w:rPr>
          <w:rFonts w:ascii="Times New Roman" w:hAnsi="Times New Roman" w:cs="Times New Roman"/>
          <w:b/>
          <w:sz w:val="24"/>
          <w:szCs w:val="24"/>
        </w:rPr>
      </w:pPr>
    </w:p>
    <w:p w:rsidR="00714868" w:rsidRDefault="00714868" w:rsidP="009B4B0F">
      <w:pPr>
        <w:spacing w:line="360" w:lineRule="auto"/>
        <w:ind w:left="360"/>
        <w:jc w:val="center"/>
        <w:rPr>
          <w:rFonts w:ascii="Times New Roman" w:hAnsi="Times New Roman" w:cs="Times New Roman"/>
          <w:b/>
          <w:sz w:val="24"/>
          <w:szCs w:val="24"/>
        </w:rPr>
      </w:pPr>
    </w:p>
    <w:p w:rsidR="00714868" w:rsidRDefault="00714868" w:rsidP="009B4B0F">
      <w:pPr>
        <w:spacing w:line="360" w:lineRule="auto"/>
        <w:ind w:left="360"/>
        <w:jc w:val="center"/>
        <w:rPr>
          <w:rFonts w:ascii="Times New Roman" w:hAnsi="Times New Roman" w:cs="Times New Roman"/>
          <w:b/>
          <w:sz w:val="24"/>
          <w:szCs w:val="24"/>
        </w:rPr>
      </w:pPr>
    </w:p>
    <w:p w:rsidR="00714868" w:rsidRDefault="00714868" w:rsidP="009B4B0F">
      <w:pPr>
        <w:spacing w:line="360" w:lineRule="auto"/>
        <w:ind w:left="360"/>
        <w:jc w:val="center"/>
        <w:rPr>
          <w:rFonts w:ascii="Times New Roman" w:hAnsi="Times New Roman" w:cs="Times New Roman"/>
          <w:b/>
          <w:sz w:val="24"/>
          <w:szCs w:val="24"/>
        </w:rPr>
      </w:pPr>
    </w:p>
    <w:p w:rsidR="00714868" w:rsidRDefault="00714868" w:rsidP="009B4B0F">
      <w:pPr>
        <w:spacing w:line="360" w:lineRule="auto"/>
        <w:ind w:left="360"/>
        <w:jc w:val="center"/>
        <w:rPr>
          <w:rFonts w:ascii="Times New Roman" w:hAnsi="Times New Roman" w:cs="Times New Roman"/>
          <w:b/>
          <w:sz w:val="24"/>
          <w:szCs w:val="24"/>
        </w:rPr>
      </w:pPr>
    </w:p>
    <w:p w:rsidR="00714868" w:rsidRDefault="00714868" w:rsidP="009B4B0F">
      <w:pPr>
        <w:spacing w:line="360" w:lineRule="auto"/>
        <w:ind w:left="360"/>
        <w:jc w:val="center"/>
        <w:rPr>
          <w:rFonts w:ascii="Times New Roman" w:hAnsi="Times New Roman" w:cs="Times New Roman"/>
          <w:b/>
          <w:sz w:val="24"/>
          <w:szCs w:val="24"/>
        </w:rPr>
      </w:pPr>
    </w:p>
    <w:p w:rsidR="00714868" w:rsidRDefault="00714868" w:rsidP="009B4B0F">
      <w:pPr>
        <w:spacing w:line="360" w:lineRule="auto"/>
        <w:ind w:left="360"/>
        <w:jc w:val="center"/>
        <w:rPr>
          <w:rFonts w:ascii="Times New Roman" w:hAnsi="Times New Roman" w:cs="Times New Roman"/>
          <w:b/>
          <w:sz w:val="24"/>
          <w:szCs w:val="24"/>
        </w:rPr>
      </w:pPr>
      <w:r>
        <w:rPr>
          <w:rFonts w:ascii="Times New Roman" w:hAnsi="Times New Roman" w:cs="Times New Roman"/>
          <w:b/>
          <w:sz w:val="24"/>
          <w:szCs w:val="24"/>
        </w:rPr>
        <w:lastRenderedPageBreak/>
        <w:t>REFERENCIAS</w:t>
      </w:r>
    </w:p>
    <w:p w:rsidR="00714868" w:rsidRPr="00714868" w:rsidRDefault="00714868" w:rsidP="00714868">
      <w:pPr>
        <w:spacing w:line="360" w:lineRule="auto"/>
        <w:ind w:left="360"/>
        <w:jc w:val="both"/>
        <w:rPr>
          <w:rFonts w:ascii="Times New Roman" w:hAnsi="Times New Roman" w:cs="Times New Roman"/>
          <w:sz w:val="24"/>
          <w:szCs w:val="24"/>
          <w:lang w:val="es-EC"/>
        </w:rPr>
      </w:pPr>
      <w:r w:rsidRPr="00714868">
        <w:rPr>
          <w:rFonts w:ascii="Times New Roman" w:hAnsi="Times New Roman" w:cs="Times New Roman"/>
          <w:sz w:val="24"/>
          <w:szCs w:val="24"/>
          <w:lang w:val="es-EC"/>
        </w:rPr>
        <w:t xml:space="preserve">Acosta Estévez, José B. (2006), </w:t>
      </w:r>
      <w:r w:rsidRPr="00714868">
        <w:rPr>
          <w:rFonts w:ascii="Times New Roman" w:hAnsi="Times New Roman" w:cs="Times New Roman"/>
          <w:i/>
          <w:sz w:val="24"/>
          <w:szCs w:val="24"/>
          <w:lang w:val="es-EC"/>
        </w:rPr>
        <w:t>Naturaleza jurídica, estructura orgánica y características de la Corte Penal Internacional</w:t>
      </w:r>
      <w:r w:rsidRPr="00714868">
        <w:rPr>
          <w:rFonts w:ascii="Times New Roman" w:hAnsi="Times New Roman" w:cs="Times New Roman"/>
          <w:sz w:val="24"/>
          <w:szCs w:val="24"/>
          <w:lang w:val="es-EC"/>
        </w:rPr>
        <w:t>, Revista de derecho procesal, Barcelona, Nº 1, págs. 9-52</w:t>
      </w:r>
    </w:p>
    <w:p w:rsidR="008B427A" w:rsidRDefault="008B427A" w:rsidP="00714868">
      <w:pPr>
        <w:spacing w:line="360" w:lineRule="auto"/>
        <w:ind w:left="360"/>
        <w:jc w:val="both"/>
        <w:rPr>
          <w:rFonts w:ascii="Times New Roman" w:hAnsi="Times New Roman" w:cs="Times New Roman"/>
          <w:sz w:val="24"/>
          <w:szCs w:val="24"/>
          <w:lang w:val="es-EC"/>
        </w:rPr>
      </w:pPr>
    </w:p>
    <w:p w:rsidR="00714868" w:rsidRDefault="008B427A" w:rsidP="00714868">
      <w:pPr>
        <w:spacing w:line="360" w:lineRule="auto"/>
        <w:ind w:left="360"/>
        <w:jc w:val="both"/>
        <w:rPr>
          <w:rFonts w:ascii="Times New Roman" w:hAnsi="Times New Roman" w:cs="Times New Roman"/>
          <w:sz w:val="24"/>
          <w:szCs w:val="24"/>
        </w:rPr>
      </w:pPr>
      <w:r w:rsidRPr="008B427A">
        <w:rPr>
          <w:rFonts w:ascii="Times New Roman" w:hAnsi="Times New Roman" w:cs="Times New Roman"/>
          <w:sz w:val="24"/>
          <w:szCs w:val="24"/>
          <w:lang w:val="es-EC"/>
        </w:rPr>
        <w:t xml:space="preserve">Carrillo Payán, Daniel Hernando (2002), </w:t>
      </w:r>
      <w:proofErr w:type="spellStart"/>
      <w:r w:rsidRPr="008B427A">
        <w:rPr>
          <w:rFonts w:ascii="Times New Roman" w:hAnsi="Times New Roman" w:cs="Times New Roman"/>
          <w:i/>
          <w:iCs/>
          <w:sz w:val="24"/>
          <w:szCs w:val="24"/>
          <w:lang w:val="es-EC"/>
        </w:rPr>
        <w:t>The</w:t>
      </w:r>
      <w:proofErr w:type="spellEnd"/>
      <w:r w:rsidRPr="008B427A">
        <w:rPr>
          <w:rFonts w:ascii="Times New Roman" w:hAnsi="Times New Roman" w:cs="Times New Roman"/>
          <w:i/>
          <w:iCs/>
          <w:sz w:val="24"/>
          <w:szCs w:val="24"/>
          <w:lang w:val="es-EC"/>
        </w:rPr>
        <w:t xml:space="preserve"> </w:t>
      </w:r>
      <w:proofErr w:type="spellStart"/>
      <w:r w:rsidRPr="008B427A">
        <w:rPr>
          <w:rFonts w:ascii="Times New Roman" w:hAnsi="Times New Roman" w:cs="Times New Roman"/>
          <w:i/>
          <w:iCs/>
          <w:sz w:val="24"/>
          <w:szCs w:val="24"/>
          <w:lang w:val="es-EC"/>
        </w:rPr>
        <w:t>former</w:t>
      </w:r>
      <w:proofErr w:type="spellEnd"/>
      <w:r w:rsidRPr="008B427A">
        <w:rPr>
          <w:rFonts w:ascii="Times New Roman" w:hAnsi="Times New Roman" w:cs="Times New Roman"/>
          <w:i/>
          <w:iCs/>
          <w:sz w:val="24"/>
          <w:szCs w:val="24"/>
          <w:lang w:val="es-EC"/>
        </w:rPr>
        <w:t xml:space="preserve"> Yugoslavia - </w:t>
      </w:r>
      <w:proofErr w:type="spellStart"/>
      <w:r w:rsidRPr="008B427A">
        <w:rPr>
          <w:rFonts w:ascii="Times New Roman" w:hAnsi="Times New Roman" w:cs="Times New Roman"/>
          <w:i/>
          <w:iCs/>
          <w:sz w:val="24"/>
          <w:szCs w:val="24"/>
          <w:lang w:val="es-EC"/>
        </w:rPr>
        <w:t>conflicts</w:t>
      </w:r>
      <w:proofErr w:type="spellEnd"/>
      <w:r w:rsidRPr="008B427A">
        <w:rPr>
          <w:rFonts w:ascii="Times New Roman" w:hAnsi="Times New Roman" w:cs="Times New Roman"/>
          <w:i/>
          <w:iCs/>
          <w:sz w:val="24"/>
          <w:szCs w:val="24"/>
          <w:lang w:val="es-EC"/>
        </w:rPr>
        <w:t xml:space="preserve">. </w:t>
      </w:r>
      <w:r w:rsidRPr="008B427A">
        <w:rPr>
          <w:rFonts w:ascii="Times New Roman" w:hAnsi="Times New Roman" w:cs="Times New Roman"/>
          <w:iCs/>
          <w:sz w:val="24"/>
          <w:szCs w:val="24"/>
          <w:lang w:val="es-EC"/>
        </w:rPr>
        <w:t xml:space="preserve">Recuperado de </w:t>
      </w:r>
      <w:hyperlink r:id="rId225" w:history="1">
        <w:r w:rsidRPr="008B427A">
          <w:rPr>
            <w:rStyle w:val="Hipervnculo"/>
            <w:rFonts w:ascii="Times New Roman" w:hAnsi="Times New Roman" w:cs="Times New Roman"/>
            <w:sz w:val="24"/>
            <w:szCs w:val="24"/>
            <w:lang w:val="es-EC"/>
          </w:rPr>
          <w:t>www.icty.org/sid/322</w:t>
        </w:r>
      </w:hyperlink>
    </w:p>
    <w:p w:rsidR="008B427A" w:rsidRDefault="008B427A" w:rsidP="00714868">
      <w:pPr>
        <w:spacing w:line="360" w:lineRule="auto"/>
        <w:ind w:left="360"/>
        <w:jc w:val="both"/>
        <w:rPr>
          <w:rFonts w:ascii="Times New Roman" w:hAnsi="Times New Roman" w:cs="Times New Roman"/>
          <w:sz w:val="24"/>
          <w:szCs w:val="24"/>
        </w:rPr>
      </w:pPr>
    </w:p>
    <w:p w:rsidR="008B427A" w:rsidRDefault="008B427A" w:rsidP="00714868">
      <w:pPr>
        <w:spacing w:line="360" w:lineRule="auto"/>
        <w:ind w:left="360"/>
        <w:jc w:val="both"/>
        <w:rPr>
          <w:rFonts w:ascii="Times New Roman" w:hAnsi="Times New Roman" w:cs="Times New Roman"/>
          <w:sz w:val="24"/>
          <w:szCs w:val="24"/>
        </w:rPr>
      </w:pPr>
      <w:r w:rsidRPr="008B427A">
        <w:rPr>
          <w:rFonts w:ascii="Times New Roman" w:hAnsi="Times New Roman" w:cs="Times New Roman"/>
          <w:sz w:val="24"/>
          <w:szCs w:val="24"/>
        </w:rPr>
        <w:t xml:space="preserve">Comité Internacional de la Cruz Roja de España (2000), </w:t>
      </w:r>
      <w:r w:rsidRPr="008B427A">
        <w:rPr>
          <w:rFonts w:ascii="Times New Roman" w:hAnsi="Times New Roman" w:cs="Times New Roman"/>
          <w:i/>
          <w:sz w:val="24"/>
          <w:szCs w:val="24"/>
        </w:rPr>
        <w:t xml:space="preserve">Principios del  Derecho Internacional Humanitario. </w:t>
      </w:r>
      <w:r w:rsidRPr="008B427A">
        <w:rPr>
          <w:rFonts w:ascii="Times New Roman" w:hAnsi="Times New Roman" w:cs="Times New Roman"/>
          <w:sz w:val="24"/>
          <w:szCs w:val="24"/>
        </w:rPr>
        <w:t xml:space="preserve">Recuperado de  </w:t>
      </w:r>
      <w:hyperlink r:id="rId226" w:history="1">
        <w:r w:rsidRPr="008B427A">
          <w:rPr>
            <w:rStyle w:val="Hipervnculo"/>
            <w:rFonts w:ascii="Times New Roman" w:hAnsi="Times New Roman" w:cs="Times New Roman"/>
            <w:sz w:val="24"/>
            <w:szCs w:val="24"/>
          </w:rPr>
          <w:t>http://www.cruzroja.es/nota_legal/</w:t>
        </w:r>
      </w:hyperlink>
    </w:p>
    <w:p w:rsidR="008B427A" w:rsidRDefault="008B427A" w:rsidP="00714868">
      <w:pPr>
        <w:spacing w:line="360" w:lineRule="auto"/>
        <w:ind w:left="360"/>
        <w:jc w:val="both"/>
        <w:rPr>
          <w:rFonts w:ascii="Times New Roman" w:hAnsi="Times New Roman" w:cs="Times New Roman"/>
          <w:sz w:val="24"/>
          <w:szCs w:val="24"/>
        </w:rPr>
      </w:pPr>
    </w:p>
    <w:p w:rsidR="008B427A" w:rsidRPr="008B427A" w:rsidRDefault="008B427A" w:rsidP="008B427A">
      <w:pPr>
        <w:spacing w:line="360" w:lineRule="auto"/>
        <w:ind w:left="360"/>
        <w:jc w:val="both"/>
        <w:rPr>
          <w:rFonts w:ascii="Times New Roman" w:hAnsi="Times New Roman" w:cs="Times New Roman"/>
          <w:sz w:val="24"/>
          <w:szCs w:val="24"/>
          <w:lang w:val="es-EC"/>
        </w:rPr>
      </w:pPr>
      <w:proofErr w:type="spellStart"/>
      <w:r w:rsidRPr="008B427A">
        <w:rPr>
          <w:rFonts w:ascii="Times New Roman" w:hAnsi="Times New Roman" w:cs="Times New Roman"/>
          <w:sz w:val="24"/>
          <w:szCs w:val="24"/>
          <w:lang w:val="es-EC"/>
        </w:rPr>
        <w:t>Denitch</w:t>
      </w:r>
      <w:proofErr w:type="spellEnd"/>
      <w:r w:rsidRPr="008B427A">
        <w:rPr>
          <w:rFonts w:ascii="Times New Roman" w:hAnsi="Times New Roman" w:cs="Times New Roman"/>
          <w:sz w:val="24"/>
          <w:szCs w:val="24"/>
          <w:lang w:val="es-EC"/>
        </w:rPr>
        <w:t xml:space="preserve"> </w:t>
      </w:r>
      <w:proofErr w:type="spellStart"/>
      <w:r w:rsidRPr="008B427A">
        <w:rPr>
          <w:rFonts w:ascii="Times New Roman" w:hAnsi="Times New Roman" w:cs="Times New Roman"/>
          <w:sz w:val="24"/>
          <w:szCs w:val="24"/>
          <w:lang w:val="es-EC"/>
        </w:rPr>
        <w:t>Bogdan</w:t>
      </w:r>
      <w:proofErr w:type="spellEnd"/>
      <w:r w:rsidRPr="008B427A">
        <w:rPr>
          <w:rFonts w:ascii="Times New Roman" w:hAnsi="Times New Roman" w:cs="Times New Roman"/>
          <w:sz w:val="24"/>
          <w:szCs w:val="24"/>
          <w:lang w:val="es-EC"/>
        </w:rPr>
        <w:t xml:space="preserve"> Denis (1995), </w:t>
      </w:r>
      <w:r w:rsidRPr="008B427A">
        <w:rPr>
          <w:rFonts w:ascii="Times New Roman" w:hAnsi="Times New Roman" w:cs="Times New Roman"/>
          <w:i/>
          <w:sz w:val="24"/>
          <w:szCs w:val="24"/>
          <w:lang w:val="es-EC"/>
        </w:rPr>
        <w:t xml:space="preserve">Nacionalismo y Etnicidad, La Trágica Muerte de Yugoslavia, </w:t>
      </w:r>
      <w:r w:rsidRPr="008B427A">
        <w:rPr>
          <w:rFonts w:ascii="Times New Roman" w:hAnsi="Times New Roman" w:cs="Times New Roman"/>
          <w:sz w:val="24"/>
          <w:szCs w:val="24"/>
          <w:lang w:val="es-EC"/>
        </w:rPr>
        <w:t>p. 195, México D.F., Editorial Siglo XXI.</w:t>
      </w:r>
    </w:p>
    <w:p w:rsidR="008B427A" w:rsidRDefault="008B427A" w:rsidP="00714868">
      <w:pPr>
        <w:spacing w:line="360" w:lineRule="auto"/>
        <w:ind w:left="360"/>
        <w:jc w:val="both"/>
        <w:rPr>
          <w:rFonts w:ascii="Times New Roman" w:hAnsi="Times New Roman" w:cs="Times New Roman"/>
          <w:sz w:val="24"/>
          <w:szCs w:val="24"/>
          <w:lang w:val="es-EC"/>
        </w:rPr>
      </w:pPr>
    </w:p>
    <w:p w:rsidR="008B427A" w:rsidRPr="008B427A" w:rsidRDefault="008B427A" w:rsidP="008B427A">
      <w:pPr>
        <w:spacing w:line="360" w:lineRule="auto"/>
        <w:ind w:left="360"/>
        <w:jc w:val="both"/>
        <w:rPr>
          <w:rFonts w:ascii="Times New Roman" w:hAnsi="Times New Roman" w:cs="Times New Roman"/>
          <w:sz w:val="24"/>
          <w:szCs w:val="24"/>
        </w:rPr>
      </w:pPr>
      <w:proofErr w:type="spellStart"/>
      <w:r w:rsidRPr="008B427A">
        <w:rPr>
          <w:rFonts w:ascii="Times New Roman" w:hAnsi="Times New Roman" w:cs="Times New Roman"/>
          <w:sz w:val="24"/>
          <w:szCs w:val="24"/>
        </w:rPr>
        <w:t>Edixon</w:t>
      </w:r>
      <w:proofErr w:type="spellEnd"/>
      <w:r w:rsidRPr="008B427A">
        <w:rPr>
          <w:rFonts w:ascii="Times New Roman" w:hAnsi="Times New Roman" w:cs="Times New Roman"/>
          <w:sz w:val="24"/>
          <w:szCs w:val="24"/>
        </w:rPr>
        <w:t xml:space="preserve"> Quiñonez Reyes (2004), </w:t>
      </w:r>
      <w:r w:rsidRPr="008B427A">
        <w:rPr>
          <w:rFonts w:ascii="Times New Roman" w:hAnsi="Times New Roman" w:cs="Times New Roman"/>
          <w:i/>
          <w:sz w:val="24"/>
          <w:szCs w:val="24"/>
        </w:rPr>
        <w:t>La Participación de Antropólogos Forenses Colombianos en la Investigación de los Crímenes de Guerra en la Antigua Yugoslavia</w:t>
      </w:r>
      <w:r w:rsidRPr="008B427A">
        <w:rPr>
          <w:rFonts w:ascii="Times New Roman" w:hAnsi="Times New Roman" w:cs="Times New Roman"/>
          <w:sz w:val="24"/>
          <w:szCs w:val="24"/>
        </w:rPr>
        <w:t>, Revista Maguaré, Bogotá, edición 18.</w:t>
      </w:r>
    </w:p>
    <w:p w:rsidR="008B427A" w:rsidRDefault="008B427A" w:rsidP="00714868">
      <w:pPr>
        <w:spacing w:line="360" w:lineRule="auto"/>
        <w:ind w:left="360"/>
        <w:jc w:val="both"/>
        <w:rPr>
          <w:rFonts w:ascii="Times New Roman" w:hAnsi="Times New Roman" w:cs="Times New Roman"/>
          <w:sz w:val="24"/>
          <w:szCs w:val="24"/>
        </w:rPr>
      </w:pPr>
    </w:p>
    <w:p w:rsidR="008B427A" w:rsidRPr="008B427A" w:rsidRDefault="008B427A" w:rsidP="008B427A">
      <w:pPr>
        <w:spacing w:line="360" w:lineRule="auto"/>
        <w:ind w:left="360"/>
        <w:jc w:val="both"/>
        <w:rPr>
          <w:rFonts w:ascii="Times New Roman" w:hAnsi="Times New Roman" w:cs="Times New Roman"/>
          <w:sz w:val="24"/>
          <w:szCs w:val="24"/>
          <w:lang w:val="es-EC"/>
        </w:rPr>
      </w:pPr>
      <w:r w:rsidRPr="008B427A">
        <w:rPr>
          <w:rFonts w:ascii="Times New Roman" w:hAnsi="Times New Roman" w:cs="Times New Roman"/>
          <w:sz w:val="24"/>
          <w:szCs w:val="24"/>
          <w:lang w:val="es-EC"/>
        </w:rPr>
        <w:t xml:space="preserve">Informe del CICR sobre </w:t>
      </w:r>
      <w:r w:rsidRPr="008B427A">
        <w:rPr>
          <w:rFonts w:ascii="Times New Roman" w:hAnsi="Times New Roman" w:cs="Times New Roman"/>
          <w:i/>
          <w:iCs/>
          <w:sz w:val="24"/>
          <w:szCs w:val="24"/>
          <w:lang w:val="es-EC"/>
        </w:rPr>
        <w:t xml:space="preserve">El derecho internacional humanitario y los retos de los conflictos armados contemporáneos </w:t>
      </w:r>
      <w:r w:rsidRPr="008B427A">
        <w:rPr>
          <w:rFonts w:ascii="Times New Roman" w:hAnsi="Times New Roman" w:cs="Times New Roman"/>
          <w:sz w:val="24"/>
          <w:szCs w:val="24"/>
          <w:lang w:val="es-EC"/>
        </w:rPr>
        <w:t>presentado a la XXX Conferencia Internacional de la Cruz Roja y de la</w:t>
      </w:r>
      <w:r w:rsidRPr="008B427A">
        <w:rPr>
          <w:rFonts w:ascii="Times New Roman" w:hAnsi="Times New Roman" w:cs="Times New Roman"/>
          <w:i/>
          <w:iCs/>
          <w:sz w:val="24"/>
          <w:szCs w:val="24"/>
          <w:lang w:val="es-EC"/>
        </w:rPr>
        <w:t xml:space="preserve"> </w:t>
      </w:r>
      <w:r w:rsidRPr="008B427A">
        <w:rPr>
          <w:rFonts w:ascii="Times New Roman" w:hAnsi="Times New Roman" w:cs="Times New Roman"/>
          <w:sz w:val="24"/>
          <w:szCs w:val="24"/>
          <w:lang w:val="es-EC"/>
        </w:rPr>
        <w:t xml:space="preserve">Media Luna Roja, </w:t>
      </w:r>
      <w:r w:rsidRPr="008B427A">
        <w:rPr>
          <w:rFonts w:ascii="Times New Roman" w:hAnsi="Times New Roman" w:cs="Times New Roman"/>
          <w:iCs/>
          <w:sz w:val="24"/>
          <w:szCs w:val="24"/>
          <w:lang w:val="es-EC"/>
        </w:rPr>
        <w:t xml:space="preserve">(2007), </w:t>
      </w:r>
      <w:r w:rsidRPr="008B427A">
        <w:rPr>
          <w:rFonts w:ascii="Times New Roman" w:hAnsi="Times New Roman" w:cs="Times New Roman"/>
          <w:sz w:val="24"/>
          <w:szCs w:val="24"/>
          <w:lang w:val="es-EC"/>
        </w:rPr>
        <w:t>Ginebra, 30IC/07/4.</w:t>
      </w:r>
    </w:p>
    <w:p w:rsidR="008B427A" w:rsidRDefault="008B427A" w:rsidP="00714868">
      <w:pPr>
        <w:spacing w:line="360" w:lineRule="auto"/>
        <w:ind w:left="360"/>
        <w:jc w:val="both"/>
        <w:rPr>
          <w:rFonts w:ascii="Times New Roman" w:hAnsi="Times New Roman" w:cs="Times New Roman"/>
          <w:sz w:val="24"/>
          <w:szCs w:val="24"/>
          <w:lang w:val="es-EC"/>
        </w:rPr>
      </w:pPr>
    </w:p>
    <w:p w:rsidR="008B427A" w:rsidRPr="008B427A" w:rsidRDefault="008B427A" w:rsidP="008B427A">
      <w:pPr>
        <w:spacing w:line="360" w:lineRule="auto"/>
        <w:ind w:left="360"/>
        <w:jc w:val="both"/>
        <w:rPr>
          <w:rFonts w:ascii="Times New Roman" w:hAnsi="Times New Roman" w:cs="Times New Roman"/>
          <w:sz w:val="24"/>
          <w:szCs w:val="24"/>
          <w:lang w:val="es-EC"/>
        </w:rPr>
      </w:pPr>
      <w:r w:rsidRPr="008B427A">
        <w:rPr>
          <w:rFonts w:ascii="Times New Roman" w:hAnsi="Times New Roman" w:cs="Times New Roman"/>
          <w:sz w:val="24"/>
          <w:szCs w:val="24"/>
          <w:lang w:val="es-EC"/>
        </w:rPr>
        <w:t xml:space="preserve">Jiménez Castillo, Héctor Hugo (1994), </w:t>
      </w:r>
      <w:r w:rsidRPr="008B427A">
        <w:rPr>
          <w:rFonts w:ascii="Times New Roman" w:hAnsi="Times New Roman" w:cs="Times New Roman"/>
          <w:i/>
          <w:sz w:val="24"/>
          <w:szCs w:val="24"/>
          <w:lang w:val="es-EC"/>
        </w:rPr>
        <w:t>Huellas de una Guerra el Drama sin Fin de la ex Yugoeslavia,</w:t>
      </w:r>
      <w:r w:rsidRPr="008B427A">
        <w:rPr>
          <w:rFonts w:ascii="Times New Roman" w:hAnsi="Times New Roman" w:cs="Times New Roman"/>
          <w:sz w:val="24"/>
          <w:szCs w:val="24"/>
          <w:lang w:val="es-EC"/>
        </w:rPr>
        <w:t xml:space="preserve"> UANL, Monterrey.</w:t>
      </w:r>
    </w:p>
    <w:p w:rsidR="008B427A" w:rsidRDefault="008B427A" w:rsidP="00714868">
      <w:pPr>
        <w:spacing w:line="360" w:lineRule="auto"/>
        <w:ind w:left="360"/>
        <w:jc w:val="both"/>
        <w:rPr>
          <w:rFonts w:ascii="Times New Roman" w:hAnsi="Times New Roman" w:cs="Times New Roman"/>
          <w:sz w:val="24"/>
          <w:szCs w:val="24"/>
          <w:lang w:val="es-EC"/>
        </w:rPr>
      </w:pPr>
    </w:p>
    <w:p w:rsidR="008B427A" w:rsidRPr="008B427A" w:rsidRDefault="008B427A" w:rsidP="008B427A">
      <w:pPr>
        <w:spacing w:line="360" w:lineRule="auto"/>
        <w:ind w:left="360"/>
        <w:jc w:val="both"/>
        <w:rPr>
          <w:rFonts w:ascii="Times New Roman" w:hAnsi="Times New Roman" w:cs="Times New Roman"/>
          <w:sz w:val="24"/>
          <w:szCs w:val="24"/>
        </w:rPr>
      </w:pPr>
      <w:proofErr w:type="spellStart"/>
      <w:r w:rsidRPr="008B427A">
        <w:rPr>
          <w:rFonts w:ascii="Times New Roman" w:hAnsi="Times New Roman" w:cs="Times New Roman"/>
          <w:sz w:val="24"/>
          <w:szCs w:val="24"/>
          <w:lang w:val="es-EC"/>
        </w:rPr>
        <w:lastRenderedPageBreak/>
        <w:t>Kaldor</w:t>
      </w:r>
      <w:proofErr w:type="spellEnd"/>
      <w:r w:rsidRPr="008B427A">
        <w:rPr>
          <w:rFonts w:ascii="Times New Roman" w:hAnsi="Times New Roman" w:cs="Times New Roman"/>
          <w:sz w:val="24"/>
          <w:szCs w:val="24"/>
          <w:lang w:val="es-EC"/>
        </w:rPr>
        <w:t xml:space="preserve"> Mery (2001), </w:t>
      </w:r>
      <w:r w:rsidRPr="008B427A">
        <w:rPr>
          <w:rFonts w:ascii="Times New Roman" w:hAnsi="Times New Roman" w:cs="Times New Roman"/>
          <w:i/>
          <w:sz w:val="24"/>
          <w:szCs w:val="24"/>
        </w:rPr>
        <w:t xml:space="preserve">Nacionalismo y Etnicidad, La Trágica Muerte de Yugoslavia, </w:t>
      </w:r>
      <w:r w:rsidRPr="008B427A">
        <w:rPr>
          <w:rFonts w:ascii="Times New Roman" w:hAnsi="Times New Roman" w:cs="Times New Roman"/>
          <w:sz w:val="24"/>
          <w:szCs w:val="24"/>
        </w:rPr>
        <w:t xml:space="preserve">Barcelona, Editorial </w:t>
      </w:r>
      <w:proofErr w:type="spellStart"/>
      <w:r w:rsidRPr="008B427A">
        <w:rPr>
          <w:rFonts w:ascii="Times New Roman" w:hAnsi="Times New Roman" w:cs="Times New Roman"/>
          <w:sz w:val="24"/>
          <w:szCs w:val="24"/>
        </w:rPr>
        <w:t>Tusquets</w:t>
      </w:r>
      <w:proofErr w:type="spellEnd"/>
      <w:r w:rsidRPr="008B427A">
        <w:rPr>
          <w:rFonts w:ascii="Times New Roman" w:hAnsi="Times New Roman" w:cs="Times New Roman"/>
          <w:sz w:val="24"/>
          <w:szCs w:val="24"/>
        </w:rPr>
        <w:t>.</w:t>
      </w:r>
    </w:p>
    <w:p w:rsidR="008B427A" w:rsidRDefault="008B427A" w:rsidP="00714868">
      <w:pPr>
        <w:spacing w:line="360" w:lineRule="auto"/>
        <w:ind w:left="360"/>
        <w:jc w:val="both"/>
        <w:rPr>
          <w:rFonts w:ascii="Times New Roman" w:hAnsi="Times New Roman" w:cs="Times New Roman"/>
          <w:sz w:val="24"/>
          <w:szCs w:val="24"/>
        </w:rPr>
      </w:pPr>
    </w:p>
    <w:p w:rsidR="008B427A" w:rsidRDefault="008B427A" w:rsidP="00714868">
      <w:pPr>
        <w:spacing w:line="360" w:lineRule="auto"/>
        <w:ind w:left="360"/>
        <w:jc w:val="both"/>
        <w:rPr>
          <w:rFonts w:ascii="Times New Roman" w:hAnsi="Times New Roman" w:cs="Times New Roman"/>
          <w:sz w:val="24"/>
          <w:szCs w:val="24"/>
        </w:rPr>
      </w:pPr>
      <w:proofErr w:type="spellStart"/>
      <w:r w:rsidRPr="008B427A">
        <w:rPr>
          <w:rFonts w:ascii="Times New Roman" w:hAnsi="Times New Roman" w:cs="Times New Roman"/>
          <w:sz w:val="24"/>
          <w:szCs w:val="24"/>
          <w:lang w:val="es-EC"/>
        </w:rPr>
        <w:t>Kolb</w:t>
      </w:r>
      <w:proofErr w:type="spellEnd"/>
      <w:r w:rsidRPr="008B427A">
        <w:rPr>
          <w:rFonts w:ascii="Times New Roman" w:hAnsi="Times New Roman" w:cs="Times New Roman"/>
          <w:sz w:val="24"/>
          <w:szCs w:val="24"/>
          <w:lang w:val="es-EC"/>
        </w:rPr>
        <w:t xml:space="preserve"> </w:t>
      </w:r>
      <w:r w:rsidRPr="008B427A">
        <w:rPr>
          <w:rFonts w:ascii="Times New Roman" w:hAnsi="Times New Roman" w:cs="Times New Roman"/>
          <w:sz w:val="24"/>
          <w:szCs w:val="24"/>
        </w:rPr>
        <w:t xml:space="preserve">Robert, (1997), </w:t>
      </w:r>
      <w:r w:rsidRPr="008B427A">
        <w:rPr>
          <w:rFonts w:ascii="Times New Roman" w:hAnsi="Times New Roman" w:cs="Times New Roman"/>
          <w:i/>
          <w:sz w:val="24"/>
          <w:szCs w:val="24"/>
        </w:rPr>
        <w:t xml:space="preserve">Origen de la pareja terminológica </w:t>
      </w:r>
      <w:proofErr w:type="spellStart"/>
      <w:r w:rsidRPr="008B427A">
        <w:rPr>
          <w:rFonts w:ascii="Times New Roman" w:hAnsi="Times New Roman" w:cs="Times New Roman"/>
          <w:i/>
          <w:sz w:val="24"/>
          <w:szCs w:val="24"/>
        </w:rPr>
        <w:t>ius</w:t>
      </w:r>
      <w:proofErr w:type="spellEnd"/>
      <w:r w:rsidRPr="008B427A">
        <w:rPr>
          <w:rFonts w:ascii="Times New Roman" w:hAnsi="Times New Roman" w:cs="Times New Roman"/>
          <w:i/>
          <w:sz w:val="24"/>
          <w:szCs w:val="24"/>
        </w:rPr>
        <w:t xml:space="preserve"> ad </w:t>
      </w:r>
      <w:proofErr w:type="spellStart"/>
      <w:r w:rsidRPr="008B427A">
        <w:rPr>
          <w:rFonts w:ascii="Times New Roman" w:hAnsi="Times New Roman" w:cs="Times New Roman"/>
          <w:i/>
          <w:sz w:val="24"/>
          <w:szCs w:val="24"/>
        </w:rPr>
        <w:t>bellum</w:t>
      </w:r>
      <w:proofErr w:type="spellEnd"/>
      <w:r w:rsidRPr="008B427A">
        <w:rPr>
          <w:rFonts w:ascii="Times New Roman" w:hAnsi="Times New Roman" w:cs="Times New Roman"/>
          <w:i/>
          <w:sz w:val="24"/>
          <w:szCs w:val="24"/>
        </w:rPr>
        <w:t xml:space="preserve"> / </w:t>
      </w:r>
      <w:proofErr w:type="spellStart"/>
      <w:r w:rsidRPr="008B427A">
        <w:rPr>
          <w:rFonts w:ascii="Times New Roman" w:hAnsi="Times New Roman" w:cs="Times New Roman"/>
          <w:i/>
          <w:sz w:val="24"/>
          <w:szCs w:val="24"/>
        </w:rPr>
        <w:t>ius</w:t>
      </w:r>
      <w:proofErr w:type="spellEnd"/>
      <w:r w:rsidRPr="008B427A">
        <w:rPr>
          <w:rFonts w:ascii="Times New Roman" w:hAnsi="Times New Roman" w:cs="Times New Roman"/>
          <w:i/>
          <w:sz w:val="24"/>
          <w:szCs w:val="24"/>
        </w:rPr>
        <w:t xml:space="preserve"> in bello. </w:t>
      </w:r>
      <w:r w:rsidRPr="008B427A">
        <w:rPr>
          <w:rFonts w:ascii="Times New Roman" w:hAnsi="Times New Roman" w:cs="Times New Roman"/>
          <w:sz w:val="24"/>
          <w:szCs w:val="24"/>
        </w:rPr>
        <w:t xml:space="preserve">Recuperado de </w:t>
      </w:r>
      <w:hyperlink r:id="rId227" w:history="1">
        <w:r w:rsidRPr="008B427A">
          <w:rPr>
            <w:rStyle w:val="Hipervnculo"/>
            <w:rFonts w:ascii="Times New Roman" w:hAnsi="Times New Roman" w:cs="Times New Roman"/>
            <w:sz w:val="24"/>
            <w:szCs w:val="24"/>
          </w:rPr>
          <w:t>http://www.icrc.org/spa/resources/documents/misc/5tdldr.htm</w:t>
        </w:r>
      </w:hyperlink>
    </w:p>
    <w:p w:rsidR="008B427A" w:rsidRDefault="008B427A" w:rsidP="00714868">
      <w:pPr>
        <w:spacing w:line="360" w:lineRule="auto"/>
        <w:ind w:left="360"/>
        <w:jc w:val="both"/>
        <w:rPr>
          <w:rFonts w:ascii="Times New Roman" w:hAnsi="Times New Roman" w:cs="Times New Roman"/>
          <w:sz w:val="24"/>
          <w:szCs w:val="24"/>
        </w:rPr>
      </w:pPr>
    </w:p>
    <w:p w:rsidR="008B427A" w:rsidRPr="008B427A" w:rsidRDefault="008B427A" w:rsidP="008B427A">
      <w:pPr>
        <w:spacing w:line="360" w:lineRule="auto"/>
        <w:ind w:left="360"/>
        <w:jc w:val="both"/>
        <w:rPr>
          <w:rFonts w:ascii="Times New Roman" w:hAnsi="Times New Roman" w:cs="Times New Roman"/>
          <w:sz w:val="24"/>
          <w:szCs w:val="24"/>
          <w:lang w:val="en-US"/>
        </w:rPr>
      </w:pPr>
      <w:r w:rsidRPr="008B427A">
        <w:rPr>
          <w:rFonts w:ascii="Times New Roman" w:hAnsi="Times New Roman" w:cs="Times New Roman"/>
          <w:sz w:val="24"/>
          <w:szCs w:val="24"/>
          <w:lang w:val="en-US"/>
        </w:rPr>
        <w:t xml:space="preserve">Morris, Virginia &amp; Michael P. </w:t>
      </w:r>
      <w:proofErr w:type="spellStart"/>
      <w:r w:rsidRPr="008B427A">
        <w:rPr>
          <w:rFonts w:ascii="Times New Roman" w:hAnsi="Times New Roman" w:cs="Times New Roman"/>
          <w:sz w:val="24"/>
          <w:szCs w:val="24"/>
          <w:lang w:val="en-US"/>
        </w:rPr>
        <w:t>Scharf</w:t>
      </w:r>
      <w:proofErr w:type="spellEnd"/>
      <w:r w:rsidRPr="008B427A">
        <w:rPr>
          <w:rFonts w:ascii="Times New Roman" w:hAnsi="Times New Roman" w:cs="Times New Roman"/>
          <w:sz w:val="24"/>
          <w:szCs w:val="24"/>
          <w:lang w:val="en-US"/>
        </w:rPr>
        <w:t xml:space="preserve"> (1995), </w:t>
      </w:r>
      <w:r w:rsidRPr="008B427A">
        <w:rPr>
          <w:rFonts w:ascii="Times New Roman" w:hAnsi="Times New Roman" w:cs="Times New Roman"/>
          <w:i/>
          <w:sz w:val="24"/>
          <w:szCs w:val="24"/>
          <w:lang w:val="en-US"/>
        </w:rPr>
        <w:t xml:space="preserve">An Insider´s Guide to the International Criminal Tribunal for the Former Yugoslavia, </w:t>
      </w:r>
      <w:proofErr w:type="spellStart"/>
      <w:r w:rsidRPr="008B427A">
        <w:rPr>
          <w:rFonts w:ascii="Times New Roman" w:hAnsi="Times New Roman" w:cs="Times New Roman"/>
          <w:sz w:val="24"/>
          <w:szCs w:val="24"/>
          <w:lang w:val="en-US"/>
        </w:rPr>
        <w:t>Estados</w:t>
      </w:r>
      <w:proofErr w:type="spellEnd"/>
      <w:r w:rsidRPr="008B427A">
        <w:rPr>
          <w:rFonts w:ascii="Times New Roman" w:hAnsi="Times New Roman" w:cs="Times New Roman"/>
          <w:sz w:val="24"/>
          <w:szCs w:val="24"/>
          <w:lang w:val="en-US"/>
        </w:rPr>
        <w:t xml:space="preserve"> </w:t>
      </w:r>
      <w:proofErr w:type="spellStart"/>
      <w:r w:rsidRPr="008B427A">
        <w:rPr>
          <w:rFonts w:ascii="Times New Roman" w:hAnsi="Times New Roman" w:cs="Times New Roman"/>
          <w:sz w:val="24"/>
          <w:szCs w:val="24"/>
          <w:lang w:val="en-US"/>
        </w:rPr>
        <w:t>Unidos</w:t>
      </w:r>
      <w:proofErr w:type="spellEnd"/>
      <w:r w:rsidRPr="008B427A">
        <w:rPr>
          <w:rFonts w:ascii="Times New Roman" w:hAnsi="Times New Roman" w:cs="Times New Roman"/>
          <w:sz w:val="24"/>
          <w:szCs w:val="24"/>
          <w:lang w:val="en-US"/>
        </w:rPr>
        <w:t xml:space="preserve">, </w:t>
      </w:r>
      <w:proofErr w:type="gramStart"/>
      <w:r w:rsidRPr="008B427A">
        <w:rPr>
          <w:rFonts w:ascii="Times New Roman" w:hAnsi="Times New Roman" w:cs="Times New Roman"/>
          <w:sz w:val="24"/>
          <w:szCs w:val="24"/>
          <w:lang w:val="en-US"/>
        </w:rPr>
        <w:t>Editorial</w:t>
      </w:r>
      <w:proofErr w:type="gramEnd"/>
      <w:r w:rsidRPr="008B427A">
        <w:rPr>
          <w:rFonts w:ascii="Times New Roman" w:hAnsi="Times New Roman" w:cs="Times New Roman"/>
          <w:sz w:val="24"/>
          <w:szCs w:val="24"/>
          <w:lang w:val="en-US"/>
        </w:rPr>
        <w:t xml:space="preserve"> Transnational Publishers Inc.</w:t>
      </w:r>
    </w:p>
    <w:p w:rsidR="008B427A" w:rsidRDefault="008B427A" w:rsidP="00714868">
      <w:pPr>
        <w:spacing w:line="360" w:lineRule="auto"/>
        <w:ind w:left="360"/>
        <w:jc w:val="both"/>
        <w:rPr>
          <w:rFonts w:ascii="Times New Roman" w:hAnsi="Times New Roman" w:cs="Times New Roman"/>
          <w:sz w:val="24"/>
          <w:szCs w:val="24"/>
          <w:lang w:val="en-US"/>
        </w:rPr>
      </w:pPr>
    </w:p>
    <w:p w:rsidR="008B427A" w:rsidRPr="00DF6DA4" w:rsidRDefault="008B427A" w:rsidP="008B427A">
      <w:pPr>
        <w:spacing w:line="360" w:lineRule="auto"/>
        <w:ind w:left="360"/>
        <w:jc w:val="both"/>
        <w:rPr>
          <w:rFonts w:ascii="Times New Roman" w:hAnsi="Times New Roman" w:cs="Times New Roman"/>
          <w:sz w:val="24"/>
          <w:szCs w:val="24"/>
          <w:lang w:val="es-EC"/>
        </w:rPr>
      </w:pPr>
      <w:r w:rsidRPr="008B427A">
        <w:rPr>
          <w:rFonts w:ascii="Times New Roman" w:hAnsi="Times New Roman" w:cs="Times New Roman"/>
          <w:sz w:val="24"/>
          <w:szCs w:val="24"/>
          <w:lang w:val="en-US"/>
        </w:rPr>
        <w:t xml:space="preserve">O´Brian, James (1993), </w:t>
      </w:r>
      <w:r w:rsidRPr="008B427A">
        <w:rPr>
          <w:rFonts w:ascii="Times New Roman" w:hAnsi="Times New Roman" w:cs="Times New Roman"/>
          <w:i/>
          <w:sz w:val="24"/>
          <w:szCs w:val="24"/>
          <w:lang w:val="en-US"/>
        </w:rPr>
        <w:t xml:space="preserve">The International Tribunal for Violations of International Humanitarian Law in the Former Yugoslavia, </w:t>
      </w:r>
      <w:hyperlink r:id="rId228" w:history="1">
        <w:r w:rsidRPr="008B427A">
          <w:rPr>
            <w:rStyle w:val="Hipervnculo"/>
            <w:rFonts w:ascii="Times New Roman" w:hAnsi="Times New Roman" w:cs="Times New Roman"/>
            <w:color w:val="auto"/>
            <w:sz w:val="24"/>
            <w:szCs w:val="24"/>
            <w:u w:val="none"/>
            <w:lang w:val="en-US"/>
          </w:rPr>
          <w:t>American Journal of International Law</w:t>
        </w:r>
      </w:hyperlink>
      <w:r w:rsidRPr="008B427A">
        <w:rPr>
          <w:rFonts w:ascii="Times New Roman" w:hAnsi="Times New Roman" w:cs="Times New Roman"/>
          <w:sz w:val="24"/>
          <w:szCs w:val="24"/>
          <w:lang w:val="en-US"/>
        </w:rPr>
        <w:t xml:space="preserve">, ISSN 0002-9300, </w:t>
      </w:r>
      <w:hyperlink r:id="rId229" w:history="1">
        <w:r w:rsidRPr="008B427A">
          <w:rPr>
            <w:rStyle w:val="Hipervnculo"/>
            <w:rFonts w:ascii="Times New Roman" w:hAnsi="Times New Roman" w:cs="Times New Roman"/>
            <w:color w:val="auto"/>
            <w:sz w:val="24"/>
            <w:szCs w:val="24"/>
            <w:u w:val="none"/>
            <w:lang w:val="en-US"/>
          </w:rPr>
          <w:t>Vol. 87, Nº 4, 1993</w:t>
        </w:r>
      </w:hyperlink>
      <w:r w:rsidRPr="008B427A">
        <w:rPr>
          <w:rFonts w:ascii="Times New Roman" w:hAnsi="Times New Roman" w:cs="Times New Roman"/>
          <w:sz w:val="24"/>
          <w:szCs w:val="24"/>
          <w:lang w:val="en-US"/>
        </w:rPr>
        <w:t xml:space="preserve">, </w:t>
      </w:r>
      <w:proofErr w:type="spellStart"/>
      <w:r w:rsidRPr="008B427A">
        <w:rPr>
          <w:rFonts w:ascii="Times New Roman" w:hAnsi="Times New Roman" w:cs="Times New Roman"/>
          <w:sz w:val="24"/>
          <w:szCs w:val="24"/>
          <w:lang w:val="en-US"/>
        </w:rPr>
        <w:t>págs</w:t>
      </w:r>
      <w:proofErr w:type="spellEnd"/>
      <w:r w:rsidRPr="008B427A">
        <w:rPr>
          <w:rFonts w:ascii="Times New Roman" w:hAnsi="Times New Roman" w:cs="Times New Roman"/>
          <w:sz w:val="24"/>
          <w:szCs w:val="24"/>
          <w:lang w:val="en-US"/>
        </w:rPr>
        <w:t xml:space="preserve">. </w:t>
      </w:r>
      <w:r w:rsidRPr="00DF6DA4">
        <w:rPr>
          <w:rFonts w:ascii="Times New Roman" w:hAnsi="Times New Roman" w:cs="Times New Roman"/>
          <w:sz w:val="24"/>
          <w:szCs w:val="24"/>
          <w:lang w:val="es-EC"/>
        </w:rPr>
        <w:t>639-659</w:t>
      </w:r>
    </w:p>
    <w:p w:rsidR="008B427A" w:rsidRPr="00DF6DA4" w:rsidRDefault="008B427A" w:rsidP="008B427A">
      <w:pPr>
        <w:spacing w:line="360" w:lineRule="auto"/>
        <w:ind w:left="360"/>
        <w:jc w:val="both"/>
        <w:rPr>
          <w:rFonts w:ascii="Times New Roman" w:hAnsi="Times New Roman" w:cs="Times New Roman"/>
          <w:sz w:val="24"/>
          <w:szCs w:val="24"/>
          <w:lang w:val="es-EC"/>
        </w:rPr>
      </w:pPr>
    </w:p>
    <w:p w:rsidR="008B427A" w:rsidRPr="008B427A" w:rsidRDefault="008B427A" w:rsidP="008B427A">
      <w:pPr>
        <w:spacing w:line="360" w:lineRule="auto"/>
        <w:ind w:left="360"/>
        <w:jc w:val="both"/>
        <w:rPr>
          <w:rFonts w:ascii="Times New Roman" w:hAnsi="Times New Roman" w:cs="Times New Roman"/>
          <w:sz w:val="24"/>
          <w:szCs w:val="24"/>
          <w:lang w:val="es-EC"/>
        </w:rPr>
      </w:pPr>
      <w:proofErr w:type="spellStart"/>
      <w:r w:rsidRPr="008B427A">
        <w:rPr>
          <w:rFonts w:ascii="Times New Roman" w:hAnsi="Times New Roman" w:cs="Times New Roman"/>
          <w:sz w:val="24"/>
          <w:szCs w:val="24"/>
          <w:lang w:val="es-EC"/>
        </w:rPr>
        <w:t>Partner</w:t>
      </w:r>
      <w:proofErr w:type="spellEnd"/>
      <w:r w:rsidRPr="008B427A">
        <w:rPr>
          <w:rFonts w:ascii="Times New Roman" w:hAnsi="Times New Roman" w:cs="Times New Roman"/>
          <w:sz w:val="24"/>
          <w:szCs w:val="24"/>
          <w:lang w:val="es-EC"/>
        </w:rPr>
        <w:t xml:space="preserve"> Peter, (2002), </w:t>
      </w:r>
      <w:r w:rsidRPr="008B427A">
        <w:rPr>
          <w:rFonts w:ascii="Times New Roman" w:hAnsi="Times New Roman" w:cs="Times New Roman"/>
          <w:i/>
          <w:sz w:val="24"/>
          <w:szCs w:val="24"/>
          <w:lang w:val="es-EC"/>
        </w:rPr>
        <w:t>El Dios de las Batallas: La Guerra Santa desde la Biblia Hasta Nuestros Días,</w:t>
      </w:r>
      <w:r w:rsidRPr="008B427A">
        <w:rPr>
          <w:rFonts w:ascii="Times New Roman" w:hAnsi="Times New Roman" w:cs="Times New Roman"/>
          <w:sz w:val="24"/>
          <w:szCs w:val="24"/>
          <w:lang w:val="es-EC"/>
        </w:rPr>
        <w:t xml:space="preserve"> Madrid, Editorial Grupo Anaya</w:t>
      </w:r>
    </w:p>
    <w:p w:rsidR="008B427A" w:rsidRDefault="008B427A" w:rsidP="008B427A">
      <w:pPr>
        <w:spacing w:line="360" w:lineRule="auto"/>
        <w:ind w:left="360"/>
        <w:jc w:val="both"/>
        <w:rPr>
          <w:rFonts w:ascii="Times New Roman" w:hAnsi="Times New Roman" w:cs="Times New Roman"/>
          <w:sz w:val="24"/>
          <w:szCs w:val="24"/>
          <w:lang w:val="es-EC"/>
        </w:rPr>
      </w:pPr>
    </w:p>
    <w:p w:rsidR="008B427A" w:rsidRPr="00DF6DA4" w:rsidRDefault="008B427A" w:rsidP="008B427A">
      <w:pPr>
        <w:spacing w:line="360" w:lineRule="auto"/>
        <w:ind w:left="360"/>
        <w:jc w:val="both"/>
        <w:rPr>
          <w:rFonts w:ascii="Times New Roman" w:hAnsi="Times New Roman" w:cs="Times New Roman"/>
          <w:sz w:val="24"/>
          <w:szCs w:val="24"/>
          <w:lang w:val="es-EC"/>
        </w:rPr>
      </w:pPr>
      <w:proofErr w:type="spellStart"/>
      <w:r w:rsidRPr="00DF6DA4">
        <w:rPr>
          <w:rFonts w:ascii="Times New Roman" w:hAnsi="Times New Roman" w:cs="Times New Roman"/>
          <w:sz w:val="24"/>
          <w:szCs w:val="24"/>
          <w:lang w:val="es-EC"/>
        </w:rPr>
        <w:t>Pictect</w:t>
      </w:r>
      <w:proofErr w:type="spellEnd"/>
      <w:r w:rsidRPr="00DF6DA4">
        <w:rPr>
          <w:rFonts w:ascii="Times New Roman" w:hAnsi="Times New Roman" w:cs="Times New Roman"/>
          <w:sz w:val="24"/>
          <w:szCs w:val="24"/>
          <w:lang w:val="es-EC"/>
        </w:rPr>
        <w:t xml:space="preserve"> Jean (1960), </w:t>
      </w:r>
      <w:proofErr w:type="spellStart"/>
      <w:r w:rsidRPr="00DF6DA4">
        <w:rPr>
          <w:rFonts w:ascii="Times New Roman" w:hAnsi="Times New Roman" w:cs="Times New Roman"/>
          <w:i/>
          <w:sz w:val="24"/>
          <w:szCs w:val="24"/>
          <w:lang w:val="es-EC"/>
        </w:rPr>
        <w:t>Commentary</w:t>
      </w:r>
      <w:proofErr w:type="spellEnd"/>
      <w:r w:rsidRPr="00DF6DA4">
        <w:rPr>
          <w:rFonts w:ascii="Times New Roman" w:hAnsi="Times New Roman" w:cs="Times New Roman"/>
          <w:i/>
          <w:sz w:val="24"/>
          <w:szCs w:val="24"/>
          <w:lang w:val="es-EC"/>
        </w:rPr>
        <w:t xml:space="preserve"> </w:t>
      </w:r>
      <w:proofErr w:type="spellStart"/>
      <w:r w:rsidRPr="00DF6DA4">
        <w:rPr>
          <w:rFonts w:ascii="Times New Roman" w:hAnsi="Times New Roman" w:cs="Times New Roman"/>
          <w:i/>
          <w:sz w:val="24"/>
          <w:szCs w:val="24"/>
          <w:lang w:val="es-EC"/>
        </w:rPr>
        <w:t>to</w:t>
      </w:r>
      <w:proofErr w:type="spellEnd"/>
      <w:r w:rsidRPr="00DF6DA4">
        <w:rPr>
          <w:rFonts w:ascii="Times New Roman" w:hAnsi="Times New Roman" w:cs="Times New Roman"/>
          <w:i/>
          <w:sz w:val="24"/>
          <w:szCs w:val="24"/>
          <w:lang w:val="es-EC"/>
        </w:rPr>
        <w:t xml:space="preserve"> </w:t>
      </w:r>
      <w:proofErr w:type="spellStart"/>
      <w:r w:rsidRPr="00DF6DA4">
        <w:rPr>
          <w:rFonts w:ascii="Times New Roman" w:hAnsi="Times New Roman" w:cs="Times New Roman"/>
          <w:i/>
          <w:sz w:val="24"/>
          <w:szCs w:val="24"/>
          <w:lang w:val="es-EC"/>
        </w:rPr>
        <w:t>the</w:t>
      </w:r>
      <w:proofErr w:type="spellEnd"/>
      <w:r w:rsidRPr="00DF6DA4">
        <w:rPr>
          <w:rFonts w:ascii="Times New Roman" w:hAnsi="Times New Roman" w:cs="Times New Roman"/>
          <w:i/>
          <w:sz w:val="24"/>
          <w:szCs w:val="24"/>
          <w:lang w:val="es-EC"/>
        </w:rPr>
        <w:t xml:space="preserve"> </w:t>
      </w:r>
      <w:proofErr w:type="spellStart"/>
      <w:r w:rsidRPr="00DF6DA4">
        <w:rPr>
          <w:rFonts w:ascii="Times New Roman" w:hAnsi="Times New Roman" w:cs="Times New Roman"/>
          <w:i/>
          <w:sz w:val="24"/>
          <w:szCs w:val="24"/>
          <w:lang w:val="es-EC"/>
        </w:rPr>
        <w:t>Third</w:t>
      </w:r>
      <w:proofErr w:type="spellEnd"/>
      <w:r w:rsidRPr="00DF6DA4">
        <w:rPr>
          <w:rFonts w:ascii="Times New Roman" w:hAnsi="Times New Roman" w:cs="Times New Roman"/>
          <w:i/>
          <w:sz w:val="24"/>
          <w:szCs w:val="24"/>
          <w:lang w:val="es-EC"/>
        </w:rPr>
        <w:t xml:space="preserve"> Geneva </w:t>
      </w:r>
      <w:proofErr w:type="spellStart"/>
      <w:r w:rsidRPr="00DF6DA4">
        <w:rPr>
          <w:rFonts w:ascii="Times New Roman" w:hAnsi="Times New Roman" w:cs="Times New Roman"/>
          <w:i/>
          <w:sz w:val="24"/>
          <w:szCs w:val="24"/>
          <w:lang w:val="es-EC"/>
        </w:rPr>
        <w:t>Convention</w:t>
      </w:r>
      <w:proofErr w:type="spellEnd"/>
      <w:r w:rsidRPr="00DF6DA4">
        <w:rPr>
          <w:rFonts w:ascii="Times New Roman" w:hAnsi="Times New Roman" w:cs="Times New Roman"/>
          <w:sz w:val="24"/>
          <w:szCs w:val="24"/>
          <w:lang w:val="es-EC"/>
        </w:rPr>
        <w:t>, Ginebra, Editorial del Comité Internacional de la Cruz Roja.</w:t>
      </w:r>
    </w:p>
    <w:p w:rsidR="008B427A" w:rsidRDefault="008B427A" w:rsidP="008B427A">
      <w:pPr>
        <w:spacing w:line="360" w:lineRule="auto"/>
        <w:ind w:left="360"/>
        <w:jc w:val="both"/>
        <w:rPr>
          <w:rFonts w:ascii="Times New Roman" w:hAnsi="Times New Roman" w:cs="Times New Roman"/>
          <w:sz w:val="24"/>
          <w:szCs w:val="24"/>
          <w:lang w:val="es-EC"/>
        </w:rPr>
      </w:pPr>
    </w:p>
    <w:p w:rsidR="008B427A" w:rsidRPr="008B427A" w:rsidRDefault="008B427A" w:rsidP="008B427A">
      <w:pPr>
        <w:spacing w:line="360" w:lineRule="auto"/>
        <w:ind w:left="360"/>
        <w:jc w:val="both"/>
        <w:rPr>
          <w:rFonts w:ascii="Times New Roman" w:hAnsi="Times New Roman" w:cs="Times New Roman"/>
          <w:sz w:val="24"/>
          <w:szCs w:val="24"/>
          <w:lang w:val="es-EC"/>
        </w:rPr>
      </w:pPr>
      <w:proofErr w:type="spellStart"/>
      <w:r w:rsidRPr="008B427A">
        <w:rPr>
          <w:rFonts w:ascii="Times New Roman" w:hAnsi="Times New Roman" w:cs="Times New Roman"/>
          <w:sz w:val="24"/>
          <w:szCs w:val="24"/>
          <w:lang w:val="es-EC"/>
        </w:rPr>
        <w:t>Rhenán</w:t>
      </w:r>
      <w:proofErr w:type="spellEnd"/>
      <w:r w:rsidRPr="008B427A">
        <w:rPr>
          <w:rFonts w:ascii="Times New Roman" w:hAnsi="Times New Roman" w:cs="Times New Roman"/>
          <w:sz w:val="24"/>
          <w:szCs w:val="24"/>
          <w:lang w:val="es-EC"/>
        </w:rPr>
        <w:t xml:space="preserve">-Segura, Jorge (1996), </w:t>
      </w:r>
      <w:r w:rsidRPr="008B427A">
        <w:rPr>
          <w:rFonts w:ascii="Times New Roman" w:hAnsi="Times New Roman" w:cs="Times New Roman"/>
          <w:i/>
          <w:sz w:val="24"/>
          <w:szCs w:val="24"/>
          <w:lang w:val="es-EC"/>
        </w:rPr>
        <w:t>El Tribunal Internacional para la ex –Yugoslavia</w:t>
      </w:r>
      <w:r w:rsidRPr="008B427A">
        <w:rPr>
          <w:rFonts w:ascii="Times New Roman" w:hAnsi="Times New Roman" w:cs="Times New Roman"/>
          <w:sz w:val="24"/>
          <w:szCs w:val="24"/>
          <w:lang w:val="es-EC"/>
        </w:rPr>
        <w:t>,  Revista de Derecho Penal, Costa Rica, Volumen 12.</w:t>
      </w:r>
    </w:p>
    <w:p w:rsidR="008B427A" w:rsidRDefault="008B427A" w:rsidP="008B427A">
      <w:pPr>
        <w:spacing w:line="360" w:lineRule="auto"/>
        <w:ind w:left="360"/>
        <w:jc w:val="both"/>
        <w:rPr>
          <w:rFonts w:ascii="Times New Roman" w:hAnsi="Times New Roman" w:cs="Times New Roman"/>
          <w:sz w:val="24"/>
          <w:szCs w:val="24"/>
          <w:lang w:val="es-EC"/>
        </w:rPr>
      </w:pPr>
    </w:p>
    <w:p w:rsidR="008B427A" w:rsidRPr="008B427A" w:rsidRDefault="008B427A" w:rsidP="008B427A">
      <w:pPr>
        <w:spacing w:line="360" w:lineRule="auto"/>
        <w:ind w:left="360"/>
        <w:jc w:val="both"/>
        <w:rPr>
          <w:rFonts w:ascii="Times New Roman" w:hAnsi="Times New Roman" w:cs="Times New Roman"/>
          <w:sz w:val="24"/>
          <w:szCs w:val="24"/>
          <w:lang w:val="es-EC"/>
        </w:rPr>
      </w:pPr>
      <w:r w:rsidRPr="008B427A">
        <w:rPr>
          <w:rFonts w:ascii="Times New Roman" w:hAnsi="Times New Roman" w:cs="Times New Roman"/>
          <w:sz w:val="24"/>
          <w:szCs w:val="24"/>
          <w:lang w:val="es-EC"/>
        </w:rPr>
        <w:t xml:space="preserve">Servicio de Asesoramiento en Derecho Internacional  Humanitario, Comité Internacional de Ginebra, (2004), </w:t>
      </w:r>
      <w:r w:rsidRPr="008B427A">
        <w:rPr>
          <w:rFonts w:ascii="Times New Roman" w:hAnsi="Times New Roman" w:cs="Times New Roman"/>
          <w:i/>
          <w:sz w:val="24"/>
          <w:szCs w:val="24"/>
          <w:lang w:val="es-EC"/>
        </w:rPr>
        <w:t>¿Qué es el Derecho Internacional Humanitario?</w:t>
      </w:r>
      <w:r w:rsidRPr="008B427A">
        <w:rPr>
          <w:rFonts w:ascii="Times New Roman" w:hAnsi="Times New Roman" w:cs="Times New Roman"/>
          <w:sz w:val="24"/>
          <w:szCs w:val="24"/>
          <w:lang w:val="es-EC"/>
        </w:rPr>
        <w:t xml:space="preserve"> Recuperado de </w:t>
      </w:r>
      <w:hyperlink r:id="rId230" w:history="1">
        <w:r w:rsidRPr="008B427A">
          <w:rPr>
            <w:rStyle w:val="Hipervnculo"/>
            <w:rFonts w:ascii="Times New Roman" w:hAnsi="Times New Roman" w:cs="Times New Roman"/>
            <w:sz w:val="24"/>
            <w:szCs w:val="24"/>
            <w:lang w:val="es-EC"/>
          </w:rPr>
          <w:t>http://www.icrc.org/spa/assets/files/other/dih.es.pdf</w:t>
        </w:r>
      </w:hyperlink>
      <w:r w:rsidRPr="008B427A">
        <w:rPr>
          <w:rFonts w:ascii="Times New Roman" w:hAnsi="Times New Roman" w:cs="Times New Roman"/>
          <w:sz w:val="24"/>
          <w:szCs w:val="24"/>
          <w:lang w:val="es-EC"/>
        </w:rPr>
        <w:t xml:space="preserve"> </w:t>
      </w:r>
    </w:p>
    <w:p w:rsidR="008B427A" w:rsidRPr="008B427A" w:rsidRDefault="008B427A" w:rsidP="008B427A">
      <w:pPr>
        <w:spacing w:line="360" w:lineRule="auto"/>
        <w:ind w:left="360"/>
        <w:jc w:val="both"/>
        <w:rPr>
          <w:rFonts w:ascii="Times New Roman" w:hAnsi="Times New Roman" w:cs="Times New Roman"/>
          <w:sz w:val="24"/>
          <w:szCs w:val="24"/>
          <w:lang w:val="en-US"/>
        </w:rPr>
      </w:pPr>
      <w:r w:rsidRPr="008B427A">
        <w:rPr>
          <w:rFonts w:ascii="Times New Roman" w:hAnsi="Times New Roman" w:cs="Times New Roman"/>
          <w:sz w:val="24"/>
          <w:szCs w:val="24"/>
          <w:lang w:val="en-US"/>
        </w:rPr>
        <w:lastRenderedPageBreak/>
        <w:t xml:space="preserve">Thornberry, Cedric (1996), </w:t>
      </w:r>
      <w:r w:rsidRPr="008B427A">
        <w:rPr>
          <w:rFonts w:ascii="Times New Roman" w:hAnsi="Times New Roman" w:cs="Times New Roman"/>
          <w:i/>
          <w:sz w:val="24"/>
          <w:szCs w:val="24"/>
          <w:lang w:val="en-US"/>
        </w:rPr>
        <w:t>Saving the War Crimes Tribunal</w:t>
      </w:r>
      <w:r w:rsidRPr="008B427A">
        <w:rPr>
          <w:rFonts w:ascii="Times New Roman" w:hAnsi="Times New Roman" w:cs="Times New Roman"/>
          <w:sz w:val="24"/>
          <w:szCs w:val="24"/>
          <w:lang w:val="en-US"/>
        </w:rPr>
        <w:t xml:space="preserve">, New York </w:t>
      </w:r>
      <w:proofErr w:type="spellStart"/>
      <w:r w:rsidRPr="008B427A">
        <w:rPr>
          <w:rFonts w:ascii="Times New Roman" w:hAnsi="Times New Roman" w:cs="Times New Roman"/>
          <w:sz w:val="24"/>
          <w:szCs w:val="24"/>
          <w:lang w:val="en-US"/>
        </w:rPr>
        <w:t>Foreing</w:t>
      </w:r>
      <w:proofErr w:type="spellEnd"/>
      <w:r w:rsidRPr="008B427A">
        <w:rPr>
          <w:rFonts w:ascii="Times New Roman" w:hAnsi="Times New Roman" w:cs="Times New Roman"/>
          <w:sz w:val="24"/>
          <w:szCs w:val="24"/>
          <w:lang w:val="en-US"/>
        </w:rPr>
        <w:t xml:space="preserve"> Affairs, Foreign Policy no. 104.</w:t>
      </w:r>
    </w:p>
    <w:p w:rsidR="008B427A" w:rsidRPr="008B427A" w:rsidRDefault="008B427A" w:rsidP="008B427A">
      <w:pPr>
        <w:spacing w:line="360" w:lineRule="auto"/>
        <w:ind w:left="360"/>
        <w:jc w:val="both"/>
        <w:rPr>
          <w:rFonts w:ascii="Times New Roman" w:hAnsi="Times New Roman" w:cs="Times New Roman"/>
          <w:sz w:val="24"/>
          <w:szCs w:val="24"/>
          <w:lang w:val="en-US"/>
        </w:rPr>
      </w:pPr>
    </w:p>
    <w:p w:rsidR="008B427A" w:rsidRPr="008B427A" w:rsidRDefault="008B427A" w:rsidP="00714868">
      <w:pPr>
        <w:spacing w:line="360" w:lineRule="auto"/>
        <w:ind w:left="360"/>
        <w:jc w:val="both"/>
        <w:rPr>
          <w:rFonts w:ascii="Times New Roman" w:hAnsi="Times New Roman" w:cs="Times New Roman"/>
          <w:sz w:val="24"/>
          <w:szCs w:val="24"/>
          <w:lang w:val="en-US"/>
        </w:rPr>
      </w:pPr>
    </w:p>
    <w:sectPr w:rsidR="008B427A" w:rsidRPr="008B427A" w:rsidSect="00D739FA">
      <w:footerReference w:type="default" r:id="rId231"/>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445D" w:rsidRDefault="00D5445D" w:rsidP="00D739FA">
      <w:pPr>
        <w:spacing w:after="0" w:line="240" w:lineRule="auto"/>
      </w:pPr>
      <w:r>
        <w:separator/>
      </w:r>
    </w:p>
  </w:endnote>
  <w:endnote w:type="continuationSeparator" w:id="0">
    <w:p w:rsidR="00D5445D" w:rsidRDefault="00D5445D" w:rsidP="00D739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41845"/>
      <w:docPartObj>
        <w:docPartGallery w:val="Page Numbers (Bottom of Page)"/>
        <w:docPartUnique/>
      </w:docPartObj>
    </w:sdtPr>
    <w:sdtEndPr/>
    <w:sdtContent>
      <w:p w:rsidR="00D5421B" w:rsidRDefault="00D5445D">
        <w:pPr>
          <w:pStyle w:val="Piedepgina"/>
          <w:jc w:val="right"/>
        </w:pPr>
        <w:r>
          <w:fldChar w:fldCharType="begin"/>
        </w:r>
        <w:r>
          <w:instrText xml:space="preserve"> PAGE   \* MERGEFORMAT </w:instrText>
        </w:r>
        <w:r>
          <w:fldChar w:fldCharType="separate"/>
        </w:r>
        <w:r w:rsidR="00F824DD">
          <w:rPr>
            <w:noProof/>
          </w:rPr>
          <w:t>1</w:t>
        </w:r>
        <w:r>
          <w:rPr>
            <w:noProof/>
          </w:rPr>
          <w:fldChar w:fldCharType="end"/>
        </w:r>
      </w:p>
    </w:sdtContent>
  </w:sdt>
  <w:p w:rsidR="00D5421B" w:rsidRDefault="00D5421B" w:rsidP="00E0219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445D" w:rsidRDefault="00D5445D" w:rsidP="00D739FA">
      <w:pPr>
        <w:spacing w:after="0" w:line="240" w:lineRule="auto"/>
      </w:pPr>
      <w:r>
        <w:separator/>
      </w:r>
    </w:p>
  </w:footnote>
  <w:footnote w:type="continuationSeparator" w:id="0">
    <w:p w:rsidR="00D5445D" w:rsidRDefault="00D5445D" w:rsidP="00D739FA">
      <w:pPr>
        <w:spacing w:after="0" w:line="240" w:lineRule="auto"/>
      </w:pPr>
      <w:r>
        <w:continuationSeparator/>
      </w:r>
    </w:p>
  </w:footnote>
  <w:footnote w:id="1">
    <w:p w:rsidR="00D5421B" w:rsidRPr="00BD2918" w:rsidRDefault="00D5421B" w:rsidP="00D739FA">
      <w:pPr>
        <w:pStyle w:val="Textonotapie"/>
        <w:jc w:val="both"/>
        <w:rPr>
          <w:sz w:val="16"/>
          <w:szCs w:val="16"/>
        </w:rPr>
      </w:pPr>
      <w:r w:rsidRPr="00BD2918">
        <w:rPr>
          <w:rStyle w:val="Refdenotaalpie"/>
          <w:sz w:val="16"/>
          <w:szCs w:val="16"/>
        </w:rPr>
        <w:footnoteRef/>
      </w:r>
      <w:r w:rsidRPr="00BD2918">
        <w:rPr>
          <w:b/>
          <w:sz w:val="16"/>
          <w:szCs w:val="16"/>
        </w:rPr>
        <w:t xml:space="preserve"> Artículo 3 - Conflictos no internacionales- </w:t>
      </w:r>
      <w:r w:rsidRPr="00BD2918">
        <w:rPr>
          <w:sz w:val="16"/>
          <w:szCs w:val="16"/>
        </w:rPr>
        <w:t>En caso de conflicto armado que no sea de índole internacional y que surja en el territorio de una de las Altas Partes Contratantes cada una de las Partes en conflicto tendrá la obligación de aplicar, como mínimo, las siguientes disposiciones:</w:t>
      </w:r>
    </w:p>
    <w:p w:rsidR="00D5421B" w:rsidRPr="00BD2918" w:rsidRDefault="00D5421B" w:rsidP="002E0528">
      <w:pPr>
        <w:pStyle w:val="Textonotapie"/>
        <w:spacing w:line="240" w:lineRule="atLeast"/>
        <w:jc w:val="both"/>
        <w:rPr>
          <w:sz w:val="16"/>
          <w:szCs w:val="16"/>
        </w:rPr>
      </w:pPr>
      <w:r w:rsidRPr="00BD2918">
        <w:rPr>
          <w:sz w:val="16"/>
          <w:szCs w:val="16"/>
        </w:rPr>
        <w:t>1) Las personas que no participen directamente en las hostilidades, incluidos los miembros de las fuerzas armadas que hayan depuesto las armas y las personas puestas fuera de combate por enfermedad, herida, detención o por cualquier otra causa, serán, en todas las circunstancias, tratadas con humanidad, sin distinción alguna de índole desfavorable basada en la raza, el color, la religión o la creencia, el sexo, el nacimiento o la fortuna o cualquier otro criterio análogo.</w:t>
      </w:r>
    </w:p>
    <w:p w:rsidR="00D5421B" w:rsidRPr="00BD2918" w:rsidRDefault="00D5421B" w:rsidP="002E0528">
      <w:pPr>
        <w:pStyle w:val="Textonotapie"/>
        <w:spacing w:line="240" w:lineRule="atLeast"/>
        <w:jc w:val="both"/>
        <w:rPr>
          <w:sz w:val="16"/>
          <w:szCs w:val="16"/>
        </w:rPr>
      </w:pPr>
      <w:r w:rsidRPr="00BD2918">
        <w:rPr>
          <w:sz w:val="16"/>
          <w:szCs w:val="16"/>
        </w:rPr>
        <w:t>A este respecto, se prohíben, en cualquier tiempo y lugar, por lo que atañe a las personas arriba mencionadas:</w:t>
      </w:r>
    </w:p>
    <w:p w:rsidR="00D5421B" w:rsidRPr="00BD2918" w:rsidRDefault="00D5421B" w:rsidP="002E0528">
      <w:pPr>
        <w:pStyle w:val="Textonotapie"/>
        <w:spacing w:line="240" w:lineRule="atLeast"/>
        <w:jc w:val="both"/>
        <w:rPr>
          <w:sz w:val="16"/>
          <w:szCs w:val="16"/>
        </w:rPr>
      </w:pPr>
      <w:r w:rsidRPr="00BD2918">
        <w:rPr>
          <w:sz w:val="16"/>
          <w:szCs w:val="16"/>
        </w:rPr>
        <w:t>a) los atentados contra la vida y la integridad corporal, especialmente el homicidio en todas sus formas, las m</w:t>
      </w:r>
      <w:r w:rsidR="002E0528">
        <w:rPr>
          <w:sz w:val="16"/>
          <w:szCs w:val="16"/>
        </w:rPr>
        <w:t xml:space="preserve">utilaciones, los tratos </w:t>
      </w:r>
      <w:r w:rsidRPr="00BD2918">
        <w:rPr>
          <w:sz w:val="16"/>
          <w:szCs w:val="16"/>
        </w:rPr>
        <w:t>crueles, la tortura y los suplicios;</w:t>
      </w:r>
    </w:p>
    <w:p w:rsidR="00D5421B" w:rsidRPr="00BD2918" w:rsidRDefault="00D5421B" w:rsidP="002E0528">
      <w:pPr>
        <w:pStyle w:val="Textonotapie"/>
        <w:spacing w:line="240" w:lineRule="atLeast"/>
        <w:jc w:val="both"/>
        <w:rPr>
          <w:sz w:val="16"/>
          <w:szCs w:val="16"/>
        </w:rPr>
      </w:pPr>
      <w:r w:rsidRPr="00BD2918">
        <w:rPr>
          <w:sz w:val="16"/>
          <w:szCs w:val="16"/>
        </w:rPr>
        <w:t>b) la toma de rehenes;</w:t>
      </w:r>
    </w:p>
    <w:p w:rsidR="00D5421B" w:rsidRPr="00BD2918" w:rsidRDefault="00D5421B" w:rsidP="00D739FA">
      <w:pPr>
        <w:pStyle w:val="Textonotapie"/>
        <w:jc w:val="both"/>
        <w:rPr>
          <w:sz w:val="16"/>
          <w:szCs w:val="16"/>
        </w:rPr>
      </w:pPr>
      <w:r w:rsidRPr="00BD2918">
        <w:rPr>
          <w:sz w:val="16"/>
          <w:szCs w:val="16"/>
        </w:rPr>
        <w:t>c) los atenta dos contra la dignidad personal, especialmente los tratos humillantes y degradantes;</w:t>
      </w:r>
    </w:p>
    <w:p w:rsidR="00D5421B" w:rsidRPr="00BD2918" w:rsidRDefault="00D5421B" w:rsidP="00D739FA">
      <w:pPr>
        <w:pStyle w:val="Textonotapie"/>
        <w:jc w:val="both"/>
        <w:rPr>
          <w:sz w:val="16"/>
          <w:szCs w:val="16"/>
        </w:rPr>
      </w:pPr>
      <w:r w:rsidRPr="00BD2918">
        <w:rPr>
          <w:sz w:val="16"/>
          <w:szCs w:val="16"/>
        </w:rPr>
        <w:t>d) las condenas dictadas y las ejecuciones sin previo juicio ante un tribunal legítimamente constituido, con garantías judiciales reconocidas como indispensables por los pueblos civilizados.</w:t>
      </w:r>
    </w:p>
    <w:p w:rsidR="00D5421B" w:rsidRPr="00BD2918" w:rsidRDefault="00D5421B" w:rsidP="00D739FA">
      <w:pPr>
        <w:pStyle w:val="Textonotapie"/>
        <w:jc w:val="both"/>
        <w:rPr>
          <w:sz w:val="16"/>
          <w:szCs w:val="16"/>
        </w:rPr>
      </w:pPr>
      <w:r w:rsidRPr="00BD2918">
        <w:rPr>
          <w:sz w:val="16"/>
          <w:szCs w:val="16"/>
        </w:rPr>
        <w:t>2) Los heridos y los enfermos serán recogidos y asistidos. Un organismo humanitario imparcial, tal como el Comité Internacional de la Cruz Roja, podrá ofrecer sus servicios a las Partes en conflicto. Además, las Partes en conflicto harán lo posible por poner en vigor, mediante acuerdos especiales, la totalidad o parte de las otras disposiciones del presente Convenio. La aplicación de las anteriores disposiciones no surtirá efectos sobre el estatuto jurídico de las Partes en conflicto.</w:t>
      </w:r>
    </w:p>
  </w:footnote>
  <w:footnote w:id="2">
    <w:p w:rsidR="00D5421B" w:rsidRPr="00F35A9E" w:rsidRDefault="00D5421B">
      <w:pPr>
        <w:pStyle w:val="Textonotapie"/>
        <w:rPr>
          <w:lang w:val="es-EC"/>
        </w:rPr>
      </w:pPr>
      <w:r>
        <w:rPr>
          <w:rStyle w:val="Refdenotaalpie"/>
        </w:rPr>
        <w:footnoteRef/>
      </w:r>
      <w:r>
        <w:t xml:space="preserve"> </w:t>
      </w:r>
      <w:r>
        <w:rPr>
          <w:lang w:val="es-EC"/>
        </w:rPr>
        <w:t>Ver Apéndice I, listado de países firmantes de los Convenios de Ginebra y sus Protocolos Adicionales.</w:t>
      </w:r>
    </w:p>
  </w:footnote>
  <w:footnote w:id="3">
    <w:p w:rsidR="00D5421B" w:rsidRPr="00AD107E" w:rsidRDefault="00D5421B" w:rsidP="00145AE9">
      <w:pPr>
        <w:pStyle w:val="Textonotapie"/>
        <w:jc w:val="both"/>
      </w:pPr>
      <w:r>
        <w:rPr>
          <w:rStyle w:val="Refdenotaalpie"/>
        </w:rPr>
        <w:footnoteRef/>
      </w:r>
      <w:r>
        <w:t xml:space="preserve"> </w:t>
      </w:r>
      <w:r w:rsidRPr="00AD107E">
        <w:t>Este artículo establece que las Convenciones de Ginebra se aplican par</w:t>
      </w:r>
      <w:r>
        <w:t xml:space="preserve">a todos los casos de conflictos </w:t>
      </w:r>
      <w:r w:rsidRPr="00AD107E">
        <w:t>entre varios países, mientras exista al menos uno que haya ratificado la Convención. Principalmente:</w:t>
      </w:r>
    </w:p>
    <w:p w:rsidR="00D5421B" w:rsidRPr="00AD107E" w:rsidRDefault="00D5421B" w:rsidP="00145AE9">
      <w:pPr>
        <w:pStyle w:val="Textonotapie"/>
        <w:numPr>
          <w:ilvl w:val="0"/>
          <w:numId w:val="28"/>
        </w:numPr>
        <w:jc w:val="both"/>
      </w:pPr>
      <w:r w:rsidRPr="00AD107E">
        <w:t xml:space="preserve">La Convención se aplica en todos los casos en los que los países firmantes de la Convención </w:t>
      </w:r>
      <w:r w:rsidRPr="00AF1E10">
        <w:t xml:space="preserve">hagan una </w:t>
      </w:r>
      <w:hyperlink r:id="rId1" w:tooltip="Declaración de guerra" w:history="1">
        <w:r w:rsidRPr="00AF1E10">
          <w:rPr>
            <w:rStyle w:val="Hipervnculo"/>
            <w:color w:val="auto"/>
            <w:u w:val="none"/>
          </w:rPr>
          <w:t>declaración de guerra</w:t>
        </w:r>
      </w:hyperlink>
      <w:r w:rsidRPr="00AF1E10">
        <w:t>.</w:t>
      </w:r>
      <w:r w:rsidRPr="00AD107E">
        <w:t xml:space="preserve"> Este es el sentido original que apareció en 1949.</w:t>
      </w:r>
    </w:p>
    <w:p w:rsidR="00D5421B" w:rsidRPr="00AD107E" w:rsidRDefault="00D5421B" w:rsidP="00145AE9">
      <w:pPr>
        <w:pStyle w:val="Textonotapie"/>
        <w:numPr>
          <w:ilvl w:val="0"/>
          <w:numId w:val="28"/>
        </w:numPr>
        <w:jc w:val="both"/>
      </w:pPr>
      <w:r w:rsidRPr="00AD107E">
        <w:t>La Convención se aplica en todos los casos de conflicto internacional, incluso en caso de que no haya una declaración de guerra. Esto se añadió en 1949 en los casos de acciones policiales.</w:t>
      </w:r>
      <w:r w:rsidRPr="00AF1E10">
        <w:rPr>
          <w:vanish/>
          <w:vertAlign w:val="superscript"/>
        </w:rPr>
        <w:t>[]</w:t>
      </w:r>
    </w:p>
    <w:p w:rsidR="00D5421B" w:rsidRPr="00AD107E" w:rsidRDefault="00D5421B" w:rsidP="00145AE9">
      <w:pPr>
        <w:pStyle w:val="Textonotapie"/>
        <w:numPr>
          <w:ilvl w:val="0"/>
          <w:numId w:val="28"/>
        </w:numPr>
        <w:jc w:val="both"/>
      </w:pPr>
      <w:r w:rsidRPr="00AD107E">
        <w:t>La Convención se aplica a la nación signataria incluso si la nación contra la que lucha no ha firmado dicha Convención, pero esto sólo es válido si la nación contraria "acepta y aplica las provisiones" de los Convenios.</w:t>
      </w:r>
    </w:p>
  </w:footnote>
  <w:footnote w:id="4">
    <w:p w:rsidR="00D5421B" w:rsidRDefault="00D5421B" w:rsidP="00145AE9">
      <w:pPr>
        <w:pStyle w:val="Textonotapie"/>
      </w:pPr>
      <w:r>
        <w:rPr>
          <w:rStyle w:val="Refdenotaalpie"/>
        </w:rPr>
        <w:footnoteRef/>
      </w:r>
      <w:r>
        <w:t xml:space="preserve"> </w:t>
      </w:r>
      <w:r w:rsidRPr="00336759">
        <w:t>Salvo en el caso me</w:t>
      </w:r>
      <w:r>
        <w:t>ncionado más arriba.</w:t>
      </w:r>
    </w:p>
  </w:footnote>
  <w:footnote w:id="5">
    <w:p w:rsidR="00D5421B" w:rsidRPr="00353C23" w:rsidRDefault="00D5421B" w:rsidP="00145AE9">
      <w:pPr>
        <w:pStyle w:val="Textonotapie"/>
      </w:pPr>
      <w:r>
        <w:rPr>
          <w:rStyle w:val="Refdenotaalpie"/>
        </w:rPr>
        <w:footnoteRef/>
      </w:r>
      <w:r>
        <w:t xml:space="preserve"> </w:t>
      </w:r>
      <w:proofErr w:type="spellStart"/>
      <w:r w:rsidRPr="00353C23">
        <w:t>Hizbulá</w:t>
      </w:r>
      <w:proofErr w:type="spellEnd"/>
      <w:r w:rsidRPr="00353C23">
        <w:t xml:space="preserve"> (el Partido de Dios) es una influyente formación libanesa </w:t>
      </w:r>
      <w:r w:rsidRPr="00353C23">
        <w:rPr>
          <w:bCs/>
        </w:rPr>
        <w:t>radical chií</w:t>
      </w:r>
      <w:r w:rsidRPr="00353C23">
        <w:t>, que cuenta con un brazo político y otro armado, el conocido como la Resistencia Islámica.</w:t>
      </w:r>
    </w:p>
  </w:footnote>
  <w:footnote w:id="6">
    <w:p w:rsidR="00D5421B" w:rsidRPr="008140A5" w:rsidRDefault="00D5421B" w:rsidP="008140A5">
      <w:pPr>
        <w:pStyle w:val="Textonotapie"/>
        <w:jc w:val="both"/>
        <w:rPr>
          <w:lang w:val="es-EC"/>
        </w:rPr>
      </w:pPr>
      <w:r>
        <w:rPr>
          <w:rStyle w:val="Refdenotaalpie"/>
        </w:rPr>
        <w:footnoteRef/>
      </w:r>
      <w:r>
        <w:t xml:space="preserve"> </w:t>
      </w:r>
      <w:r w:rsidRPr="008140A5">
        <w:t>Esta rivalidad ideológica y ultranacionalista por parte de ambas naciones perduraría latente desde la primera Yugoslavia hasta convertirse en un enfrentamiento armado y abierto en las guerras de la década de los noventa</w:t>
      </w:r>
      <w:r>
        <w:t>.</w:t>
      </w:r>
    </w:p>
  </w:footnote>
  <w:footnote w:id="7">
    <w:p w:rsidR="00D5421B" w:rsidRPr="008140A5" w:rsidRDefault="00D5421B">
      <w:pPr>
        <w:pStyle w:val="Textonotapie"/>
        <w:rPr>
          <w:lang w:val="es-EC"/>
        </w:rPr>
      </w:pPr>
      <w:r>
        <w:rPr>
          <w:rStyle w:val="Refdenotaalpie"/>
        </w:rPr>
        <w:footnoteRef/>
      </w:r>
      <w:r>
        <w:t xml:space="preserve"> </w:t>
      </w:r>
      <w:r w:rsidRPr="008140A5">
        <w:t>Con una distribución basada en planes geográficos, que dejó de lado las antiguas fronteras políticas y étnicas</w:t>
      </w:r>
      <w:r>
        <w:t>.</w:t>
      </w:r>
    </w:p>
  </w:footnote>
  <w:footnote w:id="8">
    <w:p w:rsidR="00D5421B" w:rsidRPr="00453BB8" w:rsidRDefault="00D5421B" w:rsidP="00012E85">
      <w:pPr>
        <w:pStyle w:val="Textonotapie"/>
        <w:jc w:val="both"/>
        <w:rPr>
          <w:lang w:val="es-EC"/>
        </w:rPr>
      </w:pPr>
      <w:r>
        <w:rPr>
          <w:rStyle w:val="Refdenotaalpie"/>
        </w:rPr>
        <w:footnoteRef/>
      </w:r>
      <w:r>
        <w:t xml:space="preserve"> C</w:t>
      </w:r>
      <w:r w:rsidRPr="00453BB8">
        <w:t>ualquier persona natural o jurídica que tuviere interés directo en el mantenimiento del acto u omisión que motivare la acción</w:t>
      </w:r>
      <w:r>
        <w:t>, puede intervenir dentro del proceso en cualquier estado de la causa.</w:t>
      </w:r>
    </w:p>
  </w:footnote>
  <w:footnote w:id="9">
    <w:p w:rsidR="00D5421B" w:rsidRPr="00730F35" w:rsidRDefault="00D5421B">
      <w:pPr>
        <w:pStyle w:val="Textonotapie"/>
      </w:pPr>
      <w:r>
        <w:rPr>
          <w:rStyle w:val="Refdenotaalpie"/>
        </w:rPr>
        <w:footnoteRef/>
      </w:r>
      <w:r>
        <w:t xml:space="preserve"> Ver Apéndice II, </w:t>
      </w:r>
      <w:r w:rsidRPr="00E5646F">
        <w:t>Acusados por el Tribunal Penal Internacional para la ex Yugoslavia</w:t>
      </w:r>
      <w:r>
        <w:t>.</w:t>
      </w:r>
    </w:p>
  </w:footnote>
  <w:footnote w:id="10">
    <w:p w:rsidR="00D5421B" w:rsidRDefault="00D5421B" w:rsidP="00366D27">
      <w:pPr>
        <w:pStyle w:val="Textonotapie"/>
        <w:jc w:val="both"/>
      </w:pPr>
      <w:r>
        <w:rPr>
          <w:rStyle w:val="Refdenotaalpie"/>
        </w:rPr>
        <w:footnoteRef/>
      </w:r>
      <w:r>
        <w:t xml:space="preserve"> </w:t>
      </w:r>
      <w:r w:rsidRPr="00F1110B">
        <w:t>“Artículo 7º. Responsabilidad penal individual. 1. Quienquie</w:t>
      </w:r>
      <w:r>
        <w:t xml:space="preserve">ra haya planificado, incitado a </w:t>
      </w:r>
      <w:r w:rsidRPr="00F1110B">
        <w:t>cometer, ordenado, cometido, o ayudado y alentado de cualqui</w:t>
      </w:r>
      <w:r>
        <w:t xml:space="preserve">er forma a planificar, preparar </w:t>
      </w:r>
      <w:r w:rsidRPr="00F1110B">
        <w:t>o ejecutar uno de los crímenes contemplados en los artículos</w:t>
      </w:r>
      <w:r>
        <w:t xml:space="preserve"> 2º a 5º del presente Estatuto, </w:t>
      </w:r>
      <w:r w:rsidRPr="00F1110B">
        <w:t>es individualmente responsable de dicho crimen. 2. La categoría oficial de un ac</w:t>
      </w:r>
      <w:r>
        <w:t xml:space="preserve">usado, ya sea </w:t>
      </w:r>
      <w:r w:rsidRPr="00F1110B">
        <w:t>como Jefe de Estado o de Gobierno, o como alto funcionario, no l</w:t>
      </w:r>
      <w:r>
        <w:t xml:space="preserve">e exonera de su responsabilidad </w:t>
      </w:r>
      <w:r w:rsidRPr="00F1110B">
        <w:t>penal y no es motivo de disminución de la pena. 3. El</w:t>
      </w:r>
      <w:r>
        <w:t xml:space="preserve"> hecho de que cualquiera de los </w:t>
      </w:r>
      <w:r w:rsidRPr="00F1110B">
        <w:t>actos contemplados en los artículos 2º a 5º del presente Esta</w:t>
      </w:r>
      <w:r>
        <w:t xml:space="preserve">tuto haya sido cometido por un </w:t>
      </w:r>
      <w:r w:rsidRPr="00F1110B">
        <w:t>subordinado, no libera su superior de su responsabilidad pena</w:t>
      </w:r>
      <w:r>
        <w:t xml:space="preserve">l si sabía o tenía razones para </w:t>
      </w:r>
      <w:r w:rsidRPr="00F1110B">
        <w:t>saber que el subordinado se aprestaba a cometer ese acto o ya lo hizo, y que el superior no</w:t>
      </w:r>
      <w:r>
        <w:t xml:space="preserve"> tomó las </w:t>
      </w:r>
      <w:r w:rsidRPr="00F1110B">
        <w:t xml:space="preserve">medidas necesarias y razonables para impedir que </w:t>
      </w:r>
      <w:r>
        <w:t xml:space="preserve">dicho acto no fuera cometido, o </w:t>
      </w:r>
      <w:r w:rsidRPr="00F1110B">
        <w:t>para castigar a los autores”.</w:t>
      </w:r>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D24E7"/>
    <w:multiLevelType w:val="hybridMultilevel"/>
    <w:tmpl w:val="A5B0CFC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103B4D86"/>
    <w:multiLevelType w:val="hybridMultilevel"/>
    <w:tmpl w:val="849CEE7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141929FC"/>
    <w:multiLevelType w:val="hybridMultilevel"/>
    <w:tmpl w:val="DD6AC75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170C69E4"/>
    <w:multiLevelType w:val="hybridMultilevel"/>
    <w:tmpl w:val="992CC64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20312D21"/>
    <w:multiLevelType w:val="hybridMultilevel"/>
    <w:tmpl w:val="2FE0FF30"/>
    <w:lvl w:ilvl="0" w:tplc="01F6ACA8">
      <w:start w:val="1"/>
      <w:numFmt w:val="upp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206F7316"/>
    <w:multiLevelType w:val="hybridMultilevel"/>
    <w:tmpl w:val="DA8EF77A"/>
    <w:lvl w:ilvl="0" w:tplc="300A0011">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223D3404"/>
    <w:multiLevelType w:val="hybridMultilevel"/>
    <w:tmpl w:val="53A2D80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276A3C98"/>
    <w:multiLevelType w:val="hybridMultilevel"/>
    <w:tmpl w:val="B5E0E956"/>
    <w:lvl w:ilvl="0" w:tplc="65502DCE">
      <w:start w:val="1"/>
      <w:numFmt w:val="low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327315C0"/>
    <w:multiLevelType w:val="multilevel"/>
    <w:tmpl w:val="4A8A198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5E67DC3"/>
    <w:multiLevelType w:val="hybridMultilevel"/>
    <w:tmpl w:val="0DC831F2"/>
    <w:lvl w:ilvl="0" w:tplc="1A627B30">
      <w:start w:val="3"/>
      <w:numFmt w:val="upp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nsid w:val="38CF2264"/>
    <w:multiLevelType w:val="hybridMultilevel"/>
    <w:tmpl w:val="D70680F2"/>
    <w:lvl w:ilvl="0" w:tplc="F74A595E">
      <w:start w:val="1"/>
      <w:numFmt w:val="upp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
    <w:nsid w:val="39EA7FC5"/>
    <w:multiLevelType w:val="multilevel"/>
    <w:tmpl w:val="09FEA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B96178A"/>
    <w:multiLevelType w:val="hybridMultilevel"/>
    <w:tmpl w:val="50902732"/>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nsid w:val="3CBC343C"/>
    <w:multiLevelType w:val="hybridMultilevel"/>
    <w:tmpl w:val="D22EB868"/>
    <w:lvl w:ilvl="0" w:tplc="300A0015">
      <w:start w:val="1"/>
      <w:numFmt w:val="upp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nsid w:val="3CE26562"/>
    <w:multiLevelType w:val="hybridMultilevel"/>
    <w:tmpl w:val="308007C2"/>
    <w:lvl w:ilvl="0" w:tplc="9F980AA8">
      <w:start w:val="1"/>
      <w:numFmt w:val="low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nsid w:val="3DB74704"/>
    <w:multiLevelType w:val="hybridMultilevel"/>
    <w:tmpl w:val="42E0F75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nsid w:val="41EF3367"/>
    <w:multiLevelType w:val="hybridMultilevel"/>
    <w:tmpl w:val="CD70E634"/>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nsid w:val="4A207197"/>
    <w:multiLevelType w:val="hybridMultilevel"/>
    <w:tmpl w:val="4C302918"/>
    <w:lvl w:ilvl="0" w:tplc="EB80211A">
      <w:start w:val="1"/>
      <w:numFmt w:val="upp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nsid w:val="4F66325D"/>
    <w:multiLevelType w:val="hybridMultilevel"/>
    <w:tmpl w:val="B2306358"/>
    <w:lvl w:ilvl="0" w:tplc="300A0011">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nsid w:val="50103F0B"/>
    <w:multiLevelType w:val="hybridMultilevel"/>
    <w:tmpl w:val="CD8E3EF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51DD6306"/>
    <w:multiLevelType w:val="hybridMultilevel"/>
    <w:tmpl w:val="4364BA6C"/>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
    <w:nsid w:val="54BD150E"/>
    <w:multiLevelType w:val="hybridMultilevel"/>
    <w:tmpl w:val="4C06E042"/>
    <w:lvl w:ilvl="0" w:tplc="EDFA1768">
      <w:start w:val="1"/>
      <w:numFmt w:val="low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nsid w:val="610A7F48"/>
    <w:multiLevelType w:val="hybridMultilevel"/>
    <w:tmpl w:val="FF4A4CBA"/>
    <w:lvl w:ilvl="0" w:tplc="DB9C75A0">
      <w:start w:val="1"/>
      <w:numFmt w:val="upp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3">
    <w:nsid w:val="653F6A12"/>
    <w:multiLevelType w:val="hybridMultilevel"/>
    <w:tmpl w:val="7168222E"/>
    <w:lvl w:ilvl="0" w:tplc="1A1CE972">
      <w:start w:val="1"/>
      <w:numFmt w:val="decimal"/>
      <w:lvlText w:val="%1)"/>
      <w:lvlJc w:val="left"/>
      <w:pPr>
        <w:ind w:left="1068" w:hanging="360"/>
      </w:pPr>
      <w:rPr>
        <w:rFonts w:hint="default"/>
      </w:r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24">
    <w:nsid w:val="6E451C2E"/>
    <w:multiLevelType w:val="hybridMultilevel"/>
    <w:tmpl w:val="9A4E455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5">
    <w:nsid w:val="75911332"/>
    <w:multiLevelType w:val="hybridMultilevel"/>
    <w:tmpl w:val="BAE473F2"/>
    <w:lvl w:ilvl="0" w:tplc="59601194">
      <w:start w:val="1"/>
      <w:numFmt w:val="upperRoman"/>
      <w:lvlText w:val="%1."/>
      <w:lvlJc w:val="left"/>
      <w:pPr>
        <w:ind w:left="1080" w:hanging="720"/>
      </w:pPr>
      <w:rPr>
        <w:rFonts w:hint="default"/>
        <w:b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6">
    <w:nsid w:val="77AD69D6"/>
    <w:multiLevelType w:val="hybridMultilevel"/>
    <w:tmpl w:val="D22EB868"/>
    <w:lvl w:ilvl="0" w:tplc="300A0015">
      <w:start w:val="1"/>
      <w:numFmt w:val="upp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7">
    <w:nsid w:val="7A2823A4"/>
    <w:multiLevelType w:val="hybridMultilevel"/>
    <w:tmpl w:val="4E9E565C"/>
    <w:lvl w:ilvl="0" w:tplc="300A0011">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16"/>
  </w:num>
  <w:num w:numId="5">
    <w:abstractNumId w:val="14"/>
  </w:num>
  <w:num w:numId="6">
    <w:abstractNumId w:val="7"/>
  </w:num>
  <w:num w:numId="7">
    <w:abstractNumId w:val="4"/>
  </w:num>
  <w:num w:numId="8">
    <w:abstractNumId w:val="27"/>
  </w:num>
  <w:num w:numId="9">
    <w:abstractNumId w:val="10"/>
  </w:num>
  <w:num w:numId="10">
    <w:abstractNumId w:val="23"/>
  </w:num>
  <w:num w:numId="11">
    <w:abstractNumId w:val="17"/>
  </w:num>
  <w:num w:numId="12">
    <w:abstractNumId w:val="20"/>
  </w:num>
  <w:num w:numId="13">
    <w:abstractNumId w:val="24"/>
  </w:num>
  <w:num w:numId="14">
    <w:abstractNumId w:val="18"/>
  </w:num>
  <w:num w:numId="15">
    <w:abstractNumId w:val="5"/>
  </w:num>
  <w:num w:numId="16">
    <w:abstractNumId w:val="21"/>
  </w:num>
  <w:num w:numId="17">
    <w:abstractNumId w:val="12"/>
  </w:num>
  <w:num w:numId="18">
    <w:abstractNumId w:val="13"/>
  </w:num>
  <w:num w:numId="19">
    <w:abstractNumId w:val="26"/>
  </w:num>
  <w:num w:numId="20">
    <w:abstractNumId w:val="9"/>
  </w:num>
  <w:num w:numId="21">
    <w:abstractNumId w:val="8"/>
  </w:num>
  <w:num w:numId="22">
    <w:abstractNumId w:val="19"/>
  </w:num>
  <w:num w:numId="23">
    <w:abstractNumId w:val="6"/>
  </w:num>
  <w:num w:numId="24">
    <w:abstractNumId w:val="15"/>
  </w:num>
  <w:num w:numId="25">
    <w:abstractNumId w:val="2"/>
  </w:num>
  <w:num w:numId="26">
    <w:abstractNumId w:val="25"/>
  </w:num>
  <w:num w:numId="27">
    <w:abstractNumId w:val="22"/>
  </w:num>
  <w:num w:numId="2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39FA"/>
    <w:rsid w:val="00002196"/>
    <w:rsid w:val="0000469B"/>
    <w:rsid w:val="00012E85"/>
    <w:rsid w:val="00020C93"/>
    <w:rsid w:val="0003190E"/>
    <w:rsid w:val="000377BD"/>
    <w:rsid w:val="000708C6"/>
    <w:rsid w:val="00076336"/>
    <w:rsid w:val="00076F95"/>
    <w:rsid w:val="000948A5"/>
    <w:rsid w:val="000A5FBE"/>
    <w:rsid w:val="000B7C1B"/>
    <w:rsid w:val="000D6453"/>
    <w:rsid w:val="000E64C3"/>
    <w:rsid w:val="000F1006"/>
    <w:rsid w:val="0010371D"/>
    <w:rsid w:val="0013178A"/>
    <w:rsid w:val="00145AE9"/>
    <w:rsid w:val="0015368D"/>
    <w:rsid w:val="0015748A"/>
    <w:rsid w:val="001A0A85"/>
    <w:rsid w:val="001B5586"/>
    <w:rsid w:val="001D38ED"/>
    <w:rsid w:val="00231BFF"/>
    <w:rsid w:val="00260582"/>
    <w:rsid w:val="00282123"/>
    <w:rsid w:val="0029059D"/>
    <w:rsid w:val="002B3E05"/>
    <w:rsid w:val="002E0528"/>
    <w:rsid w:val="002E2584"/>
    <w:rsid w:val="00337A78"/>
    <w:rsid w:val="003405EE"/>
    <w:rsid w:val="00353C23"/>
    <w:rsid w:val="00357AEA"/>
    <w:rsid w:val="003610E4"/>
    <w:rsid w:val="00363AF0"/>
    <w:rsid w:val="00366AEE"/>
    <w:rsid w:val="00366D27"/>
    <w:rsid w:val="00390961"/>
    <w:rsid w:val="003F49F0"/>
    <w:rsid w:val="00453BB8"/>
    <w:rsid w:val="00462619"/>
    <w:rsid w:val="00476D14"/>
    <w:rsid w:val="00495503"/>
    <w:rsid w:val="004D634D"/>
    <w:rsid w:val="004E558D"/>
    <w:rsid w:val="00516B96"/>
    <w:rsid w:val="005300D4"/>
    <w:rsid w:val="00546E77"/>
    <w:rsid w:val="00557E59"/>
    <w:rsid w:val="00580CD6"/>
    <w:rsid w:val="005A479A"/>
    <w:rsid w:val="005B5B41"/>
    <w:rsid w:val="006044F8"/>
    <w:rsid w:val="00610B66"/>
    <w:rsid w:val="006212F7"/>
    <w:rsid w:val="0062770A"/>
    <w:rsid w:val="006369B0"/>
    <w:rsid w:val="00651C43"/>
    <w:rsid w:val="00674C8D"/>
    <w:rsid w:val="00685E99"/>
    <w:rsid w:val="00694F1E"/>
    <w:rsid w:val="006A7716"/>
    <w:rsid w:val="006C5347"/>
    <w:rsid w:val="006D4F84"/>
    <w:rsid w:val="006E7F21"/>
    <w:rsid w:val="007054E2"/>
    <w:rsid w:val="00714868"/>
    <w:rsid w:val="00726EE3"/>
    <w:rsid w:val="007277EF"/>
    <w:rsid w:val="00730F35"/>
    <w:rsid w:val="00750102"/>
    <w:rsid w:val="007653DC"/>
    <w:rsid w:val="007A54D6"/>
    <w:rsid w:val="007B14E7"/>
    <w:rsid w:val="007C6595"/>
    <w:rsid w:val="007D7741"/>
    <w:rsid w:val="008140A5"/>
    <w:rsid w:val="008A24E4"/>
    <w:rsid w:val="008B20D3"/>
    <w:rsid w:val="008B2E97"/>
    <w:rsid w:val="008B427A"/>
    <w:rsid w:val="008E37DA"/>
    <w:rsid w:val="008F0AAE"/>
    <w:rsid w:val="0090745E"/>
    <w:rsid w:val="0092392E"/>
    <w:rsid w:val="00923B40"/>
    <w:rsid w:val="009336FA"/>
    <w:rsid w:val="00944BE2"/>
    <w:rsid w:val="00996D1A"/>
    <w:rsid w:val="009B0277"/>
    <w:rsid w:val="009B4B0F"/>
    <w:rsid w:val="009B628D"/>
    <w:rsid w:val="00A11B16"/>
    <w:rsid w:val="00A40B7C"/>
    <w:rsid w:val="00A6120C"/>
    <w:rsid w:val="00A73E86"/>
    <w:rsid w:val="00A82EAA"/>
    <w:rsid w:val="00A87119"/>
    <w:rsid w:val="00A92050"/>
    <w:rsid w:val="00AC75ED"/>
    <w:rsid w:val="00AD107E"/>
    <w:rsid w:val="00AE3FB2"/>
    <w:rsid w:val="00AF1E10"/>
    <w:rsid w:val="00B03093"/>
    <w:rsid w:val="00B43E01"/>
    <w:rsid w:val="00B679C7"/>
    <w:rsid w:val="00B72267"/>
    <w:rsid w:val="00B76961"/>
    <w:rsid w:val="00BA5F1D"/>
    <w:rsid w:val="00C021C4"/>
    <w:rsid w:val="00C37759"/>
    <w:rsid w:val="00C75675"/>
    <w:rsid w:val="00C85922"/>
    <w:rsid w:val="00C8716E"/>
    <w:rsid w:val="00CC3419"/>
    <w:rsid w:val="00D03907"/>
    <w:rsid w:val="00D053C7"/>
    <w:rsid w:val="00D07C6D"/>
    <w:rsid w:val="00D207D7"/>
    <w:rsid w:val="00D21519"/>
    <w:rsid w:val="00D36AA4"/>
    <w:rsid w:val="00D5421B"/>
    <w:rsid w:val="00D5445D"/>
    <w:rsid w:val="00D739FA"/>
    <w:rsid w:val="00D918A0"/>
    <w:rsid w:val="00D96C8E"/>
    <w:rsid w:val="00DE62CB"/>
    <w:rsid w:val="00DF6DA4"/>
    <w:rsid w:val="00E0219F"/>
    <w:rsid w:val="00E02A19"/>
    <w:rsid w:val="00E062FE"/>
    <w:rsid w:val="00E43DE9"/>
    <w:rsid w:val="00E44D72"/>
    <w:rsid w:val="00E5646F"/>
    <w:rsid w:val="00E868B9"/>
    <w:rsid w:val="00E96552"/>
    <w:rsid w:val="00EB03E2"/>
    <w:rsid w:val="00EC1969"/>
    <w:rsid w:val="00EC454C"/>
    <w:rsid w:val="00EF68CB"/>
    <w:rsid w:val="00F05555"/>
    <w:rsid w:val="00F06A36"/>
    <w:rsid w:val="00F358D6"/>
    <w:rsid w:val="00F35A9E"/>
    <w:rsid w:val="00F4167B"/>
    <w:rsid w:val="00F44B00"/>
    <w:rsid w:val="00F824DD"/>
    <w:rsid w:val="00FA267C"/>
    <w:rsid w:val="00FC4D37"/>
    <w:rsid w:val="00FF4D67"/>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ar"/>
    <w:uiPriority w:val="9"/>
    <w:qFormat/>
    <w:rsid w:val="00462619"/>
    <w:pPr>
      <w:spacing w:before="100" w:beforeAutospacing="1" w:after="100" w:afterAutospacing="1" w:line="240" w:lineRule="auto"/>
      <w:outlineLvl w:val="0"/>
    </w:pPr>
    <w:rPr>
      <w:rFonts w:ascii="Times New Roman" w:eastAsia="Times New Roman" w:hAnsi="Times New Roman" w:cs="Times New Roman"/>
      <w:b/>
      <w:bCs/>
      <w:kern w:val="36"/>
      <w:sz w:val="48"/>
      <w:szCs w:val="48"/>
      <w:lang w:val="es-EC"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rsid w:val="00D739FA"/>
    <w:pPr>
      <w:spacing w:after="0" w:line="240" w:lineRule="auto"/>
    </w:pPr>
    <w:rPr>
      <w:sz w:val="20"/>
      <w:szCs w:val="20"/>
    </w:rPr>
  </w:style>
  <w:style w:type="character" w:customStyle="1" w:styleId="TextonotapieCar">
    <w:name w:val="Texto nota pie Car"/>
    <w:basedOn w:val="Fuentedeprrafopredeter"/>
    <w:link w:val="Textonotapie"/>
    <w:uiPriority w:val="99"/>
    <w:rsid w:val="00D739FA"/>
    <w:rPr>
      <w:sz w:val="20"/>
      <w:szCs w:val="20"/>
      <w:lang w:val="es-ES"/>
    </w:rPr>
  </w:style>
  <w:style w:type="character" w:styleId="Refdenotaalpie">
    <w:name w:val="footnote reference"/>
    <w:basedOn w:val="Fuentedeprrafopredeter"/>
    <w:uiPriority w:val="99"/>
    <w:semiHidden/>
    <w:unhideWhenUsed/>
    <w:rsid w:val="00D739FA"/>
    <w:rPr>
      <w:vertAlign w:val="superscript"/>
    </w:rPr>
  </w:style>
  <w:style w:type="paragraph" w:styleId="Prrafodelista">
    <w:name w:val="List Paragraph"/>
    <w:basedOn w:val="Normal"/>
    <w:uiPriority w:val="34"/>
    <w:qFormat/>
    <w:rsid w:val="00D739FA"/>
    <w:pPr>
      <w:ind w:left="720"/>
      <w:contextualSpacing/>
    </w:pPr>
  </w:style>
  <w:style w:type="character" w:styleId="Hipervnculo">
    <w:name w:val="Hyperlink"/>
    <w:basedOn w:val="Fuentedeprrafopredeter"/>
    <w:uiPriority w:val="99"/>
    <w:unhideWhenUsed/>
    <w:rsid w:val="00D739FA"/>
    <w:rPr>
      <w:color w:val="0000FF" w:themeColor="hyperlink"/>
      <w:u w:val="single"/>
    </w:rPr>
  </w:style>
  <w:style w:type="paragraph" w:styleId="NormalWeb">
    <w:name w:val="Normal (Web)"/>
    <w:basedOn w:val="Normal"/>
    <w:uiPriority w:val="99"/>
    <w:semiHidden/>
    <w:unhideWhenUsed/>
    <w:rsid w:val="00D739FA"/>
    <w:pPr>
      <w:spacing w:before="100" w:beforeAutospacing="1" w:after="100" w:afterAutospacing="1" w:line="240" w:lineRule="auto"/>
    </w:pPr>
    <w:rPr>
      <w:rFonts w:ascii="Times New Roman" w:eastAsia="Times New Roman" w:hAnsi="Times New Roman" w:cs="Times New Roman"/>
      <w:sz w:val="24"/>
      <w:szCs w:val="24"/>
    </w:rPr>
  </w:style>
  <w:style w:type="paragraph" w:styleId="Encabezado">
    <w:name w:val="header"/>
    <w:basedOn w:val="Normal"/>
    <w:link w:val="EncabezadoCar"/>
    <w:uiPriority w:val="99"/>
    <w:semiHidden/>
    <w:unhideWhenUsed/>
    <w:rsid w:val="001D38E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1D38ED"/>
    <w:rPr>
      <w:lang w:val="es-ES"/>
    </w:rPr>
  </w:style>
  <w:style w:type="paragraph" w:styleId="Piedepgina">
    <w:name w:val="footer"/>
    <w:basedOn w:val="Normal"/>
    <w:link w:val="PiedepginaCar"/>
    <w:uiPriority w:val="99"/>
    <w:unhideWhenUsed/>
    <w:rsid w:val="001D38E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D38ED"/>
    <w:rPr>
      <w:lang w:val="es-ES"/>
    </w:rPr>
  </w:style>
  <w:style w:type="paragraph" w:styleId="Textodeglobo">
    <w:name w:val="Balloon Text"/>
    <w:basedOn w:val="Normal"/>
    <w:link w:val="TextodegloboCar"/>
    <w:uiPriority w:val="99"/>
    <w:semiHidden/>
    <w:unhideWhenUsed/>
    <w:rsid w:val="009B4B0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B4B0F"/>
    <w:rPr>
      <w:rFonts w:ascii="Tahoma" w:hAnsi="Tahoma" w:cs="Tahoma"/>
      <w:sz w:val="16"/>
      <w:szCs w:val="16"/>
      <w:lang w:val="es-ES"/>
    </w:rPr>
  </w:style>
  <w:style w:type="character" w:customStyle="1" w:styleId="Ttulo1Car">
    <w:name w:val="Título 1 Car"/>
    <w:basedOn w:val="Fuentedeprrafopredeter"/>
    <w:link w:val="Ttulo1"/>
    <w:uiPriority w:val="9"/>
    <w:rsid w:val="00462619"/>
    <w:rPr>
      <w:rFonts w:ascii="Times New Roman" w:eastAsia="Times New Roman" w:hAnsi="Times New Roman" w:cs="Times New Roman"/>
      <w:b/>
      <w:bCs/>
      <w:kern w:val="36"/>
      <w:sz w:val="48"/>
      <w:szCs w:val="48"/>
      <w:lang w:eastAsia="es-EC"/>
    </w:rPr>
  </w:style>
  <w:style w:type="character" w:customStyle="1" w:styleId="HTMLconformatoprevioCar">
    <w:name w:val="HTML con formato previo Car"/>
    <w:basedOn w:val="Fuentedeprrafopredeter"/>
    <w:link w:val="HTMLconformatoprevio"/>
    <w:uiPriority w:val="99"/>
    <w:semiHidden/>
    <w:rsid w:val="00462619"/>
    <w:rPr>
      <w:rFonts w:ascii="Courier New" w:eastAsia="Times New Roman" w:hAnsi="Courier New" w:cs="Courier New"/>
      <w:sz w:val="20"/>
      <w:szCs w:val="20"/>
      <w:lang w:eastAsia="es-EC"/>
    </w:rPr>
  </w:style>
  <w:style w:type="paragraph" w:styleId="HTMLconformatoprevio">
    <w:name w:val="HTML Preformatted"/>
    <w:basedOn w:val="Normal"/>
    <w:link w:val="HTMLconformatoprevioCar"/>
    <w:uiPriority w:val="99"/>
    <w:semiHidden/>
    <w:unhideWhenUsed/>
    <w:rsid w:val="004626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C" w:eastAsia="es-EC"/>
    </w:rPr>
  </w:style>
  <w:style w:type="character" w:customStyle="1" w:styleId="HTMLconformatoprevioCar1">
    <w:name w:val="HTML con formato previo Car1"/>
    <w:basedOn w:val="Fuentedeprrafopredeter"/>
    <w:uiPriority w:val="99"/>
    <w:semiHidden/>
    <w:rsid w:val="00462619"/>
    <w:rPr>
      <w:rFonts w:ascii="Consolas" w:hAnsi="Consolas" w:cs="Consolas"/>
      <w:sz w:val="20"/>
      <w:szCs w:val="20"/>
      <w:lang w:val="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ar"/>
    <w:uiPriority w:val="9"/>
    <w:qFormat/>
    <w:rsid w:val="00462619"/>
    <w:pPr>
      <w:spacing w:before="100" w:beforeAutospacing="1" w:after="100" w:afterAutospacing="1" w:line="240" w:lineRule="auto"/>
      <w:outlineLvl w:val="0"/>
    </w:pPr>
    <w:rPr>
      <w:rFonts w:ascii="Times New Roman" w:eastAsia="Times New Roman" w:hAnsi="Times New Roman" w:cs="Times New Roman"/>
      <w:b/>
      <w:bCs/>
      <w:kern w:val="36"/>
      <w:sz w:val="48"/>
      <w:szCs w:val="48"/>
      <w:lang w:val="es-EC"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rsid w:val="00D739FA"/>
    <w:pPr>
      <w:spacing w:after="0" w:line="240" w:lineRule="auto"/>
    </w:pPr>
    <w:rPr>
      <w:sz w:val="20"/>
      <w:szCs w:val="20"/>
    </w:rPr>
  </w:style>
  <w:style w:type="character" w:customStyle="1" w:styleId="TextonotapieCar">
    <w:name w:val="Texto nota pie Car"/>
    <w:basedOn w:val="Fuentedeprrafopredeter"/>
    <w:link w:val="Textonotapie"/>
    <w:uiPriority w:val="99"/>
    <w:rsid w:val="00D739FA"/>
    <w:rPr>
      <w:sz w:val="20"/>
      <w:szCs w:val="20"/>
      <w:lang w:val="es-ES"/>
    </w:rPr>
  </w:style>
  <w:style w:type="character" w:styleId="Refdenotaalpie">
    <w:name w:val="footnote reference"/>
    <w:basedOn w:val="Fuentedeprrafopredeter"/>
    <w:uiPriority w:val="99"/>
    <w:semiHidden/>
    <w:unhideWhenUsed/>
    <w:rsid w:val="00D739FA"/>
    <w:rPr>
      <w:vertAlign w:val="superscript"/>
    </w:rPr>
  </w:style>
  <w:style w:type="paragraph" w:styleId="Prrafodelista">
    <w:name w:val="List Paragraph"/>
    <w:basedOn w:val="Normal"/>
    <w:uiPriority w:val="34"/>
    <w:qFormat/>
    <w:rsid w:val="00D739FA"/>
    <w:pPr>
      <w:ind w:left="720"/>
      <w:contextualSpacing/>
    </w:pPr>
  </w:style>
  <w:style w:type="character" w:styleId="Hipervnculo">
    <w:name w:val="Hyperlink"/>
    <w:basedOn w:val="Fuentedeprrafopredeter"/>
    <w:uiPriority w:val="99"/>
    <w:unhideWhenUsed/>
    <w:rsid w:val="00D739FA"/>
    <w:rPr>
      <w:color w:val="0000FF" w:themeColor="hyperlink"/>
      <w:u w:val="single"/>
    </w:rPr>
  </w:style>
  <w:style w:type="paragraph" w:styleId="NormalWeb">
    <w:name w:val="Normal (Web)"/>
    <w:basedOn w:val="Normal"/>
    <w:uiPriority w:val="99"/>
    <w:semiHidden/>
    <w:unhideWhenUsed/>
    <w:rsid w:val="00D739FA"/>
    <w:pPr>
      <w:spacing w:before="100" w:beforeAutospacing="1" w:after="100" w:afterAutospacing="1" w:line="240" w:lineRule="auto"/>
    </w:pPr>
    <w:rPr>
      <w:rFonts w:ascii="Times New Roman" w:eastAsia="Times New Roman" w:hAnsi="Times New Roman" w:cs="Times New Roman"/>
      <w:sz w:val="24"/>
      <w:szCs w:val="24"/>
    </w:rPr>
  </w:style>
  <w:style w:type="paragraph" w:styleId="Encabezado">
    <w:name w:val="header"/>
    <w:basedOn w:val="Normal"/>
    <w:link w:val="EncabezadoCar"/>
    <w:uiPriority w:val="99"/>
    <w:semiHidden/>
    <w:unhideWhenUsed/>
    <w:rsid w:val="001D38E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1D38ED"/>
    <w:rPr>
      <w:lang w:val="es-ES"/>
    </w:rPr>
  </w:style>
  <w:style w:type="paragraph" w:styleId="Piedepgina">
    <w:name w:val="footer"/>
    <w:basedOn w:val="Normal"/>
    <w:link w:val="PiedepginaCar"/>
    <w:uiPriority w:val="99"/>
    <w:unhideWhenUsed/>
    <w:rsid w:val="001D38E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D38ED"/>
    <w:rPr>
      <w:lang w:val="es-ES"/>
    </w:rPr>
  </w:style>
  <w:style w:type="paragraph" w:styleId="Textodeglobo">
    <w:name w:val="Balloon Text"/>
    <w:basedOn w:val="Normal"/>
    <w:link w:val="TextodegloboCar"/>
    <w:uiPriority w:val="99"/>
    <w:semiHidden/>
    <w:unhideWhenUsed/>
    <w:rsid w:val="009B4B0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B4B0F"/>
    <w:rPr>
      <w:rFonts w:ascii="Tahoma" w:hAnsi="Tahoma" w:cs="Tahoma"/>
      <w:sz w:val="16"/>
      <w:szCs w:val="16"/>
      <w:lang w:val="es-ES"/>
    </w:rPr>
  </w:style>
  <w:style w:type="character" w:customStyle="1" w:styleId="Ttulo1Car">
    <w:name w:val="Título 1 Car"/>
    <w:basedOn w:val="Fuentedeprrafopredeter"/>
    <w:link w:val="Ttulo1"/>
    <w:uiPriority w:val="9"/>
    <w:rsid w:val="00462619"/>
    <w:rPr>
      <w:rFonts w:ascii="Times New Roman" w:eastAsia="Times New Roman" w:hAnsi="Times New Roman" w:cs="Times New Roman"/>
      <w:b/>
      <w:bCs/>
      <w:kern w:val="36"/>
      <w:sz w:val="48"/>
      <w:szCs w:val="48"/>
      <w:lang w:eastAsia="es-EC"/>
    </w:rPr>
  </w:style>
  <w:style w:type="character" w:customStyle="1" w:styleId="HTMLconformatoprevioCar">
    <w:name w:val="HTML con formato previo Car"/>
    <w:basedOn w:val="Fuentedeprrafopredeter"/>
    <w:link w:val="HTMLconformatoprevio"/>
    <w:uiPriority w:val="99"/>
    <w:semiHidden/>
    <w:rsid w:val="00462619"/>
    <w:rPr>
      <w:rFonts w:ascii="Courier New" w:eastAsia="Times New Roman" w:hAnsi="Courier New" w:cs="Courier New"/>
      <w:sz w:val="20"/>
      <w:szCs w:val="20"/>
      <w:lang w:eastAsia="es-EC"/>
    </w:rPr>
  </w:style>
  <w:style w:type="paragraph" w:styleId="HTMLconformatoprevio">
    <w:name w:val="HTML Preformatted"/>
    <w:basedOn w:val="Normal"/>
    <w:link w:val="HTMLconformatoprevioCar"/>
    <w:uiPriority w:val="99"/>
    <w:semiHidden/>
    <w:unhideWhenUsed/>
    <w:rsid w:val="004626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C" w:eastAsia="es-EC"/>
    </w:rPr>
  </w:style>
  <w:style w:type="character" w:customStyle="1" w:styleId="HTMLconformatoprevioCar1">
    <w:name w:val="HTML con formato previo Car1"/>
    <w:basedOn w:val="Fuentedeprrafopredeter"/>
    <w:uiPriority w:val="99"/>
    <w:semiHidden/>
    <w:rsid w:val="00462619"/>
    <w:rPr>
      <w:rFonts w:ascii="Consolas" w:hAnsi="Consolas" w:cs="Consolas"/>
      <w:sz w:val="20"/>
      <w:szCs w:val="20"/>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9459767">
      <w:bodyDiv w:val="1"/>
      <w:marLeft w:val="0"/>
      <w:marRight w:val="0"/>
      <w:marTop w:val="0"/>
      <w:marBottom w:val="0"/>
      <w:divBdr>
        <w:top w:val="none" w:sz="0" w:space="0" w:color="auto"/>
        <w:left w:val="none" w:sz="0" w:space="0" w:color="auto"/>
        <w:bottom w:val="none" w:sz="0" w:space="0" w:color="auto"/>
        <w:right w:val="none" w:sz="0" w:space="0" w:color="auto"/>
      </w:divBdr>
      <w:divsChild>
        <w:div w:id="1918518257">
          <w:marLeft w:val="150"/>
          <w:marRight w:val="0"/>
          <w:marTop w:val="0"/>
          <w:marBottom w:val="0"/>
          <w:divBdr>
            <w:top w:val="none" w:sz="0" w:space="0" w:color="auto"/>
            <w:left w:val="none" w:sz="0" w:space="0" w:color="auto"/>
            <w:bottom w:val="single" w:sz="6" w:space="8" w:color="CCCCCC"/>
            <w:right w:val="none" w:sz="0" w:space="0" w:color="auto"/>
          </w:divBdr>
          <w:divsChild>
            <w:div w:id="2100633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7073477">
      <w:bodyDiv w:val="1"/>
      <w:marLeft w:val="0"/>
      <w:marRight w:val="0"/>
      <w:marTop w:val="0"/>
      <w:marBottom w:val="0"/>
      <w:divBdr>
        <w:top w:val="none" w:sz="0" w:space="0" w:color="auto"/>
        <w:left w:val="none" w:sz="0" w:space="0" w:color="auto"/>
        <w:bottom w:val="none" w:sz="0" w:space="0" w:color="auto"/>
        <w:right w:val="none" w:sz="0" w:space="0" w:color="auto"/>
      </w:divBdr>
      <w:divsChild>
        <w:div w:id="1629775166">
          <w:marLeft w:val="0"/>
          <w:marRight w:val="0"/>
          <w:marTop w:val="0"/>
          <w:marBottom w:val="0"/>
          <w:divBdr>
            <w:top w:val="none" w:sz="0" w:space="0" w:color="auto"/>
            <w:left w:val="none" w:sz="0" w:space="0" w:color="auto"/>
            <w:bottom w:val="none" w:sz="0" w:space="0" w:color="auto"/>
            <w:right w:val="none" w:sz="0" w:space="0" w:color="auto"/>
          </w:divBdr>
          <w:divsChild>
            <w:div w:id="344985880">
              <w:marLeft w:val="225"/>
              <w:marRight w:val="0"/>
              <w:marTop w:val="150"/>
              <w:marBottom w:val="0"/>
              <w:divBdr>
                <w:top w:val="none" w:sz="0" w:space="0" w:color="auto"/>
                <w:left w:val="none" w:sz="0" w:space="0" w:color="auto"/>
                <w:bottom w:val="none" w:sz="0" w:space="0" w:color="auto"/>
                <w:right w:val="none" w:sz="0" w:space="0" w:color="auto"/>
              </w:divBdr>
              <w:divsChild>
                <w:div w:id="1806199652">
                  <w:marLeft w:val="0"/>
                  <w:marRight w:val="0"/>
                  <w:marTop w:val="0"/>
                  <w:marBottom w:val="0"/>
                  <w:divBdr>
                    <w:top w:val="single" w:sz="2" w:space="0" w:color="EAEBEB"/>
                    <w:left w:val="single" w:sz="2" w:space="0" w:color="EAEBEB"/>
                    <w:bottom w:val="single" w:sz="2" w:space="0" w:color="EAEBEB"/>
                    <w:right w:val="single" w:sz="6" w:space="0" w:color="EAEBEB"/>
                  </w:divBdr>
                  <w:divsChild>
                    <w:div w:id="429468604">
                      <w:marLeft w:val="0"/>
                      <w:marRight w:val="0"/>
                      <w:marTop w:val="0"/>
                      <w:marBottom w:val="0"/>
                      <w:divBdr>
                        <w:top w:val="none" w:sz="0" w:space="0" w:color="auto"/>
                        <w:left w:val="none" w:sz="0" w:space="0" w:color="auto"/>
                        <w:bottom w:val="none" w:sz="0" w:space="0" w:color="auto"/>
                        <w:right w:val="none" w:sz="0" w:space="0" w:color="auto"/>
                      </w:divBdr>
                      <w:divsChild>
                        <w:div w:id="634871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5997821">
      <w:bodyDiv w:val="1"/>
      <w:marLeft w:val="0"/>
      <w:marRight w:val="0"/>
      <w:marTop w:val="0"/>
      <w:marBottom w:val="0"/>
      <w:divBdr>
        <w:top w:val="none" w:sz="0" w:space="0" w:color="auto"/>
        <w:left w:val="none" w:sz="0" w:space="0" w:color="auto"/>
        <w:bottom w:val="none" w:sz="0" w:space="0" w:color="auto"/>
        <w:right w:val="none" w:sz="0" w:space="0" w:color="auto"/>
      </w:divBdr>
      <w:divsChild>
        <w:div w:id="1435788376">
          <w:marLeft w:val="0"/>
          <w:marRight w:val="0"/>
          <w:marTop w:val="0"/>
          <w:marBottom w:val="0"/>
          <w:divBdr>
            <w:top w:val="none" w:sz="0" w:space="0" w:color="auto"/>
            <w:left w:val="none" w:sz="0" w:space="0" w:color="auto"/>
            <w:bottom w:val="none" w:sz="0" w:space="0" w:color="auto"/>
            <w:right w:val="none" w:sz="0" w:space="0" w:color="auto"/>
          </w:divBdr>
          <w:divsChild>
            <w:div w:id="137571593">
              <w:marLeft w:val="0"/>
              <w:marRight w:val="0"/>
              <w:marTop w:val="0"/>
              <w:marBottom w:val="0"/>
              <w:divBdr>
                <w:top w:val="none" w:sz="0" w:space="0" w:color="auto"/>
                <w:left w:val="none" w:sz="0" w:space="0" w:color="auto"/>
                <w:bottom w:val="none" w:sz="0" w:space="0" w:color="auto"/>
                <w:right w:val="none" w:sz="0" w:space="0" w:color="auto"/>
              </w:divBdr>
              <w:divsChild>
                <w:div w:id="641541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553960">
      <w:bodyDiv w:val="1"/>
      <w:marLeft w:val="0"/>
      <w:marRight w:val="0"/>
      <w:marTop w:val="0"/>
      <w:marBottom w:val="0"/>
      <w:divBdr>
        <w:top w:val="none" w:sz="0" w:space="0" w:color="auto"/>
        <w:left w:val="none" w:sz="0" w:space="0" w:color="auto"/>
        <w:bottom w:val="none" w:sz="0" w:space="0" w:color="auto"/>
        <w:right w:val="none" w:sz="0" w:space="0" w:color="auto"/>
      </w:divBdr>
      <w:divsChild>
        <w:div w:id="473567898">
          <w:marLeft w:val="0"/>
          <w:marRight w:val="0"/>
          <w:marTop w:val="0"/>
          <w:marBottom w:val="0"/>
          <w:divBdr>
            <w:top w:val="none" w:sz="0" w:space="0" w:color="auto"/>
            <w:left w:val="none" w:sz="0" w:space="0" w:color="auto"/>
            <w:bottom w:val="none" w:sz="0" w:space="0" w:color="auto"/>
            <w:right w:val="none" w:sz="0" w:space="0" w:color="auto"/>
          </w:divBdr>
          <w:divsChild>
            <w:div w:id="1612282946">
              <w:marLeft w:val="0"/>
              <w:marRight w:val="0"/>
              <w:marTop w:val="0"/>
              <w:marBottom w:val="0"/>
              <w:divBdr>
                <w:top w:val="none" w:sz="0" w:space="0" w:color="auto"/>
                <w:left w:val="none" w:sz="0" w:space="0" w:color="auto"/>
                <w:bottom w:val="none" w:sz="0" w:space="0" w:color="auto"/>
                <w:right w:val="none" w:sz="0" w:space="0" w:color="auto"/>
              </w:divBdr>
              <w:divsChild>
                <w:div w:id="129789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715402">
      <w:bodyDiv w:val="1"/>
      <w:marLeft w:val="0"/>
      <w:marRight w:val="0"/>
      <w:marTop w:val="0"/>
      <w:marBottom w:val="0"/>
      <w:divBdr>
        <w:top w:val="none" w:sz="0" w:space="0" w:color="auto"/>
        <w:left w:val="none" w:sz="0" w:space="0" w:color="auto"/>
        <w:bottom w:val="none" w:sz="0" w:space="0" w:color="auto"/>
        <w:right w:val="none" w:sz="0" w:space="0" w:color="auto"/>
      </w:divBdr>
      <w:divsChild>
        <w:div w:id="275063301">
          <w:marLeft w:val="150"/>
          <w:marRight w:val="0"/>
          <w:marTop w:val="0"/>
          <w:marBottom w:val="0"/>
          <w:divBdr>
            <w:top w:val="none" w:sz="0" w:space="0" w:color="auto"/>
            <w:left w:val="none" w:sz="0" w:space="0" w:color="auto"/>
            <w:bottom w:val="single" w:sz="6" w:space="8" w:color="CCCCCC"/>
            <w:right w:val="none" w:sz="0" w:space="0" w:color="auto"/>
          </w:divBdr>
          <w:divsChild>
            <w:div w:id="1570119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960160">
      <w:bodyDiv w:val="1"/>
      <w:marLeft w:val="0"/>
      <w:marRight w:val="0"/>
      <w:marTop w:val="0"/>
      <w:marBottom w:val="0"/>
      <w:divBdr>
        <w:top w:val="none" w:sz="0" w:space="0" w:color="auto"/>
        <w:left w:val="none" w:sz="0" w:space="0" w:color="auto"/>
        <w:bottom w:val="none" w:sz="0" w:space="0" w:color="auto"/>
        <w:right w:val="none" w:sz="0" w:space="0" w:color="auto"/>
      </w:divBdr>
      <w:divsChild>
        <w:div w:id="1180851094">
          <w:marLeft w:val="0"/>
          <w:marRight w:val="0"/>
          <w:marTop w:val="0"/>
          <w:marBottom w:val="0"/>
          <w:divBdr>
            <w:top w:val="none" w:sz="0" w:space="0" w:color="auto"/>
            <w:left w:val="none" w:sz="0" w:space="0" w:color="auto"/>
            <w:bottom w:val="none" w:sz="0" w:space="0" w:color="auto"/>
            <w:right w:val="none" w:sz="0" w:space="0" w:color="auto"/>
          </w:divBdr>
          <w:divsChild>
            <w:div w:id="1327828684">
              <w:marLeft w:val="225"/>
              <w:marRight w:val="0"/>
              <w:marTop w:val="150"/>
              <w:marBottom w:val="0"/>
              <w:divBdr>
                <w:top w:val="none" w:sz="0" w:space="0" w:color="auto"/>
                <w:left w:val="none" w:sz="0" w:space="0" w:color="auto"/>
                <w:bottom w:val="none" w:sz="0" w:space="0" w:color="auto"/>
                <w:right w:val="none" w:sz="0" w:space="0" w:color="auto"/>
              </w:divBdr>
              <w:divsChild>
                <w:div w:id="1784299316">
                  <w:marLeft w:val="0"/>
                  <w:marRight w:val="0"/>
                  <w:marTop w:val="0"/>
                  <w:marBottom w:val="0"/>
                  <w:divBdr>
                    <w:top w:val="single" w:sz="2" w:space="0" w:color="EAEBEB"/>
                    <w:left w:val="single" w:sz="2" w:space="0" w:color="EAEBEB"/>
                    <w:bottom w:val="single" w:sz="2" w:space="0" w:color="EAEBEB"/>
                    <w:right w:val="single" w:sz="6" w:space="0" w:color="EAEBEB"/>
                  </w:divBdr>
                  <w:divsChild>
                    <w:div w:id="204997515">
                      <w:marLeft w:val="0"/>
                      <w:marRight w:val="0"/>
                      <w:marTop w:val="0"/>
                      <w:marBottom w:val="0"/>
                      <w:divBdr>
                        <w:top w:val="none" w:sz="0" w:space="0" w:color="auto"/>
                        <w:left w:val="none" w:sz="0" w:space="0" w:color="auto"/>
                        <w:bottom w:val="none" w:sz="0" w:space="0" w:color="auto"/>
                        <w:right w:val="none" w:sz="0" w:space="0" w:color="auto"/>
                      </w:divBdr>
                      <w:divsChild>
                        <w:div w:id="2014599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2614524">
      <w:bodyDiv w:val="1"/>
      <w:marLeft w:val="0"/>
      <w:marRight w:val="0"/>
      <w:marTop w:val="0"/>
      <w:marBottom w:val="0"/>
      <w:divBdr>
        <w:top w:val="none" w:sz="0" w:space="0" w:color="auto"/>
        <w:left w:val="none" w:sz="0" w:space="0" w:color="auto"/>
        <w:bottom w:val="none" w:sz="0" w:space="0" w:color="auto"/>
        <w:right w:val="none" w:sz="0" w:space="0" w:color="auto"/>
      </w:divBdr>
      <w:divsChild>
        <w:div w:id="647242533">
          <w:marLeft w:val="0"/>
          <w:marRight w:val="0"/>
          <w:marTop w:val="0"/>
          <w:marBottom w:val="0"/>
          <w:divBdr>
            <w:top w:val="none" w:sz="0" w:space="0" w:color="auto"/>
            <w:left w:val="none" w:sz="0" w:space="0" w:color="auto"/>
            <w:bottom w:val="none" w:sz="0" w:space="0" w:color="auto"/>
            <w:right w:val="none" w:sz="0" w:space="0" w:color="auto"/>
          </w:divBdr>
          <w:divsChild>
            <w:div w:id="1698194733">
              <w:marLeft w:val="0"/>
              <w:marRight w:val="0"/>
              <w:marTop w:val="0"/>
              <w:marBottom w:val="0"/>
              <w:divBdr>
                <w:top w:val="none" w:sz="0" w:space="0" w:color="auto"/>
                <w:left w:val="none" w:sz="0" w:space="0" w:color="auto"/>
                <w:bottom w:val="none" w:sz="0" w:space="0" w:color="auto"/>
                <w:right w:val="none" w:sz="0" w:space="0" w:color="auto"/>
              </w:divBdr>
              <w:divsChild>
                <w:div w:id="403725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7504133">
      <w:bodyDiv w:val="1"/>
      <w:marLeft w:val="0"/>
      <w:marRight w:val="0"/>
      <w:marTop w:val="0"/>
      <w:marBottom w:val="0"/>
      <w:divBdr>
        <w:top w:val="none" w:sz="0" w:space="0" w:color="auto"/>
        <w:left w:val="none" w:sz="0" w:space="0" w:color="auto"/>
        <w:bottom w:val="none" w:sz="0" w:space="0" w:color="auto"/>
        <w:right w:val="none" w:sz="0" w:space="0" w:color="auto"/>
      </w:divBdr>
      <w:divsChild>
        <w:div w:id="2004510533">
          <w:marLeft w:val="0"/>
          <w:marRight w:val="0"/>
          <w:marTop w:val="0"/>
          <w:marBottom w:val="0"/>
          <w:divBdr>
            <w:top w:val="none" w:sz="0" w:space="0" w:color="auto"/>
            <w:left w:val="none" w:sz="0" w:space="0" w:color="auto"/>
            <w:bottom w:val="none" w:sz="0" w:space="0" w:color="auto"/>
            <w:right w:val="none" w:sz="0" w:space="0" w:color="auto"/>
          </w:divBdr>
          <w:divsChild>
            <w:div w:id="1298879660">
              <w:marLeft w:val="0"/>
              <w:marRight w:val="0"/>
              <w:marTop w:val="0"/>
              <w:marBottom w:val="0"/>
              <w:divBdr>
                <w:top w:val="none" w:sz="0" w:space="0" w:color="auto"/>
                <w:left w:val="none" w:sz="0" w:space="0" w:color="auto"/>
                <w:bottom w:val="none" w:sz="0" w:space="0" w:color="auto"/>
                <w:right w:val="none" w:sz="0" w:space="0" w:color="auto"/>
              </w:divBdr>
              <w:divsChild>
                <w:div w:id="92086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9063412">
      <w:bodyDiv w:val="1"/>
      <w:marLeft w:val="0"/>
      <w:marRight w:val="0"/>
      <w:marTop w:val="0"/>
      <w:marBottom w:val="0"/>
      <w:divBdr>
        <w:top w:val="none" w:sz="0" w:space="0" w:color="auto"/>
        <w:left w:val="none" w:sz="0" w:space="0" w:color="auto"/>
        <w:bottom w:val="none" w:sz="0" w:space="0" w:color="auto"/>
        <w:right w:val="none" w:sz="0" w:space="0" w:color="auto"/>
      </w:divBdr>
      <w:divsChild>
        <w:div w:id="1880823739">
          <w:marLeft w:val="0"/>
          <w:marRight w:val="0"/>
          <w:marTop w:val="0"/>
          <w:marBottom w:val="0"/>
          <w:divBdr>
            <w:top w:val="none" w:sz="0" w:space="0" w:color="auto"/>
            <w:left w:val="none" w:sz="0" w:space="0" w:color="auto"/>
            <w:bottom w:val="none" w:sz="0" w:space="0" w:color="auto"/>
            <w:right w:val="none" w:sz="0" w:space="0" w:color="auto"/>
          </w:divBdr>
          <w:divsChild>
            <w:div w:id="1547181725">
              <w:marLeft w:val="225"/>
              <w:marRight w:val="0"/>
              <w:marTop w:val="150"/>
              <w:marBottom w:val="0"/>
              <w:divBdr>
                <w:top w:val="none" w:sz="0" w:space="0" w:color="auto"/>
                <w:left w:val="none" w:sz="0" w:space="0" w:color="auto"/>
                <w:bottom w:val="none" w:sz="0" w:space="0" w:color="auto"/>
                <w:right w:val="none" w:sz="0" w:space="0" w:color="auto"/>
              </w:divBdr>
              <w:divsChild>
                <w:div w:id="1366903996">
                  <w:marLeft w:val="0"/>
                  <w:marRight w:val="0"/>
                  <w:marTop w:val="0"/>
                  <w:marBottom w:val="0"/>
                  <w:divBdr>
                    <w:top w:val="single" w:sz="2" w:space="0" w:color="EAEBEB"/>
                    <w:left w:val="single" w:sz="2" w:space="0" w:color="EAEBEB"/>
                    <w:bottom w:val="single" w:sz="2" w:space="0" w:color="EAEBEB"/>
                    <w:right w:val="single" w:sz="6" w:space="0" w:color="EAEBEB"/>
                  </w:divBdr>
                  <w:divsChild>
                    <w:div w:id="37123993">
                      <w:marLeft w:val="0"/>
                      <w:marRight w:val="0"/>
                      <w:marTop w:val="0"/>
                      <w:marBottom w:val="0"/>
                      <w:divBdr>
                        <w:top w:val="none" w:sz="0" w:space="0" w:color="auto"/>
                        <w:left w:val="none" w:sz="0" w:space="0" w:color="auto"/>
                        <w:bottom w:val="none" w:sz="0" w:space="0" w:color="auto"/>
                        <w:right w:val="none" w:sz="0" w:space="0" w:color="auto"/>
                      </w:divBdr>
                      <w:divsChild>
                        <w:div w:id="891116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es.wikipedia.org/w/index.php?title=Dragan_Kolund%C5%BEija&amp;action=edit&amp;redlink=1" TargetMode="External"/><Relationship Id="rId21" Type="http://schemas.openxmlformats.org/officeDocument/2006/relationships/hyperlink" Target="http://es.wikipedia.org/w/index.php?title=Zlatko_Aleksovski&amp;action=edit&amp;redlink=1" TargetMode="External"/><Relationship Id="rId42" Type="http://schemas.openxmlformats.org/officeDocument/2006/relationships/hyperlink" Target="http://es.wikipedia.org/w/index.php?title=Janko_Bobetko&amp;action=edit&amp;redlink=1" TargetMode="External"/><Relationship Id="rId63" Type="http://schemas.openxmlformats.org/officeDocument/2006/relationships/hyperlink" Target="http://es.wikipedia.org/wiki/Rasim_Deli%C4%87" TargetMode="External"/><Relationship Id="rId84" Type="http://schemas.openxmlformats.org/officeDocument/2006/relationships/hyperlink" Target="http://es.wikipedia.org/w/index.php?title=Milan_Gvero&amp;action=edit&amp;redlink=1" TargetMode="External"/><Relationship Id="rId138" Type="http://schemas.openxmlformats.org/officeDocument/2006/relationships/hyperlink" Target="http://es.wikipedia.org/w/index.php?title=Dragoljub_Kunarac&amp;action=edit&amp;redlink=1" TargetMode="External"/><Relationship Id="rId159" Type="http://schemas.openxmlformats.org/officeDocument/2006/relationships/hyperlink" Target="http://es.wikipedia.org/w/index.php?title=Gruban_Mali%C4%87&amp;action=edit&amp;redlink=1" TargetMode="External"/><Relationship Id="rId170" Type="http://schemas.openxmlformats.org/officeDocument/2006/relationships/hyperlink" Target="http://es.wikipedia.org/wiki/Slobodan_Milo%C5%A1evi%C4%87" TargetMode="External"/><Relationship Id="rId191" Type="http://schemas.openxmlformats.org/officeDocument/2006/relationships/hyperlink" Target="http://es.wikipedia.org/wiki/Campo_de_prisioneros_de_Lapu%C5%A1nik" TargetMode="External"/><Relationship Id="rId205" Type="http://schemas.openxmlformats.org/officeDocument/2006/relationships/hyperlink" Target="http://es.wikipedia.org/w/index.php?title=Vujadin_Popovic&amp;action=edit&amp;redlink=1" TargetMode="External"/><Relationship Id="rId226" Type="http://schemas.openxmlformats.org/officeDocument/2006/relationships/hyperlink" Target="http://www.cruzroja.es/nota_legal/" TargetMode="External"/><Relationship Id="rId107" Type="http://schemas.openxmlformats.org/officeDocument/2006/relationships/hyperlink" Target="http://es.wikipedia.org/wiki/Bosniocroata" TargetMode="External"/><Relationship Id="rId11" Type="http://schemas.openxmlformats.org/officeDocument/2006/relationships/image" Target="media/image2.emf"/><Relationship Id="rId32" Type="http://schemas.openxmlformats.org/officeDocument/2006/relationships/hyperlink" Target="http://es.wikipedia.org/w/index.php?title=Predrag_Banovi%C4%87&amp;action=edit&amp;redlink=1" TargetMode="External"/><Relationship Id="rId53" Type="http://schemas.openxmlformats.org/officeDocument/2006/relationships/hyperlink" Target="http://es.wikipedia.org/w/index.php?title=Regi%C3%B3n_aut%C3%B3noma_de_Krajina&amp;action=edit&amp;redlink=1" TargetMode="External"/><Relationship Id="rId74" Type="http://schemas.openxmlformats.org/officeDocument/2006/relationships/hyperlink" Target="http://es.wikipedia.org/wiki/Montenegro" TargetMode="External"/><Relationship Id="rId128" Type="http://schemas.openxmlformats.org/officeDocument/2006/relationships/hyperlink" Target="http://es.wikipedia.org/wiki/Prijedor" TargetMode="External"/><Relationship Id="rId149" Type="http://schemas.openxmlformats.org/officeDocument/2006/relationships/hyperlink" Target="http://es.wikipedia.org/w/index.php?title=Fatmir_Limaj&amp;action=edit&amp;redlink=1" TargetMode="External"/><Relationship Id="rId5" Type="http://schemas.openxmlformats.org/officeDocument/2006/relationships/settings" Target="settings.xml"/><Relationship Id="rId95" Type="http://schemas.openxmlformats.org/officeDocument/2006/relationships/hyperlink" Target="http://es.wikipedia.org/w/index.php?title=Janko_Janji%C4%87&amp;action=edit&amp;redlink=1" TargetMode="External"/><Relationship Id="rId160" Type="http://schemas.openxmlformats.org/officeDocument/2006/relationships/hyperlink" Target="http://es.wikipedia.org/wiki/Anexo:Acusados_por_el_Tribunal_Penal_Internacional_para_la_ex_Yugoslavia" TargetMode="External"/><Relationship Id="rId181" Type="http://schemas.openxmlformats.org/officeDocument/2006/relationships/hyperlink" Target="http://es.wikipedia.org/wiki/Prijedor" TargetMode="External"/><Relationship Id="rId216" Type="http://schemas.openxmlformats.org/officeDocument/2006/relationships/hyperlink" Target="http://es.wikipedia.org/w/index.php?title=Milorad_Trbi%C4%87&amp;action=edit&amp;redlink=1" TargetMode="External"/><Relationship Id="rId22" Type="http://schemas.openxmlformats.org/officeDocument/2006/relationships/hyperlink" Target="http://es.wikipedia.org/w/index.php?title=Stipo_Alilovi%C4%87&amp;action=edit&amp;redlink=1" TargetMode="External"/><Relationship Id="rId27" Type="http://schemas.openxmlformats.org/officeDocument/2006/relationships/hyperlink" Target="http://es.wikipedia.org/wiki/Haradin_Bala" TargetMode="External"/><Relationship Id="rId43" Type="http://schemas.openxmlformats.org/officeDocument/2006/relationships/hyperlink" Target="http://es.wikipedia.org/w/index.php?title=Ljubomir_Borov%C4%8Danin&amp;action=edit&amp;redlink=1" TargetMode="External"/><Relationship Id="rId48" Type="http://schemas.openxmlformats.org/officeDocument/2006/relationships/hyperlink" Target="http://es.wikipedia.org/w/index.php?title=Ljube_Bo%C5%A1koski&amp;action=edit&amp;redlink=1" TargetMode="External"/><Relationship Id="rId64" Type="http://schemas.openxmlformats.org/officeDocument/2006/relationships/hyperlink" Target="http://es.wikipedia.org/w/index.php?title=Miroslav_Deronji%C4%87&amp;action=edit&amp;redlink=1" TargetMode="External"/><Relationship Id="rId69" Type="http://schemas.openxmlformats.org/officeDocument/2006/relationships/hyperlink" Target="http://es.wikipedia.org/w/index.php?title=Simo_Drljaca&amp;action=edit&amp;redlink=1" TargetMode="External"/><Relationship Id="rId113" Type="http://schemas.openxmlformats.org/officeDocument/2006/relationships/hyperlink" Target="http://es.wikipedia.org/wiki/Cr%C3%ADmenes_contra_la_humanidad" TargetMode="External"/><Relationship Id="rId118" Type="http://schemas.openxmlformats.org/officeDocument/2006/relationships/hyperlink" Target="http://es.wikipedia.org/w/index.php?title=Campo_de_Keraterm&amp;action=edit&amp;redlink=1" TargetMode="External"/><Relationship Id="rId134" Type="http://schemas.openxmlformats.org/officeDocument/2006/relationships/hyperlink" Target="http://es.wikipedia.org/w/index.php?title=Milorad_Krnojelac&amp;action=edit&amp;redlink=1" TargetMode="External"/><Relationship Id="rId139" Type="http://schemas.openxmlformats.org/officeDocument/2006/relationships/hyperlink" Target="http://es.wikipedia.org/w/index.php?title=Mirjan_Kupre%C5%A1ki%C4%87&amp;action=edit&amp;redlink=1" TargetMode="External"/><Relationship Id="rId80" Type="http://schemas.openxmlformats.org/officeDocument/2006/relationships/hyperlink" Target="http://es.wikipedia.org/wiki/Stanislav_Gali%C4%87" TargetMode="External"/><Relationship Id="rId85" Type="http://schemas.openxmlformats.org/officeDocument/2006/relationships/hyperlink" Target="http://es.wikipedia.org/wiki/Goran_Had%C5%BEi%C4%87" TargetMode="External"/><Relationship Id="rId150" Type="http://schemas.openxmlformats.org/officeDocument/2006/relationships/hyperlink" Target="http://es.wikipedia.org/wiki/Campo_de_prisioneros_de_Lapu%C5%A1nik" TargetMode="External"/><Relationship Id="rId155" Type="http://schemas.openxmlformats.org/officeDocument/2006/relationships/hyperlink" Target="http://es.wikipedia.org/w/index.php?title=Sredoje_Luki%C4%87&amp;action=edit&amp;redlink=1" TargetMode="External"/><Relationship Id="rId171" Type="http://schemas.openxmlformats.org/officeDocument/2006/relationships/hyperlink" Target="http://es.wikipedia.org/wiki/Presidente_de_Serbia" TargetMode="External"/><Relationship Id="rId176" Type="http://schemas.openxmlformats.org/officeDocument/2006/relationships/hyperlink" Target="http://es.wikipedia.org/wiki/Serbia" TargetMode="External"/><Relationship Id="rId192" Type="http://schemas.openxmlformats.org/officeDocument/2006/relationships/hyperlink" Target="http://es.wikipedia.org/w/index.php?title=Mladen_Naletili%C4%87&amp;action=edit&amp;redlink=1" TargetMode="External"/><Relationship Id="rId197" Type="http://schemas.openxmlformats.org/officeDocument/2006/relationships/hyperlink" Target="http://es.wikipedia.org/w/index.php?title=Vinko_Pandurevi%C4%87&amp;action=edit&amp;redlink=1" TargetMode="External"/><Relationship Id="rId206" Type="http://schemas.openxmlformats.org/officeDocument/2006/relationships/hyperlink" Target="http://es.wikipedia.org/w/index.php?title=Dragoljub_Prca%C4%87&amp;action=edit&amp;redlink=1" TargetMode="External"/><Relationship Id="rId227" Type="http://schemas.openxmlformats.org/officeDocument/2006/relationships/hyperlink" Target="http://www.icrc.org/spa/resources/documents/misc/5tdldr.htm" TargetMode="External"/><Relationship Id="rId201" Type="http://schemas.openxmlformats.org/officeDocument/2006/relationships/hyperlink" Target="http://es.wikipedia.org/w/index.php?title=Mom%C4%8Dilo_Peri%C5%A1i%C4%87&amp;action=edit&amp;redlink=1" TargetMode="External"/><Relationship Id="rId222" Type="http://schemas.openxmlformats.org/officeDocument/2006/relationships/hyperlink" Target="http://es.wikipedia.org/w/index.php?title=Dragan_Zelenovi%C4%87&amp;action=edit&amp;redlink=1" TargetMode="External"/><Relationship Id="rId12" Type="http://schemas.openxmlformats.org/officeDocument/2006/relationships/image" Target="media/image3.emf"/><Relationship Id="rId17" Type="http://schemas.openxmlformats.org/officeDocument/2006/relationships/hyperlink" Target="http://es.wikipedia.org/wiki/Croacia" TargetMode="External"/><Relationship Id="rId33" Type="http://schemas.openxmlformats.org/officeDocument/2006/relationships/hyperlink" Target="http://es.wikipedia.org/w/index.php?title=Ljubi%C5%A1a_Beara&amp;action=edit&amp;redlink=1" TargetMode="External"/><Relationship Id="rId38" Type="http://schemas.openxmlformats.org/officeDocument/2006/relationships/hyperlink" Target="http://es.wikipedia.org/w/index.php?title=Vidoje_Blagojevi%C4%87&amp;action=edit&amp;redlink=1" TargetMode="External"/><Relationship Id="rId59" Type="http://schemas.openxmlformats.org/officeDocument/2006/relationships/hyperlink" Target="http://es.wikipedia.org/w/index.php?title=Zejnil_Delali%C4%87&amp;action=edit&amp;redlink=1" TargetMode="External"/><Relationship Id="rId103" Type="http://schemas.openxmlformats.org/officeDocument/2006/relationships/hyperlink" Target="http://es.wikipedia.org/wiki/Masacre_de_Srebrenica" TargetMode="External"/><Relationship Id="rId108" Type="http://schemas.openxmlformats.org/officeDocument/2006/relationships/hyperlink" Target="http://es.wikipedia.org/wiki/HVO" TargetMode="External"/><Relationship Id="rId124" Type="http://schemas.openxmlformats.org/officeDocument/2006/relationships/hyperlink" Target="http://es.wikipedia.org/w/index.php?title=Predag_Kosti%C4%87&amp;action=edit&amp;redlink=1" TargetMode="External"/><Relationship Id="rId129" Type="http://schemas.openxmlformats.org/officeDocument/2006/relationships/hyperlink" Target="http://es.wikipedia.org/w/index.php?title=Vladimir_Kova%C4%8Devi%C4%87&amp;action=edit&amp;redlink=1" TargetMode="External"/><Relationship Id="rId54" Type="http://schemas.openxmlformats.org/officeDocument/2006/relationships/hyperlink" Target="http://es.wikipedia.org/w/index.php?title=Miroslav_Bralo&amp;action=edit&amp;redlink=1" TargetMode="External"/><Relationship Id="rId70" Type="http://schemas.openxmlformats.org/officeDocument/2006/relationships/hyperlink" Target="http://es.wikipedia.org/wiki/Prijedor" TargetMode="External"/><Relationship Id="rId75" Type="http://schemas.openxmlformats.org/officeDocument/2006/relationships/hyperlink" Target="http://es.wikipedia.org/w/index.php?title=Djordje_Djuki%C4%87&amp;action=edit&amp;redlink=1" TargetMode="External"/><Relationship Id="rId91" Type="http://schemas.openxmlformats.org/officeDocument/2006/relationships/hyperlink" Target="http://es.wikipedia.org/w/index.php?title=Sefer_Halilovi%C4%87&amp;action=edit&amp;redlink=1" TargetMode="External"/><Relationship Id="rId96" Type="http://schemas.openxmlformats.org/officeDocument/2006/relationships/hyperlink" Target="http://es.wikipedia.org/wiki/Fo%C4%8Da" TargetMode="External"/><Relationship Id="rId140" Type="http://schemas.openxmlformats.org/officeDocument/2006/relationships/hyperlink" Target="http://es.wikipedia.org/w/index.php?title=Vlatko_Kupre%C5%A1ki%C4%87&amp;action=edit&amp;redlink=1" TargetMode="External"/><Relationship Id="rId145" Type="http://schemas.openxmlformats.org/officeDocument/2006/relationships/hyperlink" Target="http://es.wikipedia.org/w/index.php?title=Goran_Laji%C4%87&amp;action=edit&amp;redlink=1" TargetMode="External"/><Relationship Id="rId161" Type="http://schemas.openxmlformats.org/officeDocument/2006/relationships/hyperlink" Target="http://es.wikipedia.org/w/index.php?title=Mladen_Marka%C4%8D&amp;action=edit&amp;redlink=1" TargetMode="External"/><Relationship Id="rId166" Type="http://schemas.openxmlformats.org/officeDocument/2006/relationships/hyperlink" Target="http://es.wikipedia.org/w/index.php?title=Radivoj_Mileti%C4%87&amp;action=edit&amp;redlink=1" TargetMode="External"/><Relationship Id="rId182" Type="http://schemas.openxmlformats.org/officeDocument/2006/relationships/hyperlink" Target="http://es.wikipedia.org/wiki/Mile_Mrk%C5%A1i%C4%87" TargetMode="External"/><Relationship Id="rId187" Type="http://schemas.openxmlformats.org/officeDocument/2006/relationships/hyperlink" Target="http://es.wikipedia.org/w/index.php?title=%C4%8Celebi%C4%87i&amp;action=edit&amp;redlink=1" TargetMode="External"/><Relationship Id="rId217" Type="http://schemas.openxmlformats.org/officeDocument/2006/relationships/hyperlink" Target="http://es.wikipedia.org/w/index.php?title=Mitar_Vasiljevi%C4%87&amp;action=edit&amp;redlink=1" TargetMode="External"/><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hyperlink" Target="http://es.wikipedia.org/wiki/Ljuboten" TargetMode="External"/><Relationship Id="rId233" Type="http://schemas.openxmlformats.org/officeDocument/2006/relationships/theme" Target="theme/theme1.xml"/><Relationship Id="rId23" Type="http://schemas.openxmlformats.org/officeDocument/2006/relationships/hyperlink" Target="http://es.wikipedia.org/wiki/Milan_Babi%C4%87" TargetMode="External"/><Relationship Id="rId28" Type="http://schemas.openxmlformats.org/officeDocument/2006/relationships/hyperlink" Target="http://es.wikipedia.org/wiki/Ej%C3%A9rcito_de_Liberaci%C3%B3n_de_Kosovo" TargetMode="External"/><Relationship Id="rId49" Type="http://schemas.openxmlformats.org/officeDocument/2006/relationships/hyperlink" Target="http://es.wikipedia.org/wiki/Ljuboten" TargetMode="External"/><Relationship Id="rId114" Type="http://schemas.openxmlformats.org/officeDocument/2006/relationships/hyperlink" Target="http://es.wikipedia.org/w/index.php?title=Marinko_Katava&amp;action=edit&amp;redlink=1" TargetMode="External"/><Relationship Id="rId119" Type="http://schemas.openxmlformats.org/officeDocument/2006/relationships/hyperlink" Target="http://es.wikipedia.org/w/index.php?title=Dragan_Kondi%C4%87&amp;action=edit&amp;redlink=1" TargetMode="External"/><Relationship Id="rId44" Type="http://schemas.openxmlformats.org/officeDocument/2006/relationships/hyperlink" Target="http://es.wikipedia.org/wiki/Srebrenica" TargetMode="External"/><Relationship Id="rId60" Type="http://schemas.openxmlformats.org/officeDocument/2006/relationships/hyperlink" Target="http://es.wikipedia.org/wiki/Campo_de_%C4%8Celebi%C4%87i" TargetMode="External"/><Relationship Id="rId65" Type="http://schemas.openxmlformats.org/officeDocument/2006/relationships/hyperlink" Target="http://es.wikipedia.org/wiki/Bratunac" TargetMode="External"/><Relationship Id="rId81" Type="http://schemas.openxmlformats.org/officeDocument/2006/relationships/hyperlink" Target="http://es.wikipedia.org/wiki/Ante_Gotovina" TargetMode="External"/><Relationship Id="rId86" Type="http://schemas.openxmlformats.org/officeDocument/2006/relationships/hyperlink" Target="http://es.wikipedia.org/wiki/Rep%C3%BAblica_Serbia_de_Krajina" TargetMode="External"/><Relationship Id="rId130" Type="http://schemas.openxmlformats.org/officeDocument/2006/relationships/hyperlink" Target="http://es.wikipedia.org/wiki/JNA" TargetMode="External"/><Relationship Id="rId135" Type="http://schemas.openxmlformats.org/officeDocument/2006/relationships/hyperlink" Target="http://es.wikipedia.org/wiki/Radislav_Krsti%C4%87" TargetMode="External"/><Relationship Id="rId151" Type="http://schemas.openxmlformats.org/officeDocument/2006/relationships/hyperlink" Target="http://es.wikipedia.org/w/index.php?title=Milan_Luki%C4%87&amp;action=edit&amp;redlink=1" TargetMode="External"/><Relationship Id="rId156" Type="http://schemas.openxmlformats.org/officeDocument/2006/relationships/hyperlink" Target="http://es.wikipedia.org/wiki/Vi%C5%A1egrad" TargetMode="External"/><Relationship Id="rId177" Type="http://schemas.openxmlformats.org/officeDocument/2006/relationships/hyperlink" Target="http://es.wikipedia.org/wiki/Guerra_de_Kosovo" TargetMode="External"/><Relationship Id="rId198" Type="http://schemas.openxmlformats.org/officeDocument/2006/relationships/hyperlink" Target="http://es.wikipedia.org/w/index.php?title=Dragan_Papi%C4%87&amp;action=edit&amp;redlink=1" TargetMode="External"/><Relationship Id="rId172" Type="http://schemas.openxmlformats.org/officeDocument/2006/relationships/hyperlink" Target="http://es.wikipedia.org/w/index.php?title=Presidente_de_Yugoslavia&amp;action=edit&amp;redlink=1" TargetMode="External"/><Relationship Id="rId193" Type="http://schemas.openxmlformats.org/officeDocument/2006/relationships/hyperlink" Target="http://es.wikipedia.org/w/index.php?title=Dragan_Nikolic_(criminal_de_guerra)&amp;action=edit&amp;redlink=1" TargetMode="External"/><Relationship Id="rId202" Type="http://schemas.openxmlformats.org/officeDocument/2006/relationships/hyperlink" Target="http://es.wikipedia.org/w/index.php?title=Milivoj_Petkovic&amp;action=edit&amp;redlink=1" TargetMode="External"/><Relationship Id="rId207" Type="http://schemas.openxmlformats.org/officeDocument/2006/relationships/hyperlink" Target="http://es.wikipedia.org/wiki/Du%C5%A1ko_Tadi%C4%87" TargetMode="External"/><Relationship Id="rId223" Type="http://schemas.openxmlformats.org/officeDocument/2006/relationships/hyperlink" Target="http://es.wikipedia.org/w/index.php?title=Zoran_%C5%BDigi%C4%87&amp;action=edit&amp;redlink=1" TargetMode="External"/><Relationship Id="rId228" Type="http://schemas.openxmlformats.org/officeDocument/2006/relationships/hyperlink" Target="http://dialnet.unirioja.es/servlet/revista?codigo=46" TargetMode="External"/><Relationship Id="rId13" Type="http://schemas.openxmlformats.org/officeDocument/2006/relationships/image" Target="media/image4.emf"/><Relationship Id="rId18" Type="http://schemas.openxmlformats.org/officeDocument/2006/relationships/hyperlink" Target="http://es.wikipedia.org/w/index.php?title=Mehmed_Alagi%C4%87&amp;action=edit&amp;redlink=1" TargetMode="External"/><Relationship Id="rId39" Type="http://schemas.openxmlformats.org/officeDocument/2006/relationships/hyperlink" Target="http://es.wikipedia.org/wiki/Ej%C3%A9rcito_de_la_Rep%C3%BAblica_Srpska" TargetMode="External"/><Relationship Id="rId109" Type="http://schemas.openxmlformats.org/officeDocument/2006/relationships/hyperlink" Target="http://es.wikipedia.org/wiki/La%C5%A1va" TargetMode="External"/><Relationship Id="rId34" Type="http://schemas.openxmlformats.org/officeDocument/2006/relationships/hyperlink" Target="http://es.wikipedia.org/wiki/Masacre_de_Srebrenica" TargetMode="External"/><Relationship Id="rId50" Type="http://schemas.openxmlformats.org/officeDocument/2006/relationships/hyperlink" Target="http://es.wikipedia.org/w/index.php?title=Lahi_Brahimaj&amp;action=edit&amp;redlink=1" TargetMode="External"/><Relationship Id="rId55" Type="http://schemas.openxmlformats.org/officeDocument/2006/relationships/hyperlink" Target="http://es.wikipedia.org/wiki/HVO" TargetMode="External"/><Relationship Id="rId76" Type="http://schemas.openxmlformats.org/officeDocument/2006/relationships/hyperlink" Target="http://es.wikipedia.org/w/index.php?title=Dra%C5%BEen_Erdemovi%C4%87&amp;action=edit&amp;redlink=1" TargetMode="External"/><Relationship Id="rId97" Type="http://schemas.openxmlformats.org/officeDocument/2006/relationships/hyperlink" Target="http://es.wikipedia.org/wiki/SFOR" TargetMode="External"/><Relationship Id="rId104" Type="http://schemas.openxmlformats.org/officeDocument/2006/relationships/hyperlink" Target="http://es.wikipedia.org/w/index.php?title=Miodrag_Joki%C4%87&amp;action=edit&amp;redlink=1" TargetMode="External"/><Relationship Id="rId120" Type="http://schemas.openxmlformats.org/officeDocument/2006/relationships/hyperlink" Target="http://es.wikipedia.org/wiki/Dario_Kordi%C4%87" TargetMode="External"/><Relationship Id="rId125" Type="http://schemas.openxmlformats.org/officeDocument/2006/relationships/hyperlink" Target="http://es.wikipedia.org/w/index.php?title=Radomir_Kova%C4%8D&amp;action=edit&amp;redlink=1" TargetMode="External"/><Relationship Id="rId141" Type="http://schemas.openxmlformats.org/officeDocument/2006/relationships/hyperlink" Target="http://es.wikipedia.org/w/index.php?title=Zoran_Kupre%C5%A1ki%C4%87&amp;action=edit&amp;redlink=1" TargetMode="External"/><Relationship Id="rId146" Type="http://schemas.openxmlformats.org/officeDocument/2006/relationships/hyperlink" Target="http://es.wikipedia.org/w/index.php?title=Esad_Land%C5%BEo&amp;action=edit&amp;redlink=1" TargetMode="External"/><Relationship Id="rId167" Type="http://schemas.openxmlformats.org/officeDocument/2006/relationships/hyperlink" Target="http://es.wikipedia.org/w/index.php?title=Slobodan_Miljkovi%C4%87&amp;action=edit&amp;redlink=1" TargetMode="External"/><Relationship Id="rId188" Type="http://schemas.openxmlformats.org/officeDocument/2006/relationships/hyperlink" Target="http://es.wikipedia.org/w/index.php?title=Agim_Murtezi&amp;action=edit&amp;redlink=1" TargetMode="External"/><Relationship Id="rId7" Type="http://schemas.openxmlformats.org/officeDocument/2006/relationships/footnotes" Target="footnotes.xml"/><Relationship Id="rId71" Type="http://schemas.openxmlformats.org/officeDocument/2006/relationships/hyperlink" Target="http://es.wikipedia.org/w/index.php?title=Vlastimir_%C4%90or%C4%91evi%C4%87,&amp;action=edit&amp;redlink=1" TargetMode="External"/><Relationship Id="rId92" Type="http://schemas.openxmlformats.org/officeDocument/2006/relationships/hyperlink" Target="http://es.wikipedia.org/wiki/Ramush_Haradinaj" TargetMode="External"/><Relationship Id="rId162" Type="http://schemas.openxmlformats.org/officeDocument/2006/relationships/hyperlink" Target="http://es.wikipedia.org/w/index.php?title=Milan_Marti%C4%87&amp;action=edit&amp;redlink=1" TargetMode="External"/><Relationship Id="rId183" Type="http://schemas.openxmlformats.org/officeDocument/2006/relationships/hyperlink" Target="http://es.wikipedia.org/wiki/Rep%C3%BAblica_Serbia_de_Krajina" TargetMode="External"/><Relationship Id="rId213" Type="http://schemas.openxmlformats.org/officeDocument/2006/relationships/hyperlink" Target="http://es.wikipedia.org/w/index.php?title=Nedjeljko_Timarac&amp;action=edit&amp;redlink=1" TargetMode="External"/><Relationship Id="rId218" Type="http://schemas.openxmlformats.org/officeDocument/2006/relationships/hyperlink" Target="http://es.wikipedia.org/w/index.php?title=Zoran_Vukovi%C4%87&amp;action=edit&amp;redlink=1" TargetMode="External"/><Relationship Id="rId2" Type="http://schemas.openxmlformats.org/officeDocument/2006/relationships/numbering" Target="numbering.xml"/><Relationship Id="rId29" Type="http://schemas.openxmlformats.org/officeDocument/2006/relationships/hyperlink" Target="http://es.wikipedia.org/wiki/Campo_de_prisioneros_de_Lapu%C5%A1nik" TargetMode="External"/><Relationship Id="rId24" Type="http://schemas.openxmlformats.org/officeDocument/2006/relationships/hyperlink" Target="http://es.wikipedia.org/wiki/Rep%C3%BAblica_Serbia_de_Krajina" TargetMode="External"/><Relationship Id="rId40" Type="http://schemas.openxmlformats.org/officeDocument/2006/relationships/hyperlink" Target="http://es.wikipedia.org/wiki/Masacre_de_Srebrenica" TargetMode="External"/><Relationship Id="rId45" Type="http://schemas.openxmlformats.org/officeDocument/2006/relationships/hyperlink" Target="http://es.wikipedia.org/wiki/La_Haya" TargetMode="External"/><Relationship Id="rId66" Type="http://schemas.openxmlformats.org/officeDocument/2006/relationships/hyperlink" Target="http://es.wikipedia.org/w/index.php?title=Slavko_Dokmanovi%C4%87&amp;action=edit&amp;redlink=1" TargetMode="External"/><Relationship Id="rId87" Type="http://schemas.openxmlformats.org/officeDocument/2006/relationships/hyperlink" Target="http://es.wikipedia.org/wiki/Serbia" TargetMode="External"/><Relationship Id="rId110" Type="http://schemas.openxmlformats.org/officeDocument/2006/relationships/hyperlink" Target="http://es.wikipedia.org/wiki/Radovan_Karad%C5%BEi%C4%87" TargetMode="External"/><Relationship Id="rId115" Type="http://schemas.openxmlformats.org/officeDocument/2006/relationships/hyperlink" Target="http://es.wikipedia.org/w/index.php?title=Du%C5%A1ko_Kne%C5%BEevi%C4%87&amp;action=edit&amp;redlink=1" TargetMode="External"/><Relationship Id="rId131" Type="http://schemas.openxmlformats.org/officeDocument/2006/relationships/hyperlink" Target="http://es.wikipedia.org/w/index.php?title=Asedio_de_Dubrovnik&amp;action=edit&amp;redlink=1" TargetMode="External"/><Relationship Id="rId136" Type="http://schemas.openxmlformats.org/officeDocument/2006/relationships/hyperlink" Target="http://es.wikipedia.org/w/index.php?title=Amir_Kubura&amp;action=edit&amp;redlink=1" TargetMode="External"/><Relationship Id="rId157" Type="http://schemas.openxmlformats.org/officeDocument/2006/relationships/hyperlink" Target="http://es.wikipedia.org/w/index.php?title=Sreten_Luki%C4%87&amp;action=edit&amp;redlink=1" TargetMode="External"/><Relationship Id="rId178" Type="http://schemas.openxmlformats.org/officeDocument/2006/relationships/hyperlink" Target="http://es.wikipedia.org/wiki/Ratko_Mladi%C4%87" TargetMode="External"/><Relationship Id="rId61" Type="http://schemas.openxmlformats.org/officeDocument/2006/relationships/hyperlink" Target="http://es.wikipedia.org/w/index.php?title=Hazim_Deli%C4%87&amp;action=edit&amp;redlink=1" TargetMode="External"/><Relationship Id="rId82" Type="http://schemas.openxmlformats.org/officeDocument/2006/relationships/hyperlink" Target="http://es.wikipedia.org/w/index.php?title=Zdravko_Govedarica&amp;action=edit&amp;redlink=1" TargetMode="External"/><Relationship Id="rId152" Type="http://schemas.openxmlformats.org/officeDocument/2006/relationships/hyperlink" Target="http://es.wikipedia.org/wiki/Vi%C5%A1egrad" TargetMode="External"/><Relationship Id="rId173" Type="http://schemas.openxmlformats.org/officeDocument/2006/relationships/hyperlink" Target="http://es.wikipedia.org/wiki/Guerra_de_Kosovo" TargetMode="External"/><Relationship Id="rId194" Type="http://schemas.openxmlformats.org/officeDocument/2006/relationships/hyperlink" Target="http://es.wikipedia.org/w/index.php?title=Su%C5%A1ica&amp;action=edit&amp;redlink=1" TargetMode="External"/><Relationship Id="rId199" Type="http://schemas.openxmlformats.org/officeDocument/2006/relationships/hyperlink" Target="http://es.wikipedia.org/w/index.php?title=Nedeljko_Paspalj&amp;action=edit&amp;redlink=1" TargetMode="External"/><Relationship Id="rId203" Type="http://schemas.openxmlformats.org/officeDocument/2006/relationships/hyperlink" Target="http://es.wikipedia.org/wiki/Biljana_Plav%C5%A1i%C4%87" TargetMode="External"/><Relationship Id="rId208" Type="http://schemas.openxmlformats.org/officeDocument/2006/relationships/hyperlink" Target="http://es.wikipedia.org/wiki/Partido_Democr%C3%A1tico_Serbio" TargetMode="External"/><Relationship Id="rId229" Type="http://schemas.openxmlformats.org/officeDocument/2006/relationships/hyperlink" Target="http://dialnet.unirioja.es/servlet/listaarticulos?tipo_busqueda=EJEMPLAR&amp;revista_busqueda=46&amp;clave_busqueda=63917" TargetMode="External"/><Relationship Id="rId19" Type="http://schemas.openxmlformats.org/officeDocument/2006/relationships/hyperlink" Target="http://es.wikipedia.org/wiki/Ej%C3%A9rcito_de_la_Rep%C3%BAblica_de_Bosnia_y_Herzegovina" TargetMode="External"/><Relationship Id="rId224" Type="http://schemas.openxmlformats.org/officeDocument/2006/relationships/hyperlink" Target="http://es.wikipedia.org/wiki/Stojan_%C5%BDupljanin" TargetMode="External"/><Relationship Id="rId14" Type="http://schemas.openxmlformats.org/officeDocument/2006/relationships/image" Target="media/image5.emf"/><Relationship Id="rId30" Type="http://schemas.openxmlformats.org/officeDocument/2006/relationships/hyperlink" Target="http://es.wikipedia.org/w/index.php?title=Idriz_Balaj&amp;action=edit&amp;redlink=1" TargetMode="External"/><Relationship Id="rId35" Type="http://schemas.openxmlformats.org/officeDocument/2006/relationships/hyperlink" Target="http://es.wikipedia.org/wiki/%C5%BDepa" TargetMode="External"/><Relationship Id="rId56" Type="http://schemas.openxmlformats.org/officeDocument/2006/relationships/hyperlink" Target="http://es.wikipedia.org/w/index.php?title=Mario_%C4%8Cerkez&amp;action=edit&amp;redlink=1" TargetMode="External"/><Relationship Id="rId77" Type="http://schemas.openxmlformats.org/officeDocument/2006/relationships/hyperlink" Target="http://es.wikipedia.org/w/index.php?title=Anto_Furund%C5%BEija&amp;action=edit&amp;redlink=1" TargetMode="External"/><Relationship Id="rId100" Type="http://schemas.openxmlformats.org/officeDocument/2006/relationships/hyperlink" Target="http://es.wikipedia.org/w/index.php?title=Goran_Jelisi%C4%87&amp;action=edit&amp;redlink=1" TargetMode="External"/><Relationship Id="rId105" Type="http://schemas.openxmlformats.org/officeDocument/2006/relationships/hyperlink" Target="http://es.wikipedia.org/wiki/Dubrovnik" TargetMode="External"/><Relationship Id="rId126" Type="http://schemas.openxmlformats.org/officeDocument/2006/relationships/hyperlink" Target="http://es.wikipedia.org/wiki/Fo%C4%8Da" TargetMode="External"/><Relationship Id="rId147" Type="http://schemas.openxmlformats.org/officeDocument/2006/relationships/hyperlink" Target="http://es.wikipedia.org/w/index.php?title=Vladimir_Lazarevi%C4%87&amp;action=edit&amp;redlink=1" TargetMode="External"/><Relationship Id="rId168" Type="http://schemas.openxmlformats.org/officeDocument/2006/relationships/hyperlink" Target="http://es.wikipedia.org/wiki/Dragomir_Milo%C5%A1evi%C4%87" TargetMode="External"/><Relationship Id="rId8" Type="http://schemas.openxmlformats.org/officeDocument/2006/relationships/endnotes" Target="endnotes.xml"/><Relationship Id="rId51" Type="http://schemas.openxmlformats.org/officeDocument/2006/relationships/hyperlink" Target="http://es.wikipedia.org/wiki/U%C3%87K" TargetMode="External"/><Relationship Id="rId72" Type="http://schemas.openxmlformats.org/officeDocument/2006/relationships/hyperlink" Target="http://es.wikipedia.org/wiki/17_de_junio" TargetMode="External"/><Relationship Id="rId93" Type="http://schemas.openxmlformats.org/officeDocument/2006/relationships/hyperlink" Target="http://es.wikipedia.org/wiki/Kosovo" TargetMode="External"/><Relationship Id="rId98" Type="http://schemas.openxmlformats.org/officeDocument/2006/relationships/hyperlink" Target="http://es.wikipedia.org/w/index.php?title=Nikica_Janji%C4%87&amp;action=edit&amp;redlink=1" TargetMode="External"/><Relationship Id="rId121" Type="http://schemas.openxmlformats.org/officeDocument/2006/relationships/hyperlink" Target="http://es.wikipedia.org/wiki/La%C5%A1va" TargetMode="External"/><Relationship Id="rId142" Type="http://schemas.openxmlformats.org/officeDocument/2006/relationships/hyperlink" Target="http://es.wikipedia.org/w/index.php?title=Miroslav_Kvo%C4%8Dka&amp;action=edit&amp;redlink=1" TargetMode="External"/><Relationship Id="rId163" Type="http://schemas.openxmlformats.org/officeDocument/2006/relationships/hyperlink" Target="http://es.wikipedia.org/wiki/Rep%C3%BAblica_Serbia_de_Krajina" TargetMode="External"/><Relationship Id="rId184" Type="http://schemas.openxmlformats.org/officeDocument/2006/relationships/hyperlink" Target="http://es.wikipedia.org/wiki/Masacre_de_Vukovar" TargetMode="External"/><Relationship Id="rId189" Type="http://schemas.openxmlformats.org/officeDocument/2006/relationships/hyperlink" Target="http://es.wikipedia.org/wiki/U%C3%87K" TargetMode="External"/><Relationship Id="rId219" Type="http://schemas.openxmlformats.org/officeDocument/2006/relationships/hyperlink" Target="http://es.wikipedia.org/w/index.php?title=Simo_Zari%C4%87&amp;action=edit&amp;redlink=1" TargetMode="External"/><Relationship Id="rId3" Type="http://schemas.openxmlformats.org/officeDocument/2006/relationships/styles" Target="styles.xml"/><Relationship Id="rId214" Type="http://schemas.openxmlformats.org/officeDocument/2006/relationships/hyperlink" Target="http://es.wikipedia.org/w/index.php?title=Savo_Todovi%C4%87&amp;action=edit&amp;redlink=1" TargetMode="External"/><Relationship Id="rId230" Type="http://schemas.openxmlformats.org/officeDocument/2006/relationships/hyperlink" Target="http://www.icrc.org/spa/assets/files/other/dih.es.pdf" TargetMode="External"/><Relationship Id="rId25" Type="http://schemas.openxmlformats.org/officeDocument/2006/relationships/hyperlink" Target="http://es.wikipedia.org/wiki/Limpieza_%C3%A9tnica" TargetMode="External"/><Relationship Id="rId46" Type="http://schemas.openxmlformats.org/officeDocument/2006/relationships/hyperlink" Target="http://es.wikipedia.org/w/index.php?title=Goran_Borovnica&amp;action=edit&amp;redlink=1" TargetMode="External"/><Relationship Id="rId67" Type="http://schemas.openxmlformats.org/officeDocument/2006/relationships/hyperlink" Target="http://es.wikipedia.org/wiki/Vukovar" TargetMode="External"/><Relationship Id="rId116" Type="http://schemas.openxmlformats.org/officeDocument/2006/relationships/hyperlink" Target="http://es.wikipedia.org/w/index.php?title=Campo_de_Omarska&amp;action=edit&amp;redlink=1" TargetMode="External"/><Relationship Id="rId137" Type="http://schemas.openxmlformats.org/officeDocument/2006/relationships/hyperlink" Target="http://es.wikipedia.org/wiki/Cant%C3%B3n_de_Bosnia_Central" TargetMode="External"/><Relationship Id="rId158" Type="http://schemas.openxmlformats.org/officeDocument/2006/relationships/hyperlink" Target="http://es.wikipedia.org/w/index.php?title=Pa%C5%A1ko_Ljubi%C4%8Di%C4%87&amp;action=edit&amp;redlink=1" TargetMode="External"/><Relationship Id="rId20" Type="http://schemas.openxmlformats.org/officeDocument/2006/relationships/hyperlink" Target="http://es.wikipedia.org/wiki/Muyahidin" TargetMode="External"/><Relationship Id="rId41" Type="http://schemas.openxmlformats.org/officeDocument/2006/relationships/hyperlink" Target="http://es.wikipedia.org/wiki/Tihomir_Bla%C5%A1ki%C4%87" TargetMode="External"/><Relationship Id="rId62" Type="http://schemas.openxmlformats.org/officeDocument/2006/relationships/hyperlink" Target="http://es.wikipedia.org/wiki/Campo_de_%C4%8Celebi%C4%87i" TargetMode="External"/><Relationship Id="rId83" Type="http://schemas.openxmlformats.org/officeDocument/2006/relationships/hyperlink" Target="http://es.wikipedia.org/w/index.php?title=Mom%C4%8Dilo_Gruban&amp;action=edit&amp;redlink=1" TargetMode="External"/><Relationship Id="rId88" Type="http://schemas.openxmlformats.org/officeDocument/2006/relationships/hyperlink" Target="http://es.wikipedia.org/wiki/2011" TargetMode="External"/><Relationship Id="rId111" Type="http://schemas.openxmlformats.org/officeDocument/2006/relationships/hyperlink" Target="http://es.wikipedia.org/wiki/Rep%C3%BAblica_Srpska" TargetMode="External"/><Relationship Id="rId132" Type="http://schemas.openxmlformats.org/officeDocument/2006/relationships/hyperlink" Target="http://es.wikipedia.org/w/index.php?title=Mom%C4%8Dilo_Kraji%C5%A1nik&amp;action=edit&amp;redlink=1" TargetMode="External"/><Relationship Id="rId153" Type="http://schemas.openxmlformats.org/officeDocument/2006/relationships/hyperlink" Target="http://es.wikipedia.org/wiki/Argentina" TargetMode="External"/><Relationship Id="rId174" Type="http://schemas.openxmlformats.org/officeDocument/2006/relationships/hyperlink" Target="http://es.wikipedia.org/wiki/2006" TargetMode="External"/><Relationship Id="rId179" Type="http://schemas.openxmlformats.org/officeDocument/2006/relationships/hyperlink" Target="http://es.wikipedia.org/wiki/Ej%C3%A9rcito_de_la_Rep%C3%BAblica_Srpska" TargetMode="External"/><Relationship Id="rId195" Type="http://schemas.openxmlformats.org/officeDocument/2006/relationships/hyperlink" Target="http://es.wikipedia.org/w/index.php?title=Drago_Nikolic&amp;action=edit&amp;redlink=1" TargetMode="External"/><Relationship Id="rId209" Type="http://schemas.openxmlformats.org/officeDocument/2006/relationships/hyperlink" Target="http://es.wikipedia.org/w/index.php?title=Miroslav_Tadi%C4%87&amp;action=edit&amp;redlink=1" TargetMode="External"/><Relationship Id="rId190" Type="http://schemas.openxmlformats.org/officeDocument/2006/relationships/hyperlink" Target="http://es.wikipedia.org/w/index.php?title=Isak_Musliu&amp;action=edit&amp;redlink=1" TargetMode="External"/><Relationship Id="rId204" Type="http://schemas.openxmlformats.org/officeDocument/2006/relationships/hyperlink" Target="http://es.wikipedia.org/wiki/Rep%C3%BAblica_Srpska" TargetMode="External"/><Relationship Id="rId220" Type="http://schemas.openxmlformats.org/officeDocument/2006/relationships/hyperlink" Target="http://es.wikipedia.org/wiki/%C5%A0amac" TargetMode="External"/><Relationship Id="rId225" Type="http://schemas.openxmlformats.org/officeDocument/2006/relationships/hyperlink" Target="http://www.icty.org/sid/322" TargetMode="External"/><Relationship Id="rId15" Type="http://schemas.openxmlformats.org/officeDocument/2006/relationships/hyperlink" Target="http://es.wikipedia.org/w/index.php?title=Rahim_Ademi&amp;action=edit&amp;redlink=1" TargetMode="External"/><Relationship Id="rId36" Type="http://schemas.openxmlformats.org/officeDocument/2006/relationships/hyperlink" Target="http://es.wikipedia.org/wiki/Cadena_perpetua" TargetMode="External"/><Relationship Id="rId57" Type="http://schemas.openxmlformats.org/officeDocument/2006/relationships/hyperlink" Target="http://es.wikipedia.org/w/index.php?title=Ivan_%C4%8Cermak&amp;action=edit&amp;redlink=1" TargetMode="External"/><Relationship Id="rId106" Type="http://schemas.openxmlformats.org/officeDocument/2006/relationships/hyperlink" Target="http://es.wikipedia.org/w/index.php?title=Drago_Josipovi%C4%87&amp;action=edit&amp;redlink=1" TargetMode="External"/><Relationship Id="rId127" Type="http://schemas.openxmlformats.org/officeDocument/2006/relationships/hyperlink" Target="http://es.wikipedia.org/w/index.php?title=Milan_Kova%C4%8Devi%C4%87&amp;action=edit&amp;redlink=1" TargetMode="External"/><Relationship Id="rId10" Type="http://schemas.openxmlformats.org/officeDocument/2006/relationships/image" Target="media/image1.emf"/><Relationship Id="rId31" Type="http://schemas.openxmlformats.org/officeDocument/2006/relationships/hyperlink" Target="http://es.wikipedia.org/w/index.php?title=Nenad_Banovi%C4%87&amp;action=edit&amp;redlink=1" TargetMode="External"/><Relationship Id="rId52" Type="http://schemas.openxmlformats.org/officeDocument/2006/relationships/hyperlink" Target="http://es.wikipedia.org/w/index.php?title=Radoslav_Br%C4%91anin&amp;action=edit&amp;redlink=1" TargetMode="External"/><Relationship Id="rId73" Type="http://schemas.openxmlformats.org/officeDocument/2006/relationships/hyperlink" Target="http://es.wikipedia.org/wiki/2007" TargetMode="External"/><Relationship Id="rId78" Type="http://schemas.openxmlformats.org/officeDocument/2006/relationships/hyperlink" Target="http://es.wikipedia.org/w/index.php?title=Du%C5%A1an_Fu%C5%A1tar&amp;action=edit&amp;redlink=1" TargetMode="External"/><Relationship Id="rId94" Type="http://schemas.openxmlformats.org/officeDocument/2006/relationships/hyperlink" Target="http://es.wikipedia.org/wiki/Ej%C3%A9rcito_de_Liberaci%C3%B3n_de_Kosovo" TargetMode="External"/><Relationship Id="rId99" Type="http://schemas.openxmlformats.org/officeDocument/2006/relationships/hyperlink" Target="http://es.wikipedia.org/w/index.php?title=Gojko_Jankovi%C4%87&amp;action=edit&amp;redlink=1" TargetMode="External"/><Relationship Id="rId101" Type="http://schemas.openxmlformats.org/officeDocument/2006/relationships/hyperlink" Target="http://es.wikipedia.org/wiki/Anexo:Acusados_por_el_Tribunal_Penal_Internacional_para_la_ex_Yugoslavia" TargetMode="External"/><Relationship Id="rId122" Type="http://schemas.openxmlformats.org/officeDocument/2006/relationships/hyperlink" Target="http://es.wikipedia.org/wiki/Masacre_de_Ahmici" TargetMode="External"/><Relationship Id="rId143" Type="http://schemas.openxmlformats.org/officeDocument/2006/relationships/hyperlink" Target="http://es.wikipedia.org/w/index.php?title=Omarska&amp;action=edit&amp;redlink=1" TargetMode="External"/><Relationship Id="rId148" Type="http://schemas.openxmlformats.org/officeDocument/2006/relationships/hyperlink" Target="http://es.wikipedia.org/wiki/Kosovo" TargetMode="External"/><Relationship Id="rId164" Type="http://schemas.openxmlformats.org/officeDocument/2006/relationships/hyperlink" Target="http://es.wikipedia.org/wiki/Zagreb" TargetMode="External"/><Relationship Id="rId169" Type="http://schemas.openxmlformats.org/officeDocument/2006/relationships/hyperlink" Target="http://es.wikipedia.org/wiki/Sitio_de_Sarajevo" TargetMode="External"/><Relationship Id="rId185" Type="http://schemas.openxmlformats.org/officeDocument/2006/relationships/hyperlink" Target="http://es.wikipedia.org/w/index.php?title=Zdravko_Muci%C4%87&amp;action=edit&amp;redlink=1" TargetMode="External"/><Relationship Id="rId4" Type="http://schemas.microsoft.com/office/2007/relationships/stylesWithEffects" Target="stylesWithEffects.xml"/><Relationship Id="rId9" Type="http://schemas.openxmlformats.org/officeDocument/2006/relationships/hyperlink" Target="http://documentos.cnti.ve/ftp/ContralaGuerra/Palestina_Libano.MP3" TargetMode="External"/><Relationship Id="rId180" Type="http://schemas.openxmlformats.org/officeDocument/2006/relationships/hyperlink" Target="http://es.wikipedia.org/w/index.php?title=Darko_Mrda&amp;action=edit&amp;redlink=1" TargetMode="External"/><Relationship Id="rId210" Type="http://schemas.openxmlformats.org/officeDocument/2006/relationships/hyperlink" Target="http://es.wikipedia.org/w/index.php?title=Momir_Tali%C4%87&amp;action=edit&amp;redlink=1" TargetMode="External"/><Relationship Id="rId215" Type="http://schemas.openxmlformats.org/officeDocument/2006/relationships/hyperlink" Target="http://es.wikipedia.org/w/index.php?title=Zdravko_Tolimir&amp;action=edit&amp;redlink=1" TargetMode="External"/><Relationship Id="rId26" Type="http://schemas.openxmlformats.org/officeDocument/2006/relationships/hyperlink" Target="http://es.wikipedia.org/w/index.php?title=Mirko_Babi%C4%87&amp;action=edit&amp;redlink=1" TargetMode="External"/><Relationship Id="rId231" Type="http://schemas.openxmlformats.org/officeDocument/2006/relationships/footer" Target="footer1.xml"/><Relationship Id="rId47" Type="http://schemas.openxmlformats.org/officeDocument/2006/relationships/hyperlink" Target="http://es.wikipedia.org/wiki/Prijedor" TargetMode="External"/><Relationship Id="rId68" Type="http://schemas.openxmlformats.org/officeDocument/2006/relationships/hyperlink" Target="http://es.wikipedia.org/w/index.php?title=Damir_Do%C5%A1en&amp;action=edit&amp;redlink=1" TargetMode="External"/><Relationship Id="rId89" Type="http://schemas.openxmlformats.org/officeDocument/2006/relationships/hyperlink" Target="http://es.wikipedia.org/w/index.php?title=Enver_Had%C5%BEihasanovi%C4%87&amp;action=edit&amp;redlink=1" TargetMode="External"/><Relationship Id="rId112" Type="http://schemas.openxmlformats.org/officeDocument/2006/relationships/hyperlink" Target="http://es.wikipedia.org/wiki/Genocidio" TargetMode="External"/><Relationship Id="rId133" Type="http://schemas.openxmlformats.org/officeDocument/2006/relationships/hyperlink" Target="http://es.wikipedia.org/wiki/Republika_Srpska" TargetMode="External"/><Relationship Id="rId154" Type="http://schemas.openxmlformats.org/officeDocument/2006/relationships/hyperlink" Target="http://es.wikipedia.org/wiki/Cadena_perpetua" TargetMode="External"/><Relationship Id="rId175" Type="http://schemas.openxmlformats.org/officeDocument/2006/relationships/hyperlink" Target="http://es.wikipedia.org/wiki/Milan_Milutinovi%C4%87" TargetMode="External"/><Relationship Id="rId196" Type="http://schemas.openxmlformats.org/officeDocument/2006/relationships/hyperlink" Target="http://es.wikipedia.org/w/index.php?title=Momir_Nikolic&amp;action=edit&amp;redlink=1" TargetMode="External"/><Relationship Id="rId200" Type="http://schemas.openxmlformats.org/officeDocument/2006/relationships/hyperlink" Target="http://es.wikipedia.org/w/index.php?title=Milan_Pavli%C4%87&amp;action=edit&amp;redlink=1" TargetMode="External"/><Relationship Id="rId16" Type="http://schemas.openxmlformats.org/officeDocument/2006/relationships/hyperlink" Target="http://es.wikipedia.org/wiki/Fuerzas_Armadas_de_Croacia" TargetMode="External"/><Relationship Id="rId221" Type="http://schemas.openxmlformats.org/officeDocument/2006/relationships/hyperlink" Target="http://es.wikipedia.org/w/index.php?title=Milan_Zec&amp;action=edit&amp;redlink=1" TargetMode="External"/><Relationship Id="rId37" Type="http://schemas.openxmlformats.org/officeDocument/2006/relationships/hyperlink" Target="http://es.wikipedia.org/w/index.php?title=Beq%C3%AB_Beqaj&amp;action=edit&amp;redlink=1" TargetMode="External"/><Relationship Id="rId58" Type="http://schemas.openxmlformats.org/officeDocument/2006/relationships/hyperlink" Target="http://es.wikipedia.org/w/index.php?title=Ranko_%C4%86esi%C4%87&amp;action=edit&amp;redlink=1" TargetMode="External"/><Relationship Id="rId79" Type="http://schemas.openxmlformats.org/officeDocument/2006/relationships/hyperlink" Target="http://es.wikipedia.org/w/index.php?title=Dragan_Gagovi%C4%87&amp;action=edit&amp;redlink=1" TargetMode="External"/><Relationship Id="rId102" Type="http://schemas.openxmlformats.org/officeDocument/2006/relationships/hyperlink" Target="http://es.wikipedia.org/w/index.php?title=Dragan_Joki%C4%87&amp;action=edit&amp;redlink=1" TargetMode="External"/><Relationship Id="rId123" Type="http://schemas.openxmlformats.org/officeDocument/2006/relationships/hyperlink" Target="http://es.wikipedia.org/w/index.php?title=Milojica_Kos&amp;action=edit&amp;redlink=1" TargetMode="External"/><Relationship Id="rId144" Type="http://schemas.openxmlformats.org/officeDocument/2006/relationships/hyperlink" Target="http://es.wikipedia.org/w/index.php?title=Keraterm&amp;action=edit&amp;redlink=1" TargetMode="External"/><Relationship Id="rId90" Type="http://schemas.openxmlformats.org/officeDocument/2006/relationships/hyperlink" Target="http://es.wikipedia.org/wiki/ARBiH" TargetMode="External"/><Relationship Id="rId165" Type="http://schemas.openxmlformats.org/officeDocument/2006/relationships/hyperlink" Target="http://es.wikipedia.org/w/index.php?title=%C5%BDeljko_Meaki%C4%87&amp;action=edit&amp;redlink=1" TargetMode="External"/><Relationship Id="rId186" Type="http://schemas.openxmlformats.org/officeDocument/2006/relationships/hyperlink" Target="http://es.wikipedia.org/wiki/Campo_de_%C4%8Celebi%C4%87i" TargetMode="External"/><Relationship Id="rId211" Type="http://schemas.openxmlformats.org/officeDocument/2006/relationships/hyperlink" Target="http://es.wikipedia.org/w/index.php?title=Johan_Tar%C4%8Dulovski&amp;action=edit&amp;redlink=1" TargetMode="External"/><Relationship Id="rId23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es.wikipedia.org/wiki/Declaraci%C3%B3n_de_guerr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ACE12F-083F-4ACB-9F10-040D902DA5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130</Pages>
  <Words>41478</Words>
  <Characters>228135</Characters>
  <Application>Microsoft Office Word</Application>
  <DocSecurity>0</DocSecurity>
  <Lines>1901</Lines>
  <Paragraphs>538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269075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xime</dc:creator>
  <cp:lastModifiedBy>JOEL</cp:lastModifiedBy>
  <cp:revision>2</cp:revision>
  <dcterms:created xsi:type="dcterms:W3CDTF">2012-09-29T15:59:00Z</dcterms:created>
  <dcterms:modified xsi:type="dcterms:W3CDTF">2012-09-29T15:59:00Z</dcterms:modified>
</cp:coreProperties>
</file>