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00E75" w:rsidRPr="00616A87" w:rsidRDefault="00A00E75" w:rsidP="002E0094">
      <w:pPr>
        <w:spacing w:line="360" w:lineRule="auto"/>
        <w:jc w:val="center"/>
        <w:outlineLvl w:val="0"/>
        <w:rPr>
          <w:rFonts w:ascii="Times New Roman" w:hAnsi="Times New Roman"/>
          <w:sz w:val="24"/>
          <w:szCs w:val="24"/>
          <w:lang w:val="es-ES_tradnl"/>
        </w:rPr>
      </w:pPr>
      <w:r w:rsidRPr="00616A87">
        <w:rPr>
          <w:rFonts w:ascii="Times New Roman" w:hAnsi="Times New Roman"/>
          <w:sz w:val="24"/>
          <w:szCs w:val="24"/>
          <w:lang w:val="es-ES_tradnl"/>
        </w:rPr>
        <w:t>Universidad de los Hemisferios</w:t>
      </w:r>
    </w:p>
    <w:p w:rsidR="00A00E75" w:rsidRPr="00616A87" w:rsidRDefault="00A00E75" w:rsidP="00616A87">
      <w:pPr>
        <w:spacing w:line="360" w:lineRule="auto"/>
        <w:rPr>
          <w:rFonts w:ascii="Times New Roman" w:hAnsi="Times New Roman"/>
          <w:sz w:val="24"/>
          <w:szCs w:val="24"/>
          <w:lang w:val="es-ES_tradnl"/>
        </w:rPr>
      </w:pPr>
    </w:p>
    <w:p w:rsidR="00A00E75" w:rsidRPr="00616A87" w:rsidRDefault="00A00E75" w:rsidP="00616A87">
      <w:pPr>
        <w:spacing w:line="360" w:lineRule="auto"/>
        <w:jc w:val="center"/>
        <w:rPr>
          <w:rFonts w:ascii="Times New Roman" w:hAnsi="Times New Roman"/>
          <w:sz w:val="24"/>
          <w:szCs w:val="24"/>
          <w:lang w:val="es-ES_tradnl"/>
        </w:rPr>
      </w:pPr>
    </w:p>
    <w:p w:rsidR="00A00E75" w:rsidRPr="00616A87" w:rsidRDefault="00A00E75" w:rsidP="002E0094">
      <w:pPr>
        <w:spacing w:line="360" w:lineRule="auto"/>
        <w:jc w:val="center"/>
        <w:outlineLvl w:val="0"/>
        <w:rPr>
          <w:rFonts w:ascii="Times New Roman" w:hAnsi="Times New Roman"/>
          <w:sz w:val="24"/>
          <w:szCs w:val="24"/>
          <w:lang w:val="es-ES_tradnl"/>
        </w:rPr>
      </w:pPr>
      <w:r w:rsidRPr="00616A87">
        <w:rPr>
          <w:rFonts w:ascii="Times New Roman" w:hAnsi="Times New Roman"/>
          <w:sz w:val="24"/>
          <w:szCs w:val="24"/>
          <w:lang w:val="es-ES_tradnl"/>
        </w:rPr>
        <w:t>Facultad de Ciencias Políticas y Jurídicas</w:t>
      </w:r>
    </w:p>
    <w:p w:rsidR="00A00E75" w:rsidRPr="00616A87" w:rsidRDefault="00A00E75" w:rsidP="00616A87">
      <w:pPr>
        <w:spacing w:line="360" w:lineRule="auto"/>
        <w:jc w:val="center"/>
        <w:rPr>
          <w:rFonts w:ascii="Times New Roman" w:hAnsi="Times New Roman"/>
          <w:sz w:val="24"/>
          <w:szCs w:val="24"/>
          <w:lang w:val="es-ES_tradnl"/>
        </w:rPr>
      </w:pPr>
    </w:p>
    <w:p w:rsidR="00A00E75" w:rsidRPr="00616A87" w:rsidRDefault="00A00E75" w:rsidP="00616A87">
      <w:pPr>
        <w:spacing w:line="360" w:lineRule="auto"/>
        <w:jc w:val="center"/>
        <w:rPr>
          <w:rFonts w:ascii="Times New Roman" w:hAnsi="Times New Roman"/>
          <w:sz w:val="24"/>
          <w:szCs w:val="24"/>
          <w:lang w:val="es-ES_tradnl"/>
        </w:rPr>
      </w:pPr>
    </w:p>
    <w:p w:rsidR="00A00E75" w:rsidRPr="00616A87" w:rsidRDefault="00A00E75" w:rsidP="00616A87">
      <w:pPr>
        <w:spacing w:line="360" w:lineRule="auto"/>
        <w:jc w:val="center"/>
        <w:rPr>
          <w:rFonts w:ascii="Times New Roman" w:hAnsi="Times New Roman"/>
          <w:sz w:val="24"/>
          <w:szCs w:val="24"/>
          <w:lang w:val="es-ES_tradnl"/>
        </w:rPr>
      </w:pPr>
      <w:r w:rsidRPr="00616A87">
        <w:rPr>
          <w:rFonts w:ascii="Times New Roman" w:hAnsi="Times New Roman"/>
          <w:sz w:val="24"/>
          <w:szCs w:val="24"/>
          <w:lang w:val="es-ES_tradnl"/>
        </w:rPr>
        <w:t>“El proceso de dominación política en el Ecuador desde 1979 hasta 2003: una visión orwelliana”</w:t>
      </w:r>
    </w:p>
    <w:p w:rsidR="00A00E75" w:rsidRPr="00616A87" w:rsidRDefault="00A00E75" w:rsidP="00616A87">
      <w:pPr>
        <w:spacing w:line="360" w:lineRule="auto"/>
        <w:rPr>
          <w:rFonts w:ascii="Times New Roman" w:hAnsi="Times New Roman"/>
          <w:sz w:val="24"/>
          <w:szCs w:val="24"/>
          <w:lang w:val="es-ES_tradnl"/>
        </w:rPr>
      </w:pPr>
    </w:p>
    <w:p w:rsidR="00A00E75" w:rsidRPr="00616A87" w:rsidRDefault="00A00E75" w:rsidP="00616A87">
      <w:pPr>
        <w:spacing w:line="360" w:lineRule="auto"/>
        <w:rPr>
          <w:rFonts w:ascii="Times New Roman" w:hAnsi="Times New Roman"/>
          <w:sz w:val="24"/>
          <w:szCs w:val="24"/>
          <w:lang w:val="es-ES_tradnl"/>
        </w:rPr>
      </w:pPr>
    </w:p>
    <w:p w:rsidR="00A00E75" w:rsidRPr="00616A87" w:rsidRDefault="00A00E75" w:rsidP="00616A87">
      <w:pPr>
        <w:spacing w:line="360" w:lineRule="auto"/>
        <w:jc w:val="center"/>
        <w:rPr>
          <w:rFonts w:ascii="Times New Roman" w:hAnsi="Times New Roman"/>
          <w:sz w:val="24"/>
          <w:szCs w:val="24"/>
          <w:lang w:val="es-ES_tradnl"/>
        </w:rPr>
      </w:pPr>
      <w:r w:rsidRPr="00616A87">
        <w:rPr>
          <w:rFonts w:ascii="Times New Roman" w:hAnsi="Times New Roman"/>
          <w:sz w:val="24"/>
          <w:szCs w:val="24"/>
          <w:lang w:val="es-ES_tradnl"/>
        </w:rPr>
        <w:t>Trabajo para la obtención del Título de Licenciado en Ciencias Políticas y Relaciones Internacionales.</w:t>
      </w:r>
    </w:p>
    <w:p w:rsidR="00A00E75" w:rsidRPr="00616A87" w:rsidRDefault="00A00E75" w:rsidP="00616A87">
      <w:pPr>
        <w:spacing w:line="360" w:lineRule="auto"/>
        <w:jc w:val="center"/>
        <w:rPr>
          <w:rFonts w:ascii="Times New Roman" w:hAnsi="Times New Roman"/>
          <w:sz w:val="24"/>
          <w:szCs w:val="24"/>
          <w:lang w:val="es-ES_tradnl"/>
        </w:rPr>
      </w:pPr>
    </w:p>
    <w:p w:rsidR="00A00E75" w:rsidRPr="00616A87" w:rsidRDefault="00A00E75" w:rsidP="00616A87">
      <w:pPr>
        <w:spacing w:line="360" w:lineRule="auto"/>
        <w:jc w:val="center"/>
        <w:rPr>
          <w:rFonts w:ascii="Times New Roman" w:hAnsi="Times New Roman"/>
          <w:sz w:val="24"/>
          <w:szCs w:val="24"/>
          <w:lang w:val="es-ES_tradnl"/>
        </w:rPr>
      </w:pPr>
    </w:p>
    <w:p w:rsidR="00A00E75" w:rsidRPr="00616A87" w:rsidRDefault="00A00E75" w:rsidP="002E0094">
      <w:pPr>
        <w:spacing w:line="360" w:lineRule="auto"/>
        <w:jc w:val="center"/>
        <w:outlineLvl w:val="0"/>
        <w:rPr>
          <w:rFonts w:ascii="Times New Roman" w:hAnsi="Times New Roman"/>
          <w:sz w:val="24"/>
          <w:szCs w:val="24"/>
          <w:lang w:val="es-ES_tradnl"/>
        </w:rPr>
      </w:pPr>
      <w:r w:rsidRPr="00616A87">
        <w:rPr>
          <w:rFonts w:ascii="Times New Roman" w:hAnsi="Times New Roman"/>
          <w:sz w:val="24"/>
          <w:szCs w:val="24"/>
          <w:lang w:val="es-ES_tradnl"/>
        </w:rPr>
        <w:t>Sebastián Vallejo Vera</w:t>
      </w:r>
    </w:p>
    <w:p w:rsidR="00A00E75" w:rsidRPr="00616A87" w:rsidRDefault="00A00E75" w:rsidP="00616A87">
      <w:pPr>
        <w:spacing w:line="360" w:lineRule="auto"/>
        <w:jc w:val="both"/>
        <w:rPr>
          <w:rFonts w:ascii="Times New Roman" w:hAnsi="Times New Roman"/>
          <w:sz w:val="24"/>
          <w:szCs w:val="24"/>
          <w:lang w:val="es-ES_tradnl"/>
        </w:rPr>
      </w:pPr>
    </w:p>
    <w:p w:rsidR="00A00E75" w:rsidRPr="00616A87" w:rsidRDefault="00A00E75" w:rsidP="00616A87">
      <w:pPr>
        <w:spacing w:line="360" w:lineRule="auto"/>
        <w:jc w:val="both"/>
        <w:rPr>
          <w:rFonts w:ascii="Times New Roman" w:hAnsi="Times New Roman"/>
          <w:sz w:val="24"/>
          <w:szCs w:val="24"/>
          <w:lang w:val="es-ES_tradnl"/>
        </w:rPr>
      </w:pPr>
    </w:p>
    <w:p w:rsidR="00A00E75" w:rsidRPr="00616A87" w:rsidRDefault="00A00E75" w:rsidP="002E0094">
      <w:pPr>
        <w:spacing w:line="360" w:lineRule="auto"/>
        <w:jc w:val="center"/>
        <w:outlineLvl w:val="0"/>
        <w:rPr>
          <w:rFonts w:ascii="Times New Roman" w:hAnsi="Times New Roman"/>
          <w:sz w:val="24"/>
          <w:szCs w:val="24"/>
          <w:lang w:val="es-ES_tradnl"/>
        </w:rPr>
      </w:pPr>
      <w:r w:rsidRPr="00616A87">
        <w:rPr>
          <w:rFonts w:ascii="Times New Roman" w:hAnsi="Times New Roman"/>
          <w:sz w:val="24"/>
          <w:szCs w:val="24"/>
          <w:lang w:val="es-ES_tradnl"/>
        </w:rPr>
        <w:t>Tutor: Gustavo Estrella</w:t>
      </w:r>
    </w:p>
    <w:p w:rsidR="00A00E75" w:rsidRPr="00616A87" w:rsidRDefault="00A00E75" w:rsidP="00616A87">
      <w:pPr>
        <w:spacing w:line="360" w:lineRule="auto"/>
        <w:jc w:val="center"/>
        <w:rPr>
          <w:rFonts w:ascii="Times New Roman" w:hAnsi="Times New Roman"/>
          <w:sz w:val="24"/>
          <w:szCs w:val="24"/>
          <w:lang w:val="es-ES_tradnl"/>
        </w:rPr>
      </w:pPr>
    </w:p>
    <w:p w:rsidR="00A00E75" w:rsidRPr="00616A87" w:rsidRDefault="00A00E75" w:rsidP="00616A87">
      <w:pPr>
        <w:spacing w:line="360" w:lineRule="auto"/>
        <w:jc w:val="center"/>
        <w:rPr>
          <w:rFonts w:ascii="Times New Roman" w:hAnsi="Times New Roman"/>
          <w:sz w:val="24"/>
          <w:szCs w:val="24"/>
          <w:lang w:val="es-ES_tradnl"/>
        </w:rPr>
      </w:pPr>
    </w:p>
    <w:p w:rsidR="00A00E75" w:rsidRPr="00616A87" w:rsidRDefault="00A00E75" w:rsidP="00616A87">
      <w:pPr>
        <w:spacing w:line="360" w:lineRule="auto"/>
        <w:jc w:val="center"/>
        <w:rPr>
          <w:rFonts w:ascii="Times New Roman" w:hAnsi="Times New Roman"/>
          <w:sz w:val="24"/>
          <w:szCs w:val="24"/>
          <w:lang w:val="es-ES_tradnl"/>
        </w:rPr>
      </w:pPr>
    </w:p>
    <w:p w:rsidR="00A00E75" w:rsidRPr="00616A87" w:rsidRDefault="00A00E75" w:rsidP="002E0094">
      <w:pPr>
        <w:spacing w:line="360" w:lineRule="auto"/>
        <w:jc w:val="center"/>
        <w:outlineLvl w:val="0"/>
        <w:rPr>
          <w:rFonts w:ascii="Times New Roman" w:hAnsi="Times New Roman"/>
          <w:sz w:val="24"/>
          <w:szCs w:val="24"/>
          <w:lang w:val="es-ES_tradnl"/>
        </w:rPr>
      </w:pPr>
      <w:r w:rsidRPr="00616A87">
        <w:rPr>
          <w:rFonts w:ascii="Times New Roman" w:hAnsi="Times New Roman"/>
          <w:sz w:val="24"/>
          <w:szCs w:val="24"/>
          <w:lang w:val="es-ES_tradnl"/>
        </w:rPr>
        <w:t>Quito, 30 de mayo de 2011</w:t>
      </w:r>
    </w:p>
    <w:p w:rsidR="00A00E75" w:rsidRPr="00616A87" w:rsidRDefault="00A00E75" w:rsidP="00616A87">
      <w:pPr>
        <w:spacing w:line="360" w:lineRule="auto"/>
        <w:jc w:val="both"/>
        <w:rPr>
          <w:rFonts w:ascii="Times New Roman" w:hAnsi="Times New Roman"/>
          <w:sz w:val="24"/>
          <w:szCs w:val="24"/>
          <w:lang w:val="es-ES_tradnl"/>
        </w:rPr>
      </w:pPr>
    </w:p>
    <w:p w:rsidR="00A00E75" w:rsidRPr="00616A87" w:rsidRDefault="00A00E75" w:rsidP="00616A87">
      <w:pPr>
        <w:spacing w:line="360" w:lineRule="auto"/>
        <w:jc w:val="both"/>
        <w:rPr>
          <w:rFonts w:ascii="Times New Roman" w:hAnsi="Times New Roman"/>
          <w:sz w:val="24"/>
          <w:szCs w:val="24"/>
          <w:lang w:val="es-ES_tradnl"/>
        </w:rPr>
      </w:pPr>
    </w:p>
    <w:p w:rsidR="00A00E75" w:rsidRPr="00616A87" w:rsidRDefault="00A00E75" w:rsidP="00616A87">
      <w:pPr>
        <w:spacing w:line="360" w:lineRule="auto"/>
        <w:jc w:val="both"/>
        <w:rPr>
          <w:rFonts w:ascii="Times New Roman" w:hAnsi="Times New Roman"/>
          <w:i/>
          <w:sz w:val="24"/>
          <w:szCs w:val="24"/>
          <w:lang w:val="es-ES_tradnl"/>
        </w:rPr>
      </w:pPr>
      <w:r w:rsidRPr="00616A87">
        <w:rPr>
          <w:rFonts w:ascii="Times New Roman" w:hAnsi="Times New Roman"/>
          <w:i/>
          <w:sz w:val="24"/>
          <w:szCs w:val="24"/>
          <w:lang w:val="es-ES_tradnl"/>
        </w:rPr>
        <w:t xml:space="preserve">El presente documento se ciñe a las normas éticas y reglamentarias de </w:t>
      </w:r>
      <w:smartTag w:uri="urn:schemas-microsoft-com:office:smarttags" w:element="PersonName">
        <w:smartTagPr>
          <w:attr w:name="ProductID" w:val="la Universidad"/>
        </w:smartTagPr>
        <w:r w:rsidRPr="00616A87">
          <w:rPr>
            <w:rFonts w:ascii="Times New Roman" w:hAnsi="Times New Roman"/>
            <w:i/>
            <w:sz w:val="24"/>
            <w:szCs w:val="24"/>
            <w:lang w:val="es-ES_tradnl"/>
          </w:rPr>
          <w:t>la Universidad</w:t>
        </w:r>
      </w:smartTag>
      <w:r w:rsidRPr="00616A87">
        <w:rPr>
          <w:rFonts w:ascii="Times New Roman" w:hAnsi="Times New Roman"/>
          <w:i/>
          <w:sz w:val="24"/>
          <w:szCs w:val="24"/>
          <w:lang w:val="es-ES_tradnl"/>
        </w:rPr>
        <w:t xml:space="preserve"> de Los Hemisferios. Así, declaro que lo contenido en éste ha sido redactado con entera sujeción al respeto de los derechos de autor, citando adecuadamente las fuentes. Por tal motivo, autorizo a </w:t>
      </w:r>
      <w:smartTag w:uri="urn:schemas-microsoft-com:office:smarttags" w:element="PersonName">
        <w:smartTagPr>
          <w:attr w:name="ProductID" w:val="la Biblioteca"/>
        </w:smartTagPr>
        <w:r w:rsidRPr="00616A87">
          <w:rPr>
            <w:rFonts w:ascii="Times New Roman" w:hAnsi="Times New Roman"/>
            <w:i/>
            <w:sz w:val="24"/>
            <w:szCs w:val="24"/>
            <w:lang w:val="es-ES_tradnl"/>
          </w:rPr>
          <w:t>la Biblioteca</w:t>
        </w:r>
      </w:smartTag>
      <w:r w:rsidRPr="00616A87">
        <w:rPr>
          <w:rFonts w:ascii="Times New Roman" w:hAnsi="Times New Roman"/>
          <w:i/>
          <w:sz w:val="24"/>
          <w:szCs w:val="24"/>
          <w:lang w:val="es-ES_tradnl"/>
        </w:rPr>
        <w:t xml:space="preserve"> a que haga pública su disponibilidad para lectura, a la vez que cedo los derechos de publicación a </w:t>
      </w:r>
      <w:smartTag w:uri="urn:schemas-microsoft-com:office:smarttags" w:element="PersonName">
        <w:smartTagPr>
          <w:attr w:name="ProductID" w:val="la Universidad"/>
        </w:smartTagPr>
        <w:r w:rsidRPr="00616A87">
          <w:rPr>
            <w:rFonts w:ascii="Times New Roman" w:hAnsi="Times New Roman"/>
            <w:i/>
            <w:sz w:val="24"/>
            <w:szCs w:val="24"/>
            <w:lang w:val="es-ES_tradnl"/>
          </w:rPr>
          <w:t>la Universidad</w:t>
        </w:r>
      </w:smartTag>
      <w:r w:rsidRPr="00616A87">
        <w:rPr>
          <w:rFonts w:ascii="Times New Roman" w:hAnsi="Times New Roman"/>
          <w:i/>
          <w:sz w:val="24"/>
          <w:szCs w:val="24"/>
          <w:lang w:val="es-ES_tradnl"/>
        </w:rPr>
        <w:t xml:space="preserve"> de Los Hemisferios.</w:t>
      </w:r>
    </w:p>
    <w:p w:rsidR="00A00E75" w:rsidRPr="00616A87" w:rsidRDefault="00A00E75" w:rsidP="00616A87">
      <w:pPr>
        <w:spacing w:line="360" w:lineRule="auto"/>
        <w:jc w:val="both"/>
        <w:rPr>
          <w:rFonts w:ascii="Times New Roman" w:hAnsi="Times New Roman"/>
          <w:i/>
          <w:sz w:val="24"/>
          <w:szCs w:val="24"/>
          <w:lang w:val="es-ES_tradnl"/>
        </w:rPr>
      </w:pPr>
      <w:r w:rsidRPr="00616A87">
        <w:rPr>
          <w:rFonts w:ascii="Times New Roman" w:hAnsi="Times New Roman"/>
          <w:i/>
          <w:sz w:val="24"/>
          <w:szCs w:val="24"/>
          <w:lang w:val="es-ES_tradnl"/>
        </w:rPr>
        <w:t xml:space="preserve">De comprobarse que no cumplí con las estipulaciones éticas, incurriendo en caso de plagio, me someto a las determinaciones que la propia Universidad plantee. Asimismo, no podré disponer del contenido de la presente investigación a menos que eleve por escrito el requerimiento para su evaluación a </w:t>
      </w:r>
      <w:smartTag w:uri="urn:schemas-microsoft-com:office:smarttags" w:element="PersonName">
        <w:smartTagPr>
          <w:attr w:name="ProductID" w:val="la Comisi￳n Permanente"/>
        </w:smartTagPr>
        <w:r w:rsidRPr="00616A87">
          <w:rPr>
            <w:rFonts w:ascii="Times New Roman" w:hAnsi="Times New Roman"/>
            <w:i/>
            <w:sz w:val="24"/>
            <w:szCs w:val="24"/>
            <w:lang w:val="es-ES_tradnl"/>
          </w:rPr>
          <w:t>la Comisión Permanente</w:t>
        </w:r>
      </w:smartTag>
      <w:r w:rsidRPr="00616A87">
        <w:rPr>
          <w:rFonts w:ascii="Times New Roman" w:hAnsi="Times New Roman"/>
          <w:i/>
          <w:sz w:val="24"/>
          <w:szCs w:val="24"/>
          <w:lang w:val="es-ES_tradnl"/>
        </w:rPr>
        <w:t xml:space="preserve"> de </w:t>
      </w:r>
      <w:smartTag w:uri="urn:schemas-microsoft-com:office:smarttags" w:element="PersonName">
        <w:smartTagPr>
          <w:attr w:name="ProductID" w:val="la Universidad"/>
        </w:smartTagPr>
        <w:r w:rsidRPr="00616A87">
          <w:rPr>
            <w:rFonts w:ascii="Times New Roman" w:hAnsi="Times New Roman"/>
            <w:i/>
            <w:sz w:val="24"/>
            <w:szCs w:val="24"/>
            <w:lang w:val="es-ES_tradnl"/>
          </w:rPr>
          <w:t>la Universidad</w:t>
        </w:r>
      </w:smartTag>
      <w:r w:rsidRPr="00616A87">
        <w:rPr>
          <w:rFonts w:ascii="Times New Roman" w:hAnsi="Times New Roman"/>
          <w:i/>
          <w:sz w:val="24"/>
          <w:szCs w:val="24"/>
          <w:lang w:val="es-ES_tradnl"/>
        </w:rPr>
        <w:t xml:space="preserve"> de Los Hemisferios. </w:t>
      </w:r>
    </w:p>
    <w:p w:rsidR="00A00E75" w:rsidRPr="00616A87" w:rsidRDefault="00A00E75" w:rsidP="00616A87">
      <w:pPr>
        <w:spacing w:line="360" w:lineRule="auto"/>
        <w:jc w:val="both"/>
        <w:rPr>
          <w:rFonts w:ascii="Times New Roman" w:hAnsi="Times New Roman"/>
          <w:sz w:val="24"/>
          <w:szCs w:val="24"/>
          <w:lang w:val="es-ES_tradnl"/>
        </w:rPr>
      </w:pPr>
    </w:p>
    <w:p w:rsidR="00A00E75" w:rsidRPr="00616A87" w:rsidRDefault="00A00E75" w:rsidP="00616A87">
      <w:pPr>
        <w:spacing w:line="360" w:lineRule="auto"/>
        <w:jc w:val="both"/>
        <w:rPr>
          <w:rFonts w:ascii="Times New Roman" w:hAnsi="Times New Roman"/>
          <w:sz w:val="24"/>
          <w:szCs w:val="24"/>
          <w:lang w:val="es-ES_tradnl"/>
        </w:rPr>
      </w:pPr>
    </w:p>
    <w:p w:rsidR="00A00E75" w:rsidRPr="00616A87" w:rsidRDefault="00A00E75" w:rsidP="00616A87">
      <w:pPr>
        <w:spacing w:line="360" w:lineRule="auto"/>
        <w:jc w:val="right"/>
        <w:rPr>
          <w:rFonts w:ascii="Times New Roman" w:hAnsi="Times New Roman"/>
          <w:sz w:val="24"/>
          <w:szCs w:val="24"/>
          <w:lang w:val="es-ES_tradnl"/>
        </w:rPr>
      </w:pPr>
    </w:p>
    <w:p w:rsidR="00A00E75" w:rsidRPr="00616A87" w:rsidRDefault="00A00E75" w:rsidP="002E0094">
      <w:pPr>
        <w:spacing w:line="360" w:lineRule="auto"/>
        <w:jc w:val="right"/>
        <w:outlineLvl w:val="0"/>
        <w:rPr>
          <w:rFonts w:ascii="Times New Roman" w:hAnsi="Times New Roman"/>
          <w:sz w:val="24"/>
          <w:szCs w:val="24"/>
          <w:lang w:val="es-ES_tradnl"/>
        </w:rPr>
      </w:pPr>
      <w:r w:rsidRPr="00616A87">
        <w:rPr>
          <w:rFonts w:ascii="Times New Roman" w:hAnsi="Times New Roman"/>
          <w:sz w:val="24"/>
          <w:szCs w:val="24"/>
          <w:lang w:val="es-ES_tradnl"/>
        </w:rPr>
        <w:t>Sebastián Vallejo Vera</w:t>
      </w:r>
    </w:p>
    <w:p w:rsidR="00A00E75" w:rsidRPr="00616A87" w:rsidRDefault="00A00E75" w:rsidP="00616A87">
      <w:pPr>
        <w:spacing w:line="360" w:lineRule="auto"/>
        <w:jc w:val="right"/>
        <w:rPr>
          <w:rFonts w:ascii="Times New Roman" w:hAnsi="Times New Roman"/>
          <w:sz w:val="24"/>
          <w:szCs w:val="24"/>
          <w:lang w:val="es-ES_tradnl"/>
        </w:rPr>
      </w:pPr>
      <w:r w:rsidRPr="00616A87">
        <w:rPr>
          <w:rFonts w:ascii="Times New Roman" w:hAnsi="Times New Roman"/>
          <w:sz w:val="24"/>
          <w:szCs w:val="24"/>
          <w:lang w:val="es-ES_tradnl"/>
        </w:rPr>
        <w:t>CI: 171415957-9</w:t>
      </w:r>
    </w:p>
    <w:p w:rsidR="00134990" w:rsidRDefault="00A00E75" w:rsidP="002E0094">
      <w:pPr>
        <w:pStyle w:val="TtuloTesis"/>
        <w:outlineLvl w:val="0"/>
        <w:rPr>
          <w:lang w:val="es-ES_tradnl"/>
        </w:rPr>
      </w:pPr>
      <w:r w:rsidRPr="00616A87">
        <w:rPr>
          <w:lang w:val="es-ES_tradnl"/>
        </w:rPr>
        <w:br w:type="page"/>
      </w:r>
      <w:bookmarkStart w:id="0" w:name="_Toc295373124"/>
    </w:p>
    <w:p w:rsidR="00134990" w:rsidRDefault="00134990" w:rsidP="002E0094">
      <w:pPr>
        <w:pStyle w:val="TtuloTesis"/>
        <w:outlineLvl w:val="0"/>
        <w:rPr>
          <w:lang w:val="es-ES_tradnl"/>
        </w:rPr>
      </w:pPr>
    </w:p>
    <w:p w:rsidR="00AF03AD" w:rsidRPr="00AF03AD" w:rsidRDefault="00AF03AD" w:rsidP="00AF03AD">
      <w:pPr>
        <w:rPr>
          <w:lang w:val="es-ES_tradnl"/>
        </w:rPr>
      </w:pPr>
    </w:p>
    <w:p w:rsidR="00134990" w:rsidRDefault="00134990" w:rsidP="002E0094">
      <w:pPr>
        <w:pStyle w:val="TtuloTesis"/>
        <w:outlineLvl w:val="0"/>
        <w:rPr>
          <w:lang w:val="es-ES_tradnl"/>
        </w:rPr>
      </w:pPr>
    </w:p>
    <w:p w:rsidR="00A00E75" w:rsidRDefault="00A00E75" w:rsidP="00134990">
      <w:pPr>
        <w:pStyle w:val="TtuloTesis"/>
        <w:jc w:val="right"/>
        <w:outlineLvl w:val="0"/>
        <w:rPr>
          <w:lang w:val="es-ES_tradnl"/>
        </w:rPr>
      </w:pPr>
      <w:r>
        <w:rPr>
          <w:lang w:val="es-ES_tradnl"/>
        </w:rPr>
        <w:t>DEDICATORIA</w:t>
      </w:r>
      <w:bookmarkEnd w:id="0"/>
    </w:p>
    <w:p w:rsidR="00134990" w:rsidRDefault="00134990" w:rsidP="00B43617">
      <w:pPr>
        <w:spacing w:after="0" w:line="360" w:lineRule="auto"/>
        <w:jc w:val="right"/>
        <w:rPr>
          <w:lang w:val="es-ES_tradnl"/>
        </w:rPr>
      </w:pPr>
      <w:r>
        <w:rPr>
          <w:lang w:val="es-ES_tradnl"/>
        </w:rPr>
        <w:t>A mi gordita, por amarme y aguantarme esta tesis</w:t>
      </w:r>
      <w:r w:rsidR="00B43617">
        <w:rPr>
          <w:lang w:val="es-ES_tradnl"/>
        </w:rPr>
        <w:t>;</w:t>
      </w:r>
      <w:r>
        <w:rPr>
          <w:lang w:val="es-ES_tradnl"/>
        </w:rPr>
        <w:t xml:space="preserve"> </w:t>
      </w:r>
    </w:p>
    <w:p w:rsidR="00134990" w:rsidRDefault="00B43617" w:rsidP="00B43617">
      <w:pPr>
        <w:spacing w:after="0" w:line="360" w:lineRule="auto"/>
        <w:jc w:val="right"/>
        <w:rPr>
          <w:lang w:val="es-ES_tradnl"/>
        </w:rPr>
      </w:pPr>
      <w:r>
        <w:rPr>
          <w:lang w:val="es-ES_tradnl"/>
        </w:rPr>
        <w:t>a</w:t>
      </w:r>
      <w:r w:rsidR="00134990">
        <w:rPr>
          <w:lang w:val="es-ES_tradnl"/>
        </w:rPr>
        <w:t xml:space="preserve">l Dr. </w:t>
      </w:r>
      <w:r w:rsidR="00262AD2">
        <w:rPr>
          <w:lang w:val="es-ES_tradnl"/>
        </w:rPr>
        <w:t xml:space="preserve">Gustavo </w:t>
      </w:r>
      <w:r w:rsidR="00134990">
        <w:rPr>
          <w:lang w:val="es-ES_tradnl"/>
        </w:rPr>
        <w:t xml:space="preserve">Estrella </w:t>
      </w:r>
      <w:r w:rsidR="00262AD2">
        <w:rPr>
          <w:lang w:val="es-ES_tradnl"/>
        </w:rPr>
        <w:t xml:space="preserve">Aguirre </w:t>
      </w:r>
      <w:r w:rsidR="00134990">
        <w:rPr>
          <w:lang w:val="es-ES_tradnl"/>
        </w:rPr>
        <w:t xml:space="preserve">y a Harry </w:t>
      </w:r>
      <w:r>
        <w:rPr>
          <w:lang w:val="es-ES_tradnl"/>
        </w:rPr>
        <w:t>Martin Dorn Holma</w:t>
      </w:r>
      <w:r w:rsidR="00732C35">
        <w:rPr>
          <w:lang w:val="es-ES_tradnl"/>
        </w:rPr>
        <w:t>n</w:t>
      </w:r>
      <w:r>
        <w:rPr>
          <w:lang w:val="es-ES_tradnl"/>
        </w:rPr>
        <w:t xml:space="preserve">n </w:t>
      </w:r>
      <w:r w:rsidR="00134990">
        <w:rPr>
          <w:lang w:val="es-ES_tradnl"/>
        </w:rPr>
        <w:t>por mi formación universitaria</w:t>
      </w:r>
      <w:r>
        <w:rPr>
          <w:lang w:val="es-ES_tradnl"/>
        </w:rPr>
        <w:t>;</w:t>
      </w:r>
    </w:p>
    <w:p w:rsidR="00134990" w:rsidRDefault="00B43617" w:rsidP="00B43617">
      <w:pPr>
        <w:spacing w:after="0" w:line="360" w:lineRule="auto"/>
        <w:jc w:val="right"/>
        <w:rPr>
          <w:lang w:val="es-ES_tradnl"/>
        </w:rPr>
      </w:pPr>
      <w:r>
        <w:rPr>
          <w:lang w:val="es-ES_tradnl"/>
        </w:rPr>
        <w:t>a</w:t>
      </w:r>
      <w:r w:rsidR="00134990">
        <w:rPr>
          <w:lang w:val="es-ES_tradnl"/>
        </w:rPr>
        <w:t xml:space="preserve"> Orwell por la inspiración; </w:t>
      </w:r>
    </w:p>
    <w:p w:rsidR="00134990" w:rsidRDefault="00134990" w:rsidP="00B43617">
      <w:pPr>
        <w:spacing w:after="0" w:line="360" w:lineRule="auto"/>
        <w:jc w:val="right"/>
        <w:rPr>
          <w:lang w:val="es-ES_tradnl"/>
        </w:rPr>
      </w:pPr>
      <w:r>
        <w:rPr>
          <w:lang w:val="es-ES_tradnl"/>
        </w:rPr>
        <w:t>a la florida, tropical, guacharnaca y siempre disfrutada política nacional;</w:t>
      </w:r>
    </w:p>
    <w:p w:rsidR="00134990" w:rsidRDefault="00134990" w:rsidP="00B43617">
      <w:pPr>
        <w:spacing w:after="0" w:line="360" w:lineRule="auto"/>
        <w:jc w:val="right"/>
        <w:rPr>
          <w:lang w:val="es-ES_tradnl"/>
        </w:rPr>
      </w:pPr>
      <w:r>
        <w:rPr>
          <w:lang w:val="es-ES_tradnl"/>
        </w:rPr>
        <w:t>a mis padres por el apoyo solidario;</w:t>
      </w:r>
    </w:p>
    <w:p w:rsidR="00B43617" w:rsidRDefault="00134990" w:rsidP="00B43617">
      <w:pPr>
        <w:spacing w:after="0" w:line="360" w:lineRule="auto"/>
        <w:jc w:val="right"/>
        <w:rPr>
          <w:lang w:val="es-ES_tradnl"/>
        </w:rPr>
      </w:pPr>
      <w:r>
        <w:rPr>
          <w:lang w:val="es-ES_tradnl"/>
        </w:rPr>
        <w:t>y</w:t>
      </w:r>
      <w:r w:rsidR="00B43617">
        <w:rPr>
          <w:lang w:val="es-ES_tradnl"/>
        </w:rPr>
        <w:t xml:space="preserve">, por sobre todo, para quien es la gloria: Dios. </w:t>
      </w:r>
    </w:p>
    <w:p w:rsidR="00B43617" w:rsidRDefault="00B43617" w:rsidP="00B43617">
      <w:pPr>
        <w:spacing w:after="0"/>
        <w:jc w:val="right"/>
        <w:rPr>
          <w:i/>
          <w:lang w:val="es-ES_tradnl"/>
        </w:rPr>
      </w:pPr>
    </w:p>
    <w:p w:rsidR="00B43617" w:rsidRPr="00B43617" w:rsidRDefault="00B43617" w:rsidP="00B43617">
      <w:pPr>
        <w:spacing w:after="0"/>
        <w:jc w:val="right"/>
        <w:rPr>
          <w:i/>
          <w:lang w:val="es-ES_tradnl"/>
        </w:rPr>
      </w:pPr>
    </w:p>
    <w:p w:rsidR="00B43617" w:rsidRDefault="00B43617" w:rsidP="00B43617">
      <w:pPr>
        <w:spacing w:after="0"/>
        <w:jc w:val="right"/>
        <w:rPr>
          <w:rFonts w:ascii="Times New Roman" w:hAnsi="Times New Roman"/>
          <w:i/>
          <w:sz w:val="24"/>
          <w:szCs w:val="24"/>
        </w:rPr>
      </w:pPr>
      <w:r w:rsidRPr="00B43617">
        <w:rPr>
          <w:rFonts w:ascii="Times New Roman" w:hAnsi="Times New Roman"/>
          <w:i/>
          <w:sz w:val="24"/>
          <w:szCs w:val="24"/>
        </w:rPr>
        <w:t>Visitáronle, en fin, y halláronle sentado en la cama, vestida una almilla de bayeta verde, con un bonete colorado toledano; y estaba tan seco y amojamado, que no parecía sino hecho de carne momia.</w:t>
      </w:r>
      <w:r>
        <w:rPr>
          <w:rFonts w:ascii="Times New Roman" w:hAnsi="Times New Roman"/>
          <w:i/>
          <w:sz w:val="24"/>
          <w:szCs w:val="24"/>
        </w:rPr>
        <w:t xml:space="preserve"> </w:t>
      </w:r>
      <w:r w:rsidRPr="00B43617">
        <w:rPr>
          <w:rFonts w:ascii="Times New Roman" w:hAnsi="Times New Roman"/>
          <w:i/>
          <w:sz w:val="24"/>
          <w:szCs w:val="24"/>
        </w:rPr>
        <w:t>Fueron dél muy bien recebidos, preguntáronle por su salud, y él dio cuenta de sí y de ella con mucho juicio y con muy elegantes palabras; y en el discurso de su plática vinieron a tratar en esto que llaman razón de estado y modos de gobierno, enmendando este abuso y condenando aquél, reformando una costumbre y desterrando otra, haciéndose cada uno de los tres un nuevo legislador, un Licurgo moderno o un Solón flamante; y de tal manera renovaron la república, que no pareció sino que la habían puesto en una fragua, y sacado otra de la que pusieron; y habló don Quijote con tanta discreción en todas las materias que se tocaron, que los dos esaminadores creyeron indubitadamente que estaba del todo bueno y en su entero juicio.</w:t>
      </w:r>
    </w:p>
    <w:p w:rsidR="001A0949" w:rsidRPr="00B43617" w:rsidRDefault="001A0949" w:rsidP="00B43617">
      <w:pPr>
        <w:spacing w:after="0"/>
        <w:jc w:val="right"/>
        <w:rPr>
          <w:rFonts w:ascii="Times New Roman" w:hAnsi="Times New Roman"/>
          <w:i/>
          <w:sz w:val="24"/>
          <w:szCs w:val="24"/>
        </w:rPr>
      </w:pPr>
    </w:p>
    <w:p w:rsidR="001A0949" w:rsidRDefault="001A0949" w:rsidP="001A0949">
      <w:pPr>
        <w:spacing w:after="0"/>
        <w:jc w:val="right"/>
        <w:rPr>
          <w:rFonts w:ascii="Times New Roman" w:hAnsi="Times New Roman"/>
          <w:sz w:val="24"/>
          <w:szCs w:val="24"/>
        </w:rPr>
      </w:pPr>
      <w:r>
        <w:rPr>
          <w:rFonts w:ascii="Times New Roman" w:hAnsi="Times New Roman"/>
          <w:sz w:val="24"/>
          <w:szCs w:val="24"/>
        </w:rPr>
        <w:t>Miguel de Cervantes (1615)</w:t>
      </w:r>
    </w:p>
    <w:p w:rsidR="001A0949" w:rsidRDefault="00B43617" w:rsidP="001A0949">
      <w:pPr>
        <w:spacing w:after="0"/>
        <w:jc w:val="right"/>
        <w:rPr>
          <w:rFonts w:ascii="Times New Roman" w:hAnsi="Times New Roman"/>
          <w:sz w:val="24"/>
          <w:szCs w:val="24"/>
        </w:rPr>
      </w:pPr>
      <w:r>
        <w:rPr>
          <w:rFonts w:ascii="Times New Roman" w:hAnsi="Times New Roman"/>
          <w:sz w:val="24"/>
          <w:szCs w:val="24"/>
        </w:rPr>
        <w:t>El ingenioso hidalgo Don Quijote de la Mancha</w:t>
      </w:r>
      <w:r w:rsidR="001A0949">
        <w:rPr>
          <w:rFonts w:ascii="Times New Roman" w:hAnsi="Times New Roman"/>
          <w:sz w:val="24"/>
          <w:szCs w:val="24"/>
        </w:rPr>
        <w:t>,</w:t>
      </w:r>
      <w:r>
        <w:rPr>
          <w:rFonts w:ascii="Times New Roman" w:hAnsi="Times New Roman"/>
          <w:sz w:val="24"/>
          <w:szCs w:val="24"/>
        </w:rPr>
        <w:t xml:space="preserve"> </w:t>
      </w:r>
    </w:p>
    <w:p w:rsidR="00134990" w:rsidRPr="00B43617" w:rsidRDefault="00B43617" w:rsidP="001A0949">
      <w:pPr>
        <w:spacing w:after="0"/>
        <w:jc w:val="right"/>
        <w:rPr>
          <w:rFonts w:ascii="Times New Roman" w:hAnsi="Times New Roman"/>
          <w:i/>
          <w:sz w:val="24"/>
          <w:szCs w:val="24"/>
          <w:lang w:val="es-ES_tradnl"/>
        </w:rPr>
      </w:pPr>
      <w:r>
        <w:rPr>
          <w:rFonts w:ascii="Times New Roman" w:hAnsi="Times New Roman"/>
          <w:sz w:val="24"/>
          <w:szCs w:val="24"/>
        </w:rPr>
        <w:t xml:space="preserve">2da parte, Cap. I. </w:t>
      </w:r>
      <w:r w:rsidRPr="00B43617">
        <w:rPr>
          <w:rFonts w:ascii="Times New Roman" w:hAnsi="Times New Roman"/>
          <w:i/>
          <w:sz w:val="24"/>
          <w:szCs w:val="24"/>
        </w:rPr>
        <w:t xml:space="preserve"> </w:t>
      </w:r>
      <w:r w:rsidR="00134990" w:rsidRPr="00B43617">
        <w:rPr>
          <w:rFonts w:ascii="Times New Roman" w:hAnsi="Times New Roman"/>
          <w:i/>
          <w:sz w:val="24"/>
          <w:szCs w:val="24"/>
          <w:lang w:val="es-ES_tradnl"/>
        </w:rPr>
        <w:t xml:space="preserve">  </w:t>
      </w:r>
    </w:p>
    <w:p w:rsidR="00B43617" w:rsidRPr="00134990" w:rsidRDefault="00B43617" w:rsidP="00B43617">
      <w:pPr>
        <w:jc w:val="right"/>
        <w:rPr>
          <w:lang w:val="es-ES_tradnl"/>
        </w:rPr>
      </w:pPr>
    </w:p>
    <w:p w:rsidR="00A00E75" w:rsidRDefault="00A00E75" w:rsidP="002E0094">
      <w:pPr>
        <w:pStyle w:val="TtuloTesis"/>
        <w:outlineLvl w:val="0"/>
        <w:rPr>
          <w:lang w:val="es-ES_tradnl"/>
        </w:rPr>
      </w:pPr>
      <w:r w:rsidRPr="00616A87">
        <w:rPr>
          <w:lang w:val="es-ES_tradnl"/>
        </w:rPr>
        <w:br w:type="page"/>
      </w:r>
      <w:bookmarkStart w:id="1" w:name="_Toc295373125"/>
      <w:r w:rsidRPr="001446FF">
        <w:rPr>
          <w:lang w:val="es-ES_tradnl"/>
        </w:rPr>
        <w:lastRenderedPageBreak/>
        <w:t>ÍNDICE</w:t>
      </w:r>
      <w:bookmarkEnd w:id="1"/>
    </w:p>
    <w:p w:rsidR="00B811F4" w:rsidRDefault="002C66D8">
      <w:pPr>
        <w:pStyle w:val="TDC1"/>
        <w:tabs>
          <w:tab w:val="right" w:leader="dot" w:pos="7927"/>
        </w:tabs>
        <w:rPr>
          <w:rFonts w:asciiTheme="minorHAnsi" w:eastAsiaTheme="minorEastAsia" w:hAnsiTheme="minorHAnsi" w:cstheme="minorBidi"/>
          <w:noProof/>
          <w:lang w:eastAsia="es-ES"/>
        </w:rPr>
      </w:pPr>
      <w:r>
        <w:rPr>
          <w:rFonts w:ascii="Times New Roman" w:hAnsi="Times New Roman"/>
          <w:b/>
          <w:sz w:val="24"/>
          <w:szCs w:val="24"/>
          <w:lang w:val="es-ES_tradnl"/>
        </w:rPr>
        <w:fldChar w:fldCharType="begin"/>
      </w:r>
      <w:r w:rsidR="00B811F4">
        <w:rPr>
          <w:rFonts w:ascii="Times New Roman" w:hAnsi="Times New Roman"/>
          <w:b/>
          <w:sz w:val="24"/>
          <w:szCs w:val="24"/>
          <w:lang w:val="es-ES_tradnl"/>
        </w:rPr>
        <w:instrText xml:space="preserve"> TOC \h \z \t "Título Tesis;1;Subtítulo tesis;2" </w:instrText>
      </w:r>
      <w:r>
        <w:rPr>
          <w:rFonts w:ascii="Times New Roman" w:hAnsi="Times New Roman"/>
          <w:b/>
          <w:sz w:val="24"/>
          <w:szCs w:val="24"/>
          <w:lang w:val="es-ES_tradnl"/>
        </w:rPr>
        <w:fldChar w:fldCharType="separate"/>
      </w:r>
      <w:hyperlink w:anchor="_Toc295373124" w:history="1">
        <w:r w:rsidR="00B811F4" w:rsidRPr="002508FF">
          <w:rPr>
            <w:rStyle w:val="Hipervnculo"/>
            <w:noProof/>
            <w:lang w:val="es-ES_tradnl"/>
          </w:rPr>
          <w:t>DEDICATORIA</w:t>
        </w:r>
        <w:r w:rsidR="00B811F4">
          <w:rPr>
            <w:noProof/>
            <w:webHidden/>
          </w:rPr>
          <w:tab/>
        </w:r>
        <w:r>
          <w:rPr>
            <w:noProof/>
            <w:webHidden/>
          </w:rPr>
          <w:fldChar w:fldCharType="begin"/>
        </w:r>
        <w:r w:rsidR="00B811F4">
          <w:rPr>
            <w:noProof/>
            <w:webHidden/>
          </w:rPr>
          <w:instrText xml:space="preserve"> PAGEREF _Toc295373124 \h </w:instrText>
        </w:r>
        <w:r>
          <w:rPr>
            <w:noProof/>
            <w:webHidden/>
          </w:rPr>
        </w:r>
        <w:r>
          <w:rPr>
            <w:noProof/>
            <w:webHidden/>
          </w:rPr>
          <w:fldChar w:fldCharType="separate"/>
        </w:r>
        <w:r w:rsidR="00B811F4">
          <w:rPr>
            <w:noProof/>
            <w:webHidden/>
          </w:rPr>
          <w:t>3</w:t>
        </w:r>
        <w:r>
          <w:rPr>
            <w:noProof/>
            <w:webHidden/>
          </w:rPr>
          <w:fldChar w:fldCharType="end"/>
        </w:r>
      </w:hyperlink>
    </w:p>
    <w:p w:rsidR="00B811F4" w:rsidRDefault="002C66D8">
      <w:pPr>
        <w:pStyle w:val="TDC1"/>
        <w:tabs>
          <w:tab w:val="right" w:leader="dot" w:pos="7927"/>
        </w:tabs>
        <w:rPr>
          <w:rFonts w:asciiTheme="minorHAnsi" w:eastAsiaTheme="minorEastAsia" w:hAnsiTheme="minorHAnsi" w:cstheme="minorBidi"/>
          <w:noProof/>
          <w:lang w:eastAsia="es-ES"/>
        </w:rPr>
      </w:pPr>
      <w:hyperlink w:anchor="_Toc295373125" w:history="1">
        <w:r w:rsidR="00B811F4" w:rsidRPr="002508FF">
          <w:rPr>
            <w:rStyle w:val="Hipervnculo"/>
            <w:noProof/>
            <w:lang w:val="es-ES_tradnl"/>
          </w:rPr>
          <w:t>ÍNDICE</w:t>
        </w:r>
        <w:r w:rsidR="00B811F4">
          <w:rPr>
            <w:noProof/>
            <w:webHidden/>
          </w:rPr>
          <w:tab/>
        </w:r>
        <w:r>
          <w:rPr>
            <w:noProof/>
            <w:webHidden/>
          </w:rPr>
          <w:fldChar w:fldCharType="begin"/>
        </w:r>
        <w:r w:rsidR="00B811F4">
          <w:rPr>
            <w:noProof/>
            <w:webHidden/>
          </w:rPr>
          <w:instrText xml:space="preserve"> PAGEREF _Toc295373125 \h </w:instrText>
        </w:r>
        <w:r>
          <w:rPr>
            <w:noProof/>
            <w:webHidden/>
          </w:rPr>
        </w:r>
        <w:r>
          <w:rPr>
            <w:noProof/>
            <w:webHidden/>
          </w:rPr>
          <w:fldChar w:fldCharType="separate"/>
        </w:r>
        <w:r w:rsidR="00B811F4">
          <w:rPr>
            <w:noProof/>
            <w:webHidden/>
          </w:rPr>
          <w:t>4</w:t>
        </w:r>
        <w:r>
          <w:rPr>
            <w:noProof/>
            <w:webHidden/>
          </w:rPr>
          <w:fldChar w:fldCharType="end"/>
        </w:r>
      </w:hyperlink>
    </w:p>
    <w:p w:rsidR="00B811F4" w:rsidRDefault="002C66D8">
      <w:pPr>
        <w:pStyle w:val="TDC1"/>
        <w:tabs>
          <w:tab w:val="right" w:leader="dot" w:pos="7927"/>
        </w:tabs>
        <w:rPr>
          <w:rFonts w:asciiTheme="minorHAnsi" w:eastAsiaTheme="minorEastAsia" w:hAnsiTheme="minorHAnsi" w:cstheme="minorBidi"/>
          <w:noProof/>
          <w:lang w:eastAsia="es-ES"/>
        </w:rPr>
      </w:pPr>
      <w:hyperlink w:anchor="_Toc295373126" w:history="1">
        <w:r w:rsidR="00B811F4" w:rsidRPr="002508FF">
          <w:rPr>
            <w:rStyle w:val="Hipervnculo"/>
            <w:noProof/>
            <w:lang w:val="es-ES_tradnl"/>
          </w:rPr>
          <w:t>INTRODUCCIÓN</w:t>
        </w:r>
        <w:r w:rsidR="00B811F4">
          <w:rPr>
            <w:noProof/>
            <w:webHidden/>
          </w:rPr>
          <w:tab/>
        </w:r>
        <w:r>
          <w:rPr>
            <w:noProof/>
            <w:webHidden/>
          </w:rPr>
          <w:fldChar w:fldCharType="begin"/>
        </w:r>
        <w:r w:rsidR="00B811F4">
          <w:rPr>
            <w:noProof/>
            <w:webHidden/>
          </w:rPr>
          <w:instrText xml:space="preserve"> PAGEREF _Toc295373126 \h </w:instrText>
        </w:r>
        <w:r>
          <w:rPr>
            <w:noProof/>
            <w:webHidden/>
          </w:rPr>
        </w:r>
        <w:r>
          <w:rPr>
            <w:noProof/>
            <w:webHidden/>
          </w:rPr>
          <w:fldChar w:fldCharType="separate"/>
        </w:r>
        <w:r w:rsidR="00B811F4">
          <w:rPr>
            <w:noProof/>
            <w:webHidden/>
          </w:rPr>
          <w:t>6</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27" w:history="1">
        <w:r w:rsidR="00B811F4" w:rsidRPr="002508FF">
          <w:rPr>
            <w:rStyle w:val="Hipervnculo"/>
            <w:noProof/>
          </w:rPr>
          <w:t>Problemática</w:t>
        </w:r>
        <w:r w:rsidR="00B811F4">
          <w:rPr>
            <w:noProof/>
            <w:webHidden/>
          </w:rPr>
          <w:tab/>
        </w:r>
        <w:r>
          <w:rPr>
            <w:noProof/>
            <w:webHidden/>
          </w:rPr>
          <w:fldChar w:fldCharType="begin"/>
        </w:r>
        <w:r w:rsidR="00B811F4">
          <w:rPr>
            <w:noProof/>
            <w:webHidden/>
          </w:rPr>
          <w:instrText xml:space="preserve"> PAGEREF _Toc295373127 \h </w:instrText>
        </w:r>
        <w:r>
          <w:rPr>
            <w:noProof/>
            <w:webHidden/>
          </w:rPr>
        </w:r>
        <w:r>
          <w:rPr>
            <w:noProof/>
            <w:webHidden/>
          </w:rPr>
          <w:fldChar w:fldCharType="separate"/>
        </w:r>
        <w:r w:rsidR="00B811F4">
          <w:rPr>
            <w:noProof/>
            <w:webHidden/>
          </w:rPr>
          <w:t>6</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28" w:history="1">
        <w:r w:rsidR="00B811F4" w:rsidRPr="002508FF">
          <w:rPr>
            <w:rStyle w:val="Hipervnculo"/>
            <w:noProof/>
          </w:rPr>
          <w:t>Objetivos generales</w:t>
        </w:r>
        <w:r w:rsidR="00B811F4">
          <w:rPr>
            <w:noProof/>
            <w:webHidden/>
          </w:rPr>
          <w:tab/>
        </w:r>
        <w:r>
          <w:rPr>
            <w:noProof/>
            <w:webHidden/>
          </w:rPr>
          <w:fldChar w:fldCharType="begin"/>
        </w:r>
        <w:r w:rsidR="00B811F4">
          <w:rPr>
            <w:noProof/>
            <w:webHidden/>
          </w:rPr>
          <w:instrText xml:space="preserve"> PAGEREF _Toc295373128 \h </w:instrText>
        </w:r>
        <w:r>
          <w:rPr>
            <w:noProof/>
            <w:webHidden/>
          </w:rPr>
        </w:r>
        <w:r>
          <w:rPr>
            <w:noProof/>
            <w:webHidden/>
          </w:rPr>
          <w:fldChar w:fldCharType="separate"/>
        </w:r>
        <w:r w:rsidR="00B811F4">
          <w:rPr>
            <w:noProof/>
            <w:webHidden/>
          </w:rPr>
          <w:t>6</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29" w:history="1">
        <w:r w:rsidR="00B811F4" w:rsidRPr="002508FF">
          <w:rPr>
            <w:rStyle w:val="Hipervnculo"/>
            <w:noProof/>
          </w:rPr>
          <w:t>Objetivos específicos</w:t>
        </w:r>
        <w:r w:rsidR="00B811F4">
          <w:rPr>
            <w:noProof/>
            <w:webHidden/>
          </w:rPr>
          <w:tab/>
        </w:r>
        <w:r>
          <w:rPr>
            <w:noProof/>
            <w:webHidden/>
          </w:rPr>
          <w:fldChar w:fldCharType="begin"/>
        </w:r>
        <w:r w:rsidR="00B811F4">
          <w:rPr>
            <w:noProof/>
            <w:webHidden/>
          </w:rPr>
          <w:instrText xml:space="preserve"> PAGEREF _Toc295373129 \h </w:instrText>
        </w:r>
        <w:r>
          <w:rPr>
            <w:noProof/>
            <w:webHidden/>
          </w:rPr>
        </w:r>
        <w:r>
          <w:rPr>
            <w:noProof/>
            <w:webHidden/>
          </w:rPr>
          <w:fldChar w:fldCharType="separate"/>
        </w:r>
        <w:r w:rsidR="00B811F4">
          <w:rPr>
            <w:noProof/>
            <w:webHidden/>
          </w:rPr>
          <w:t>6</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30" w:history="1">
        <w:r w:rsidR="00B811F4" w:rsidRPr="002508FF">
          <w:rPr>
            <w:rStyle w:val="Hipervnculo"/>
            <w:noProof/>
          </w:rPr>
          <w:t>Importancia del tema dentro de la carrera</w:t>
        </w:r>
        <w:r w:rsidR="00B811F4">
          <w:rPr>
            <w:noProof/>
            <w:webHidden/>
          </w:rPr>
          <w:tab/>
        </w:r>
        <w:r>
          <w:rPr>
            <w:noProof/>
            <w:webHidden/>
          </w:rPr>
          <w:fldChar w:fldCharType="begin"/>
        </w:r>
        <w:r w:rsidR="00B811F4">
          <w:rPr>
            <w:noProof/>
            <w:webHidden/>
          </w:rPr>
          <w:instrText xml:space="preserve"> PAGEREF _Toc295373130 \h </w:instrText>
        </w:r>
        <w:r>
          <w:rPr>
            <w:noProof/>
            <w:webHidden/>
          </w:rPr>
        </w:r>
        <w:r>
          <w:rPr>
            <w:noProof/>
            <w:webHidden/>
          </w:rPr>
          <w:fldChar w:fldCharType="separate"/>
        </w:r>
        <w:r w:rsidR="00B811F4">
          <w:rPr>
            <w:noProof/>
            <w:webHidden/>
          </w:rPr>
          <w:t>7</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31" w:history="1">
        <w:r w:rsidR="00B811F4" w:rsidRPr="002508FF">
          <w:rPr>
            <w:rStyle w:val="Hipervnculo"/>
            <w:noProof/>
          </w:rPr>
          <w:t>Importancia del tema para el desarrollo científico y social del país</w:t>
        </w:r>
        <w:r w:rsidR="00B811F4">
          <w:rPr>
            <w:noProof/>
            <w:webHidden/>
          </w:rPr>
          <w:tab/>
        </w:r>
        <w:r>
          <w:rPr>
            <w:noProof/>
            <w:webHidden/>
          </w:rPr>
          <w:fldChar w:fldCharType="begin"/>
        </w:r>
        <w:r w:rsidR="00B811F4">
          <w:rPr>
            <w:noProof/>
            <w:webHidden/>
          </w:rPr>
          <w:instrText xml:space="preserve"> PAGEREF _Toc295373131 \h </w:instrText>
        </w:r>
        <w:r>
          <w:rPr>
            <w:noProof/>
            <w:webHidden/>
          </w:rPr>
        </w:r>
        <w:r>
          <w:rPr>
            <w:noProof/>
            <w:webHidden/>
          </w:rPr>
          <w:fldChar w:fldCharType="separate"/>
        </w:r>
        <w:r w:rsidR="00B811F4">
          <w:rPr>
            <w:noProof/>
            <w:webHidden/>
          </w:rPr>
          <w:t>7</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32" w:history="1">
        <w:r w:rsidR="00B811F4" w:rsidRPr="002508FF">
          <w:rPr>
            <w:rStyle w:val="Hipervnculo"/>
            <w:noProof/>
          </w:rPr>
          <w:t>Resumen marco teórico</w:t>
        </w:r>
        <w:r w:rsidR="00B811F4">
          <w:rPr>
            <w:noProof/>
            <w:webHidden/>
          </w:rPr>
          <w:tab/>
        </w:r>
        <w:r>
          <w:rPr>
            <w:noProof/>
            <w:webHidden/>
          </w:rPr>
          <w:fldChar w:fldCharType="begin"/>
        </w:r>
        <w:r w:rsidR="00B811F4">
          <w:rPr>
            <w:noProof/>
            <w:webHidden/>
          </w:rPr>
          <w:instrText xml:space="preserve"> PAGEREF _Toc295373132 \h </w:instrText>
        </w:r>
        <w:r>
          <w:rPr>
            <w:noProof/>
            <w:webHidden/>
          </w:rPr>
        </w:r>
        <w:r>
          <w:rPr>
            <w:noProof/>
            <w:webHidden/>
          </w:rPr>
          <w:fldChar w:fldCharType="separate"/>
        </w:r>
        <w:r w:rsidR="00B811F4">
          <w:rPr>
            <w:noProof/>
            <w:webHidden/>
          </w:rPr>
          <w:t>7</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33" w:history="1">
        <w:r w:rsidR="00B811F4" w:rsidRPr="002508FF">
          <w:rPr>
            <w:rStyle w:val="Hipervnculo"/>
            <w:noProof/>
          </w:rPr>
          <w:t>Resumen capítulo 1</w:t>
        </w:r>
        <w:r w:rsidR="00B811F4">
          <w:rPr>
            <w:noProof/>
            <w:webHidden/>
          </w:rPr>
          <w:tab/>
        </w:r>
        <w:r>
          <w:rPr>
            <w:noProof/>
            <w:webHidden/>
          </w:rPr>
          <w:fldChar w:fldCharType="begin"/>
        </w:r>
        <w:r w:rsidR="00B811F4">
          <w:rPr>
            <w:noProof/>
            <w:webHidden/>
          </w:rPr>
          <w:instrText xml:space="preserve"> PAGEREF _Toc295373133 \h </w:instrText>
        </w:r>
        <w:r>
          <w:rPr>
            <w:noProof/>
            <w:webHidden/>
          </w:rPr>
        </w:r>
        <w:r>
          <w:rPr>
            <w:noProof/>
            <w:webHidden/>
          </w:rPr>
          <w:fldChar w:fldCharType="separate"/>
        </w:r>
        <w:r w:rsidR="00B811F4">
          <w:rPr>
            <w:noProof/>
            <w:webHidden/>
          </w:rPr>
          <w:t>8</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34" w:history="1">
        <w:r w:rsidR="00B811F4" w:rsidRPr="002508FF">
          <w:rPr>
            <w:rStyle w:val="Hipervnculo"/>
            <w:noProof/>
          </w:rPr>
          <w:t>Resumen capítulo 2</w:t>
        </w:r>
        <w:r w:rsidR="00B811F4">
          <w:rPr>
            <w:noProof/>
            <w:webHidden/>
          </w:rPr>
          <w:tab/>
        </w:r>
        <w:r>
          <w:rPr>
            <w:noProof/>
            <w:webHidden/>
          </w:rPr>
          <w:fldChar w:fldCharType="begin"/>
        </w:r>
        <w:r w:rsidR="00B811F4">
          <w:rPr>
            <w:noProof/>
            <w:webHidden/>
          </w:rPr>
          <w:instrText xml:space="preserve"> PAGEREF _Toc295373134 \h </w:instrText>
        </w:r>
        <w:r>
          <w:rPr>
            <w:noProof/>
            <w:webHidden/>
          </w:rPr>
        </w:r>
        <w:r>
          <w:rPr>
            <w:noProof/>
            <w:webHidden/>
          </w:rPr>
          <w:fldChar w:fldCharType="separate"/>
        </w:r>
        <w:r w:rsidR="00B811F4">
          <w:rPr>
            <w:noProof/>
            <w:webHidden/>
          </w:rPr>
          <w:t>8</w:t>
        </w:r>
        <w:r>
          <w:rPr>
            <w:noProof/>
            <w:webHidden/>
          </w:rPr>
          <w:fldChar w:fldCharType="end"/>
        </w:r>
      </w:hyperlink>
    </w:p>
    <w:p w:rsidR="00B811F4" w:rsidRDefault="002C66D8">
      <w:pPr>
        <w:pStyle w:val="TDC1"/>
        <w:tabs>
          <w:tab w:val="right" w:leader="dot" w:pos="7927"/>
        </w:tabs>
        <w:rPr>
          <w:rFonts w:asciiTheme="minorHAnsi" w:eastAsiaTheme="minorEastAsia" w:hAnsiTheme="minorHAnsi" w:cstheme="minorBidi"/>
          <w:noProof/>
          <w:lang w:eastAsia="es-ES"/>
        </w:rPr>
      </w:pPr>
      <w:hyperlink w:anchor="_Toc295373135" w:history="1">
        <w:r w:rsidR="00B811F4" w:rsidRPr="002508FF">
          <w:rPr>
            <w:rStyle w:val="Hipervnculo"/>
            <w:noProof/>
          </w:rPr>
          <w:t>MARCO TEÓRICO: TEORÍA DE LA DOMINACIÓN EN</w:t>
        </w:r>
        <w:r w:rsidR="00B811F4" w:rsidRPr="002508FF">
          <w:rPr>
            <w:rStyle w:val="Hipervnculo"/>
            <w:i/>
            <w:noProof/>
          </w:rPr>
          <w:t>1984</w:t>
        </w:r>
        <w:r w:rsidR="00B811F4" w:rsidRPr="002508FF">
          <w:rPr>
            <w:rStyle w:val="Hipervnculo"/>
            <w:noProof/>
          </w:rPr>
          <w:t>.</w:t>
        </w:r>
        <w:r w:rsidR="00B811F4">
          <w:rPr>
            <w:noProof/>
            <w:webHidden/>
          </w:rPr>
          <w:tab/>
        </w:r>
        <w:r>
          <w:rPr>
            <w:noProof/>
            <w:webHidden/>
          </w:rPr>
          <w:fldChar w:fldCharType="begin"/>
        </w:r>
        <w:r w:rsidR="00B811F4">
          <w:rPr>
            <w:noProof/>
            <w:webHidden/>
          </w:rPr>
          <w:instrText xml:space="preserve"> PAGEREF _Toc295373135 \h </w:instrText>
        </w:r>
        <w:r>
          <w:rPr>
            <w:noProof/>
            <w:webHidden/>
          </w:rPr>
        </w:r>
        <w:r>
          <w:rPr>
            <w:noProof/>
            <w:webHidden/>
          </w:rPr>
          <w:fldChar w:fldCharType="separate"/>
        </w:r>
        <w:r w:rsidR="00B811F4">
          <w:rPr>
            <w:noProof/>
            <w:webHidden/>
          </w:rPr>
          <w:t>9</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36" w:history="1">
        <w:r w:rsidR="00B811F4" w:rsidRPr="002508FF">
          <w:rPr>
            <w:rStyle w:val="Hipervnculo"/>
            <w:noProof/>
          </w:rPr>
          <w:t>Principios fundamentales de la teoría de la dominación de George Orwell.</w:t>
        </w:r>
        <w:r w:rsidR="00B811F4">
          <w:rPr>
            <w:noProof/>
            <w:webHidden/>
          </w:rPr>
          <w:tab/>
        </w:r>
        <w:r>
          <w:rPr>
            <w:noProof/>
            <w:webHidden/>
          </w:rPr>
          <w:fldChar w:fldCharType="begin"/>
        </w:r>
        <w:r w:rsidR="00B811F4">
          <w:rPr>
            <w:noProof/>
            <w:webHidden/>
          </w:rPr>
          <w:instrText xml:space="preserve"> PAGEREF _Toc295373136 \h </w:instrText>
        </w:r>
        <w:r>
          <w:rPr>
            <w:noProof/>
            <w:webHidden/>
          </w:rPr>
        </w:r>
        <w:r>
          <w:rPr>
            <w:noProof/>
            <w:webHidden/>
          </w:rPr>
          <w:fldChar w:fldCharType="separate"/>
        </w:r>
        <w:r w:rsidR="00B811F4">
          <w:rPr>
            <w:noProof/>
            <w:webHidden/>
          </w:rPr>
          <w:t>9</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37" w:history="1">
        <w:r w:rsidR="00B811F4" w:rsidRPr="002508FF">
          <w:rPr>
            <w:rStyle w:val="Hipervnculo"/>
            <w:noProof/>
          </w:rPr>
          <w:t>El Partido</w:t>
        </w:r>
        <w:r w:rsidR="00B811F4">
          <w:rPr>
            <w:noProof/>
            <w:webHidden/>
          </w:rPr>
          <w:tab/>
        </w:r>
        <w:r>
          <w:rPr>
            <w:noProof/>
            <w:webHidden/>
          </w:rPr>
          <w:fldChar w:fldCharType="begin"/>
        </w:r>
        <w:r w:rsidR="00B811F4">
          <w:rPr>
            <w:noProof/>
            <w:webHidden/>
          </w:rPr>
          <w:instrText xml:space="preserve"> PAGEREF _Toc295373137 \h </w:instrText>
        </w:r>
        <w:r>
          <w:rPr>
            <w:noProof/>
            <w:webHidden/>
          </w:rPr>
        </w:r>
        <w:r>
          <w:rPr>
            <w:noProof/>
            <w:webHidden/>
          </w:rPr>
          <w:fldChar w:fldCharType="separate"/>
        </w:r>
        <w:r w:rsidR="00B811F4">
          <w:rPr>
            <w:noProof/>
            <w:webHidden/>
          </w:rPr>
          <w:t>11</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38" w:history="1">
        <w:r w:rsidR="00B811F4" w:rsidRPr="002508FF">
          <w:rPr>
            <w:rStyle w:val="Hipervnculo"/>
            <w:noProof/>
          </w:rPr>
          <w:t>Jerarquización de la sociedad</w:t>
        </w:r>
        <w:r w:rsidR="00B811F4">
          <w:rPr>
            <w:noProof/>
            <w:webHidden/>
          </w:rPr>
          <w:tab/>
        </w:r>
        <w:r>
          <w:rPr>
            <w:noProof/>
            <w:webHidden/>
          </w:rPr>
          <w:fldChar w:fldCharType="begin"/>
        </w:r>
        <w:r w:rsidR="00B811F4">
          <w:rPr>
            <w:noProof/>
            <w:webHidden/>
          </w:rPr>
          <w:instrText xml:space="preserve"> PAGEREF _Toc295373138 \h </w:instrText>
        </w:r>
        <w:r>
          <w:rPr>
            <w:noProof/>
            <w:webHidden/>
          </w:rPr>
        </w:r>
        <w:r>
          <w:rPr>
            <w:noProof/>
            <w:webHidden/>
          </w:rPr>
          <w:fldChar w:fldCharType="separate"/>
        </w:r>
        <w:r w:rsidR="00B811F4">
          <w:rPr>
            <w:noProof/>
            <w:webHidden/>
          </w:rPr>
          <w:t>11</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39" w:history="1">
        <w:r w:rsidR="00B811F4" w:rsidRPr="002508FF">
          <w:rPr>
            <w:rStyle w:val="Hipervnculo"/>
            <w:noProof/>
          </w:rPr>
          <w:t>Continuidad del sistema de dominación</w:t>
        </w:r>
        <w:r w:rsidR="00B811F4">
          <w:rPr>
            <w:noProof/>
            <w:webHidden/>
          </w:rPr>
          <w:tab/>
        </w:r>
        <w:r>
          <w:rPr>
            <w:noProof/>
            <w:webHidden/>
          </w:rPr>
          <w:fldChar w:fldCharType="begin"/>
        </w:r>
        <w:r w:rsidR="00B811F4">
          <w:rPr>
            <w:noProof/>
            <w:webHidden/>
          </w:rPr>
          <w:instrText xml:space="preserve"> PAGEREF _Toc295373139 \h </w:instrText>
        </w:r>
        <w:r>
          <w:rPr>
            <w:noProof/>
            <w:webHidden/>
          </w:rPr>
        </w:r>
        <w:r>
          <w:rPr>
            <w:noProof/>
            <w:webHidden/>
          </w:rPr>
          <w:fldChar w:fldCharType="separate"/>
        </w:r>
        <w:r w:rsidR="00B811F4">
          <w:rPr>
            <w:noProof/>
            <w:webHidden/>
          </w:rPr>
          <w:t>14</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40" w:history="1">
        <w:r w:rsidR="00B811F4" w:rsidRPr="002508FF">
          <w:rPr>
            <w:rStyle w:val="Hipervnculo"/>
            <w:noProof/>
          </w:rPr>
          <w:t>Dominación a través de la desnaturalización de lo humano</w:t>
        </w:r>
        <w:r w:rsidR="00B811F4">
          <w:rPr>
            <w:noProof/>
            <w:webHidden/>
          </w:rPr>
          <w:tab/>
        </w:r>
        <w:r>
          <w:rPr>
            <w:noProof/>
            <w:webHidden/>
          </w:rPr>
          <w:fldChar w:fldCharType="begin"/>
        </w:r>
        <w:r w:rsidR="00B811F4">
          <w:rPr>
            <w:noProof/>
            <w:webHidden/>
          </w:rPr>
          <w:instrText xml:space="preserve"> PAGEREF _Toc295373140 \h </w:instrText>
        </w:r>
        <w:r>
          <w:rPr>
            <w:noProof/>
            <w:webHidden/>
          </w:rPr>
        </w:r>
        <w:r>
          <w:rPr>
            <w:noProof/>
            <w:webHidden/>
          </w:rPr>
          <w:fldChar w:fldCharType="separate"/>
        </w:r>
        <w:r w:rsidR="00B811F4">
          <w:rPr>
            <w:noProof/>
            <w:webHidden/>
          </w:rPr>
          <w:t>16</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41" w:history="1">
        <w:r w:rsidR="00B811F4" w:rsidRPr="002508FF">
          <w:rPr>
            <w:rStyle w:val="Hipervnculo"/>
            <w:noProof/>
          </w:rPr>
          <w:t>El poder</w:t>
        </w:r>
        <w:r w:rsidR="00B811F4">
          <w:rPr>
            <w:noProof/>
            <w:webHidden/>
          </w:rPr>
          <w:tab/>
        </w:r>
        <w:r>
          <w:rPr>
            <w:noProof/>
            <w:webHidden/>
          </w:rPr>
          <w:fldChar w:fldCharType="begin"/>
        </w:r>
        <w:r w:rsidR="00B811F4">
          <w:rPr>
            <w:noProof/>
            <w:webHidden/>
          </w:rPr>
          <w:instrText xml:space="preserve"> PAGEREF _Toc295373141 \h </w:instrText>
        </w:r>
        <w:r>
          <w:rPr>
            <w:noProof/>
            <w:webHidden/>
          </w:rPr>
        </w:r>
        <w:r>
          <w:rPr>
            <w:noProof/>
            <w:webHidden/>
          </w:rPr>
          <w:fldChar w:fldCharType="separate"/>
        </w:r>
        <w:r w:rsidR="00B811F4">
          <w:rPr>
            <w:noProof/>
            <w:webHidden/>
          </w:rPr>
          <w:t>17</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42" w:history="1">
        <w:r w:rsidR="00B811F4" w:rsidRPr="002508FF">
          <w:rPr>
            <w:rStyle w:val="Hipervnculo"/>
            <w:noProof/>
          </w:rPr>
          <w:t>Comentarios</w:t>
        </w:r>
        <w:r w:rsidR="00B811F4">
          <w:rPr>
            <w:noProof/>
            <w:webHidden/>
          </w:rPr>
          <w:tab/>
        </w:r>
        <w:r>
          <w:rPr>
            <w:noProof/>
            <w:webHidden/>
          </w:rPr>
          <w:fldChar w:fldCharType="begin"/>
        </w:r>
        <w:r w:rsidR="00B811F4">
          <w:rPr>
            <w:noProof/>
            <w:webHidden/>
          </w:rPr>
          <w:instrText xml:space="preserve"> PAGEREF _Toc295373142 \h </w:instrText>
        </w:r>
        <w:r>
          <w:rPr>
            <w:noProof/>
            <w:webHidden/>
          </w:rPr>
        </w:r>
        <w:r>
          <w:rPr>
            <w:noProof/>
            <w:webHidden/>
          </w:rPr>
          <w:fldChar w:fldCharType="separate"/>
        </w:r>
        <w:r w:rsidR="00B811F4">
          <w:rPr>
            <w:noProof/>
            <w:webHidden/>
          </w:rPr>
          <w:t>18</w:t>
        </w:r>
        <w:r>
          <w:rPr>
            <w:noProof/>
            <w:webHidden/>
          </w:rPr>
          <w:fldChar w:fldCharType="end"/>
        </w:r>
      </w:hyperlink>
    </w:p>
    <w:p w:rsidR="00B811F4" w:rsidRDefault="002C66D8">
      <w:pPr>
        <w:pStyle w:val="TDC1"/>
        <w:tabs>
          <w:tab w:val="right" w:leader="dot" w:pos="7927"/>
        </w:tabs>
        <w:rPr>
          <w:rFonts w:asciiTheme="minorHAnsi" w:eastAsiaTheme="minorEastAsia" w:hAnsiTheme="minorHAnsi" w:cstheme="minorBidi"/>
          <w:noProof/>
          <w:lang w:eastAsia="es-ES"/>
        </w:rPr>
      </w:pPr>
      <w:hyperlink w:anchor="_Toc295373143" w:history="1">
        <w:r w:rsidR="00B811F4" w:rsidRPr="002508FF">
          <w:rPr>
            <w:rStyle w:val="Hipervnculo"/>
            <w:noProof/>
          </w:rPr>
          <w:t>METODOLOGÍA DE LA INVESTIGACIÓN</w:t>
        </w:r>
        <w:r w:rsidR="00B811F4">
          <w:rPr>
            <w:noProof/>
            <w:webHidden/>
          </w:rPr>
          <w:tab/>
        </w:r>
        <w:r>
          <w:rPr>
            <w:noProof/>
            <w:webHidden/>
          </w:rPr>
          <w:fldChar w:fldCharType="begin"/>
        </w:r>
        <w:r w:rsidR="00B811F4">
          <w:rPr>
            <w:noProof/>
            <w:webHidden/>
          </w:rPr>
          <w:instrText xml:space="preserve"> PAGEREF _Toc295373143 \h </w:instrText>
        </w:r>
        <w:r>
          <w:rPr>
            <w:noProof/>
            <w:webHidden/>
          </w:rPr>
        </w:r>
        <w:r>
          <w:rPr>
            <w:noProof/>
            <w:webHidden/>
          </w:rPr>
          <w:fldChar w:fldCharType="separate"/>
        </w:r>
        <w:r w:rsidR="00B811F4">
          <w:rPr>
            <w:noProof/>
            <w:webHidden/>
          </w:rPr>
          <w:t>20</w:t>
        </w:r>
        <w:r>
          <w:rPr>
            <w:noProof/>
            <w:webHidden/>
          </w:rPr>
          <w:fldChar w:fldCharType="end"/>
        </w:r>
      </w:hyperlink>
    </w:p>
    <w:p w:rsidR="00B811F4" w:rsidRDefault="002C66D8">
      <w:pPr>
        <w:pStyle w:val="TDC1"/>
        <w:tabs>
          <w:tab w:val="right" w:leader="dot" w:pos="7927"/>
        </w:tabs>
        <w:rPr>
          <w:rFonts w:asciiTheme="minorHAnsi" w:eastAsiaTheme="minorEastAsia" w:hAnsiTheme="minorHAnsi" w:cstheme="minorBidi"/>
          <w:noProof/>
          <w:lang w:eastAsia="es-ES"/>
        </w:rPr>
      </w:pPr>
      <w:hyperlink w:anchor="_Toc295373144" w:history="1">
        <w:r w:rsidR="00B811F4" w:rsidRPr="002508FF">
          <w:rPr>
            <w:rStyle w:val="Hipervnculo"/>
            <w:noProof/>
          </w:rPr>
          <w:t>DESARROLLO</w:t>
        </w:r>
        <w:r w:rsidR="00B811F4">
          <w:rPr>
            <w:noProof/>
            <w:webHidden/>
          </w:rPr>
          <w:tab/>
        </w:r>
        <w:r>
          <w:rPr>
            <w:noProof/>
            <w:webHidden/>
          </w:rPr>
          <w:fldChar w:fldCharType="begin"/>
        </w:r>
        <w:r w:rsidR="00B811F4">
          <w:rPr>
            <w:noProof/>
            <w:webHidden/>
          </w:rPr>
          <w:instrText xml:space="preserve"> PAGEREF _Toc295373144 \h </w:instrText>
        </w:r>
        <w:r>
          <w:rPr>
            <w:noProof/>
            <w:webHidden/>
          </w:rPr>
        </w:r>
        <w:r>
          <w:rPr>
            <w:noProof/>
            <w:webHidden/>
          </w:rPr>
          <w:fldChar w:fldCharType="separate"/>
        </w:r>
        <w:r w:rsidR="00B811F4">
          <w:rPr>
            <w:noProof/>
            <w:webHidden/>
          </w:rPr>
          <w:t>21</w:t>
        </w:r>
        <w:r>
          <w:rPr>
            <w:noProof/>
            <w:webHidden/>
          </w:rPr>
          <w:fldChar w:fldCharType="end"/>
        </w:r>
      </w:hyperlink>
    </w:p>
    <w:p w:rsidR="00B811F4" w:rsidRDefault="002C66D8">
      <w:pPr>
        <w:pStyle w:val="TDC1"/>
        <w:tabs>
          <w:tab w:val="right" w:leader="dot" w:pos="7927"/>
        </w:tabs>
        <w:rPr>
          <w:rFonts w:asciiTheme="minorHAnsi" w:eastAsiaTheme="minorEastAsia" w:hAnsiTheme="minorHAnsi" w:cstheme="minorBidi"/>
          <w:noProof/>
          <w:lang w:eastAsia="es-ES"/>
        </w:rPr>
      </w:pPr>
      <w:hyperlink w:anchor="_Toc295373145" w:history="1">
        <w:r w:rsidR="00B811F4" w:rsidRPr="002508FF">
          <w:rPr>
            <w:rStyle w:val="Hipervnculo"/>
            <w:noProof/>
          </w:rPr>
          <w:t>CAPÍTULO 1: EL PROCESO DE DOMINACIÓN POLÍTICA EN EL ECUADOR DESDE 1830 HASTA 1979.</w:t>
        </w:r>
        <w:r w:rsidR="00B811F4">
          <w:rPr>
            <w:noProof/>
            <w:webHidden/>
          </w:rPr>
          <w:tab/>
        </w:r>
        <w:r>
          <w:rPr>
            <w:noProof/>
            <w:webHidden/>
          </w:rPr>
          <w:fldChar w:fldCharType="begin"/>
        </w:r>
        <w:r w:rsidR="00B811F4">
          <w:rPr>
            <w:noProof/>
            <w:webHidden/>
          </w:rPr>
          <w:instrText xml:space="preserve"> PAGEREF _Toc295373145 \h </w:instrText>
        </w:r>
        <w:r>
          <w:rPr>
            <w:noProof/>
            <w:webHidden/>
          </w:rPr>
        </w:r>
        <w:r>
          <w:rPr>
            <w:noProof/>
            <w:webHidden/>
          </w:rPr>
          <w:fldChar w:fldCharType="separate"/>
        </w:r>
        <w:r w:rsidR="00B811F4">
          <w:rPr>
            <w:noProof/>
            <w:webHidden/>
          </w:rPr>
          <w:t>21</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46" w:history="1">
        <w:r w:rsidR="00B811F4" w:rsidRPr="002508FF">
          <w:rPr>
            <w:rStyle w:val="Hipervnculo"/>
            <w:noProof/>
          </w:rPr>
          <w:t>Breve vistazo a la época colonial.</w:t>
        </w:r>
        <w:r w:rsidR="00B811F4">
          <w:rPr>
            <w:noProof/>
            <w:webHidden/>
          </w:rPr>
          <w:tab/>
        </w:r>
        <w:r>
          <w:rPr>
            <w:noProof/>
            <w:webHidden/>
          </w:rPr>
          <w:fldChar w:fldCharType="begin"/>
        </w:r>
        <w:r w:rsidR="00B811F4">
          <w:rPr>
            <w:noProof/>
            <w:webHidden/>
          </w:rPr>
          <w:instrText xml:space="preserve"> PAGEREF _Toc295373146 \h </w:instrText>
        </w:r>
        <w:r>
          <w:rPr>
            <w:noProof/>
            <w:webHidden/>
          </w:rPr>
        </w:r>
        <w:r>
          <w:rPr>
            <w:noProof/>
            <w:webHidden/>
          </w:rPr>
          <w:fldChar w:fldCharType="separate"/>
        </w:r>
        <w:r w:rsidR="00B811F4">
          <w:rPr>
            <w:noProof/>
            <w:webHidden/>
          </w:rPr>
          <w:t>21</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47" w:history="1">
        <w:r w:rsidR="00B811F4" w:rsidRPr="002508FF">
          <w:rPr>
            <w:rStyle w:val="Hipervnculo"/>
            <w:noProof/>
          </w:rPr>
          <w:t>Los inicios de la República</w:t>
        </w:r>
        <w:r w:rsidR="00B811F4">
          <w:rPr>
            <w:noProof/>
            <w:webHidden/>
          </w:rPr>
          <w:tab/>
        </w:r>
        <w:r>
          <w:rPr>
            <w:noProof/>
            <w:webHidden/>
          </w:rPr>
          <w:fldChar w:fldCharType="begin"/>
        </w:r>
        <w:r w:rsidR="00B811F4">
          <w:rPr>
            <w:noProof/>
            <w:webHidden/>
          </w:rPr>
          <w:instrText xml:space="preserve"> PAGEREF _Toc295373147 \h </w:instrText>
        </w:r>
        <w:r>
          <w:rPr>
            <w:noProof/>
            <w:webHidden/>
          </w:rPr>
        </w:r>
        <w:r>
          <w:rPr>
            <w:noProof/>
            <w:webHidden/>
          </w:rPr>
          <w:fldChar w:fldCharType="separate"/>
        </w:r>
        <w:r w:rsidR="00B811F4">
          <w:rPr>
            <w:noProof/>
            <w:webHidden/>
          </w:rPr>
          <w:t>23</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48" w:history="1">
        <w:r w:rsidR="00B811F4" w:rsidRPr="002508FF">
          <w:rPr>
            <w:rStyle w:val="Hipervnculo"/>
            <w:noProof/>
          </w:rPr>
          <w:t>Siglo XX, Revolución Liberal y su consecuencias</w:t>
        </w:r>
        <w:r w:rsidR="00B811F4">
          <w:rPr>
            <w:noProof/>
            <w:webHidden/>
          </w:rPr>
          <w:tab/>
        </w:r>
        <w:r>
          <w:rPr>
            <w:noProof/>
            <w:webHidden/>
          </w:rPr>
          <w:fldChar w:fldCharType="begin"/>
        </w:r>
        <w:r w:rsidR="00B811F4">
          <w:rPr>
            <w:noProof/>
            <w:webHidden/>
          </w:rPr>
          <w:instrText xml:space="preserve"> PAGEREF _Toc295373148 \h </w:instrText>
        </w:r>
        <w:r>
          <w:rPr>
            <w:noProof/>
            <w:webHidden/>
          </w:rPr>
        </w:r>
        <w:r>
          <w:rPr>
            <w:noProof/>
            <w:webHidden/>
          </w:rPr>
          <w:fldChar w:fldCharType="separate"/>
        </w:r>
        <w:r w:rsidR="00B811F4">
          <w:rPr>
            <w:noProof/>
            <w:webHidden/>
          </w:rPr>
          <w:t>25</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49" w:history="1">
        <w:r w:rsidR="00B811F4" w:rsidRPr="002508FF">
          <w:rPr>
            <w:rStyle w:val="Hipervnculo"/>
            <w:noProof/>
          </w:rPr>
          <w:t>La Revolución Juliana y el inicio del velasquismo</w:t>
        </w:r>
        <w:r w:rsidR="00B811F4">
          <w:rPr>
            <w:noProof/>
            <w:webHidden/>
          </w:rPr>
          <w:tab/>
        </w:r>
        <w:r>
          <w:rPr>
            <w:noProof/>
            <w:webHidden/>
          </w:rPr>
          <w:fldChar w:fldCharType="begin"/>
        </w:r>
        <w:r w:rsidR="00B811F4">
          <w:rPr>
            <w:noProof/>
            <w:webHidden/>
          </w:rPr>
          <w:instrText xml:space="preserve"> PAGEREF _Toc295373149 \h </w:instrText>
        </w:r>
        <w:r>
          <w:rPr>
            <w:noProof/>
            <w:webHidden/>
          </w:rPr>
        </w:r>
        <w:r>
          <w:rPr>
            <w:noProof/>
            <w:webHidden/>
          </w:rPr>
          <w:fldChar w:fldCharType="separate"/>
        </w:r>
        <w:r w:rsidR="00B811F4">
          <w:rPr>
            <w:noProof/>
            <w:webHidden/>
          </w:rPr>
          <w:t>28</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50" w:history="1">
        <w:r w:rsidR="00B811F4" w:rsidRPr="002508FF">
          <w:rPr>
            <w:rStyle w:val="Hipervnculo"/>
            <w:noProof/>
          </w:rPr>
          <w:t>La grave crisis política de la década de los 30 y de los 40</w:t>
        </w:r>
        <w:r w:rsidR="00B811F4">
          <w:rPr>
            <w:noProof/>
            <w:webHidden/>
          </w:rPr>
          <w:tab/>
        </w:r>
        <w:r>
          <w:rPr>
            <w:noProof/>
            <w:webHidden/>
          </w:rPr>
          <w:fldChar w:fldCharType="begin"/>
        </w:r>
        <w:r w:rsidR="00B811F4">
          <w:rPr>
            <w:noProof/>
            <w:webHidden/>
          </w:rPr>
          <w:instrText xml:space="preserve"> PAGEREF _Toc295373150 \h </w:instrText>
        </w:r>
        <w:r>
          <w:rPr>
            <w:noProof/>
            <w:webHidden/>
          </w:rPr>
        </w:r>
        <w:r>
          <w:rPr>
            <w:noProof/>
            <w:webHidden/>
          </w:rPr>
          <w:fldChar w:fldCharType="separate"/>
        </w:r>
        <w:r w:rsidR="00B811F4">
          <w:rPr>
            <w:noProof/>
            <w:webHidden/>
          </w:rPr>
          <w:t>34</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51" w:history="1">
        <w:r w:rsidR="00B811F4" w:rsidRPr="002508FF">
          <w:rPr>
            <w:rStyle w:val="Hipervnculo"/>
            <w:noProof/>
          </w:rPr>
          <w:t>El paréntesis democrático</w:t>
        </w:r>
        <w:r w:rsidR="00B811F4">
          <w:rPr>
            <w:noProof/>
            <w:webHidden/>
          </w:rPr>
          <w:tab/>
        </w:r>
        <w:r>
          <w:rPr>
            <w:noProof/>
            <w:webHidden/>
          </w:rPr>
          <w:fldChar w:fldCharType="begin"/>
        </w:r>
        <w:r w:rsidR="00B811F4">
          <w:rPr>
            <w:noProof/>
            <w:webHidden/>
          </w:rPr>
          <w:instrText xml:space="preserve"> PAGEREF _Toc295373151 \h </w:instrText>
        </w:r>
        <w:r>
          <w:rPr>
            <w:noProof/>
            <w:webHidden/>
          </w:rPr>
        </w:r>
        <w:r>
          <w:rPr>
            <w:noProof/>
            <w:webHidden/>
          </w:rPr>
          <w:fldChar w:fldCharType="separate"/>
        </w:r>
        <w:r w:rsidR="00B811F4">
          <w:rPr>
            <w:noProof/>
            <w:webHidden/>
          </w:rPr>
          <w:t>38</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52" w:history="1">
        <w:r w:rsidR="00B811F4" w:rsidRPr="002508FF">
          <w:rPr>
            <w:rStyle w:val="Hipervnculo"/>
            <w:noProof/>
          </w:rPr>
          <w:t>El fantasma de la dictadura</w:t>
        </w:r>
        <w:r w:rsidR="00B811F4">
          <w:rPr>
            <w:noProof/>
            <w:webHidden/>
          </w:rPr>
          <w:tab/>
        </w:r>
        <w:r>
          <w:rPr>
            <w:noProof/>
            <w:webHidden/>
          </w:rPr>
          <w:fldChar w:fldCharType="begin"/>
        </w:r>
        <w:r w:rsidR="00B811F4">
          <w:rPr>
            <w:noProof/>
            <w:webHidden/>
          </w:rPr>
          <w:instrText xml:space="preserve"> PAGEREF _Toc295373152 \h </w:instrText>
        </w:r>
        <w:r>
          <w:rPr>
            <w:noProof/>
            <w:webHidden/>
          </w:rPr>
        </w:r>
        <w:r>
          <w:rPr>
            <w:noProof/>
            <w:webHidden/>
          </w:rPr>
          <w:fldChar w:fldCharType="separate"/>
        </w:r>
        <w:r w:rsidR="00B811F4">
          <w:rPr>
            <w:noProof/>
            <w:webHidden/>
          </w:rPr>
          <w:t>39</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53" w:history="1">
        <w:r w:rsidR="00B811F4" w:rsidRPr="002508FF">
          <w:rPr>
            <w:rStyle w:val="Hipervnculo"/>
            <w:noProof/>
          </w:rPr>
          <w:t xml:space="preserve">La nueva dictadura y el </w:t>
        </w:r>
        <w:r w:rsidR="00B811F4" w:rsidRPr="002508FF">
          <w:rPr>
            <w:rStyle w:val="Hipervnculo"/>
            <w:i/>
            <w:noProof/>
          </w:rPr>
          <w:t xml:space="preserve">boom </w:t>
        </w:r>
        <w:r w:rsidR="00B811F4" w:rsidRPr="002508FF">
          <w:rPr>
            <w:rStyle w:val="Hipervnculo"/>
            <w:noProof/>
          </w:rPr>
          <w:t>petrolero</w:t>
        </w:r>
        <w:r w:rsidR="00B811F4">
          <w:rPr>
            <w:noProof/>
            <w:webHidden/>
          </w:rPr>
          <w:tab/>
        </w:r>
        <w:r>
          <w:rPr>
            <w:noProof/>
            <w:webHidden/>
          </w:rPr>
          <w:fldChar w:fldCharType="begin"/>
        </w:r>
        <w:r w:rsidR="00B811F4">
          <w:rPr>
            <w:noProof/>
            <w:webHidden/>
          </w:rPr>
          <w:instrText xml:space="preserve"> PAGEREF _Toc295373153 \h </w:instrText>
        </w:r>
        <w:r>
          <w:rPr>
            <w:noProof/>
            <w:webHidden/>
          </w:rPr>
        </w:r>
        <w:r>
          <w:rPr>
            <w:noProof/>
            <w:webHidden/>
          </w:rPr>
          <w:fldChar w:fldCharType="separate"/>
        </w:r>
        <w:r w:rsidR="00B811F4">
          <w:rPr>
            <w:noProof/>
            <w:webHidden/>
          </w:rPr>
          <w:t>42</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54" w:history="1">
        <w:r w:rsidR="00B811F4" w:rsidRPr="002508FF">
          <w:rPr>
            <w:rStyle w:val="Hipervnculo"/>
            <w:noProof/>
          </w:rPr>
          <w:t>Comentarios</w:t>
        </w:r>
        <w:r w:rsidR="00B811F4">
          <w:rPr>
            <w:noProof/>
            <w:webHidden/>
          </w:rPr>
          <w:tab/>
        </w:r>
        <w:r>
          <w:rPr>
            <w:noProof/>
            <w:webHidden/>
          </w:rPr>
          <w:fldChar w:fldCharType="begin"/>
        </w:r>
        <w:r w:rsidR="00B811F4">
          <w:rPr>
            <w:noProof/>
            <w:webHidden/>
          </w:rPr>
          <w:instrText xml:space="preserve"> PAGEREF _Toc295373154 \h </w:instrText>
        </w:r>
        <w:r>
          <w:rPr>
            <w:noProof/>
            <w:webHidden/>
          </w:rPr>
        </w:r>
        <w:r>
          <w:rPr>
            <w:noProof/>
            <w:webHidden/>
          </w:rPr>
          <w:fldChar w:fldCharType="separate"/>
        </w:r>
        <w:r w:rsidR="00B811F4">
          <w:rPr>
            <w:noProof/>
            <w:webHidden/>
          </w:rPr>
          <w:t>45</w:t>
        </w:r>
        <w:r>
          <w:rPr>
            <w:noProof/>
            <w:webHidden/>
          </w:rPr>
          <w:fldChar w:fldCharType="end"/>
        </w:r>
      </w:hyperlink>
    </w:p>
    <w:p w:rsidR="00B811F4" w:rsidRDefault="002C66D8">
      <w:pPr>
        <w:pStyle w:val="TDC1"/>
        <w:tabs>
          <w:tab w:val="right" w:leader="dot" w:pos="7927"/>
        </w:tabs>
        <w:rPr>
          <w:rFonts w:asciiTheme="minorHAnsi" w:eastAsiaTheme="minorEastAsia" w:hAnsiTheme="minorHAnsi" w:cstheme="minorBidi"/>
          <w:noProof/>
          <w:lang w:eastAsia="es-ES"/>
        </w:rPr>
      </w:pPr>
      <w:hyperlink w:anchor="_Toc295373155" w:history="1">
        <w:r w:rsidR="00B811F4" w:rsidRPr="002508FF">
          <w:rPr>
            <w:rStyle w:val="Hipervnculo"/>
            <w:noProof/>
          </w:rPr>
          <w:t>CAPÍTULO 2: PROCESO DE DOMINACIÓN POLÍTICA EN EL ECUADOR DESDE 1979 HASTA EL 2003: UNA VISIÓN ORWELLIANA.</w:t>
        </w:r>
        <w:r w:rsidR="00B811F4">
          <w:rPr>
            <w:noProof/>
            <w:webHidden/>
          </w:rPr>
          <w:tab/>
        </w:r>
        <w:r>
          <w:rPr>
            <w:noProof/>
            <w:webHidden/>
          </w:rPr>
          <w:fldChar w:fldCharType="begin"/>
        </w:r>
        <w:r w:rsidR="00B811F4">
          <w:rPr>
            <w:noProof/>
            <w:webHidden/>
          </w:rPr>
          <w:instrText xml:space="preserve"> PAGEREF _Toc295373155 \h </w:instrText>
        </w:r>
        <w:r>
          <w:rPr>
            <w:noProof/>
            <w:webHidden/>
          </w:rPr>
        </w:r>
        <w:r>
          <w:rPr>
            <w:noProof/>
            <w:webHidden/>
          </w:rPr>
          <w:fldChar w:fldCharType="separate"/>
        </w:r>
        <w:r w:rsidR="00B811F4">
          <w:rPr>
            <w:noProof/>
            <w:webHidden/>
          </w:rPr>
          <w:t>48</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56" w:history="1">
        <w:r w:rsidR="00B811F4" w:rsidRPr="002508FF">
          <w:rPr>
            <w:rStyle w:val="Hipervnculo"/>
            <w:noProof/>
          </w:rPr>
          <w:t>La jerarquía de la sociedad: masa, conflicto y dominación.</w:t>
        </w:r>
        <w:r w:rsidR="00B811F4">
          <w:rPr>
            <w:noProof/>
            <w:webHidden/>
          </w:rPr>
          <w:tab/>
        </w:r>
        <w:r>
          <w:rPr>
            <w:noProof/>
            <w:webHidden/>
          </w:rPr>
          <w:fldChar w:fldCharType="begin"/>
        </w:r>
        <w:r w:rsidR="00B811F4">
          <w:rPr>
            <w:noProof/>
            <w:webHidden/>
          </w:rPr>
          <w:instrText xml:space="preserve"> PAGEREF _Toc295373156 \h </w:instrText>
        </w:r>
        <w:r>
          <w:rPr>
            <w:noProof/>
            <w:webHidden/>
          </w:rPr>
        </w:r>
        <w:r>
          <w:rPr>
            <w:noProof/>
            <w:webHidden/>
          </w:rPr>
          <w:fldChar w:fldCharType="separate"/>
        </w:r>
        <w:r w:rsidR="00B811F4">
          <w:rPr>
            <w:noProof/>
            <w:webHidden/>
          </w:rPr>
          <w:t>48</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57" w:history="1">
        <w:r w:rsidR="00B811F4" w:rsidRPr="002508FF">
          <w:rPr>
            <w:rStyle w:val="Hipervnculo"/>
            <w:noProof/>
          </w:rPr>
          <w:t>Eliminación sistemática de la clase media como proceso de dominación.</w:t>
        </w:r>
        <w:r w:rsidR="00B811F4">
          <w:rPr>
            <w:noProof/>
            <w:webHidden/>
          </w:rPr>
          <w:tab/>
        </w:r>
        <w:r>
          <w:rPr>
            <w:noProof/>
            <w:webHidden/>
          </w:rPr>
          <w:fldChar w:fldCharType="begin"/>
        </w:r>
        <w:r w:rsidR="00B811F4">
          <w:rPr>
            <w:noProof/>
            <w:webHidden/>
          </w:rPr>
          <w:instrText xml:space="preserve"> PAGEREF _Toc295373157 \h </w:instrText>
        </w:r>
        <w:r>
          <w:rPr>
            <w:noProof/>
            <w:webHidden/>
          </w:rPr>
        </w:r>
        <w:r>
          <w:rPr>
            <w:noProof/>
            <w:webHidden/>
          </w:rPr>
          <w:fldChar w:fldCharType="separate"/>
        </w:r>
        <w:r w:rsidR="00B811F4">
          <w:rPr>
            <w:noProof/>
            <w:webHidden/>
          </w:rPr>
          <w:t>50</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58" w:history="1">
        <w:r w:rsidR="00B811F4" w:rsidRPr="002508FF">
          <w:rPr>
            <w:rStyle w:val="Hipervnculo"/>
            <w:noProof/>
          </w:rPr>
          <w:t>Falta de representatividad: partidos políticos y dominación</w:t>
        </w:r>
        <w:r w:rsidR="00B811F4">
          <w:rPr>
            <w:noProof/>
            <w:webHidden/>
          </w:rPr>
          <w:tab/>
        </w:r>
        <w:r>
          <w:rPr>
            <w:noProof/>
            <w:webHidden/>
          </w:rPr>
          <w:fldChar w:fldCharType="begin"/>
        </w:r>
        <w:r w:rsidR="00B811F4">
          <w:rPr>
            <w:noProof/>
            <w:webHidden/>
          </w:rPr>
          <w:instrText xml:space="preserve"> PAGEREF _Toc295373158 \h </w:instrText>
        </w:r>
        <w:r>
          <w:rPr>
            <w:noProof/>
            <w:webHidden/>
          </w:rPr>
        </w:r>
        <w:r>
          <w:rPr>
            <w:noProof/>
            <w:webHidden/>
          </w:rPr>
          <w:fldChar w:fldCharType="separate"/>
        </w:r>
        <w:r w:rsidR="00B811F4">
          <w:rPr>
            <w:noProof/>
            <w:webHidden/>
          </w:rPr>
          <w:t>62</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59" w:history="1">
        <w:r w:rsidR="00B811F4" w:rsidRPr="002508FF">
          <w:rPr>
            <w:rStyle w:val="Hipervnculo"/>
            <w:noProof/>
          </w:rPr>
          <w:t>Sistema político, multipartidismo y conflictividad constante</w:t>
        </w:r>
        <w:r w:rsidR="00B811F4">
          <w:rPr>
            <w:noProof/>
            <w:webHidden/>
          </w:rPr>
          <w:tab/>
        </w:r>
        <w:r>
          <w:rPr>
            <w:noProof/>
            <w:webHidden/>
          </w:rPr>
          <w:fldChar w:fldCharType="begin"/>
        </w:r>
        <w:r w:rsidR="00B811F4">
          <w:rPr>
            <w:noProof/>
            <w:webHidden/>
          </w:rPr>
          <w:instrText xml:space="preserve"> PAGEREF _Toc295373159 \h </w:instrText>
        </w:r>
        <w:r>
          <w:rPr>
            <w:noProof/>
            <w:webHidden/>
          </w:rPr>
        </w:r>
        <w:r>
          <w:rPr>
            <w:noProof/>
            <w:webHidden/>
          </w:rPr>
          <w:fldChar w:fldCharType="separate"/>
        </w:r>
        <w:r w:rsidR="00B811F4">
          <w:rPr>
            <w:noProof/>
            <w:webHidden/>
          </w:rPr>
          <w:t>71</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60" w:history="1">
        <w:r w:rsidR="00B811F4" w:rsidRPr="002508FF">
          <w:rPr>
            <w:rStyle w:val="Hipervnculo"/>
            <w:noProof/>
          </w:rPr>
          <w:t>Búsqueda de poder y posición de dominio</w:t>
        </w:r>
        <w:r w:rsidR="00B811F4">
          <w:rPr>
            <w:noProof/>
            <w:webHidden/>
          </w:rPr>
          <w:tab/>
        </w:r>
        <w:r>
          <w:rPr>
            <w:noProof/>
            <w:webHidden/>
          </w:rPr>
          <w:fldChar w:fldCharType="begin"/>
        </w:r>
        <w:r w:rsidR="00B811F4">
          <w:rPr>
            <w:noProof/>
            <w:webHidden/>
          </w:rPr>
          <w:instrText xml:space="preserve"> PAGEREF _Toc295373160 \h </w:instrText>
        </w:r>
        <w:r>
          <w:rPr>
            <w:noProof/>
            <w:webHidden/>
          </w:rPr>
        </w:r>
        <w:r>
          <w:rPr>
            <w:noProof/>
            <w:webHidden/>
          </w:rPr>
          <w:fldChar w:fldCharType="separate"/>
        </w:r>
        <w:r w:rsidR="00B811F4">
          <w:rPr>
            <w:noProof/>
            <w:webHidden/>
          </w:rPr>
          <w:t>79</w:t>
        </w:r>
        <w:r>
          <w:rPr>
            <w:noProof/>
            <w:webHidden/>
          </w:rPr>
          <w:fldChar w:fldCharType="end"/>
        </w:r>
      </w:hyperlink>
    </w:p>
    <w:p w:rsidR="00B811F4" w:rsidRDefault="002C66D8">
      <w:pPr>
        <w:pStyle w:val="TDC2"/>
        <w:tabs>
          <w:tab w:val="right" w:leader="dot" w:pos="7927"/>
        </w:tabs>
        <w:rPr>
          <w:rFonts w:asciiTheme="minorHAnsi" w:eastAsiaTheme="minorEastAsia" w:hAnsiTheme="minorHAnsi" w:cstheme="minorBidi"/>
          <w:noProof/>
          <w:lang w:eastAsia="es-ES"/>
        </w:rPr>
      </w:pPr>
      <w:hyperlink w:anchor="_Toc295373161" w:history="1">
        <w:r w:rsidR="00B811F4" w:rsidRPr="002508FF">
          <w:rPr>
            <w:rStyle w:val="Hipervnculo"/>
            <w:noProof/>
          </w:rPr>
          <w:t>El líder semi-dios</w:t>
        </w:r>
        <w:r w:rsidR="00B811F4">
          <w:rPr>
            <w:noProof/>
            <w:webHidden/>
          </w:rPr>
          <w:tab/>
        </w:r>
        <w:r>
          <w:rPr>
            <w:noProof/>
            <w:webHidden/>
          </w:rPr>
          <w:fldChar w:fldCharType="begin"/>
        </w:r>
        <w:r w:rsidR="00B811F4">
          <w:rPr>
            <w:noProof/>
            <w:webHidden/>
          </w:rPr>
          <w:instrText xml:space="preserve"> PAGEREF _Toc295373161 \h </w:instrText>
        </w:r>
        <w:r>
          <w:rPr>
            <w:noProof/>
            <w:webHidden/>
          </w:rPr>
        </w:r>
        <w:r>
          <w:rPr>
            <w:noProof/>
            <w:webHidden/>
          </w:rPr>
          <w:fldChar w:fldCharType="separate"/>
        </w:r>
        <w:r w:rsidR="00B811F4">
          <w:rPr>
            <w:noProof/>
            <w:webHidden/>
          </w:rPr>
          <w:t>82</w:t>
        </w:r>
        <w:r>
          <w:rPr>
            <w:noProof/>
            <w:webHidden/>
          </w:rPr>
          <w:fldChar w:fldCharType="end"/>
        </w:r>
      </w:hyperlink>
    </w:p>
    <w:p w:rsidR="00B811F4" w:rsidRDefault="002C66D8">
      <w:pPr>
        <w:pStyle w:val="TDC1"/>
        <w:tabs>
          <w:tab w:val="right" w:leader="dot" w:pos="7927"/>
        </w:tabs>
        <w:rPr>
          <w:rFonts w:asciiTheme="minorHAnsi" w:eastAsiaTheme="minorEastAsia" w:hAnsiTheme="minorHAnsi" w:cstheme="minorBidi"/>
          <w:noProof/>
          <w:lang w:eastAsia="es-ES"/>
        </w:rPr>
      </w:pPr>
      <w:hyperlink w:anchor="_Toc295373162" w:history="1">
        <w:r w:rsidR="00B811F4" w:rsidRPr="002508FF">
          <w:rPr>
            <w:rStyle w:val="Hipervnculo"/>
            <w:noProof/>
          </w:rPr>
          <w:t>CONCLUSIONES</w:t>
        </w:r>
        <w:r w:rsidR="00B811F4">
          <w:rPr>
            <w:noProof/>
            <w:webHidden/>
          </w:rPr>
          <w:tab/>
        </w:r>
        <w:r>
          <w:rPr>
            <w:noProof/>
            <w:webHidden/>
          </w:rPr>
          <w:fldChar w:fldCharType="begin"/>
        </w:r>
        <w:r w:rsidR="00B811F4">
          <w:rPr>
            <w:noProof/>
            <w:webHidden/>
          </w:rPr>
          <w:instrText xml:space="preserve"> PAGEREF _Toc295373162 \h </w:instrText>
        </w:r>
        <w:r>
          <w:rPr>
            <w:noProof/>
            <w:webHidden/>
          </w:rPr>
        </w:r>
        <w:r>
          <w:rPr>
            <w:noProof/>
            <w:webHidden/>
          </w:rPr>
          <w:fldChar w:fldCharType="separate"/>
        </w:r>
        <w:r w:rsidR="00B811F4">
          <w:rPr>
            <w:noProof/>
            <w:webHidden/>
          </w:rPr>
          <w:t>86</w:t>
        </w:r>
        <w:r>
          <w:rPr>
            <w:noProof/>
            <w:webHidden/>
          </w:rPr>
          <w:fldChar w:fldCharType="end"/>
        </w:r>
      </w:hyperlink>
    </w:p>
    <w:p w:rsidR="00B811F4" w:rsidRDefault="002C66D8">
      <w:pPr>
        <w:pStyle w:val="TDC1"/>
        <w:tabs>
          <w:tab w:val="right" w:leader="dot" w:pos="7927"/>
        </w:tabs>
        <w:rPr>
          <w:rFonts w:asciiTheme="minorHAnsi" w:eastAsiaTheme="minorEastAsia" w:hAnsiTheme="minorHAnsi" w:cstheme="minorBidi"/>
          <w:noProof/>
          <w:lang w:eastAsia="es-ES"/>
        </w:rPr>
      </w:pPr>
      <w:hyperlink w:anchor="_Toc295373163" w:history="1">
        <w:r w:rsidR="00B811F4" w:rsidRPr="002508FF">
          <w:rPr>
            <w:rStyle w:val="Hipervnculo"/>
            <w:noProof/>
          </w:rPr>
          <w:t>BIBLIOGRAFÍA</w:t>
        </w:r>
        <w:r w:rsidR="00B811F4">
          <w:rPr>
            <w:noProof/>
            <w:webHidden/>
          </w:rPr>
          <w:tab/>
        </w:r>
        <w:r>
          <w:rPr>
            <w:noProof/>
            <w:webHidden/>
          </w:rPr>
          <w:fldChar w:fldCharType="begin"/>
        </w:r>
        <w:r w:rsidR="00B811F4">
          <w:rPr>
            <w:noProof/>
            <w:webHidden/>
          </w:rPr>
          <w:instrText xml:space="preserve"> PAGEREF _Toc295373163 \h </w:instrText>
        </w:r>
        <w:r>
          <w:rPr>
            <w:noProof/>
            <w:webHidden/>
          </w:rPr>
        </w:r>
        <w:r>
          <w:rPr>
            <w:noProof/>
            <w:webHidden/>
          </w:rPr>
          <w:fldChar w:fldCharType="separate"/>
        </w:r>
        <w:r w:rsidR="00B811F4">
          <w:rPr>
            <w:noProof/>
            <w:webHidden/>
          </w:rPr>
          <w:t>91</w:t>
        </w:r>
        <w:r>
          <w:rPr>
            <w:noProof/>
            <w:webHidden/>
          </w:rPr>
          <w:fldChar w:fldCharType="end"/>
        </w:r>
      </w:hyperlink>
    </w:p>
    <w:p w:rsidR="00B811F4" w:rsidRDefault="002C66D8">
      <w:pPr>
        <w:pStyle w:val="TDC1"/>
        <w:tabs>
          <w:tab w:val="right" w:leader="dot" w:pos="7927"/>
        </w:tabs>
        <w:rPr>
          <w:rFonts w:asciiTheme="minorHAnsi" w:eastAsiaTheme="minorEastAsia" w:hAnsiTheme="minorHAnsi" w:cstheme="minorBidi"/>
          <w:noProof/>
          <w:lang w:eastAsia="es-ES"/>
        </w:rPr>
      </w:pPr>
      <w:hyperlink w:anchor="_Toc295373164" w:history="1">
        <w:r w:rsidR="00B811F4" w:rsidRPr="002508FF">
          <w:rPr>
            <w:rStyle w:val="Hipervnculo"/>
            <w:noProof/>
          </w:rPr>
          <w:t>ANEXOS</w:t>
        </w:r>
        <w:r w:rsidR="00B811F4">
          <w:rPr>
            <w:noProof/>
            <w:webHidden/>
          </w:rPr>
          <w:tab/>
        </w:r>
        <w:r>
          <w:rPr>
            <w:noProof/>
            <w:webHidden/>
          </w:rPr>
          <w:fldChar w:fldCharType="begin"/>
        </w:r>
        <w:r w:rsidR="00B811F4">
          <w:rPr>
            <w:noProof/>
            <w:webHidden/>
          </w:rPr>
          <w:instrText xml:space="preserve"> PAGEREF _Toc295373164 \h </w:instrText>
        </w:r>
        <w:r>
          <w:rPr>
            <w:noProof/>
            <w:webHidden/>
          </w:rPr>
        </w:r>
        <w:r>
          <w:rPr>
            <w:noProof/>
            <w:webHidden/>
          </w:rPr>
          <w:fldChar w:fldCharType="separate"/>
        </w:r>
        <w:r w:rsidR="00B811F4">
          <w:rPr>
            <w:noProof/>
            <w:webHidden/>
          </w:rPr>
          <w:t>94</w:t>
        </w:r>
        <w:r>
          <w:rPr>
            <w:noProof/>
            <w:webHidden/>
          </w:rPr>
          <w:fldChar w:fldCharType="end"/>
        </w:r>
      </w:hyperlink>
    </w:p>
    <w:p w:rsidR="00A00E75" w:rsidRPr="001446FF" w:rsidRDefault="002C66D8" w:rsidP="00616A87">
      <w:pPr>
        <w:spacing w:line="360" w:lineRule="auto"/>
        <w:jc w:val="both"/>
        <w:rPr>
          <w:rFonts w:ascii="Times New Roman" w:hAnsi="Times New Roman"/>
          <w:b/>
          <w:sz w:val="24"/>
          <w:szCs w:val="24"/>
          <w:lang w:val="es-ES_tradnl"/>
        </w:rPr>
      </w:pPr>
      <w:r>
        <w:rPr>
          <w:rFonts w:ascii="Times New Roman" w:hAnsi="Times New Roman"/>
          <w:b/>
          <w:sz w:val="24"/>
          <w:szCs w:val="24"/>
          <w:lang w:val="es-ES_tradnl"/>
        </w:rPr>
        <w:fldChar w:fldCharType="end"/>
      </w:r>
    </w:p>
    <w:p w:rsidR="00A00E75" w:rsidRPr="00616A87" w:rsidRDefault="00A00E75" w:rsidP="002E0094">
      <w:pPr>
        <w:pStyle w:val="TtuloTesis"/>
        <w:outlineLvl w:val="0"/>
        <w:rPr>
          <w:lang w:val="es-ES_tradnl"/>
        </w:rPr>
      </w:pPr>
      <w:r w:rsidRPr="00616A87">
        <w:rPr>
          <w:lang w:val="es-ES_tradnl"/>
        </w:rPr>
        <w:br w:type="page"/>
      </w:r>
      <w:bookmarkStart w:id="2" w:name="_Toc295373126"/>
      <w:r>
        <w:rPr>
          <w:lang w:val="es-ES_tradnl"/>
        </w:rPr>
        <w:lastRenderedPageBreak/>
        <w:t>INTRODUCCIÓN</w:t>
      </w:r>
      <w:bookmarkEnd w:id="2"/>
    </w:p>
    <w:p w:rsidR="00A00E75" w:rsidRDefault="00A00E75" w:rsidP="002E0094">
      <w:pPr>
        <w:pStyle w:val="Subttulotesis"/>
        <w:outlineLvl w:val="0"/>
      </w:pPr>
      <w:bookmarkStart w:id="3" w:name="_Toc295373127"/>
      <w:r w:rsidRPr="00616A87">
        <w:t>Problemática</w:t>
      </w:r>
      <w:bookmarkEnd w:id="3"/>
    </w:p>
    <w:p w:rsidR="00A00E75" w:rsidRPr="00616A87" w:rsidRDefault="00A00E75" w:rsidP="00616A87">
      <w:pPr>
        <w:spacing w:before="100" w:beforeAutospacing="1" w:after="100" w:afterAutospacing="1" w:line="360" w:lineRule="auto"/>
        <w:jc w:val="both"/>
        <w:rPr>
          <w:rFonts w:ascii="Times New Roman" w:hAnsi="Times New Roman"/>
          <w:sz w:val="24"/>
          <w:szCs w:val="24"/>
        </w:rPr>
      </w:pPr>
      <w:r w:rsidRPr="00616A87">
        <w:rPr>
          <w:rFonts w:ascii="Times New Roman" w:hAnsi="Times New Roman"/>
          <w:sz w:val="24"/>
          <w:szCs w:val="24"/>
        </w:rPr>
        <w:t>La lucha por el control político en el Ecuador desde el regreso a la democracia</w:t>
      </w:r>
      <w:r w:rsidR="00D26841">
        <w:rPr>
          <w:rFonts w:ascii="Times New Roman" w:hAnsi="Times New Roman"/>
          <w:sz w:val="24"/>
          <w:szCs w:val="24"/>
        </w:rPr>
        <w:t xml:space="preserve"> (1979)</w:t>
      </w:r>
      <w:r w:rsidRPr="00616A87">
        <w:rPr>
          <w:rFonts w:ascii="Times New Roman" w:hAnsi="Times New Roman"/>
          <w:sz w:val="24"/>
          <w:szCs w:val="24"/>
        </w:rPr>
        <w:t xml:space="preserve"> sigue las pautas marcadas por George Orwell y su teoría de la dominación. Un análisis comparativo, además de revelar los procesos de dominación, podrá determinar las consecuencias y soluciones. </w:t>
      </w:r>
    </w:p>
    <w:p w:rsidR="00A00E75" w:rsidRPr="00616A87" w:rsidRDefault="00A00E75" w:rsidP="002E0094">
      <w:pPr>
        <w:pStyle w:val="Subttulotesis"/>
        <w:outlineLvl w:val="0"/>
      </w:pPr>
      <w:bookmarkStart w:id="4" w:name="_Toc295373128"/>
      <w:r w:rsidRPr="00616A87">
        <w:t>Objetivos generales</w:t>
      </w:r>
      <w:bookmarkEnd w:id="4"/>
    </w:p>
    <w:p w:rsidR="00A00E75" w:rsidRPr="00616A87" w:rsidRDefault="00A00E75" w:rsidP="00616A87">
      <w:pPr>
        <w:spacing w:before="100" w:beforeAutospacing="1" w:after="100" w:afterAutospacing="1" w:line="360" w:lineRule="auto"/>
        <w:jc w:val="both"/>
        <w:rPr>
          <w:rFonts w:ascii="Times New Roman" w:hAnsi="Times New Roman"/>
          <w:sz w:val="24"/>
          <w:szCs w:val="24"/>
        </w:rPr>
      </w:pPr>
      <w:r w:rsidRPr="00616A87">
        <w:rPr>
          <w:rFonts w:ascii="Times New Roman" w:hAnsi="Times New Roman"/>
          <w:sz w:val="24"/>
          <w:szCs w:val="24"/>
        </w:rPr>
        <w:t xml:space="preserve">Ofrecer una visión amplia de la lucha política por el control del Estado ecuatoriano a partir de 1979. </w:t>
      </w:r>
    </w:p>
    <w:p w:rsidR="00A00E75" w:rsidRPr="00616A87" w:rsidRDefault="00A00E75" w:rsidP="00616A87">
      <w:pPr>
        <w:spacing w:before="100" w:beforeAutospacing="1" w:after="100" w:afterAutospacing="1" w:line="360" w:lineRule="auto"/>
        <w:jc w:val="both"/>
        <w:rPr>
          <w:rFonts w:ascii="Times New Roman" w:hAnsi="Times New Roman"/>
          <w:sz w:val="24"/>
          <w:szCs w:val="24"/>
        </w:rPr>
      </w:pPr>
      <w:r w:rsidRPr="00616A87">
        <w:rPr>
          <w:rFonts w:ascii="Times New Roman" w:hAnsi="Times New Roman"/>
          <w:sz w:val="24"/>
          <w:szCs w:val="24"/>
        </w:rPr>
        <w:t>Analizar los procesos y métodos de dominación política en el Ecuador democrático, a partir de la teoría de la dominación de George Orwell.</w:t>
      </w:r>
    </w:p>
    <w:p w:rsidR="00A00E75" w:rsidRPr="00616A87" w:rsidRDefault="00A00E75" w:rsidP="00616A87">
      <w:pPr>
        <w:spacing w:before="100" w:beforeAutospacing="1" w:after="100" w:afterAutospacing="1" w:line="360" w:lineRule="auto"/>
        <w:jc w:val="both"/>
        <w:rPr>
          <w:rFonts w:ascii="Times New Roman" w:hAnsi="Times New Roman"/>
          <w:sz w:val="24"/>
          <w:szCs w:val="24"/>
        </w:rPr>
      </w:pPr>
      <w:r w:rsidRPr="00616A87">
        <w:rPr>
          <w:rFonts w:ascii="Times New Roman" w:hAnsi="Times New Roman"/>
          <w:sz w:val="24"/>
          <w:szCs w:val="24"/>
        </w:rPr>
        <w:t xml:space="preserve">Determinar las consecuencias de los procesos de dominación en el Ecuador que sirvan de escenario para el desarrollo de políticas públicas que eviten estas situaciones.  </w:t>
      </w:r>
    </w:p>
    <w:p w:rsidR="00A00E75" w:rsidRPr="00616A87" w:rsidRDefault="00A00E75" w:rsidP="002E0094">
      <w:pPr>
        <w:pStyle w:val="Subttulotesis"/>
        <w:outlineLvl w:val="0"/>
      </w:pPr>
      <w:bookmarkStart w:id="5" w:name="_Toc295373129"/>
      <w:r w:rsidRPr="00616A87">
        <w:t>Objetivos específicos</w:t>
      </w:r>
      <w:bookmarkEnd w:id="5"/>
    </w:p>
    <w:p w:rsidR="00A00E75" w:rsidRPr="00616A87" w:rsidRDefault="00A00E75" w:rsidP="00616A87">
      <w:pPr>
        <w:spacing w:before="100" w:beforeAutospacing="1" w:after="100" w:afterAutospacing="1" w:line="360" w:lineRule="auto"/>
        <w:jc w:val="both"/>
        <w:rPr>
          <w:rFonts w:ascii="Times New Roman" w:hAnsi="Times New Roman"/>
          <w:sz w:val="24"/>
          <w:szCs w:val="24"/>
        </w:rPr>
      </w:pPr>
      <w:r w:rsidRPr="00616A87">
        <w:rPr>
          <w:rFonts w:ascii="Times New Roman" w:hAnsi="Times New Roman"/>
          <w:sz w:val="24"/>
          <w:szCs w:val="24"/>
        </w:rPr>
        <w:t xml:space="preserve">Estudiar los mecanismos de dominación propuestos por George Orwell en </w:t>
      </w:r>
      <w:smartTag w:uri="urn:schemas-microsoft-com:office:smarttags" w:element="metricconverter">
        <w:smartTagPr>
          <w:attr w:name="ProductID" w:val="1984. A"/>
        </w:smartTagPr>
        <w:r w:rsidRPr="00616A87">
          <w:rPr>
            <w:rFonts w:ascii="Times New Roman" w:hAnsi="Times New Roman"/>
            <w:i/>
            <w:sz w:val="24"/>
            <w:szCs w:val="24"/>
          </w:rPr>
          <w:t>1984</w:t>
        </w:r>
        <w:r w:rsidRPr="00616A87">
          <w:rPr>
            <w:rFonts w:ascii="Times New Roman" w:hAnsi="Times New Roman"/>
            <w:sz w:val="24"/>
            <w:szCs w:val="24"/>
          </w:rPr>
          <w:t>. A</w:t>
        </w:r>
      </w:smartTag>
      <w:r w:rsidRPr="00616A87">
        <w:rPr>
          <w:rFonts w:ascii="Times New Roman" w:hAnsi="Times New Roman"/>
          <w:sz w:val="24"/>
          <w:szCs w:val="24"/>
        </w:rPr>
        <w:t xml:space="preserve"> partir de est</w:t>
      </w:r>
      <w:r w:rsidR="006755F0">
        <w:rPr>
          <w:rFonts w:ascii="Times New Roman" w:hAnsi="Times New Roman"/>
          <w:sz w:val="24"/>
          <w:szCs w:val="24"/>
        </w:rPr>
        <w:t>o,</w:t>
      </w:r>
      <w:r w:rsidRPr="00616A87">
        <w:rPr>
          <w:rFonts w:ascii="Times New Roman" w:hAnsi="Times New Roman"/>
          <w:sz w:val="24"/>
          <w:szCs w:val="24"/>
        </w:rPr>
        <w:t xml:space="preserve"> hacer un análisis comparativo con los procesos de dominación política en el Ecuador. </w:t>
      </w:r>
    </w:p>
    <w:p w:rsidR="00A00E75" w:rsidRPr="00616A87" w:rsidRDefault="00A00E75" w:rsidP="00616A87">
      <w:pPr>
        <w:spacing w:before="100" w:beforeAutospacing="1" w:after="100" w:afterAutospacing="1" w:line="360" w:lineRule="auto"/>
        <w:jc w:val="both"/>
        <w:rPr>
          <w:rFonts w:ascii="Times New Roman" w:hAnsi="Times New Roman"/>
          <w:sz w:val="24"/>
          <w:szCs w:val="24"/>
        </w:rPr>
      </w:pPr>
      <w:r w:rsidRPr="00616A87">
        <w:rPr>
          <w:rFonts w:ascii="Times New Roman" w:hAnsi="Times New Roman"/>
          <w:sz w:val="24"/>
          <w:szCs w:val="24"/>
        </w:rPr>
        <w:t>Analizar el poder y las similitudes en los procesos de dominación para, de ahí, obtener una visión realista de las consecuencias de los métodos empleados.</w:t>
      </w:r>
    </w:p>
    <w:p w:rsidR="00A00E75" w:rsidRPr="00616A87" w:rsidRDefault="00A00E75" w:rsidP="00616A87">
      <w:pPr>
        <w:spacing w:before="100" w:beforeAutospacing="1" w:after="100" w:afterAutospacing="1" w:line="360" w:lineRule="auto"/>
        <w:jc w:val="both"/>
        <w:rPr>
          <w:rFonts w:ascii="Times New Roman" w:hAnsi="Times New Roman"/>
          <w:sz w:val="24"/>
          <w:szCs w:val="24"/>
        </w:rPr>
      </w:pPr>
      <w:r w:rsidRPr="00616A87">
        <w:rPr>
          <w:rFonts w:ascii="Times New Roman" w:hAnsi="Times New Roman"/>
          <w:sz w:val="24"/>
          <w:szCs w:val="24"/>
        </w:rPr>
        <w:t xml:space="preserve">Explicar y ensamblar el análisis de dominación dentro de una todo coherente que permita determinar las presencias invariables en el poder y las maneras de mediatizar y utilizar los intereses populares. </w:t>
      </w:r>
    </w:p>
    <w:p w:rsidR="00A00E75" w:rsidRPr="00616A87" w:rsidRDefault="00A00E75" w:rsidP="00616A87">
      <w:pPr>
        <w:spacing w:before="100" w:beforeAutospacing="1" w:after="100" w:afterAutospacing="1" w:line="360" w:lineRule="auto"/>
        <w:jc w:val="both"/>
        <w:rPr>
          <w:rFonts w:ascii="Times New Roman" w:hAnsi="Times New Roman"/>
          <w:sz w:val="24"/>
          <w:szCs w:val="24"/>
        </w:rPr>
      </w:pPr>
      <w:r w:rsidRPr="00616A87">
        <w:rPr>
          <w:rFonts w:ascii="Times New Roman" w:hAnsi="Times New Roman"/>
          <w:sz w:val="24"/>
          <w:szCs w:val="24"/>
        </w:rPr>
        <w:lastRenderedPageBreak/>
        <w:t xml:space="preserve">Proponer escenarios legítimos que sirvan de sustento teórico para la elaboración de políticas públicas que evitan eficaz y verdaderamente la concentración del poder en el gobierno o cualquier otra esfera de poder. </w:t>
      </w:r>
    </w:p>
    <w:p w:rsidR="00A00E75" w:rsidRDefault="00A00E75" w:rsidP="002E0094">
      <w:pPr>
        <w:pStyle w:val="Subttulotesis"/>
        <w:outlineLvl w:val="0"/>
      </w:pPr>
      <w:bookmarkStart w:id="6" w:name="_Toc295373130"/>
      <w:r w:rsidRPr="00616A87">
        <w:t>Importancia del tema dentro de la carrera</w:t>
      </w:r>
      <w:bookmarkEnd w:id="6"/>
    </w:p>
    <w:p w:rsidR="00A00E75" w:rsidRPr="00616A87" w:rsidRDefault="00A00E75" w:rsidP="00616A87">
      <w:pPr>
        <w:spacing w:after="100" w:afterAutospacing="1" w:line="360" w:lineRule="auto"/>
        <w:jc w:val="both"/>
        <w:rPr>
          <w:rFonts w:ascii="Times New Roman" w:hAnsi="Times New Roman"/>
          <w:sz w:val="24"/>
          <w:szCs w:val="24"/>
        </w:rPr>
      </w:pPr>
      <w:r w:rsidRPr="00616A87">
        <w:rPr>
          <w:rFonts w:ascii="Times New Roman" w:hAnsi="Times New Roman"/>
          <w:sz w:val="24"/>
          <w:szCs w:val="24"/>
        </w:rPr>
        <w:t xml:space="preserve">Las Ciencias Políticas abarcan todos los campos sociales que involucran las relaciones entre los individuos o las comunidades y el gobierno o los organismos gubernamentales. El presente trabajo investiga las relaciones de poder entre el gobierno y los gobernados, los manejos políticos que sirven de mecanismo para la dominación y el abuso de poder. </w:t>
      </w:r>
    </w:p>
    <w:p w:rsidR="00A00E75" w:rsidRDefault="00A00E75" w:rsidP="00E071AD">
      <w:pPr>
        <w:pStyle w:val="Subttulotesis"/>
      </w:pPr>
      <w:bookmarkStart w:id="7" w:name="_Toc295373131"/>
      <w:r w:rsidRPr="00616A87">
        <w:t>Importancia del tema para el desarrollo científico y social del país</w:t>
      </w:r>
      <w:bookmarkEnd w:id="7"/>
    </w:p>
    <w:p w:rsidR="00A00E75" w:rsidRDefault="00A00E75" w:rsidP="00616A87">
      <w:pPr>
        <w:spacing w:after="100" w:afterAutospacing="1" w:line="360" w:lineRule="auto"/>
        <w:jc w:val="both"/>
        <w:rPr>
          <w:rStyle w:val="mediumtext"/>
          <w:rFonts w:ascii="Times New Roman" w:hAnsi="Times New Roman"/>
          <w:sz w:val="24"/>
          <w:szCs w:val="24"/>
        </w:rPr>
      </w:pPr>
      <w:r w:rsidRPr="00616A87">
        <w:rPr>
          <w:rFonts w:ascii="Times New Roman" w:hAnsi="Times New Roman"/>
          <w:sz w:val="24"/>
          <w:szCs w:val="24"/>
        </w:rPr>
        <w:t xml:space="preserve"> El Estado es un ente compuesto tanto por el gobierno como por los agentes civiles. De acuerdo a Jean-Jaques Rousseau</w:t>
      </w:r>
      <w:r w:rsidR="00D26841">
        <w:rPr>
          <w:rFonts w:ascii="Times New Roman" w:hAnsi="Times New Roman"/>
          <w:sz w:val="24"/>
          <w:szCs w:val="24"/>
        </w:rPr>
        <w:t>,</w:t>
      </w:r>
      <w:r w:rsidRPr="00616A87">
        <w:rPr>
          <w:rFonts w:ascii="Times New Roman" w:hAnsi="Times New Roman"/>
          <w:sz w:val="24"/>
          <w:szCs w:val="24"/>
        </w:rPr>
        <w:t xml:space="preserve"> el contrato social “</w:t>
      </w:r>
      <w:r w:rsidR="00D26841">
        <w:rPr>
          <w:rFonts w:ascii="Times New Roman" w:hAnsi="Times New Roman"/>
          <w:sz w:val="24"/>
          <w:szCs w:val="24"/>
        </w:rPr>
        <w:t>se reduce a los términos siguientes</w:t>
      </w:r>
      <w:r w:rsidRPr="00616A87">
        <w:rPr>
          <w:rFonts w:ascii="Times New Roman" w:hAnsi="Times New Roman"/>
          <w:sz w:val="24"/>
          <w:szCs w:val="24"/>
        </w:rPr>
        <w:t xml:space="preserve">: </w:t>
      </w:r>
      <w:r w:rsidR="00D26841">
        <w:rPr>
          <w:rStyle w:val="mediumtext"/>
          <w:rFonts w:ascii="Times New Roman" w:hAnsi="Times New Roman"/>
          <w:sz w:val="24"/>
          <w:szCs w:val="24"/>
        </w:rPr>
        <w:t xml:space="preserve">‘Cada cual pone en común su persona y su poder bajo la suprema dirección de la </w:t>
      </w:r>
      <w:r w:rsidR="000F4047">
        <w:rPr>
          <w:rStyle w:val="mediumtext"/>
          <w:rFonts w:ascii="Times New Roman" w:hAnsi="Times New Roman"/>
          <w:sz w:val="24"/>
          <w:szCs w:val="24"/>
        </w:rPr>
        <w:t>voluntad</w:t>
      </w:r>
      <w:r w:rsidR="00D26841">
        <w:rPr>
          <w:rStyle w:val="mediumtext"/>
          <w:rFonts w:ascii="Times New Roman" w:hAnsi="Times New Roman"/>
          <w:sz w:val="24"/>
          <w:szCs w:val="24"/>
        </w:rPr>
        <w:t xml:space="preserve"> general, y cada miembro es considerado como para indivisible del todo’</w:t>
      </w:r>
      <w:r w:rsidRPr="00616A87">
        <w:rPr>
          <w:rStyle w:val="mediumtext"/>
          <w:rFonts w:ascii="Times New Roman" w:hAnsi="Times New Roman"/>
          <w:sz w:val="24"/>
          <w:szCs w:val="24"/>
        </w:rPr>
        <w:t>”</w:t>
      </w:r>
      <w:r w:rsidR="00D26841">
        <w:rPr>
          <w:rStyle w:val="mediumtext"/>
          <w:rFonts w:ascii="Times New Roman" w:hAnsi="Times New Roman"/>
          <w:sz w:val="24"/>
          <w:szCs w:val="24"/>
        </w:rPr>
        <w:t xml:space="preserve"> (Rousseau, </w:t>
      </w:r>
      <w:r w:rsidR="000F4047">
        <w:rPr>
          <w:rStyle w:val="mediumtext"/>
          <w:rFonts w:ascii="Times New Roman" w:hAnsi="Times New Roman"/>
          <w:sz w:val="24"/>
          <w:szCs w:val="24"/>
        </w:rPr>
        <w:t>2005, p.61)</w:t>
      </w:r>
      <w:r w:rsidRPr="00616A87">
        <w:rPr>
          <w:rStyle w:val="mediumtext"/>
          <w:rFonts w:ascii="Times New Roman" w:hAnsi="Times New Roman"/>
          <w:sz w:val="24"/>
          <w:szCs w:val="24"/>
        </w:rPr>
        <w:t xml:space="preserve">. Por lo tanto las relaciones de poder jerárquico que existen entre el gobierno y la sociedad civil no pueden ser justificativas para la dominación absolutista. A través del presente trabajo, se pretende denunciar estos actos y servir </w:t>
      </w:r>
      <w:r w:rsidR="00941EC2">
        <w:rPr>
          <w:rStyle w:val="mediumtext"/>
          <w:rFonts w:ascii="Times New Roman" w:hAnsi="Times New Roman"/>
          <w:sz w:val="24"/>
          <w:szCs w:val="24"/>
        </w:rPr>
        <w:t xml:space="preserve">de </w:t>
      </w:r>
      <w:r w:rsidRPr="00616A87">
        <w:rPr>
          <w:rStyle w:val="mediumtext"/>
          <w:rFonts w:ascii="Times New Roman" w:hAnsi="Times New Roman"/>
          <w:sz w:val="24"/>
          <w:szCs w:val="24"/>
        </w:rPr>
        <w:t xml:space="preserve">alerta e incentivo para la elaboración de políticas públicas que permitan la limitación de estos mecanismos de dominación.  </w:t>
      </w:r>
    </w:p>
    <w:p w:rsidR="00A00E75" w:rsidRPr="007D66CA" w:rsidRDefault="00A00E75" w:rsidP="002E0094">
      <w:pPr>
        <w:pStyle w:val="Subttulotesis"/>
        <w:outlineLvl w:val="0"/>
        <w:rPr>
          <w:sz w:val="24"/>
        </w:rPr>
      </w:pPr>
      <w:bookmarkStart w:id="8" w:name="_Toc295373132"/>
      <w:r w:rsidRPr="007D66CA">
        <w:rPr>
          <w:sz w:val="24"/>
        </w:rPr>
        <w:t>Resumen marco teórico</w:t>
      </w:r>
      <w:bookmarkEnd w:id="8"/>
    </w:p>
    <w:p w:rsidR="00A00E75" w:rsidRDefault="00A00E75" w:rsidP="007D66CA">
      <w:pPr>
        <w:spacing w:line="360" w:lineRule="auto"/>
        <w:jc w:val="both"/>
        <w:rPr>
          <w:rFonts w:ascii="Times New Roman" w:hAnsi="Times New Roman"/>
          <w:sz w:val="24"/>
          <w:szCs w:val="24"/>
          <w:lang w:val="es-EC"/>
        </w:rPr>
      </w:pPr>
      <w:r w:rsidRPr="007D66CA">
        <w:rPr>
          <w:rFonts w:ascii="Times New Roman" w:hAnsi="Times New Roman"/>
          <w:sz w:val="24"/>
          <w:szCs w:val="24"/>
          <w:lang w:val="es-EC"/>
        </w:rPr>
        <w:t xml:space="preserve">En el marco teórico se expone la teoría de la dominación desarrollada por George Orwell en </w:t>
      </w:r>
      <w:r w:rsidRPr="007D66CA">
        <w:rPr>
          <w:rFonts w:ascii="Times New Roman" w:hAnsi="Times New Roman"/>
          <w:i/>
          <w:sz w:val="24"/>
          <w:szCs w:val="24"/>
          <w:lang w:val="es-EC"/>
        </w:rPr>
        <w:t>1984</w:t>
      </w:r>
      <w:r w:rsidRPr="007D66CA">
        <w:rPr>
          <w:rFonts w:ascii="Times New Roman" w:hAnsi="Times New Roman"/>
          <w:sz w:val="24"/>
          <w:szCs w:val="24"/>
          <w:lang w:val="es-EC"/>
        </w:rPr>
        <w:t xml:space="preserve"> y otros ensayos publicados. Se divide esta teoría, entretejida en las páginas de la novela, en las subdivisiones más importantes que se extraen de la misma: los principios fundamentales, la visión del partido, la jerarquización de la sociedad, la continuidad en el sistema de dominación, la desnaturalización del individuo y el poder como fin último de la dominación. </w:t>
      </w:r>
    </w:p>
    <w:p w:rsidR="00A00E75" w:rsidRPr="007D66CA" w:rsidRDefault="00A00E75" w:rsidP="007D66CA">
      <w:pPr>
        <w:spacing w:line="360" w:lineRule="auto"/>
        <w:jc w:val="both"/>
        <w:rPr>
          <w:rFonts w:ascii="Times New Roman" w:hAnsi="Times New Roman"/>
          <w:sz w:val="24"/>
          <w:szCs w:val="24"/>
          <w:lang w:val="es-EC"/>
        </w:rPr>
      </w:pPr>
    </w:p>
    <w:p w:rsidR="00A00E75" w:rsidRPr="007D66CA" w:rsidRDefault="00A00E75" w:rsidP="002E0094">
      <w:pPr>
        <w:pStyle w:val="Subttulotesis"/>
        <w:outlineLvl w:val="0"/>
        <w:rPr>
          <w:sz w:val="24"/>
        </w:rPr>
      </w:pPr>
      <w:bookmarkStart w:id="9" w:name="_Toc295373133"/>
      <w:r w:rsidRPr="007D66CA">
        <w:rPr>
          <w:sz w:val="24"/>
        </w:rPr>
        <w:lastRenderedPageBreak/>
        <w:t>Resumen capítulo 1</w:t>
      </w:r>
      <w:bookmarkEnd w:id="9"/>
    </w:p>
    <w:p w:rsidR="00A00E75" w:rsidRPr="007D66CA" w:rsidRDefault="00A00E75" w:rsidP="007D66CA">
      <w:pPr>
        <w:spacing w:line="360" w:lineRule="auto"/>
        <w:jc w:val="both"/>
        <w:rPr>
          <w:rFonts w:ascii="Times New Roman" w:hAnsi="Times New Roman"/>
          <w:sz w:val="24"/>
          <w:szCs w:val="24"/>
          <w:lang w:val="es-EC"/>
        </w:rPr>
      </w:pPr>
      <w:r w:rsidRPr="007D66CA">
        <w:rPr>
          <w:rFonts w:ascii="Times New Roman" w:hAnsi="Times New Roman"/>
          <w:sz w:val="24"/>
          <w:szCs w:val="24"/>
          <w:lang w:val="es-EC"/>
        </w:rPr>
        <w:t>En el capítulo 1 se desarrolla una perspectiva histórica del proceso de dominación política en el Ecuador a partir del enfoque de Agustín Cueva. Es un vistazo que abarco: la época colonial, lo inicios de la república, la revolución liberal, la revolución juliana, la crisis de los 30 y 40, el velasquismo y la dictadura. Además, se identifican a los actores principales dentro del proceso de dominación y la injerencia que han tenido en el aparto político.</w:t>
      </w:r>
      <w:r w:rsidR="00993967">
        <w:rPr>
          <w:rFonts w:ascii="Times New Roman" w:hAnsi="Times New Roman"/>
          <w:sz w:val="24"/>
          <w:szCs w:val="24"/>
          <w:lang w:val="es-EC"/>
        </w:rPr>
        <w:t xml:space="preserve"> Sirve como preámbulo para situarnos social y políticamente dentro del marco del regreso a la democracia.</w:t>
      </w:r>
    </w:p>
    <w:p w:rsidR="00A00E75" w:rsidRPr="007D66CA" w:rsidRDefault="00A00E75" w:rsidP="002E0094">
      <w:pPr>
        <w:pStyle w:val="Subttulotesis"/>
        <w:outlineLvl w:val="0"/>
        <w:rPr>
          <w:sz w:val="24"/>
        </w:rPr>
      </w:pPr>
      <w:bookmarkStart w:id="10" w:name="_Toc295373134"/>
      <w:r w:rsidRPr="007D66CA">
        <w:rPr>
          <w:sz w:val="24"/>
        </w:rPr>
        <w:t>Resumen capítulo 2</w:t>
      </w:r>
      <w:bookmarkEnd w:id="10"/>
    </w:p>
    <w:p w:rsidR="00A00E75" w:rsidRPr="007D66CA" w:rsidRDefault="00A00E75" w:rsidP="007D66CA">
      <w:pPr>
        <w:spacing w:line="360" w:lineRule="auto"/>
        <w:jc w:val="both"/>
        <w:rPr>
          <w:rFonts w:ascii="Times New Roman" w:hAnsi="Times New Roman"/>
          <w:sz w:val="24"/>
          <w:szCs w:val="24"/>
          <w:lang w:val="es-EC"/>
        </w:rPr>
      </w:pPr>
      <w:r w:rsidRPr="007D66CA">
        <w:rPr>
          <w:rFonts w:ascii="Times New Roman" w:hAnsi="Times New Roman"/>
          <w:sz w:val="24"/>
          <w:szCs w:val="24"/>
          <w:lang w:val="es-EC"/>
        </w:rPr>
        <w:t xml:space="preserve">En el capítulo 2 se hace el análisis dialéctico de la dominación en el Ecuador desde 1979 hasta el 2003, usando como base la teoría de la dominación de George Orwell. Se determinan los actores y los conflictos que nacen de la interacción de estos actores que perpetúan el sistema de dominación. Se consideran los diversos factores que intervienen dentro del proceso de dominación, así como las consecuencias del mismo.   </w:t>
      </w:r>
    </w:p>
    <w:p w:rsidR="00A00E75" w:rsidRDefault="00A00E75" w:rsidP="00611949">
      <w:pPr>
        <w:pStyle w:val="TtuloTesis"/>
      </w:pPr>
      <w:r w:rsidRPr="00616A87">
        <w:br w:type="page"/>
      </w:r>
    </w:p>
    <w:p w:rsidR="00A00E75" w:rsidRDefault="00A00E75" w:rsidP="00611949">
      <w:pPr>
        <w:pStyle w:val="TtuloTesis"/>
      </w:pPr>
    </w:p>
    <w:p w:rsidR="00A00E75" w:rsidRDefault="00A00E75" w:rsidP="00611949"/>
    <w:p w:rsidR="00A00E75" w:rsidRPr="00611949" w:rsidRDefault="00A00E75" w:rsidP="00611949"/>
    <w:p w:rsidR="00A00E75" w:rsidRPr="00616A87" w:rsidRDefault="00A00E75" w:rsidP="00611949">
      <w:pPr>
        <w:pStyle w:val="TtuloTesis"/>
      </w:pPr>
      <w:bookmarkStart w:id="11" w:name="_Toc295373135"/>
      <w:r w:rsidRPr="00616A87">
        <w:t>MARCO TEÓRICO</w:t>
      </w:r>
      <w:r>
        <w:t xml:space="preserve">: </w:t>
      </w:r>
      <w:r w:rsidRPr="00616A87">
        <w:t>TEORÍA DE LA DOMINACIÓN EN</w:t>
      </w:r>
      <w:r w:rsidR="00AA5630">
        <w:t xml:space="preserve"> </w:t>
      </w:r>
      <w:r w:rsidRPr="00616A87">
        <w:rPr>
          <w:i/>
        </w:rPr>
        <w:t>1984</w:t>
      </w:r>
      <w:r w:rsidRPr="00616A87">
        <w:t>.</w:t>
      </w:r>
      <w:bookmarkEnd w:id="11"/>
    </w:p>
    <w:p w:rsidR="00A00E75" w:rsidRPr="00616A87" w:rsidRDefault="00A00E75" w:rsidP="00214339">
      <w:pPr>
        <w:pStyle w:val="Subttulotesis"/>
      </w:pPr>
      <w:bookmarkStart w:id="12" w:name="_Toc295373136"/>
      <w:r w:rsidRPr="00616A87">
        <w:t>Principios fundamentales de la teoría de la dominación de George Orwell.</w:t>
      </w:r>
      <w:bookmarkEnd w:id="12"/>
    </w:p>
    <w:p w:rsidR="00A00E75" w:rsidRDefault="00A00E75" w:rsidP="000132DD">
      <w:pPr>
        <w:spacing w:line="360" w:lineRule="auto"/>
        <w:jc w:val="both"/>
        <w:rPr>
          <w:rFonts w:ascii="Times New Roman" w:hAnsi="Times New Roman"/>
          <w:sz w:val="24"/>
          <w:szCs w:val="24"/>
        </w:rPr>
      </w:pPr>
      <w:r w:rsidRPr="00616A87">
        <w:rPr>
          <w:rFonts w:ascii="Times New Roman" w:hAnsi="Times New Roman"/>
          <w:sz w:val="24"/>
          <w:szCs w:val="24"/>
        </w:rPr>
        <w:t xml:space="preserve">La teoría de la dominación propuesta por George Orwell en </w:t>
      </w:r>
      <w:r w:rsidRPr="00616A87">
        <w:rPr>
          <w:rFonts w:ascii="Times New Roman" w:hAnsi="Times New Roman"/>
          <w:i/>
          <w:sz w:val="24"/>
          <w:szCs w:val="24"/>
        </w:rPr>
        <w:t>1984</w:t>
      </w:r>
      <w:r w:rsidRPr="00616A87">
        <w:rPr>
          <w:rFonts w:ascii="Times New Roman" w:hAnsi="Times New Roman"/>
          <w:sz w:val="24"/>
          <w:szCs w:val="24"/>
        </w:rPr>
        <w:t xml:space="preserve"> se presenta, más que como un desarrollo concreto de una teoría, como una serie de parámetros y principios de gobierno a través de una distopía. En la sociedad orwelliana podemos encontrar una variedad de repertorios ideológicos, sin embargo, “la ideología dominante es la pública, la que está al servicio de los poderosos y la que se supone que sirve de </w:t>
      </w:r>
      <w:r w:rsidRPr="00616A87">
        <w:rPr>
          <w:rFonts w:ascii="Times New Roman" w:hAnsi="Times New Roman"/>
          <w:i/>
          <w:sz w:val="24"/>
          <w:szCs w:val="24"/>
        </w:rPr>
        <w:t>lingua franca</w:t>
      </w:r>
      <w:r w:rsidRPr="00616A87">
        <w:rPr>
          <w:rFonts w:ascii="Times New Roman" w:hAnsi="Times New Roman"/>
          <w:sz w:val="24"/>
          <w:szCs w:val="24"/>
        </w:rPr>
        <w:t xml:space="preserve"> ideológica”</w:t>
      </w:r>
      <w:r>
        <w:rPr>
          <w:rFonts w:ascii="Times New Roman" w:hAnsi="Times New Roman"/>
          <w:sz w:val="24"/>
          <w:szCs w:val="24"/>
        </w:rPr>
        <w:t xml:space="preserve"> (Thomas, 1998, p.147)</w:t>
      </w:r>
      <w:r w:rsidRPr="00616A87">
        <w:rPr>
          <w:rFonts w:ascii="Times New Roman" w:hAnsi="Times New Roman"/>
          <w:sz w:val="24"/>
          <w:szCs w:val="24"/>
        </w:rPr>
        <w:t>. “Lo que Orwell hizo, no fue prever el futuro, sino observar las implicaciones del presente”</w:t>
      </w:r>
      <w:r>
        <w:rPr>
          <w:rFonts w:ascii="Times New Roman" w:hAnsi="Times New Roman"/>
          <w:sz w:val="24"/>
          <w:szCs w:val="24"/>
        </w:rPr>
        <w:t xml:space="preserve"> (Cronkite, 1983, p.1)</w:t>
      </w:r>
      <w:r w:rsidRPr="00616A87">
        <w:rPr>
          <w:rFonts w:ascii="Times New Roman" w:hAnsi="Times New Roman"/>
          <w:sz w:val="24"/>
          <w:szCs w:val="24"/>
        </w:rPr>
        <w:t>, y ese presente se avizoraba como una serie de medidas que garantizaban seguridad, estabilidad política y continuidad de gobierno, cualquiera que esta sea, a un “precio substancial de la libertad”</w:t>
      </w:r>
      <w:r>
        <w:rPr>
          <w:rFonts w:ascii="Times New Roman" w:hAnsi="Times New Roman"/>
          <w:sz w:val="24"/>
          <w:szCs w:val="24"/>
        </w:rPr>
        <w:t xml:space="preserve"> (Cronkite, 1983, p.2)</w:t>
      </w:r>
      <w:r w:rsidRPr="00616A87">
        <w:rPr>
          <w:rFonts w:ascii="Times New Roman" w:hAnsi="Times New Roman"/>
          <w:sz w:val="24"/>
          <w:szCs w:val="24"/>
        </w:rPr>
        <w:t xml:space="preserve">. </w:t>
      </w:r>
      <w:r w:rsidRPr="00616A87">
        <w:rPr>
          <w:rFonts w:ascii="Times New Roman" w:hAnsi="Times New Roman"/>
          <w:i/>
          <w:sz w:val="24"/>
          <w:szCs w:val="24"/>
        </w:rPr>
        <w:t xml:space="preserve">1984 </w:t>
      </w:r>
      <w:r w:rsidRPr="00616A87">
        <w:rPr>
          <w:rFonts w:ascii="Times New Roman" w:hAnsi="Times New Roman"/>
          <w:sz w:val="24"/>
          <w:szCs w:val="24"/>
        </w:rPr>
        <w:t>es “el opuesto exacto de esas estúpidas Utopías hedonistas que los viejos reformistas imaginaron. Un mundo</w:t>
      </w:r>
      <w:r w:rsidR="006B19DC">
        <w:rPr>
          <w:rFonts w:ascii="Times New Roman" w:hAnsi="Times New Roman"/>
          <w:sz w:val="24"/>
          <w:szCs w:val="24"/>
        </w:rPr>
        <w:t xml:space="preserve"> de miedo y engaño y tormento, un</w:t>
      </w:r>
      <w:r w:rsidRPr="00616A87">
        <w:rPr>
          <w:rFonts w:ascii="Times New Roman" w:hAnsi="Times New Roman"/>
          <w:sz w:val="24"/>
          <w:szCs w:val="24"/>
        </w:rPr>
        <w:t xml:space="preserve"> mundo de pisotear y ser pisoteado, un mundo que crecerá, no menos, sino más despiadado a manera de que se refina. Progreso en este mundo será progreso hacia más dolor. Las viejas civilizaciones pregonaban haber sido fundadas en amor y justicia. En nuestro mundo no habrá más emoción qu</w:t>
      </w:r>
      <w:r w:rsidR="00993967">
        <w:rPr>
          <w:rFonts w:ascii="Times New Roman" w:hAnsi="Times New Roman"/>
          <w:sz w:val="24"/>
          <w:szCs w:val="24"/>
        </w:rPr>
        <w:t>e el miedo, la ira y el triunfo</w:t>
      </w:r>
      <w:r w:rsidRPr="00616A87">
        <w:rPr>
          <w:rFonts w:ascii="Times New Roman" w:hAnsi="Times New Roman"/>
          <w:sz w:val="24"/>
          <w:szCs w:val="24"/>
        </w:rPr>
        <w:t>”</w:t>
      </w:r>
      <w:r>
        <w:rPr>
          <w:rFonts w:ascii="Times New Roman" w:hAnsi="Times New Roman"/>
          <w:sz w:val="24"/>
          <w:szCs w:val="24"/>
        </w:rPr>
        <w:t xml:space="preserve"> (Orwell, 1983, p.220)</w:t>
      </w:r>
      <w:r w:rsidRPr="00616A87">
        <w:rPr>
          <w:rFonts w:ascii="Times New Roman" w:hAnsi="Times New Roman"/>
          <w:sz w:val="24"/>
          <w:szCs w:val="24"/>
        </w:rPr>
        <w:t xml:space="preserve">. Los principios básicos del </w:t>
      </w:r>
      <w:r w:rsidRPr="00616A87">
        <w:rPr>
          <w:rFonts w:ascii="Times New Roman" w:hAnsi="Times New Roman"/>
          <w:i/>
          <w:sz w:val="24"/>
          <w:szCs w:val="24"/>
        </w:rPr>
        <w:t>Ingsoc</w:t>
      </w:r>
      <w:r w:rsidRPr="00616A87">
        <w:rPr>
          <w:rStyle w:val="Refdenotaalpie"/>
          <w:rFonts w:ascii="Times New Roman" w:hAnsi="Times New Roman"/>
          <w:sz w:val="24"/>
          <w:szCs w:val="24"/>
        </w:rPr>
        <w:footnoteReference w:id="2"/>
      </w:r>
      <w:r w:rsidRPr="00616A87">
        <w:rPr>
          <w:rFonts w:ascii="Times New Roman" w:hAnsi="Times New Roman"/>
          <w:sz w:val="24"/>
          <w:szCs w:val="24"/>
        </w:rPr>
        <w:t xml:space="preserve">, y por lo tanto parte de la teoría de la dominación de George Orwell, están regidos por: </w:t>
      </w:r>
    </w:p>
    <w:p w:rsidR="00484603" w:rsidRDefault="00484603" w:rsidP="000132DD">
      <w:pPr>
        <w:spacing w:line="360" w:lineRule="auto"/>
        <w:jc w:val="both"/>
        <w:rPr>
          <w:rFonts w:ascii="Times New Roman" w:hAnsi="Times New Roman"/>
          <w:sz w:val="24"/>
          <w:szCs w:val="24"/>
        </w:rPr>
      </w:pPr>
    </w:p>
    <w:p w:rsidR="00A00E75" w:rsidRPr="00616A87" w:rsidRDefault="00A00E75" w:rsidP="002E0094">
      <w:pPr>
        <w:spacing w:after="0" w:line="360" w:lineRule="auto"/>
        <w:jc w:val="center"/>
        <w:outlineLvl w:val="0"/>
        <w:rPr>
          <w:rFonts w:ascii="Times New Roman" w:hAnsi="Times New Roman"/>
          <w:sz w:val="24"/>
          <w:szCs w:val="24"/>
        </w:rPr>
      </w:pPr>
      <w:r w:rsidRPr="00616A87">
        <w:rPr>
          <w:rFonts w:ascii="Times New Roman" w:hAnsi="Times New Roman"/>
          <w:sz w:val="24"/>
          <w:szCs w:val="24"/>
        </w:rPr>
        <w:lastRenderedPageBreak/>
        <w:t>GUERRA ES PAZ</w:t>
      </w:r>
    </w:p>
    <w:p w:rsidR="00A00E75" w:rsidRPr="00616A87" w:rsidRDefault="00A00E75" w:rsidP="00616A87">
      <w:pPr>
        <w:spacing w:after="0" w:line="360" w:lineRule="auto"/>
        <w:jc w:val="center"/>
        <w:rPr>
          <w:rFonts w:ascii="Times New Roman" w:hAnsi="Times New Roman"/>
          <w:sz w:val="24"/>
          <w:szCs w:val="24"/>
        </w:rPr>
      </w:pPr>
      <w:r w:rsidRPr="00616A87">
        <w:rPr>
          <w:rFonts w:ascii="Times New Roman" w:hAnsi="Times New Roman"/>
          <w:sz w:val="24"/>
          <w:szCs w:val="24"/>
        </w:rPr>
        <w:t>LIBERTAD ES ESCLAVITUD</w:t>
      </w:r>
    </w:p>
    <w:p w:rsidR="00A00E75" w:rsidRPr="00616A87" w:rsidRDefault="00A00E75" w:rsidP="00616A87">
      <w:pPr>
        <w:spacing w:line="360" w:lineRule="auto"/>
        <w:jc w:val="center"/>
        <w:rPr>
          <w:rFonts w:ascii="Times New Roman" w:hAnsi="Times New Roman"/>
          <w:sz w:val="24"/>
          <w:szCs w:val="24"/>
        </w:rPr>
      </w:pPr>
      <w:r w:rsidRPr="00616A87">
        <w:rPr>
          <w:rFonts w:ascii="Times New Roman" w:hAnsi="Times New Roman"/>
          <w:sz w:val="24"/>
          <w:szCs w:val="24"/>
        </w:rPr>
        <w:t>IGNORANCIA ES FUERZA</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La guerra, la confrontación, ya sea bélica o política, en la distopía orwelliana, es un “combate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entre dos combatientes que son </w:t>
      </w:r>
      <w:r w:rsidR="00993967">
        <w:rPr>
          <w:rFonts w:ascii="Times New Roman" w:hAnsi="Times New Roman"/>
          <w:sz w:val="24"/>
          <w:szCs w:val="24"/>
        </w:rPr>
        <w:t xml:space="preserve">incapaces de destruirse entre </w:t>
      </w:r>
      <w:r w:rsidR="0025336B">
        <w:rPr>
          <w:rFonts w:ascii="Times New Roman" w:hAnsi="Times New Roman"/>
          <w:sz w:val="24"/>
          <w:szCs w:val="24"/>
        </w:rPr>
        <w:t>si</w:t>
      </w:r>
      <w:r w:rsidRPr="00616A87">
        <w:rPr>
          <w:rFonts w:ascii="Times New Roman" w:hAnsi="Times New Roman"/>
          <w:sz w:val="24"/>
          <w:szCs w:val="24"/>
        </w:rPr>
        <w:t xml:space="preserve">,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y no están divididos por ninguna diferencia ideológica”</w:t>
      </w:r>
      <w:r>
        <w:rPr>
          <w:rFonts w:ascii="Times New Roman" w:hAnsi="Times New Roman"/>
          <w:sz w:val="24"/>
          <w:szCs w:val="24"/>
        </w:rPr>
        <w:t xml:space="preserve"> (Orwell, 1983, p.153)</w:t>
      </w:r>
      <w:r w:rsidRPr="00616A87">
        <w:rPr>
          <w:rFonts w:ascii="Times New Roman" w:hAnsi="Times New Roman"/>
          <w:sz w:val="24"/>
          <w:szCs w:val="24"/>
        </w:rPr>
        <w:t>, una guerra que promueve como fin específico el poder, no una visión política o de desarrollo. Si bien la guerra puede buscar materia prima inexistente en los territorios disputados, lo que contiene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por sobre todas las cosas, es una reserva infinita de mano de obra barata</w:t>
      </w:r>
      <w:r w:rsidR="0025336B" w:rsidRPr="00616A87">
        <w:rPr>
          <w:rFonts w:ascii="Times New Roman" w:hAnsi="Times New Roman"/>
          <w:sz w:val="24"/>
          <w:szCs w:val="24"/>
        </w:rPr>
        <w:t>”</w:t>
      </w:r>
      <w:r w:rsidR="0025336B">
        <w:rPr>
          <w:rFonts w:ascii="Times New Roman" w:hAnsi="Times New Roman"/>
          <w:sz w:val="24"/>
          <w:szCs w:val="24"/>
        </w:rPr>
        <w:t xml:space="preserve"> (</w:t>
      </w:r>
      <w:r>
        <w:rPr>
          <w:rFonts w:ascii="Times New Roman" w:hAnsi="Times New Roman"/>
          <w:sz w:val="24"/>
          <w:szCs w:val="24"/>
        </w:rPr>
        <w:t>Orwell, 1983, p.154)</w:t>
      </w:r>
      <w:r w:rsidRPr="00616A87">
        <w:rPr>
          <w:rFonts w:ascii="Times New Roman" w:hAnsi="Times New Roman"/>
          <w:sz w:val="24"/>
          <w:szCs w:val="24"/>
        </w:rPr>
        <w:t>. Además de la explotación de la tierra en busca de material prima barata, la meta de los grupos de dominación es encontrar una fuente de mano de obra barata. Estas constantes disputas están reforzadas por la necesidad de “mantener el orden jerárquico de la sociedad” únicamente posible “basándose en la pobreza y la ignorancia</w:t>
      </w:r>
      <w:r w:rsidR="00993967" w:rsidRPr="00616A87">
        <w:rPr>
          <w:rFonts w:ascii="Times New Roman" w:hAnsi="Times New Roman"/>
          <w:sz w:val="24"/>
          <w:szCs w:val="24"/>
        </w:rPr>
        <w:t>”</w:t>
      </w:r>
      <w:r w:rsidR="00993967">
        <w:rPr>
          <w:rFonts w:ascii="Times New Roman" w:hAnsi="Times New Roman"/>
          <w:sz w:val="24"/>
          <w:szCs w:val="24"/>
        </w:rPr>
        <w:t xml:space="preserve"> (</w:t>
      </w:r>
      <w:r>
        <w:rPr>
          <w:rFonts w:ascii="Times New Roman" w:hAnsi="Times New Roman"/>
          <w:sz w:val="24"/>
          <w:szCs w:val="24"/>
        </w:rPr>
        <w:t>Orwell, 1983, pp.156, 157)</w:t>
      </w:r>
      <w:r w:rsidRPr="00616A87">
        <w:rPr>
          <w:rFonts w:ascii="Times New Roman" w:hAnsi="Times New Roman"/>
          <w:sz w:val="24"/>
          <w:szCs w:val="24"/>
        </w:rPr>
        <w:t>.</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En este sentido, la búsqueda de un estado de guerra constante es también un sistema económico que apoya cualquier estructura que procure una jerarquía. La búsqueda de poder, a través de la dominación política, lleva a una visión determinada de lo que debe ser el desarrollo económico. “Está claro que un incremento generalizado de la riqueza amenazaba con la destrucción, de hecho en algunos casos supuso la destrucción, de una sociedad jerarquizada”</w:t>
      </w:r>
      <w:r>
        <w:rPr>
          <w:rFonts w:ascii="Times New Roman" w:hAnsi="Times New Roman"/>
          <w:sz w:val="24"/>
          <w:szCs w:val="24"/>
        </w:rPr>
        <w:t xml:space="preserve"> (Orwell, 1983, p.156)</w:t>
      </w:r>
      <w:r w:rsidRPr="00616A87">
        <w:rPr>
          <w:rFonts w:ascii="Times New Roman" w:hAnsi="Times New Roman"/>
          <w:sz w:val="24"/>
          <w:szCs w:val="24"/>
        </w:rPr>
        <w:t xml:space="preserve">. El estado de pobreza en que pueda sumirse a una sociedad no es necesariamente una decisión que busque el enriquecimiento individual o puntual de un grupo político o de poder, el enfoque orwelliano explica que </w:t>
      </w:r>
      <w:r w:rsidR="00732C35">
        <w:rPr>
          <w:rFonts w:ascii="Times New Roman" w:hAnsi="Times New Roman"/>
          <w:sz w:val="24"/>
          <w:szCs w:val="24"/>
        </w:rPr>
        <w:t>un “estado generalizado de escas</w:t>
      </w:r>
      <w:r w:rsidR="00732C35" w:rsidRPr="00616A87">
        <w:rPr>
          <w:rFonts w:ascii="Times New Roman" w:hAnsi="Times New Roman"/>
          <w:sz w:val="24"/>
          <w:szCs w:val="24"/>
        </w:rPr>
        <w:t>ez</w:t>
      </w:r>
      <w:r w:rsidRPr="00616A87">
        <w:rPr>
          <w:rFonts w:ascii="Times New Roman" w:hAnsi="Times New Roman"/>
          <w:sz w:val="24"/>
          <w:szCs w:val="24"/>
        </w:rPr>
        <w:t xml:space="preserve"> incrementa los pequeños privilegios y, por lo tanto, magnifica las distinciones entre un grupo y otro”</w:t>
      </w:r>
      <w:r>
        <w:rPr>
          <w:rFonts w:ascii="Times New Roman" w:hAnsi="Times New Roman"/>
          <w:sz w:val="24"/>
          <w:szCs w:val="24"/>
        </w:rPr>
        <w:t xml:space="preserve"> (Orwell, 1983, p.158)</w:t>
      </w:r>
      <w:r w:rsidRPr="00616A87">
        <w:rPr>
          <w:rFonts w:ascii="Times New Roman" w:hAnsi="Times New Roman"/>
          <w:sz w:val="24"/>
          <w:szCs w:val="24"/>
        </w:rPr>
        <w:t xml:space="preserve">. Concepto aplicable para la repartición de poder y los privilegios que este puede generar.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El estado en que sume la guerra y la confrontación a la sociedad política tienen como consecuencia los peligros inherentes de la misma, lo que hace que “la cesión del poder a una pequeña casta parece la natural, inevitable condición de supervivencia”</w:t>
      </w:r>
      <w:r>
        <w:rPr>
          <w:rFonts w:ascii="Times New Roman" w:hAnsi="Times New Roman"/>
          <w:sz w:val="24"/>
          <w:szCs w:val="24"/>
        </w:rPr>
        <w:t xml:space="preserve"> (Orwell, 1983, p.158)</w:t>
      </w:r>
      <w:r w:rsidRPr="00616A87">
        <w:rPr>
          <w:rFonts w:ascii="Times New Roman" w:hAnsi="Times New Roman"/>
          <w:sz w:val="24"/>
          <w:szCs w:val="24"/>
        </w:rPr>
        <w:t xml:space="preserve">. Estas pequeñas castas son conformadas a </w:t>
      </w:r>
      <w:r w:rsidRPr="00616A87">
        <w:rPr>
          <w:rFonts w:ascii="Times New Roman" w:hAnsi="Times New Roman"/>
          <w:sz w:val="24"/>
          <w:szCs w:val="24"/>
        </w:rPr>
        <w:lastRenderedPageBreak/>
        <w:t xml:space="preserve">través de filosofías que son “apenas distinguibles, y los sistemas sociales que apoyan son absolutamente indistinguibles. En todo lado hay la misma estructura piramidal </w:t>
      </w:r>
      <w:r>
        <w:rPr>
          <w:rFonts w:ascii="Times New Roman" w:hAnsi="Times New Roman"/>
          <w:sz w:val="24"/>
          <w:szCs w:val="24"/>
        </w:rPr>
        <w:t>(</w:t>
      </w:r>
      <w:r w:rsidRPr="00616A87">
        <w:rPr>
          <w:rFonts w:ascii="Times New Roman" w:hAnsi="Times New Roman"/>
          <w:sz w:val="24"/>
          <w:szCs w:val="24"/>
        </w:rPr>
        <w:t>y</w:t>
      </w:r>
      <w:r>
        <w:rPr>
          <w:rFonts w:ascii="Times New Roman" w:hAnsi="Times New Roman"/>
          <w:sz w:val="24"/>
          <w:szCs w:val="24"/>
        </w:rPr>
        <w:t>)</w:t>
      </w:r>
      <w:r w:rsidRPr="00616A87">
        <w:rPr>
          <w:rFonts w:ascii="Times New Roman" w:hAnsi="Times New Roman"/>
          <w:sz w:val="24"/>
          <w:szCs w:val="24"/>
        </w:rPr>
        <w:t xml:space="preserve"> la misma alabanza al líder semi-dios”</w:t>
      </w:r>
      <w:r>
        <w:rPr>
          <w:rFonts w:ascii="Times New Roman" w:hAnsi="Times New Roman"/>
          <w:sz w:val="24"/>
          <w:szCs w:val="24"/>
        </w:rPr>
        <w:t xml:space="preserve"> (Orwell, 1983, p.162)</w:t>
      </w:r>
      <w:r w:rsidRPr="00616A87">
        <w:rPr>
          <w:rFonts w:ascii="Times New Roman" w:hAnsi="Times New Roman"/>
          <w:sz w:val="24"/>
          <w:szCs w:val="24"/>
        </w:rPr>
        <w:t>. Añade Orwell que en “los países más industrializados todos los partidos de izquierda son en el fondo un fraude, pues se proponen luchar contra algo que realmente no quieren destruir”</w:t>
      </w:r>
      <w:r>
        <w:rPr>
          <w:rFonts w:ascii="Times New Roman" w:hAnsi="Times New Roman"/>
          <w:sz w:val="24"/>
          <w:szCs w:val="24"/>
        </w:rPr>
        <w:t xml:space="preserve"> (Orwell, 1948, p.138)</w:t>
      </w:r>
      <w:r w:rsidRPr="00616A87">
        <w:rPr>
          <w:rFonts w:ascii="Times New Roman" w:hAnsi="Times New Roman"/>
          <w:sz w:val="24"/>
          <w:szCs w:val="24"/>
        </w:rPr>
        <w:t>. Este estado constante de guerra y confrontación permite el establecimiento de</w:t>
      </w:r>
      <w:r w:rsidR="00964833">
        <w:rPr>
          <w:rFonts w:ascii="Times New Roman" w:hAnsi="Times New Roman"/>
          <w:sz w:val="24"/>
          <w:szCs w:val="24"/>
        </w:rPr>
        <w:t>l</w:t>
      </w:r>
      <w:r w:rsidRPr="00616A87">
        <w:rPr>
          <w:rFonts w:ascii="Times New Roman" w:hAnsi="Times New Roman"/>
          <w:sz w:val="24"/>
          <w:szCs w:val="24"/>
        </w:rPr>
        <w:t xml:space="preserve"> </w:t>
      </w:r>
      <w:r w:rsidR="00964833">
        <w:rPr>
          <w:rFonts w:ascii="Times New Roman" w:hAnsi="Times New Roman"/>
          <w:sz w:val="24"/>
          <w:szCs w:val="24"/>
        </w:rPr>
        <w:t>e</w:t>
      </w:r>
      <w:r w:rsidRPr="00616A87">
        <w:rPr>
          <w:rFonts w:ascii="Times New Roman" w:hAnsi="Times New Roman"/>
          <w:i/>
          <w:sz w:val="24"/>
          <w:szCs w:val="24"/>
        </w:rPr>
        <w:t>status quo</w:t>
      </w:r>
      <w:r w:rsidRPr="00616A87">
        <w:rPr>
          <w:rFonts w:ascii="Times New Roman" w:hAnsi="Times New Roman"/>
          <w:sz w:val="24"/>
          <w:szCs w:val="24"/>
        </w:rPr>
        <w:t>, el mismo que se mantendría de tener un estado de paz constante, pues en ese caso cada casta de poder sería “un universo autónomo, libre por siempre de la influencia aleccionadora de los peligros exteriores. Una paz realmente permanente será igual que una guerra permanente”</w:t>
      </w:r>
      <w:r>
        <w:rPr>
          <w:rFonts w:ascii="Times New Roman" w:hAnsi="Times New Roman"/>
          <w:sz w:val="24"/>
          <w:szCs w:val="24"/>
        </w:rPr>
        <w:t xml:space="preserve"> (Orwell, 1983, p.164)</w:t>
      </w:r>
      <w:r w:rsidRPr="00616A87">
        <w:rPr>
          <w:rFonts w:ascii="Times New Roman" w:hAnsi="Times New Roman"/>
          <w:sz w:val="24"/>
          <w:szCs w:val="24"/>
        </w:rPr>
        <w:t xml:space="preserve">. </w:t>
      </w:r>
      <w:r w:rsidRPr="00616A87">
        <w:rPr>
          <w:rFonts w:ascii="Times New Roman" w:hAnsi="Times New Roman"/>
          <w:i/>
          <w:sz w:val="24"/>
          <w:szCs w:val="24"/>
        </w:rPr>
        <w:t>Ergo</w:t>
      </w:r>
      <w:r w:rsidRPr="00616A87">
        <w:rPr>
          <w:rFonts w:ascii="Times New Roman" w:hAnsi="Times New Roman"/>
          <w:sz w:val="24"/>
          <w:szCs w:val="24"/>
        </w:rPr>
        <w:t xml:space="preserve">, la “guerra es paz”.         </w:t>
      </w:r>
    </w:p>
    <w:p w:rsidR="00A00E75" w:rsidRPr="00616A87" w:rsidRDefault="00A00E75" w:rsidP="002E0094">
      <w:pPr>
        <w:pStyle w:val="Subttulotesis"/>
        <w:outlineLvl w:val="0"/>
      </w:pPr>
      <w:bookmarkStart w:id="13" w:name="_Toc295373137"/>
      <w:r w:rsidRPr="00616A87">
        <w:t>El Partido</w:t>
      </w:r>
      <w:bookmarkEnd w:id="13"/>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En la dominación política explicada por Orwell, la visión política está dada por un Partido o una agrupación específica, cuyo impulso no es representar al Estado ni a la sociedad civil, sino los intereses particulares. Es así como estos grupos adoptan los sentimientos colectivos olvidando las necesidades individuales. No se busca que exista una levantamiento de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la moral de las masas,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sino un levantamiento de la moral del Partido en s</w:t>
      </w:r>
      <w:r w:rsidR="00964833">
        <w:rPr>
          <w:rFonts w:ascii="Times New Roman" w:hAnsi="Times New Roman"/>
          <w:sz w:val="24"/>
          <w:szCs w:val="24"/>
        </w:rPr>
        <w:t>i</w:t>
      </w:r>
      <w:r w:rsidRPr="00616A87">
        <w:rPr>
          <w:rFonts w:ascii="Times New Roman" w:hAnsi="Times New Roman"/>
          <w:sz w:val="24"/>
          <w:szCs w:val="24"/>
        </w:rPr>
        <w:t>”</w:t>
      </w:r>
      <w:r>
        <w:rPr>
          <w:rFonts w:ascii="Times New Roman" w:hAnsi="Times New Roman"/>
          <w:sz w:val="24"/>
          <w:szCs w:val="24"/>
        </w:rPr>
        <w:t xml:space="preserve"> (Orwell, 1983, p.158)</w:t>
      </w:r>
      <w:r w:rsidRPr="00616A87">
        <w:rPr>
          <w:rFonts w:ascii="Times New Roman" w:hAnsi="Times New Roman"/>
          <w:sz w:val="24"/>
          <w:szCs w:val="24"/>
        </w:rPr>
        <w:t xml:space="preserve">. Es una manera que permite eliminar cualquier tipo de conciencia individual, de visión personal, de ideología propia. “El propósito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del Partido es extinguir de una vez por todas las posibilidad</w:t>
      </w:r>
      <w:r w:rsidR="00484603">
        <w:rPr>
          <w:rFonts w:ascii="Times New Roman" w:hAnsi="Times New Roman"/>
          <w:sz w:val="24"/>
          <w:szCs w:val="24"/>
        </w:rPr>
        <w:t>es</w:t>
      </w:r>
      <w:r w:rsidRPr="00616A87">
        <w:rPr>
          <w:rFonts w:ascii="Times New Roman" w:hAnsi="Times New Roman"/>
          <w:sz w:val="24"/>
          <w:szCs w:val="24"/>
        </w:rPr>
        <w:t xml:space="preserve"> de pensamiento independiente”</w:t>
      </w:r>
      <w:r>
        <w:rPr>
          <w:rFonts w:ascii="Times New Roman" w:hAnsi="Times New Roman"/>
          <w:sz w:val="24"/>
          <w:szCs w:val="24"/>
        </w:rPr>
        <w:t xml:space="preserve"> (Orwell, 1983, p.159)</w:t>
      </w:r>
      <w:r w:rsidRPr="00616A87">
        <w:rPr>
          <w:rFonts w:ascii="Times New Roman" w:hAnsi="Times New Roman"/>
          <w:sz w:val="24"/>
          <w:szCs w:val="24"/>
        </w:rPr>
        <w:t xml:space="preserve">. </w:t>
      </w:r>
    </w:p>
    <w:p w:rsidR="00732C3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No es necesario entender las complicadas líneas ideológicas que cada Partido o grupo de poder impulse, simplemente estar de acuerdo con sus visiones más generales. Parte del sustento de los partidos o grupos de poder en busca de dominación política ha sido aprovecharse de la ignorancia popular. “De cierta manera, </w:t>
      </w:r>
      <w:r w:rsidR="001C70D9">
        <w:rPr>
          <w:rFonts w:ascii="Times New Roman" w:hAnsi="Times New Roman"/>
          <w:sz w:val="24"/>
          <w:szCs w:val="24"/>
        </w:rPr>
        <w:t>la</w:t>
      </w:r>
      <w:r w:rsidRPr="00616A87">
        <w:rPr>
          <w:rFonts w:ascii="Times New Roman" w:hAnsi="Times New Roman"/>
          <w:sz w:val="24"/>
          <w:szCs w:val="24"/>
        </w:rPr>
        <w:t xml:space="preserve"> visión global del Partido se ha impuesto con mayor éxito en personas incapaces de entenderla”</w:t>
      </w:r>
      <w:r>
        <w:rPr>
          <w:rFonts w:ascii="Times New Roman" w:hAnsi="Times New Roman"/>
          <w:sz w:val="24"/>
          <w:szCs w:val="24"/>
        </w:rPr>
        <w:t xml:space="preserve"> (Orwell, 1983, p.129)</w:t>
      </w:r>
      <w:r w:rsidRPr="00616A87">
        <w:rPr>
          <w:rFonts w:ascii="Times New Roman" w:hAnsi="Times New Roman"/>
          <w:sz w:val="24"/>
          <w:szCs w:val="24"/>
        </w:rPr>
        <w:t xml:space="preserve">. Y esta ignorancia, traducida también en indiferencia, es lo que permite que tanto los Partidos como los grupos de poder, puedan actuar libremente en sus afanes de dominación política. </w:t>
      </w:r>
      <w:r w:rsidRPr="00616A87">
        <w:rPr>
          <w:rFonts w:ascii="Times New Roman" w:hAnsi="Times New Roman"/>
          <w:i/>
          <w:sz w:val="24"/>
          <w:szCs w:val="24"/>
        </w:rPr>
        <w:t>Ergo</w:t>
      </w:r>
      <w:r w:rsidRPr="00616A87">
        <w:rPr>
          <w:rFonts w:ascii="Times New Roman" w:hAnsi="Times New Roman"/>
          <w:sz w:val="24"/>
          <w:szCs w:val="24"/>
        </w:rPr>
        <w:t>, la “ignorancia es fuerza”.</w:t>
      </w:r>
    </w:p>
    <w:p w:rsidR="00A00E75" w:rsidRPr="00616A87" w:rsidRDefault="00A00E75" w:rsidP="002E0094">
      <w:pPr>
        <w:pStyle w:val="Subttulotesis"/>
        <w:outlineLvl w:val="0"/>
      </w:pPr>
      <w:bookmarkStart w:id="14" w:name="_Toc295373138"/>
      <w:r w:rsidRPr="00616A87">
        <w:lastRenderedPageBreak/>
        <w:t>Jerarquización de la sociedad</w:t>
      </w:r>
      <w:bookmarkEnd w:id="14"/>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Orwell coincide con la visión marxista-materialista de la historia</w:t>
      </w:r>
      <w:r w:rsidRPr="00616A87">
        <w:rPr>
          <w:rStyle w:val="Refdenotaalpie"/>
          <w:rFonts w:ascii="Times New Roman" w:hAnsi="Times New Roman"/>
          <w:sz w:val="24"/>
          <w:szCs w:val="24"/>
        </w:rPr>
        <w:footnoteReference w:id="3"/>
      </w:r>
      <w:r w:rsidRPr="00616A87">
        <w:rPr>
          <w:rFonts w:ascii="Times New Roman" w:hAnsi="Times New Roman"/>
          <w:sz w:val="24"/>
          <w:szCs w:val="24"/>
        </w:rPr>
        <w:t xml:space="preserve">, pero más que enfocarse en la lucha de clases busca los mecanismos utilizados por las diferentes clases para dominar políticamente y las consecuencias que esto ha traído. En el mundo orwelliano, la jerarquía social está dividida en clases Alta, Media y Baja. “El propósito de los Alta es mantenerse donde están. El propósito de la Media es cambiar lugares con la Alta. El propósito de la Baja, cuando tienen un propósito, pues es una característica reinante de la Baja estar tan aplastado por sus propias inconveniencias para estar más que intermitentemente conscientes de </w:t>
      </w:r>
      <w:r w:rsidR="00C83383">
        <w:rPr>
          <w:rFonts w:ascii="Times New Roman" w:hAnsi="Times New Roman"/>
          <w:sz w:val="24"/>
          <w:szCs w:val="24"/>
        </w:rPr>
        <w:t>cualquier cosa</w:t>
      </w:r>
      <w:r w:rsidRPr="00616A87">
        <w:rPr>
          <w:rFonts w:ascii="Times New Roman" w:hAnsi="Times New Roman"/>
          <w:sz w:val="24"/>
          <w:szCs w:val="24"/>
        </w:rPr>
        <w:t xml:space="preserve"> fuera de sus rutina, es abolir toda distinción y crear una sociedad donde todos las personas </w:t>
      </w:r>
      <w:r w:rsidR="00C83383">
        <w:rPr>
          <w:rFonts w:ascii="Times New Roman" w:hAnsi="Times New Roman"/>
          <w:sz w:val="24"/>
          <w:szCs w:val="24"/>
        </w:rPr>
        <w:t>sean</w:t>
      </w:r>
      <w:r w:rsidRPr="00616A87">
        <w:rPr>
          <w:rFonts w:ascii="Times New Roman" w:hAnsi="Times New Roman"/>
          <w:sz w:val="24"/>
          <w:szCs w:val="24"/>
        </w:rPr>
        <w:t xml:space="preserve"> iguales”</w:t>
      </w:r>
      <w:r>
        <w:rPr>
          <w:rFonts w:ascii="Times New Roman" w:hAnsi="Times New Roman"/>
          <w:sz w:val="24"/>
          <w:szCs w:val="24"/>
        </w:rPr>
        <w:t xml:space="preserve"> (Orwell, 1983, p.166)</w:t>
      </w:r>
      <w:r w:rsidRPr="00616A87">
        <w:rPr>
          <w:rFonts w:ascii="Times New Roman" w:hAnsi="Times New Roman"/>
          <w:sz w:val="24"/>
          <w:szCs w:val="24"/>
        </w:rPr>
        <w:t>. En un proceso cíclico, “</w:t>
      </w:r>
      <w:r>
        <w:rPr>
          <w:rFonts w:ascii="Times New Roman" w:hAnsi="Times New Roman"/>
          <w:sz w:val="24"/>
          <w:szCs w:val="24"/>
        </w:rPr>
        <w:t>(</w:t>
      </w:r>
      <w:r w:rsidRPr="00616A87">
        <w:rPr>
          <w:rFonts w:ascii="Times New Roman" w:hAnsi="Times New Roman"/>
          <w:sz w:val="24"/>
          <w:szCs w:val="24"/>
        </w:rPr>
        <w:t>la Alta</w:t>
      </w:r>
      <w:r>
        <w:rPr>
          <w:rFonts w:ascii="Times New Roman" w:hAnsi="Times New Roman"/>
          <w:sz w:val="24"/>
          <w:szCs w:val="24"/>
        </w:rPr>
        <w:t>)</w:t>
      </w:r>
      <w:r w:rsidRPr="00616A87">
        <w:rPr>
          <w:rFonts w:ascii="Times New Roman" w:hAnsi="Times New Roman"/>
          <w:sz w:val="24"/>
          <w:szCs w:val="24"/>
        </w:rPr>
        <w:t xml:space="preserve"> es depuesta por la Media, que enlista a la Baja en su lado pretendiendo que están peleando por libertad y justicia. Tan pronto como logran su objetivo, la Media manda a la Baja de regreso a su vieja posición de servidumbre”</w:t>
      </w:r>
      <w:r>
        <w:rPr>
          <w:rFonts w:ascii="Times New Roman" w:hAnsi="Times New Roman"/>
          <w:sz w:val="24"/>
          <w:szCs w:val="24"/>
        </w:rPr>
        <w:t xml:space="preserve"> (Orwell, 1983, p.166)</w:t>
      </w:r>
      <w:r w:rsidRPr="00616A87">
        <w:rPr>
          <w:rFonts w:ascii="Times New Roman" w:hAnsi="Times New Roman"/>
          <w:sz w:val="24"/>
          <w:szCs w:val="24"/>
        </w:rPr>
        <w:t xml:space="preserve">. Es por esto que “desde el punto de vista de la Baja, ningún proceso histórico </w:t>
      </w:r>
      <w:r w:rsidR="00732C35">
        <w:rPr>
          <w:rFonts w:ascii="Times New Roman" w:hAnsi="Times New Roman"/>
          <w:sz w:val="24"/>
          <w:szCs w:val="24"/>
        </w:rPr>
        <w:t>h</w:t>
      </w:r>
      <w:r w:rsidRPr="00616A87">
        <w:rPr>
          <w:rFonts w:ascii="Times New Roman" w:hAnsi="Times New Roman"/>
          <w:sz w:val="24"/>
          <w:szCs w:val="24"/>
        </w:rPr>
        <w:t>a significado más que el cambio de nombre de sus maestros”</w:t>
      </w:r>
      <w:r>
        <w:rPr>
          <w:rFonts w:ascii="Times New Roman" w:hAnsi="Times New Roman"/>
          <w:sz w:val="24"/>
          <w:szCs w:val="24"/>
        </w:rPr>
        <w:t xml:space="preserve"> (Orwell, 1983, p.167)</w:t>
      </w:r>
      <w:r w:rsidRPr="00616A87">
        <w:rPr>
          <w:rFonts w:ascii="Times New Roman" w:hAnsi="Times New Roman"/>
          <w:sz w:val="24"/>
          <w:szCs w:val="24"/>
        </w:rPr>
        <w:t>. Por esto, Orwell advierte que “en el pasado la Media ha realizado revoluciones bajo el</w:t>
      </w:r>
      <w:r w:rsidR="00732C35">
        <w:rPr>
          <w:rFonts w:ascii="Times New Roman" w:hAnsi="Times New Roman"/>
          <w:sz w:val="24"/>
          <w:szCs w:val="24"/>
        </w:rPr>
        <w:t xml:space="preserve"> estandarte de la igualdad y ha</w:t>
      </w:r>
      <w:r w:rsidRPr="00616A87">
        <w:rPr>
          <w:rFonts w:ascii="Times New Roman" w:hAnsi="Times New Roman"/>
          <w:sz w:val="24"/>
          <w:szCs w:val="24"/>
        </w:rPr>
        <w:t xml:space="preserve"> instaurado una fresca tiranía tan rápido como la vieja ha sido echada”</w:t>
      </w:r>
      <w:r>
        <w:rPr>
          <w:rFonts w:ascii="Times New Roman" w:hAnsi="Times New Roman"/>
          <w:sz w:val="24"/>
          <w:szCs w:val="24"/>
        </w:rPr>
        <w:t xml:space="preserve"> (Orwell, 1983, p.167)</w:t>
      </w:r>
      <w:r w:rsidRPr="00616A87">
        <w:rPr>
          <w:rFonts w:ascii="Times New Roman" w:hAnsi="Times New Roman"/>
          <w:sz w:val="24"/>
          <w:szCs w:val="24"/>
        </w:rPr>
        <w:t>. En esta estructura social de poder, “hay únicamente cuatro maneras por las cuales un grupo dominante puede caer del poder. Bien puede ser conquistado de afuera, o gobierna tan ineficientemente que las masas son impulsadas a rebelarse, o permiten</w:t>
      </w:r>
      <w:r w:rsidR="00732C35">
        <w:rPr>
          <w:rFonts w:ascii="Times New Roman" w:hAnsi="Times New Roman"/>
          <w:sz w:val="24"/>
          <w:szCs w:val="24"/>
        </w:rPr>
        <w:t xml:space="preserve"> formarse una fuerte y descontenta Clase</w:t>
      </w:r>
      <w:r w:rsidRPr="00616A87">
        <w:rPr>
          <w:rFonts w:ascii="Times New Roman" w:hAnsi="Times New Roman"/>
          <w:sz w:val="24"/>
          <w:szCs w:val="24"/>
        </w:rPr>
        <w:t xml:space="preserve"> Media, o pierde su propia confianza y deseo de gobernar”</w:t>
      </w:r>
      <w:r>
        <w:rPr>
          <w:rFonts w:ascii="Times New Roman" w:hAnsi="Times New Roman"/>
          <w:sz w:val="24"/>
          <w:szCs w:val="24"/>
        </w:rPr>
        <w:t xml:space="preserve"> (Orwell, 1983, p.170)</w:t>
      </w:r>
      <w:r w:rsidRPr="00616A87">
        <w:rPr>
          <w:rFonts w:ascii="Times New Roman" w:hAnsi="Times New Roman"/>
          <w:sz w:val="24"/>
          <w:szCs w:val="24"/>
        </w:rPr>
        <w:t xml:space="preserve">.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La posición </w:t>
      </w:r>
      <w:r w:rsidR="0076141D">
        <w:rPr>
          <w:rFonts w:ascii="Times New Roman" w:hAnsi="Times New Roman"/>
          <w:sz w:val="24"/>
          <w:szCs w:val="24"/>
        </w:rPr>
        <w:t>de</w:t>
      </w:r>
      <w:r w:rsidRPr="00616A87">
        <w:rPr>
          <w:rFonts w:ascii="Times New Roman" w:hAnsi="Times New Roman"/>
          <w:sz w:val="24"/>
          <w:szCs w:val="24"/>
        </w:rPr>
        <w:t xml:space="preserve"> la Baja, </w:t>
      </w:r>
      <w:r w:rsidRPr="00616A87">
        <w:rPr>
          <w:rFonts w:ascii="Times New Roman" w:hAnsi="Times New Roman"/>
          <w:i/>
          <w:sz w:val="24"/>
          <w:szCs w:val="24"/>
        </w:rPr>
        <w:t>proles</w:t>
      </w:r>
      <w:r w:rsidRPr="00616A87">
        <w:rPr>
          <w:rFonts w:ascii="Times New Roman" w:hAnsi="Times New Roman"/>
          <w:sz w:val="24"/>
          <w:szCs w:val="24"/>
        </w:rPr>
        <w:t>, está determinada por su condición de masas. Para lograr un cambio en las estructuras sociales reinantes, es necesaria que las masas sean movilizadas. “</w:t>
      </w:r>
      <w:r w:rsidRPr="00616A87">
        <w:rPr>
          <w:rFonts w:ascii="Times New Roman" w:hAnsi="Times New Roman"/>
          <w:i/>
          <w:sz w:val="24"/>
          <w:szCs w:val="24"/>
        </w:rPr>
        <w:t xml:space="preserve">Si hay </w:t>
      </w:r>
      <w:r w:rsidR="008A6A7C" w:rsidRPr="00616A87">
        <w:rPr>
          <w:rFonts w:ascii="Times New Roman" w:hAnsi="Times New Roman"/>
          <w:i/>
          <w:sz w:val="24"/>
          <w:szCs w:val="24"/>
        </w:rPr>
        <w:t>esperanza</w:t>
      </w:r>
      <w:r w:rsidR="008A6A7C">
        <w:rPr>
          <w:rFonts w:ascii="Times New Roman" w:hAnsi="Times New Roman"/>
          <w:sz w:val="24"/>
          <w:szCs w:val="24"/>
        </w:rPr>
        <w:t xml:space="preserve"> (</w:t>
      </w:r>
      <w:r w:rsidRPr="00616A87">
        <w:rPr>
          <w:rFonts w:ascii="Times New Roman" w:hAnsi="Times New Roman"/>
          <w:sz w:val="24"/>
          <w:szCs w:val="24"/>
        </w:rPr>
        <w:t>escribe Winston</w:t>
      </w:r>
      <w:r>
        <w:rPr>
          <w:rFonts w:ascii="Times New Roman" w:hAnsi="Times New Roman"/>
          <w:sz w:val="24"/>
          <w:szCs w:val="24"/>
        </w:rPr>
        <w:t>)</w:t>
      </w:r>
      <w:r w:rsidRPr="00616A87">
        <w:rPr>
          <w:rFonts w:ascii="Times New Roman" w:hAnsi="Times New Roman"/>
          <w:sz w:val="24"/>
          <w:szCs w:val="24"/>
        </w:rPr>
        <w:t xml:space="preserve">, </w:t>
      </w:r>
      <w:r w:rsidRPr="00616A87">
        <w:rPr>
          <w:rFonts w:ascii="Times New Roman" w:hAnsi="Times New Roman"/>
          <w:i/>
          <w:sz w:val="24"/>
          <w:szCs w:val="24"/>
        </w:rPr>
        <w:t xml:space="preserve">esta se encuentra en los </w:t>
      </w:r>
      <w:r w:rsidRPr="00616A87">
        <w:rPr>
          <w:rFonts w:ascii="Times New Roman" w:hAnsi="Times New Roman"/>
          <w:sz w:val="24"/>
          <w:szCs w:val="24"/>
        </w:rPr>
        <w:t>proles”</w:t>
      </w:r>
      <w:r>
        <w:rPr>
          <w:rFonts w:ascii="Times New Roman" w:hAnsi="Times New Roman"/>
          <w:sz w:val="24"/>
          <w:szCs w:val="24"/>
        </w:rPr>
        <w:t xml:space="preserve"> (Orwell, 1983, p.60)</w:t>
      </w:r>
      <w:r w:rsidRPr="00616A87">
        <w:rPr>
          <w:rFonts w:ascii="Times New Roman" w:hAnsi="Times New Roman"/>
          <w:sz w:val="24"/>
          <w:szCs w:val="24"/>
        </w:rPr>
        <w:t xml:space="preserve">. Las ideas no derrocan gobiernos. Las grandes masas </w:t>
      </w:r>
      <w:r w:rsidR="001C70D9">
        <w:rPr>
          <w:rFonts w:ascii="Times New Roman" w:hAnsi="Times New Roman"/>
          <w:sz w:val="24"/>
          <w:szCs w:val="24"/>
        </w:rPr>
        <w:lastRenderedPageBreak/>
        <w:t>lo</w:t>
      </w:r>
      <w:r w:rsidRPr="00616A87">
        <w:rPr>
          <w:rFonts w:ascii="Times New Roman" w:hAnsi="Times New Roman"/>
          <w:sz w:val="24"/>
          <w:szCs w:val="24"/>
        </w:rPr>
        <w:t xml:space="preserve"> hacen. Los tecnócratas creen que un país se construye desde un escritorio. Los teóricos creen que las masas son movidas por una idea. Las masas son movidas por una necesidad. Y, sin embargo, “</w:t>
      </w:r>
      <w:r w:rsidRPr="00616A87">
        <w:rPr>
          <w:rFonts w:ascii="Times New Roman" w:hAnsi="Times New Roman"/>
          <w:i/>
          <w:sz w:val="24"/>
          <w:szCs w:val="24"/>
        </w:rPr>
        <w:t xml:space="preserve">hasta que </w:t>
      </w:r>
      <w:r>
        <w:rPr>
          <w:rFonts w:ascii="Times New Roman" w:hAnsi="Times New Roman"/>
          <w:i/>
          <w:sz w:val="24"/>
          <w:szCs w:val="24"/>
        </w:rPr>
        <w:t>(</w:t>
      </w:r>
      <w:r w:rsidRPr="00616A87">
        <w:rPr>
          <w:rFonts w:ascii="Times New Roman" w:hAnsi="Times New Roman"/>
          <w:i/>
          <w:sz w:val="24"/>
          <w:szCs w:val="24"/>
        </w:rPr>
        <w:t xml:space="preserve">las </w:t>
      </w:r>
      <w:r w:rsidRPr="00616A87">
        <w:rPr>
          <w:rFonts w:ascii="Times New Roman" w:hAnsi="Times New Roman"/>
          <w:sz w:val="24"/>
          <w:szCs w:val="24"/>
        </w:rPr>
        <w:t>proles</w:t>
      </w:r>
      <w:r>
        <w:rPr>
          <w:rFonts w:ascii="Times New Roman" w:hAnsi="Times New Roman"/>
          <w:i/>
          <w:sz w:val="24"/>
          <w:szCs w:val="24"/>
        </w:rPr>
        <w:t>)</w:t>
      </w:r>
      <w:r w:rsidRPr="00616A87">
        <w:rPr>
          <w:rFonts w:ascii="Times New Roman" w:hAnsi="Times New Roman"/>
          <w:i/>
          <w:sz w:val="24"/>
          <w:szCs w:val="24"/>
        </w:rPr>
        <w:t xml:space="preserve"> tomen conciencia nunca se rebelaran, y hasta que no se hayan rebelado no podrán tomar conciencia</w:t>
      </w:r>
      <w:r w:rsidRPr="00616A87">
        <w:rPr>
          <w:rFonts w:ascii="Times New Roman" w:hAnsi="Times New Roman"/>
          <w:sz w:val="24"/>
          <w:szCs w:val="24"/>
        </w:rPr>
        <w:t>”</w:t>
      </w:r>
      <w:r>
        <w:rPr>
          <w:rFonts w:ascii="Times New Roman" w:hAnsi="Times New Roman"/>
          <w:sz w:val="24"/>
          <w:szCs w:val="24"/>
        </w:rPr>
        <w:t xml:space="preserve"> (Orwell, 1983, p.61)</w:t>
      </w:r>
      <w:r w:rsidRPr="00616A87">
        <w:rPr>
          <w:rFonts w:ascii="Times New Roman" w:hAnsi="Times New Roman"/>
          <w:sz w:val="24"/>
          <w:szCs w:val="24"/>
        </w:rPr>
        <w:t>. Los grupos sociales no se presentan como entes racionales. Pero incluso después de esta realización, aquellos conscientes de la necesidad de las masas, no tiene</w:t>
      </w:r>
      <w:r w:rsidR="001C70D9">
        <w:rPr>
          <w:rFonts w:ascii="Times New Roman" w:hAnsi="Times New Roman"/>
          <w:sz w:val="24"/>
          <w:szCs w:val="24"/>
        </w:rPr>
        <w:t>n</w:t>
      </w:r>
      <w:r w:rsidRPr="00616A87">
        <w:rPr>
          <w:rFonts w:ascii="Times New Roman" w:hAnsi="Times New Roman"/>
          <w:sz w:val="24"/>
          <w:szCs w:val="24"/>
        </w:rPr>
        <w:t xml:space="preserve"> la más vaga idea de sus necesidades y preocupaciones reales</w:t>
      </w:r>
      <w:r w:rsidRPr="00616A87">
        <w:rPr>
          <w:rStyle w:val="Refdenotaalpie"/>
          <w:rFonts w:ascii="Times New Roman" w:hAnsi="Times New Roman"/>
          <w:sz w:val="24"/>
          <w:szCs w:val="24"/>
        </w:rPr>
        <w:footnoteReference w:id="4"/>
      </w:r>
      <w:r w:rsidRPr="00616A87">
        <w:rPr>
          <w:rFonts w:ascii="Times New Roman" w:hAnsi="Times New Roman"/>
          <w:sz w:val="24"/>
          <w:szCs w:val="24"/>
        </w:rPr>
        <w:t xml:space="preserve">. “En realidad, muy poco es conocido acerca de las </w:t>
      </w:r>
      <w:r w:rsidRPr="00616A87">
        <w:rPr>
          <w:rFonts w:ascii="Times New Roman" w:hAnsi="Times New Roman"/>
          <w:i/>
          <w:sz w:val="24"/>
          <w:szCs w:val="24"/>
        </w:rPr>
        <w:t>proles</w:t>
      </w:r>
      <w:r w:rsidRPr="00616A87">
        <w:rPr>
          <w:rFonts w:ascii="Times New Roman" w:hAnsi="Times New Roman"/>
          <w:sz w:val="24"/>
          <w:szCs w:val="24"/>
        </w:rPr>
        <w:t>. No era necesario saber mucho”</w:t>
      </w:r>
      <w:r>
        <w:rPr>
          <w:rFonts w:ascii="Times New Roman" w:hAnsi="Times New Roman"/>
          <w:sz w:val="24"/>
          <w:szCs w:val="24"/>
        </w:rPr>
        <w:t xml:space="preserve"> (Orwell, 1983, p.61)</w:t>
      </w:r>
      <w:r w:rsidRPr="00616A87">
        <w:rPr>
          <w:rFonts w:ascii="Times New Roman" w:hAnsi="Times New Roman"/>
          <w:sz w:val="24"/>
          <w:szCs w:val="24"/>
        </w:rPr>
        <w:t>. La clase media es una clase de teóricos. Orwell prevé que el “socialismo, en su forma desarrollada, es una teoría íntegramente limitada a la clase media”</w:t>
      </w:r>
      <w:r>
        <w:rPr>
          <w:rFonts w:ascii="Times New Roman" w:hAnsi="Times New Roman"/>
          <w:sz w:val="24"/>
          <w:szCs w:val="24"/>
        </w:rPr>
        <w:t xml:space="preserve"> (Williams, 2001, p.239)</w:t>
      </w:r>
      <w:r w:rsidRPr="00616A87">
        <w:rPr>
          <w:rFonts w:ascii="Times New Roman" w:hAnsi="Times New Roman"/>
          <w:sz w:val="24"/>
          <w:szCs w:val="24"/>
        </w:rPr>
        <w:t xml:space="preserve">. Muchas veces son nuestras propias necesidades las que se manifiestan a través de una revuelta popular. Es por esto, que muy a pesar de una realización individual de las deficiencias y virtudes que pueda tener el </w:t>
      </w:r>
      <w:r w:rsidR="008A6A7C">
        <w:rPr>
          <w:rFonts w:ascii="Times New Roman" w:hAnsi="Times New Roman"/>
          <w:i/>
          <w:sz w:val="24"/>
          <w:szCs w:val="24"/>
        </w:rPr>
        <w:t>e</w:t>
      </w:r>
      <w:r w:rsidRPr="00616A87">
        <w:rPr>
          <w:rFonts w:ascii="Times New Roman" w:hAnsi="Times New Roman"/>
          <w:i/>
          <w:sz w:val="24"/>
          <w:szCs w:val="24"/>
        </w:rPr>
        <w:t>status quo</w:t>
      </w:r>
      <w:r w:rsidRPr="00616A87">
        <w:rPr>
          <w:rFonts w:ascii="Times New Roman" w:hAnsi="Times New Roman"/>
          <w:sz w:val="24"/>
          <w:szCs w:val="24"/>
        </w:rPr>
        <w:t>, cualquier tipo de cambio se ve truncado por la misma ignorancia. Esto muy a pesar de que “las capacidades (intelectuales y materiales) de la sociedad contemporánea son inconmensurablemente mayores que nunca”, lo que a su vez significa que las “amplitud de dominación de la sociedad sobre el individuo es inconmensurablemente mayor que nunca”</w:t>
      </w:r>
      <w:r>
        <w:rPr>
          <w:rFonts w:ascii="Times New Roman" w:hAnsi="Times New Roman"/>
          <w:sz w:val="24"/>
          <w:szCs w:val="24"/>
        </w:rPr>
        <w:t xml:space="preserve"> (Marcuse, 1968, p.12)</w:t>
      </w:r>
      <w:r w:rsidRPr="00616A87">
        <w:rPr>
          <w:rFonts w:ascii="Times New Roman" w:hAnsi="Times New Roman"/>
          <w:sz w:val="24"/>
          <w:szCs w:val="24"/>
        </w:rPr>
        <w:t xml:space="preserve">.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La ignorancia nace tanto de la Media (hacia la Baja), y de la Baja hacia su entorno. “Incluso cuando </w:t>
      </w:r>
      <w:r>
        <w:rPr>
          <w:rFonts w:ascii="Times New Roman" w:hAnsi="Times New Roman"/>
          <w:sz w:val="24"/>
          <w:szCs w:val="24"/>
        </w:rPr>
        <w:t>(</w:t>
      </w:r>
      <w:r w:rsidRPr="00616A87">
        <w:rPr>
          <w:rFonts w:ascii="Times New Roman" w:hAnsi="Times New Roman"/>
          <w:sz w:val="24"/>
          <w:szCs w:val="24"/>
        </w:rPr>
        <w:t xml:space="preserve">la </w:t>
      </w:r>
      <w:r w:rsidRPr="00616A87">
        <w:rPr>
          <w:rFonts w:ascii="Times New Roman" w:hAnsi="Times New Roman"/>
          <w:i/>
          <w:sz w:val="24"/>
          <w:szCs w:val="24"/>
        </w:rPr>
        <w:t>prole</w:t>
      </w:r>
      <w:r>
        <w:rPr>
          <w:rFonts w:ascii="Times New Roman" w:hAnsi="Times New Roman"/>
          <w:sz w:val="24"/>
          <w:szCs w:val="24"/>
        </w:rPr>
        <w:t>)</w:t>
      </w:r>
      <w:r w:rsidRPr="00616A87">
        <w:rPr>
          <w:rFonts w:ascii="Times New Roman" w:hAnsi="Times New Roman"/>
          <w:sz w:val="24"/>
          <w:szCs w:val="24"/>
        </w:rPr>
        <w:t xml:space="preserve"> se volvía descontenta, como a veces los hacían, este descontento no llevaba a ningún lado, siendo sin ideas generales, solo pueden enfocarse en dolencias específicas e insignificantes. Los grandes males inevitablemente escapaban de su realización”</w:t>
      </w:r>
      <w:r>
        <w:rPr>
          <w:rFonts w:ascii="Times New Roman" w:hAnsi="Times New Roman"/>
          <w:sz w:val="24"/>
          <w:szCs w:val="24"/>
        </w:rPr>
        <w:t xml:space="preserve"> (Orwell, 1983, p.62)</w:t>
      </w:r>
      <w:r w:rsidRPr="00616A87">
        <w:rPr>
          <w:rFonts w:ascii="Times New Roman" w:hAnsi="Times New Roman"/>
          <w:sz w:val="24"/>
          <w:szCs w:val="24"/>
        </w:rPr>
        <w:t>. Es por esto que las “masas nunca se rebelan por cuenta propia, y nunca se rebelan únicamente porque son oprimidas. De hecho, mientras no se les permita tener estándares de comparación ellas nunca se darán cuenta que son oprimidas”</w:t>
      </w:r>
      <w:r>
        <w:rPr>
          <w:rFonts w:ascii="Times New Roman" w:hAnsi="Times New Roman"/>
          <w:sz w:val="24"/>
          <w:szCs w:val="24"/>
        </w:rPr>
        <w:t xml:space="preserve"> (Orwell, 1983, p.171)</w:t>
      </w:r>
      <w:r w:rsidRPr="00616A87">
        <w:rPr>
          <w:rFonts w:ascii="Times New Roman" w:hAnsi="Times New Roman"/>
          <w:sz w:val="24"/>
          <w:szCs w:val="24"/>
        </w:rPr>
        <w:t xml:space="preserve">. Esta incapacidad de rebelarse permite que la dominación política no sea </w:t>
      </w:r>
      <w:r w:rsidRPr="00616A87">
        <w:rPr>
          <w:rFonts w:ascii="Times New Roman" w:hAnsi="Times New Roman"/>
          <w:sz w:val="24"/>
          <w:szCs w:val="24"/>
        </w:rPr>
        <w:lastRenderedPageBreak/>
        <w:t>necesariamente una limitación de las facultades de las masas o de su posibilidad de influir en la toma de decisiones. Los conflictos que se pueden presentar entre clases de menor poder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a pesar de enfoques normativos que podrían definirse en estas situaciones como </w:t>
      </w:r>
      <w:r w:rsidRPr="00616A87">
        <w:rPr>
          <w:rFonts w:ascii="Times New Roman" w:hAnsi="Times New Roman"/>
          <w:i/>
          <w:sz w:val="24"/>
          <w:szCs w:val="24"/>
        </w:rPr>
        <w:t>dañinas</w:t>
      </w:r>
      <w:r w:rsidRPr="00616A87">
        <w:rPr>
          <w:rFonts w:ascii="Times New Roman" w:hAnsi="Times New Roman"/>
          <w:sz w:val="24"/>
          <w:szCs w:val="24"/>
        </w:rPr>
        <w:t xml:space="preserve">, el conflicto, en este caso, podrían reforzar más que dañar las relaciones existentes y, por consiguiente, serán (estructuralmente) </w:t>
      </w:r>
      <w:r w:rsidRPr="00616A87">
        <w:rPr>
          <w:rFonts w:ascii="Times New Roman" w:hAnsi="Times New Roman"/>
          <w:i/>
          <w:sz w:val="24"/>
          <w:szCs w:val="24"/>
        </w:rPr>
        <w:t>funcionales</w:t>
      </w:r>
      <w:r w:rsidRPr="00616A87">
        <w:rPr>
          <w:rFonts w:ascii="Times New Roman" w:hAnsi="Times New Roman"/>
          <w:sz w:val="24"/>
          <w:szCs w:val="24"/>
        </w:rPr>
        <w:t>”</w:t>
      </w:r>
      <w:r>
        <w:rPr>
          <w:rFonts w:ascii="Times New Roman" w:hAnsi="Times New Roman"/>
          <w:sz w:val="24"/>
          <w:szCs w:val="24"/>
        </w:rPr>
        <w:t xml:space="preserve"> (Thomas, 1998, p.158)</w:t>
      </w:r>
      <w:r w:rsidRPr="00616A87">
        <w:rPr>
          <w:rFonts w:ascii="Times New Roman" w:hAnsi="Times New Roman"/>
          <w:sz w:val="24"/>
          <w:szCs w:val="24"/>
        </w:rPr>
        <w:t xml:space="preserve">. La libertad más amplia de manejo político es precisamente dada a la </w:t>
      </w:r>
      <w:r w:rsidRPr="00616A87">
        <w:rPr>
          <w:rFonts w:ascii="Times New Roman" w:hAnsi="Times New Roman"/>
          <w:i/>
          <w:sz w:val="24"/>
          <w:szCs w:val="24"/>
        </w:rPr>
        <w:t>prole</w:t>
      </w:r>
      <w:r w:rsidRPr="00616A87">
        <w:rPr>
          <w:rFonts w:ascii="Times New Roman" w:hAnsi="Times New Roman"/>
          <w:sz w:val="24"/>
          <w:szCs w:val="24"/>
        </w:rPr>
        <w:t xml:space="preserve">. “Como lo pone el slogan del Partido: La </w:t>
      </w:r>
      <w:r w:rsidRPr="00616A87">
        <w:rPr>
          <w:rFonts w:ascii="Times New Roman" w:hAnsi="Times New Roman"/>
          <w:i/>
          <w:sz w:val="24"/>
          <w:szCs w:val="24"/>
        </w:rPr>
        <w:t>Prole</w:t>
      </w:r>
      <w:r w:rsidRPr="00616A87">
        <w:rPr>
          <w:rFonts w:ascii="Times New Roman" w:hAnsi="Times New Roman"/>
          <w:sz w:val="24"/>
          <w:szCs w:val="24"/>
        </w:rPr>
        <w:t xml:space="preserve"> y los animales son libres”</w:t>
      </w:r>
      <w:r>
        <w:rPr>
          <w:rFonts w:ascii="Times New Roman" w:hAnsi="Times New Roman"/>
          <w:sz w:val="24"/>
          <w:szCs w:val="24"/>
        </w:rPr>
        <w:t xml:space="preserve"> (Orwell, 1983, p.62)</w:t>
      </w:r>
      <w:r w:rsidRPr="00616A87">
        <w:rPr>
          <w:rFonts w:ascii="Times New Roman" w:hAnsi="Times New Roman"/>
          <w:sz w:val="24"/>
          <w:szCs w:val="24"/>
        </w:rPr>
        <w:t xml:space="preserve">. Libertad dada por las cadenas de la esclavitud atadas por su ignorancia. </w:t>
      </w:r>
      <w:r w:rsidRPr="00616A87">
        <w:rPr>
          <w:rFonts w:ascii="Times New Roman" w:hAnsi="Times New Roman"/>
          <w:i/>
          <w:sz w:val="24"/>
          <w:szCs w:val="24"/>
        </w:rPr>
        <w:t>Ergo</w:t>
      </w:r>
      <w:r w:rsidRPr="00616A87">
        <w:rPr>
          <w:rFonts w:ascii="Times New Roman" w:hAnsi="Times New Roman"/>
          <w:sz w:val="24"/>
          <w:szCs w:val="24"/>
        </w:rPr>
        <w:t xml:space="preserve">, la “libertad es esclavitud”.  </w:t>
      </w:r>
    </w:p>
    <w:p w:rsidR="00A00E75" w:rsidRPr="00616A87" w:rsidRDefault="00A00E75" w:rsidP="002E0094">
      <w:pPr>
        <w:pStyle w:val="Subttulotesis"/>
        <w:outlineLvl w:val="0"/>
      </w:pPr>
      <w:bookmarkStart w:id="15" w:name="_Toc295373139"/>
      <w:r w:rsidRPr="00616A87">
        <w:t>Continuidad del sistema de dominación</w:t>
      </w:r>
      <w:bookmarkEnd w:id="15"/>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La visión del Partido está basada en la figura-líder. Este personaje mesiánico refleja las virtudes del sistema y son de él los triunfos que se puedan dar. “El Gran Hermano es infalible y todopoderoso. Cada triunfo, cada logro, cada victoria, cada descubrimiento científico, todo el conocimiento, toda la sabiduría, todas las virtudes, vienen directamente de su liderazgo e inspiración”</w:t>
      </w:r>
      <w:r>
        <w:rPr>
          <w:rFonts w:ascii="Times New Roman" w:hAnsi="Times New Roman"/>
          <w:sz w:val="24"/>
          <w:szCs w:val="24"/>
        </w:rPr>
        <w:t xml:space="preserve"> (Orwell, 1983, p.171)</w:t>
      </w:r>
      <w:r w:rsidRPr="00616A87">
        <w:rPr>
          <w:rFonts w:ascii="Times New Roman" w:hAnsi="Times New Roman"/>
          <w:sz w:val="24"/>
          <w:szCs w:val="24"/>
        </w:rPr>
        <w:t>. Este cacique es la imagen que da vida al Partido y justifica la estructura social. Es la personificación del sistema y es el eje que mueve al Partido. “La función del Gran Hermano es actuar como un punto de foco de amor, temor y reverencia, emociones que son sentidas más fácilmente hacia un individuo que hacia una organización”</w:t>
      </w:r>
      <w:r>
        <w:rPr>
          <w:rFonts w:ascii="Times New Roman" w:hAnsi="Times New Roman"/>
          <w:sz w:val="24"/>
          <w:szCs w:val="24"/>
        </w:rPr>
        <w:t xml:space="preserve"> (Orwell, 1983, p.171)</w:t>
      </w:r>
      <w:r w:rsidRPr="00616A87">
        <w:rPr>
          <w:rFonts w:ascii="Times New Roman" w:hAnsi="Times New Roman"/>
          <w:sz w:val="24"/>
          <w:szCs w:val="24"/>
        </w:rPr>
        <w:t xml:space="preserve">. El líder no es necesariamente quien lidera, pero si hacia quien se dirigen las emociones que parten del liderazgo del Partido. </w:t>
      </w:r>
    </w:p>
    <w:p w:rsidR="00A00E75"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La continuidad del sistema de dominación no está dada necesariamente por la perpetuidad física del líder. “</w:t>
      </w:r>
      <w:r w:rsidRPr="00616A87">
        <w:rPr>
          <w:rFonts w:ascii="Times New Roman" w:hAnsi="Times New Roman"/>
          <w:i/>
          <w:sz w:val="24"/>
          <w:szCs w:val="24"/>
        </w:rPr>
        <w:t xml:space="preserve">Quien </w:t>
      </w:r>
      <w:r w:rsidRPr="00616A87">
        <w:rPr>
          <w:rFonts w:ascii="Times New Roman" w:hAnsi="Times New Roman"/>
          <w:sz w:val="24"/>
          <w:szCs w:val="24"/>
        </w:rPr>
        <w:t>ostenta el poder no es importante, siempre y cuando la estructura jerárquica se mantenga siempre igual”</w:t>
      </w:r>
      <w:r>
        <w:rPr>
          <w:rFonts w:ascii="Times New Roman" w:hAnsi="Times New Roman"/>
          <w:sz w:val="24"/>
          <w:szCs w:val="24"/>
        </w:rPr>
        <w:t xml:space="preserve"> (Orwell, 1983, p.173)</w:t>
      </w:r>
      <w:r w:rsidRPr="00616A87">
        <w:rPr>
          <w:rFonts w:ascii="Times New Roman" w:hAnsi="Times New Roman"/>
          <w:sz w:val="24"/>
          <w:szCs w:val="24"/>
        </w:rPr>
        <w:t>. Los grupos de poder y los partidos políticos no buscan una imagen, sino un sistema social de poder perpetuo, intercambiable, pero siempre igual. Para Orwell, la “continuidad de la oligarquía no necesita ser física” y tampoco reflexiona acerca de la corta vida de las aristocracias hereditarias, “siendo que organizaciones adoptadas como la Iglesia Católica han vivido por cientos de miles de años”</w:t>
      </w:r>
      <w:r>
        <w:rPr>
          <w:rFonts w:ascii="Times New Roman" w:hAnsi="Times New Roman"/>
          <w:sz w:val="24"/>
          <w:szCs w:val="24"/>
        </w:rPr>
        <w:t xml:space="preserve"> (Orwell, 1983, p.173)</w:t>
      </w:r>
      <w:r w:rsidRPr="00616A87">
        <w:rPr>
          <w:rFonts w:ascii="Times New Roman" w:hAnsi="Times New Roman"/>
          <w:sz w:val="24"/>
          <w:szCs w:val="24"/>
        </w:rPr>
        <w:t xml:space="preserve">. Los importante dentro del sistema de dominación </w:t>
      </w:r>
      <w:r w:rsidR="00732C35">
        <w:rPr>
          <w:rFonts w:ascii="Times New Roman" w:hAnsi="Times New Roman"/>
          <w:sz w:val="24"/>
          <w:szCs w:val="24"/>
        </w:rPr>
        <w:lastRenderedPageBreak/>
        <w:t>política</w:t>
      </w:r>
      <w:r w:rsidRPr="00616A87">
        <w:rPr>
          <w:rFonts w:ascii="Times New Roman" w:hAnsi="Times New Roman"/>
          <w:sz w:val="24"/>
          <w:szCs w:val="24"/>
        </w:rPr>
        <w:t xml:space="preserve"> orwellian</w:t>
      </w:r>
      <w:r w:rsidR="00732C35">
        <w:rPr>
          <w:rFonts w:ascii="Times New Roman" w:hAnsi="Times New Roman"/>
          <w:sz w:val="24"/>
          <w:szCs w:val="24"/>
        </w:rPr>
        <w:t>o</w:t>
      </w:r>
      <w:r w:rsidRPr="00616A87">
        <w:rPr>
          <w:rFonts w:ascii="Times New Roman" w:hAnsi="Times New Roman"/>
          <w:sz w:val="24"/>
          <w:szCs w:val="24"/>
        </w:rPr>
        <w:t xml:space="preserve"> es mantener el </w:t>
      </w:r>
      <w:r w:rsidR="00FE2B4F">
        <w:rPr>
          <w:rFonts w:ascii="Times New Roman" w:hAnsi="Times New Roman"/>
          <w:i/>
          <w:sz w:val="24"/>
          <w:szCs w:val="24"/>
        </w:rPr>
        <w:t>e</w:t>
      </w:r>
      <w:r w:rsidR="00FE2B4F" w:rsidRPr="00616A87">
        <w:rPr>
          <w:rFonts w:ascii="Times New Roman" w:hAnsi="Times New Roman"/>
          <w:i/>
          <w:sz w:val="24"/>
          <w:szCs w:val="24"/>
        </w:rPr>
        <w:t>status</w:t>
      </w:r>
      <w:r w:rsidRPr="00616A87">
        <w:rPr>
          <w:rFonts w:ascii="Times New Roman" w:hAnsi="Times New Roman"/>
          <w:i/>
          <w:sz w:val="24"/>
          <w:szCs w:val="24"/>
        </w:rPr>
        <w:t xml:space="preserve"> quo</w:t>
      </w:r>
      <w:r w:rsidRPr="00616A87">
        <w:rPr>
          <w:rFonts w:ascii="Times New Roman" w:hAnsi="Times New Roman"/>
          <w:sz w:val="24"/>
          <w:szCs w:val="24"/>
        </w:rPr>
        <w:t xml:space="preserve"> vigente. La manipulación de datos se asemeja a los números usados en tiempos de campaña así como durante y después de gobiernos. “Las estadísticas eran tan fantasiosas en sus versiones originales así como en sus versiones rectificadas”</w:t>
      </w:r>
      <w:r>
        <w:rPr>
          <w:rFonts w:ascii="Times New Roman" w:hAnsi="Times New Roman"/>
          <w:sz w:val="24"/>
          <w:szCs w:val="24"/>
        </w:rPr>
        <w:t xml:space="preserve"> (Orwell, 1983, p.37)</w:t>
      </w:r>
      <w:r w:rsidRPr="00616A87">
        <w:rPr>
          <w:rFonts w:ascii="Times New Roman" w:hAnsi="Times New Roman"/>
          <w:sz w:val="24"/>
          <w:szCs w:val="24"/>
        </w:rPr>
        <w:t xml:space="preserve">.  De la misma manera en que son engloriadas las celebridades y héroes nacionales (e indígenas), idealizados, perdiendo el sentido de lo real, son fabricados mitos alrededor de personajes ficticios. </w:t>
      </w:r>
    </w:p>
    <w:p w:rsidR="00A00E75" w:rsidRDefault="00A00E75" w:rsidP="006D1134">
      <w:pPr>
        <w:spacing w:line="360" w:lineRule="auto"/>
        <w:ind w:left="720" w:right="720"/>
        <w:jc w:val="both"/>
        <w:rPr>
          <w:rFonts w:ascii="Times New Roman" w:hAnsi="Times New Roman"/>
          <w:sz w:val="24"/>
          <w:szCs w:val="24"/>
        </w:rPr>
      </w:pPr>
      <w:r w:rsidRPr="00616A87">
        <w:rPr>
          <w:rFonts w:ascii="Times New Roman" w:hAnsi="Times New Roman"/>
          <w:sz w:val="24"/>
          <w:szCs w:val="24"/>
        </w:rPr>
        <w:t>El camarada Ogilvy, quien nunca existió en el presente, ahora existe en el pasado, y una vez que el engaño haya sido olvidado, existirá tan auténticamente, y basado en la misma evidencia</w:t>
      </w:r>
      <w:r>
        <w:rPr>
          <w:rFonts w:ascii="Times New Roman" w:hAnsi="Times New Roman"/>
          <w:sz w:val="24"/>
          <w:szCs w:val="24"/>
        </w:rPr>
        <w:t>, como Carlomagno o Julio César (Orwell, 1983, p.43)</w:t>
      </w:r>
      <w:r w:rsidRPr="00616A87">
        <w:rPr>
          <w:rFonts w:ascii="Times New Roman" w:hAnsi="Times New Roman"/>
          <w:sz w:val="24"/>
          <w:szCs w:val="24"/>
        </w:rPr>
        <w:t xml:space="preserve">. </w:t>
      </w:r>
    </w:p>
    <w:p w:rsidR="00A00E75"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De la misma manera, como se hiciera en el nazismo democrático, la figura del enemigo único es utilizada para direccionar todas aquellas falencias que puedan existir en el sistema. </w:t>
      </w:r>
    </w:p>
    <w:p w:rsidR="00A00E75" w:rsidRPr="00616A87" w:rsidRDefault="00A00E75" w:rsidP="001B71A3">
      <w:pPr>
        <w:spacing w:line="360" w:lineRule="auto"/>
        <w:ind w:left="720" w:right="720"/>
        <w:jc w:val="both"/>
        <w:rPr>
          <w:rFonts w:ascii="Times New Roman" w:hAnsi="Times New Roman"/>
          <w:sz w:val="24"/>
          <w:szCs w:val="24"/>
        </w:rPr>
      </w:pPr>
      <w:r w:rsidRPr="00616A87">
        <w:rPr>
          <w:rFonts w:ascii="Times New Roman" w:hAnsi="Times New Roman"/>
          <w:sz w:val="24"/>
          <w:szCs w:val="24"/>
        </w:rPr>
        <w:t xml:space="preserve">Como era usual, la cara de Emmanuel Goldstein, el Enemigo del Pueblo, apareció en la pantalla.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0059585D">
        <w:rPr>
          <w:rFonts w:ascii="Times New Roman" w:hAnsi="Times New Roman"/>
          <w:sz w:val="24"/>
          <w:szCs w:val="24"/>
        </w:rPr>
        <w:t xml:space="preserve"> </w:t>
      </w:r>
      <w:r>
        <w:rPr>
          <w:rFonts w:ascii="Times New Roman" w:hAnsi="Times New Roman"/>
          <w:sz w:val="24"/>
          <w:szCs w:val="24"/>
        </w:rPr>
        <w:t>(</w:t>
      </w:r>
      <w:r w:rsidRPr="00616A87">
        <w:rPr>
          <w:rFonts w:ascii="Times New Roman" w:hAnsi="Times New Roman"/>
          <w:sz w:val="24"/>
          <w:szCs w:val="24"/>
        </w:rPr>
        <w:t>Goldstein</w:t>
      </w:r>
      <w:r>
        <w:rPr>
          <w:rFonts w:ascii="Times New Roman" w:hAnsi="Times New Roman"/>
          <w:sz w:val="24"/>
          <w:szCs w:val="24"/>
        </w:rPr>
        <w:t>)</w:t>
      </w:r>
      <w:r w:rsidRPr="00616A87">
        <w:rPr>
          <w:rFonts w:ascii="Times New Roman" w:hAnsi="Times New Roman"/>
          <w:sz w:val="24"/>
          <w:szCs w:val="24"/>
        </w:rPr>
        <w:t xml:space="preserve"> era el traidor principal, el primer desertor de la pureza del Partido. Todos los crímenes subsiguientes en contra del Partido, todos los engaños, actos de sabotaje, herejías, deviaciones, venían</w:t>
      </w:r>
      <w:r>
        <w:rPr>
          <w:rFonts w:ascii="Times New Roman" w:hAnsi="Times New Roman"/>
          <w:sz w:val="24"/>
          <w:szCs w:val="24"/>
        </w:rPr>
        <w:t xml:space="preserve"> directamente de sus enseñanzas. (Orwell, 1983, pp.13, 14)</w:t>
      </w:r>
    </w:p>
    <w:p w:rsidR="00A00E75"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Finalmente, las fallas que pueden existir en el sistema, no son más que la naturaleza propia del sistema de dominación a través de la ideología planteada. Es así como en </w:t>
      </w:r>
      <w:r w:rsidRPr="00616A87">
        <w:rPr>
          <w:rFonts w:ascii="Times New Roman" w:hAnsi="Times New Roman"/>
          <w:i/>
          <w:sz w:val="24"/>
          <w:szCs w:val="24"/>
        </w:rPr>
        <w:t xml:space="preserve">1984 </w:t>
      </w:r>
      <w:r w:rsidRPr="00616A87">
        <w:rPr>
          <w:rFonts w:ascii="Times New Roman" w:hAnsi="Times New Roman"/>
          <w:sz w:val="24"/>
          <w:szCs w:val="24"/>
        </w:rPr>
        <w:t>“la ideología oficial abunda en contradicciones incluso cuando no hay una razón práctica para ello”</w:t>
      </w:r>
      <w:r>
        <w:rPr>
          <w:rFonts w:ascii="Times New Roman" w:hAnsi="Times New Roman"/>
          <w:sz w:val="24"/>
          <w:szCs w:val="24"/>
        </w:rPr>
        <w:t xml:space="preserve"> (Orwell, 1983, p.178)</w:t>
      </w:r>
      <w:r w:rsidRPr="00616A87">
        <w:rPr>
          <w:rFonts w:ascii="Times New Roman" w:hAnsi="Times New Roman"/>
          <w:sz w:val="24"/>
          <w:szCs w:val="24"/>
        </w:rPr>
        <w:t>. Esta postura, sin embargo, no es única en su género, “por ejemplo Fiske, prevé una ideología dominante que, aunque es bastante constante en los acontecimiento culturales y materiales, suelen venir acompañadas de elementos ideológicos contradictorios”</w:t>
      </w:r>
      <w:r>
        <w:rPr>
          <w:rFonts w:ascii="Times New Roman" w:hAnsi="Times New Roman"/>
          <w:sz w:val="24"/>
          <w:szCs w:val="24"/>
        </w:rPr>
        <w:t xml:space="preserve"> (Thomas, 1998, p.153)</w:t>
      </w:r>
      <w:r w:rsidRPr="00616A87">
        <w:rPr>
          <w:rFonts w:ascii="Times New Roman" w:hAnsi="Times New Roman"/>
          <w:sz w:val="24"/>
          <w:szCs w:val="24"/>
        </w:rPr>
        <w:t xml:space="preserve">.  </w:t>
      </w:r>
    </w:p>
    <w:p w:rsidR="00732C35" w:rsidRPr="00616A87" w:rsidRDefault="00732C35" w:rsidP="00616A87">
      <w:pPr>
        <w:spacing w:line="360" w:lineRule="auto"/>
        <w:jc w:val="both"/>
        <w:rPr>
          <w:rFonts w:ascii="Times New Roman" w:hAnsi="Times New Roman"/>
          <w:sz w:val="24"/>
          <w:szCs w:val="24"/>
        </w:rPr>
      </w:pPr>
    </w:p>
    <w:p w:rsidR="00A00E75" w:rsidRPr="00616A87" w:rsidRDefault="00A00E75" w:rsidP="00214339">
      <w:pPr>
        <w:pStyle w:val="Subttulotesis"/>
      </w:pPr>
      <w:bookmarkStart w:id="16" w:name="_Toc295373140"/>
      <w:r w:rsidRPr="00616A87">
        <w:lastRenderedPageBreak/>
        <w:t>Dominación a través de la desnaturalización de lo humano</w:t>
      </w:r>
      <w:bookmarkEnd w:id="16"/>
    </w:p>
    <w:p w:rsidR="00A00E75" w:rsidRDefault="00A00E75" w:rsidP="001B71A3">
      <w:pPr>
        <w:pStyle w:val="Prrafodelista1"/>
        <w:spacing w:line="360" w:lineRule="auto"/>
        <w:ind w:left="0"/>
        <w:jc w:val="both"/>
        <w:rPr>
          <w:rFonts w:ascii="Times New Roman" w:hAnsi="Times New Roman"/>
          <w:sz w:val="24"/>
          <w:szCs w:val="24"/>
        </w:rPr>
      </w:pPr>
      <w:r w:rsidRPr="00616A87">
        <w:rPr>
          <w:rFonts w:ascii="Times New Roman" w:hAnsi="Times New Roman"/>
          <w:sz w:val="24"/>
          <w:szCs w:val="24"/>
        </w:rPr>
        <w:t xml:space="preserve">A esto </w:t>
      </w:r>
      <w:r w:rsidR="0059585D">
        <w:rPr>
          <w:rFonts w:ascii="Times New Roman" w:hAnsi="Times New Roman"/>
          <w:sz w:val="24"/>
          <w:szCs w:val="24"/>
        </w:rPr>
        <w:t>se aumenta</w:t>
      </w:r>
      <w:r w:rsidRPr="00616A87">
        <w:rPr>
          <w:rFonts w:ascii="Times New Roman" w:hAnsi="Times New Roman"/>
          <w:sz w:val="24"/>
          <w:szCs w:val="24"/>
        </w:rPr>
        <w:t xml:space="preserve"> los prototipos de comportamientos que se imponen y las reacciones que estos generan. Al igual que la sensación que provocan los comerciales idealizados que muestran una generalización perfecta de la </w:t>
      </w:r>
      <w:r w:rsidRPr="00616A87">
        <w:rPr>
          <w:rFonts w:ascii="Times New Roman" w:hAnsi="Times New Roman"/>
          <w:i/>
          <w:sz w:val="24"/>
          <w:szCs w:val="24"/>
        </w:rPr>
        <w:t>ecuatorianidad</w:t>
      </w:r>
      <w:r w:rsidRPr="00616A87">
        <w:rPr>
          <w:rFonts w:ascii="Times New Roman" w:hAnsi="Times New Roman"/>
          <w:sz w:val="24"/>
          <w:szCs w:val="24"/>
        </w:rPr>
        <w:t xml:space="preserve"> imperturbable e intachable. Parecería fácil creer que “el tipo físico construido por el Partido como ideal (jóvenes altos y musculares y mujeres de pecho bajo, rubias, vitales, bronceadas, despreocupadas) existía e incluso predominaba”</w:t>
      </w:r>
      <w:r>
        <w:rPr>
          <w:rFonts w:ascii="Times New Roman" w:hAnsi="Times New Roman"/>
          <w:sz w:val="24"/>
          <w:szCs w:val="24"/>
        </w:rPr>
        <w:t xml:space="preserve"> (Orwell, 1983, p.53)</w:t>
      </w:r>
      <w:r w:rsidRPr="00616A87">
        <w:rPr>
          <w:rFonts w:ascii="Times New Roman" w:hAnsi="Times New Roman"/>
          <w:sz w:val="24"/>
          <w:szCs w:val="24"/>
        </w:rPr>
        <w:t xml:space="preserve">. Grupos de poder que buscan la manipulación de la realidad pero también la alteración de la naturaleza humana. Tabúes que infectan nuestra sociedad venidos de una religiosidad vana y poco fundamentada. Desnaturalización del ser humano a través de la criminalización y vulgarización del acto sexual, como un ejemplo. Una doble moral practicada por la iglesia, perpetuada por la </w:t>
      </w:r>
      <w:r w:rsidRPr="00616A87">
        <w:rPr>
          <w:rFonts w:ascii="Times New Roman" w:hAnsi="Times New Roman"/>
          <w:i/>
          <w:sz w:val="24"/>
          <w:szCs w:val="24"/>
        </w:rPr>
        <w:t>curuchupada</w:t>
      </w:r>
      <w:r w:rsidRPr="00616A87">
        <w:rPr>
          <w:rFonts w:ascii="Times New Roman" w:hAnsi="Times New Roman"/>
          <w:sz w:val="24"/>
          <w:szCs w:val="24"/>
        </w:rPr>
        <w:t xml:space="preserve"> oligárquica y aprovechada por los sectores de izquierda. </w:t>
      </w:r>
    </w:p>
    <w:p w:rsidR="00A00E75" w:rsidRDefault="00A00E75" w:rsidP="001B71A3">
      <w:pPr>
        <w:pStyle w:val="Prrafodelista1"/>
        <w:spacing w:line="360" w:lineRule="auto"/>
        <w:ind w:right="720"/>
        <w:jc w:val="both"/>
        <w:rPr>
          <w:rFonts w:ascii="Times New Roman" w:hAnsi="Times New Roman"/>
          <w:sz w:val="24"/>
          <w:szCs w:val="24"/>
        </w:rPr>
      </w:pPr>
      <w:r w:rsidRPr="00616A87">
        <w:rPr>
          <w:rFonts w:ascii="Times New Roman" w:hAnsi="Times New Roman"/>
          <w:sz w:val="24"/>
          <w:szCs w:val="24"/>
        </w:rPr>
        <w:t xml:space="preserve">El Partido intentaba matar el instinto sexual o, si no podía ser matado, distorsionarlo y ensuciarlo. </w:t>
      </w:r>
      <w:r>
        <w:rPr>
          <w:rFonts w:ascii="Times New Roman" w:hAnsi="Times New Roman"/>
          <w:sz w:val="24"/>
          <w:szCs w:val="24"/>
        </w:rPr>
        <w:t>(</w:t>
      </w:r>
      <w:r w:rsidRPr="00616A87">
        <w:rPr>
          <w:rFonts w:ascii="Times New Roman" w:hAnsi="Times New Roman"/>
          <w:sz w:val="24"/>
          <w:szCs w:val="24"/>
        </w:rPr>
        <w:t>Winston</w:t>
      </w:r>
      <w:r>
        <w:rPr>
          <w:rFonts w:ascii="Times New Roman" w:hAnsi="Times New Roman"/>
          <w:sz w:val="24"/>
          <w:szCs w:val="24"/>
        </w:rPr>
        <w:t>)</w:t>
      </w:r>
      <w:r w:rsidRPr="00616A87">
        <w:rPr>
          <w:rFonts w:ascii="Times New Roman" w:hAnsi="Times New Roman"/>
          <w:sz w:val="24"/>
          <w:szCs w:val="24"/>
        </w:rPr>
        <w:t xml:space="preserve"> no sabía la razón para esto, pero la parecía natural que esto fuere así. Y en cuanto a las mujeres, los esfuerzos del Partido h</w:t>
      </w:r>
      <w:r>
        <w:rPr>
          <w:rFonts w:ascii="Times New Roman" w:hAnsi="Times New Roman"/>
          <w:sz w:val="24"/>
          <w:szCs w:val="24"/>
        </w:rPr>
        <w:t>abían sido altamente eficientes. (Orwell, 1983, p.57)</w:t>
      </w:r>
    </w:p>
    <w:p w:rsidR="00A00E75" w:rsidRPr="00616A87" w:rsidRDefault="00A00E75" w:rsidP="001B71A3">
      <w:pPr>
        <w:pStyle w:val="Prrafodelista1"/>
        <w:spacing w:line="360" w:lineRule="auto"/>
        <w:ind w:left="0"/>
        <w:jc w:val="both"/>
        <w:rPr>
          <w:rFonts w:ascii="Times New Roman" w:hAnsi="Times New Roman"/>
          <w:b/>
          <w:sz w:val="24"/>
          <w:szCs w:val="24"/>
        </w:rPr>
      </w:pPr>
      <w:r w:rsidRPr="00616A87">
        <w:rPr>
          <w:rFonts w:ascii="Times New Roman" w:hAnsi="Times New Roman"/>
          <w:sz w:val="24"/>
          <w:szCs w:val="24"/>
        </w:rPr>
        <w:t xml:space="preserve">Una pared de falsa virtud, que nos lleva a detestar nuestra propia naturaleza y despreciar nuestra propia racionalidad. “Y lo que </w:t>
      </w:r>
      <w:r>
        <w:rPr>
          <w:rFonts w:ascii="Times New Roman" w:hAnsi="Times New Roman"/>
          <w:sz w:val="24"/>
          <w:szCs w:val="24"/>
        </w:rPr>
        <w:t>(</w:t>
      </w:r>
      <w:r w:rsidRPr="00616A87">
        <w:rPr>
          <w:rFonts w:ascii="Times New Roman" w:hAnsi="Times New Roman"/>
          <w:sz w:val="24"/>
          <w:szCs w:val="24"/>
        </w:rPr>
        <w:t>Winston</w:t>
      </w:r>
      <w:r>
        <w:rPr>
          <w:rFonts w:ascii="Times New Roman" w:hAnsi="Times New Roman"/>
          <w:sz w:val="24"/>
          <w:szCs w:val="24"/>
        </w:rPr>
        <w:t>)</w:t>
      </w:r>
      <w:r w:rsidRPr="00616A87">
        <w:rPr>
          <w:rFonts w:ascii="Times New Roman" w:hAnsi="Times New Roman"/>
          <w:sz w:val="24"/>
          <w:szCs w:val="24"/>
        </w:rPr>
        <w:t xml:space="preserve"> quería, más que ser amado, era romper la pared de la virtud”</w:t>
      </w:r>
      <w:r>
        <w:rPr>
          <w:rFonts w:ascii="Times New Roman" w:hAnsi="Times New Roman"/>
          <w:sz w:val="24"/>
          <w:szCs w:val="24"/>
        </w:rPr>
        <w:t xml:space="preserve"> (Orwell, 1983, p.59)</w:t>
      </w:r>
      <w:r w:rsidRPr="00616A87">
        <w:rPr>
          <w:rFonts w:ascii="Times New Roman" w:hAnsi="Times New Roman"/>
          <w:sz w:val="24"/>
          <w:szCs w:val="24"/>
        </w:rPr>
        <w:t xml:space="preserve">. Una reacción generada por un estilo de vida opresivo y desgastante. </w:t>
      </w:r>
    </w:p>
    <w:p w:rsidR="00A00E75" w:rsidRDefault="00A00E75" w:rsidP="00214339">
      <w:pPr>
        <w:spacing w:line="360" w:lineRule="auto"/>
        <w:jc w:val="both"/>
        <w:rPr>
          <w:rFonts w:ascii="Times New Roman" w:hAnsi="Times New Roman"/>
          <w:sz w:val="24"/>
          <w:szCs w:val="24"/>
        </w:rPr>
      </w:pPr>
      <w:r w:rsidRPr="00616A87">
        <w:rPr>
          <w:rFonts w:ascii="Times New Roman" w:hAnsi="Times New Roman"/>
          <w:sz w:val="24"/>
          <w:szCs w:val="24"/>
        </w:rPr>
        <w:t xml:space="preserve">La lucha constante por una falsa moral y un idealismo hipócrita lleva a una desvalorización de las virtudes. El odio hacia la moralidad establecida por un modelo de dominación corrupto; y una aceptación de esta corrupción como estilo de vida y al mismo tiempo rechazo al </w:t>
      </w:r>
      <w:r w:rsidR="004928B1">
        <w:rPr>
          <w:rFonts w:ascii="Times New Roman" w:hAnsi="Times New Roman"/>
          <w:i/>
          <w:sz w:val="24"/>
          <w:szCs w:val="24"/>
        </w:rPr>
        <w:t>e</w:t>
      </w:r>
      <w:r w:rsidRPr="00616A87">
        <w:rPr>
          <w:rFonts w:ascii="Times New Roman" w:hAnsi="Times New Roman"/>
          <w:i/>
          <w:sz w:val="24"/>
          <w:szCs w:val="24"/>
        </w:rPr>
        <w:t>status quo</w:t>
      </w:r>
      <w:r w:rsidRPr="00616A87">
        <w:rPr>
          <w:rFonts w:ascii="Times New Roman" w:hAnsi="Times New Roman"/>
          <w:sz w:val="24"/>
          <w:szCs w:val="24"/>
        </w:rPr>
        <w:t>. “Odio la pureza, odio la bondad. No quiero que existan las virtudes en ningún lado. Yo quiero ser corrupto hasta los huesos”</w:t>
      </w:r>
      <w:r>
        <w:rPr>
          <w:rFonts w:ascii="Times New Roman" w:hAnsi="Times New Roman"/>
          <w:sz w:val="24"/>
          <w:szCs w:val="24"/>
        </w:rPr>
        <w:t xml:space="preserve"> (Orwell, 1983, p.104)</w:t>
      </w:r>
      <w:r w:rsidRPr="00616A87">
        <w:rPr>
          <w:rFonts w:ascii="Times New Roman" w:hAnsi="Times New Roman"/>
          <w:sz w:val="24"/>
          <w:szCs w:val="24"/>
        </w:rPr>
        <w:t xml:space="preserve">. Pero lo más grave es que esta manifestación de inconformidad no viene como un pensamiento social dentro de </w:t>
      </w:r>
      <w:r w:rsidRPr="00616A87">
        <w:rPr>
          <w:rFonts w:ascii="Times New Roman" w:hAnsi="Times New Roman"/>
          <w:sz w:val="24"/>
          <w:szCs w:val="24"/>
        </w:rPr>
        <w:lastRenderedPageBreak/>
        <w:t>las reacciones hacia el Estado o los grupos de dominación. Más importante es la propia situación individual, muy por encima de la situación colectiva. “Ella odiaba al Partido, y lo decía en las palabras más crudas, pero no hacía una crítica general de ello. Excepto cuando tocaba en su propia vida, ella no tenía ningún interés en la doctrina del Partido”</w:t>
      </w:r>
      <w:r>
        <w:rPr>
          <w:rFonts w:ascii="Times New Roman" w:hAnsi="Times New Roman"/>
          <w:sz w:val="24"/>
          <w:szCs w:val="24"/>
        </w:rPr>
        <w:t xml:space="preserve"> (Orwell, 1983, p.109)</w:t>
      </w:r>
      <w:r w:rsidRPr="00616A87">
        <w:rPr>
          <w:rFonts w:ascii="Times New Roman" w:hAnsi="Times New Roman"/>
          <w:sz w:val="24"/>
          <w:szCs w:val="24"/>
        </w:rPr>
        <w:t>. A esto se complementa el sentimiento de desilusión ante un sistema que no cumple con las mínimas expectativas, “siempre en tu estómago y en un</w:t>
      </w:r>
      <w:r w:rsidR="00732C35">
        <w:rPr>
          <w:rFonts w:ascii="Times New Roman" w:hAnsi="Times New Roman"/>
          <w:sz w:val="24"/>
          <w:szCs w:val="24"/>
        </w:rPr>
        <w:t>a</w:t>
      </w:r>
      <w:r w:rsidRPr="00616A87">
        <w:rPr>
          <w:rFonts w:ascii="Times New Roman" w:hAnsi="Times New Roman"/>
          <w:sz w:val="24"/>
          <w:szCs w:val="24"/>
        </w:rPr>
        <w:t xml:space="preserve"> piel hay una sensación de protesta, una sensación de que fuiste robado de algo a lo cual tenías derecho”</w:t>
      </w:r>
      <w:r>
        <w:rPr>
          <w:rFonts w:ascii="Times New Roman" w:hAnsi="Times New Roman"/>
          <w:sz w:val="24"/>
          <w:szCs w:val="24"/>
        </w:rPr>
        <w:t xml:space="preserve"> (Orwell, 1983, p.52)</w:t>
      </w:r>
      <w:r w:rsidRPr="00616A87">
        <w:rPr>
          <w:rFonts w:ascii="Times New Roman" w:hAnsi="Times New Roman"/>
          <w:sz w:val="24"/>
          <w:szCs w:val="24"/>
        </w:rPr>
        <w:t>. No es solo un sentimiento que viene del hambre y de la apatía física y vital. Es un sentimiento de insatisfacción proporcionado por un Estado que no termina de cumplir con su función, plagado de corrupción y amarres; un Estado del que no se puede confiar y al cual, sin embargo, nos vemos confinado</w:t>
      </w:r>
      <w:r w:rsidR="006C408F">
        <w:rPr>
          <w:rFonts w:ascii="Times New Roman" w:hAnsi="Times New Roman"/>
          <w:sz w:val="24"/>
          <w:szCs w:val="24"/>
        </w:rPr>
        <w:t>s y maniatados de por vida. Un E</w:t>
      </w:r>
      <w:r w:rsidRPr="00616A87">
        <w:rPr>
          <w:rFonts w:ascii="Times New Roman" w:hAnsi="Times New Roman"/>
          <w:sz w:val="24"/>
          <w:szCs w:val="24"/>
        </w:rPr>
        <w:t>stado que lleva a la inercia, puesto que la “energía que informa al mundo brota de las emociones (orgullo racial, culto al caudillo, creencia religiosa, amor a la guerra) que los intelectuales liberales desechan maquinalmente como anacronismos, y que por lo general han destruido hasta tal punto en sí mismos que han perdido todo poder de acción”</w:t>
      </w:r>
      <w:r>
        <w:rPr>
          <w:rFonts w:ascii="Times New Roman" w:hAnsi="Times New Roman"/>
          <w:sz w:val="24"/>
          <w:szCs w:val="24"/>
        </w:rPr>
        <w:t xml:space="preserve"> (Orwell, 1948a, pp.113, 114)</w:t>
      </w:r>
      <w:r w:rsidRPr="00616A87">
        <w:rPr>
          <w:rFonts w:ascii="Times New Roman" w:hAnsi="Times New Roman"/>
          <w:sz w:val="24"/>
          <w:szCs w:val="24"/>
        </w:rPr>
        <w:t xml:space="preserve">.  </w:t>
      </w:r>
    </w:p>
    <w:p w:rsidR="00A00E75" w:rsidRPr="00214339" w:rsidRDefault="00A00E75" w:rsidP="002E0094">
      <w:pPr>
        <w:pStyle w:val="Subttulotesis"/>
        <w:outlineLvl w:val="0"/>
      </w:pPr>
      <w:bookmarkStart w:id="17" w:name="_Toc295373141"/>
      <w:r w:rsidRPr="00616A87">
        <w:t>El poder</w:t>
      </w:r>
      <w:bookmarkEnd w:id="17"/>
    </w:p>
    <w:p w:rsidR="006C408F"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En la distopía orwelliana “el poder no es un medio; es un fin”</w:t>
      </w:r>
      <w:r>
        <w:rPr>
          <w:rFonts w:ascii="Times New Roman" w:hAnsi="Times New Roman"/>
          <w:sz w:val="24"/>
          <w:szCs w:val="24"/>
        </w:rPr>
        <w:t xml:space="preserve"> (Orwell, 1983, p.217)</w:t>
      </w:r>
      <w:r w:rsidRPr="00616A87">
        <w:rPr>
          <w:rFonts w:ascii="Times New Roman" w:hAnsi="Times New Roman"/>
          <w:sz w:val="24"/>
          <w:szCs w:val="24"/>
        </w:rPr>
        <w:t>. Y el poder “es colectivo. El individuo solo tiene poder en algo, hasta que deja de ser un individuo”</w:t>
      </w:r>
      <w:r>
        <w:rPr>
          <w:rFonts w:ascii="Times New Roman" w:hAnsi="Times New Roman"/>
          <w:sz w:val="24"/>
          <w:szCs w:val="24"/>
        </w:rPr>
        <w:t xml:space="preserve"> (Orwell, 1983, p.218)</w:t>
      </w:r>
      <w:r w:rsidRPr="00616A87">
        <w:rPr>
          <w:rFonts w:ascii="Times New Roman" w:hAnsi="Times New Roman"/>
          <w:sz w:val="24"/>
          <w:szCs w:val="24"/>
        </w:rPr>
        <w:t xml:space="preserve">. Este poder colectivo, manejado por los grupos de poder, está recompensado por un grado de seguridad. “Y escuchamos ecos de esa nota de cuidado en la constante demanda por más seguridad y confort, menos riesgos en la sociedad. Reconocemos, sin embargo, que la mayor eficiencia, facilidad, y seguridad pueden venir a un precio substancial de la libertad, que la ley y el orden pueden ser una versión de </w:t>
      </w:r>
      <w:r w:rsidRPr="00616A87">
        <w:rPr>
          <w:rFonts w:ascii="Times New Roman" w:hAnsi="Times New Roman"/>
          <w:i/>
          <w:sz w:val="24"/>
          <w:szCs w:val="24"/>
        </w:rPr>
        <w:t>doblepensar</w:t>
      </w:r>
      <w:r w:rsidRPr="00616A87">
        <w:rPr>
          <w:rFonts w:ascii="Times New Roman" w:hAnsi="Times New Roman"/>
          <w:sz w:val="24"/>
          <w:szCs w:val="24"/>
        </w:rPr>
        <w:t xml:space="preserve"> de opresión, que las libertades individuales rendidas por cualquier buena razón son una pérdida de la libertad”</w:t>
      </w:r>
      <w:r>
        <w:rPr>
          <w:rFonts w:ascii="Times New Roman" w:hAnsi="Times New Roman"/>
          <w:sz w:val="24"/>
          <w:szCs w:val="24"/>
        </w:rPr>
        <w:t xml:space="preserve"> (Cronkite, 1983, p.2)</w:t>
      </w:r>
      <w:r w:rsidRPr="00616A87">
        <w:rPr>
          <w:rFonts w:ascii="Times New Roman" w:hAnsi="Times New Roman"/>
          <w:sz w:val="24"/>
          <w:szCs w:val="24"/>
        </w:rPr>
        <w:t xml:space="preserve">. Este poder ejercido a través de un sentimiento de seguridad brindado a la sociedad, es una reacción a las decisiones a las que tiene que llegar la sociedad civil dentro de la </w:t>
      </w:r>
      <w:r w:rsidRPr="00616A87">
        <w:rPr>
          <w:rFonts w:ascii="Times New Roman" w:hAnsi="Times New Roman"/>
          <w:sz w:val="24"/>
          <w:szCs w:val="24"/>
        </w:rPr>
        <w:lastRenderedPageBreak/>
        <w:t>construcción del contrato social, tanto así, que una “ausencia de libertad cómoda, suave, razonable y democrática, señal de progreso técnico, prevalece en la civilización industrial avanzada”</w:t>
      </w:r>
      <w:r>
        <w:rPr>
          <w:rFonts w:ascii="Times New Roman" w:hAnsi="Times New Roman"/>
          <w:sz w:val="24"/>
          <w:szCs w:val="24"/>
        </w:rPr>
        <w:t xml:space="preserve"> (Marcuse, 1968, p.23)</w:t>
      </w:r>
      <w:r w:rsidRPr="00616A87">
        <w:rPr>
          <w:rFonts w:ascii="Times New Roman" w:hAnsi="Times New Roman"/>
          <w:sz w:val="24"/>
          <w:szCs w:val="24"/>
        </w:rPr>
        <w:t xml:space="preserve">. La “decisión de la humanidad se encuentra entre la libertad y la felicidad </w:t>
      </w:r>
      <w:r>
        <w:rPr>
          <w:rFonts w:ascii="Times New Roman" w:hAnsi="Times New Roman"/>
          <w:sz w:val="24"/>
          <w:szCs w:val="24"/>
        </w:rPr>
        <w:t>(</w:t>
      </w:r>
      <w:r w:rsidRPr="00616A87">
        <w:rPr>
          <w:rFonts w:ascii="Times New Roman" w:hAnsi="Times New Roman"/>
          <w:sz w:val="24"/>
          <w:szCs w:val="24"/>
        </w:rPr>
        <w:t>y</w:t>
      </w:r>
      <w:r>
        <w:rPr>
          <w:rFonts w:ascii="Times New Roman" w:hAnsi="Times New Roman"/>
          <w:sz w:val="24"/>
          <w:szCs w:val="24"/>
        </w:rPr>
        <w:t>)</w:t>
      </w:r>
      <w:r w:rsidRPr="00616A87">
        <w:rPr>
          <w:rFonts w:ascii="Times New Roman" w:hAnsi="Times New Roman"/>
          <w:sz w:val="24"/>
          <w:szCs w:val="24"/>
        </w:rPr>
        <w:t xml:space="preserve">  para gran mayoría de la humanidad, la felicidad era mejor”</w:t>
      </w:r>
      <w:r>
        <w:rPr>
          <w:rFonts w:ascii="Times New Roman" w:hAnsi="Times New Roman"/>
          <w:sz w:val="24"/>
          <w:szCs w:val="24"/>
        </w:rPr>
        <w:t xml:space="preserve"> (Orwell, 1983, p.216)</w:t>
      </w:r>
      <w:r w:rsidRPr="00616A87">
        <w:rPr>
          <w:rFonts w:ascii="Times New Roman" w:hAnsi="Times New Roman"/>
          <w:sz w:val="24"/>
          <w:szCs w:val="24"/>
        </w:rPr>
        <w:t>.  Podemos captar, entender y analizar la metodología de los procesos de dominación, pero resulta aún más crucial saber las razones para los aciertos y engaños dentro de los procesos de dominación. “</w:t>
      </w:r>
      <w:r>
        <w:rPr>
          <w:rFonts w:ascii="Times New Roman" w:hAnsi="Times New Roman"/>
          <w:sz w:val="24"/>
          <w:szCs w:val="24"/>
        </w:rPr>
        <w:t>(</w:t>
      </w:r>
      <w:r w:rsidRPr="00616A87">
        <w:rPr>
          <w:rFonts w:ascii="Times New Roman" w:hAnsi="Times New Roman"/>
          <w:sz w:val="24"/>
          <w:szCs w:val="24"/>
        </w:rPr>
        <w:t>Winston</w:t>
      </w:r>
      <w:r>
        <w:rPr>
          <w:rFonts w:ascii="Times New Roman" w:hAnsi="Times New Roman"/>
          <w:sz w:val="24"/>
          <w:szCs w:val="24"/>
        </w:rPr>
        <w:t>)</w:t>
      </w:r>
      <w:r w:rsidRPr="00616A87">
        <w:rPr>
          <w:rFonts w:ascii="Times New Roman" w:hAnsi="Times New Roman"/>
          <w:sz w:val="24"/>
          <w:szCs w:val="24"/>
        </w:rPr>
        <w:t xml:space="preserve"> cogió de nuevo su pluma y escribió: </w:t>
      </w:r>
      <w:r w:rsidRPr="00616A87">
        <w:rPr>
          <w:rFonts w:ascii="Times New Roman" w:hAnsi="Times New Roman"/>
          <w:i/>
          <w:sz w:val="24"/>
          <w:szCs w:val="24"/>
        </w:rPr>
        <w:t>entiendo el CÓMO: lo que no entiendo es el POR QUÉ</w:t>
      </w:r>
      <w:r w:rsidRPr="00616A87">
        <w:rPr>
          <w:rFonts w:ascii="Times New Roman" w:hAnsi="Times New Roman"/>
          <w:sz w:val="24"/>
          <w:szCs w:val="24"/>
        </w:rPr>
        <w:t>”</w:t>
      </w:r>
      <w:r>
        <w:rPr>
          <w:rFonts w:ascii="Times New Roman" w:hAnsi="Times New Roman"/>
          <w:sz w:val="24"/>
          <w:szCs w:val="24"/>
        </w:rPr>
        <w:t xml:space="preserve"> (Orwell, 1983, p.68)</w:t>
      </w:r>
      <w:r w:rsidRPr="00616A87">
        <w:rPr>
          <w:rFonts w:ascii="Times New Roman" w:hAnsi="Times New Roman"/>
          <w:sz w:val="24"/>
          <w:szCs w:val="24"/>
        </w:rPr>
        <w:t xml:space="preserve">. El propio Orwell se encargará de responder a esa duda: “el Partido busca poder enteramente para su propia conveniencia. No está interesado en el bien de otros; están interesados únicamente en el poder.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Solo poder; puro poder”</w:t>
      </w:r>
      <w:r>
        <w:rPr>
          <w:rFonts w:ascii="Times New Roman" w:hAnsi="Times New Roman"/>
          <w:sz w:val="24"/>
          <w:szCs w:val="24"/>
        </w:rPr>
        <w:t xml:space="preserve"> (Orwell, 1983, p.217)</w:t>
      </w:r>
      <w:r w:rsidRPr="00616A87">
        <w:rPr>
          <w:rFonts w:ascii="Times New Roman" w:hAnsi="Times New Roman"/>
          <w:sz w:val="24"/>
          <w:szCs w:val="24"/>
        </w:rPr>
        <w:t>. Si a esta razón para la dominación, se suma la idea de un Partido como la representación misma de las necesidades de la sociedad, si acaso la representación de la propia sociedad, entonces no es difícil encontrar sociedades manipulables; lo difícil es encontrar sociedad</w:t>
      </w:r>
      <w:r w:rsidR="00732C35">
        <w:rPr>
          <w:rFonts w:ascii="Times New Roman" w:hAnsi="Times New Roman"/>
          <w:sz w:val="24"/>
          <w:szCs w:val="24"/>
        </w:rPr>
        <w:t>es</w:t>
      </w:r>
      <w:r w:rsidRPr="00616A87">
        <w:rPr>
          <w:rFonts w:ascii="Times New Roman" w:hAnsi="Times New Roman"/>
          <w:sz w:val="24"/>
          <w:szCs w:val="24"/>
        </w:rPr>
        <w:t xml:space="preserve"> libres. Dentro del proceso de dominación política la libertad se puede convertir en un poderoso método de dominación. Si bien “el criterio para la selección no puede nunca ser absoluto,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tampoco es del todo relativo.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la libre elección de amos no suprime ni a los amos ni a los esclavos”</w:t>
      </w:r>
      <w:r>
        <w:rPr>
          <w:rFonts w:ascii="Times New Roman" w:hAnsi="Times New Roman"/>
          <w:sz w:val="24"/>
          <w:szCs w:val="24"/>
        </w:rPr>
        <w:t xml:space="preserve"> (Marcuse, 1968, p.29)</w:t>
      </w:r>
      <w:r w:rsidRPr="00616A87">
        <w:rPr>
          <w:rFonts w:ascii="Times New Roman" w:hAnsi="Times New Roman"/>
          <w:sz w:val="24"/>
          <w:szCs w:val="24"/>
        </w:rPr>
        <w:t xml:space="preserve">.  </w:t>
      </w:r>
    </w:p>
    <w:p w:rsidR="00A00E75" w:rsidRPr="00616A87" w:rsidRDefault="00A00E75" w:rsidP="002E0094">
      <w:pPr>
        <w:pStyle w:val="Subttulotesis"/>
        <w:outlineLvl w:val="0"/>
      </w:pPr>
      <w:bookmarkStart w:id="18" w:name="_Toc295373142"/>
      <w:r w:rsidRPr="00616A87">
        <w:t>Comentarios</w:t>
      </w:r>
      <w:bookmarkEnd w:id="18"/>
    </w:p>
    <w:p w:rsidR="00A00E75" w:rsidRDefault="00A00E75" w:rsidP="00616A87">
      <w:pPr>
        <w:spacing w:line="360" w:lineRule="auto"/>
        <w:jc w:val="both"/>
        <w:rPr>
          <w:rFonts w:ascii="Times New Roman" w:hAnsi="Times New Roman"/>
          <w:sz w:val="24"/>
          <w:szCs w:val="24"/>
        </w:rPr>
      </w:pPr>
      <w:r w:rsidRPr="00616A87">
        <w:rPr>
          <w:rFonts w:ascii="Times New Roman" w:hAnsi="Times New Roman"/>
          <w:i/>
          <w:sz w:val="24"/>
          <w:szCs w:val="24"/>
        </w:rPr>
        <w:t>1984</w:t>
      </w:r>
      <w:r w:rsidRPr="00616A87">
        <w:rPr>
          <w:rFonts w:ascii="Times New Roman" w:hAnsi="Times New Roman"/>
          <w:sz w:val="24"/>
          <w:szCs w:val="24"/>
        </w:rPr>
        <w:t xml:space="preserve"> no necesariamente busca una realización del proceso textual de lo escrito, pero si una mirada simbólica a las repercusiones actuales de dominación por parte de los grupos de poder. No es una crítica hacia los procesos de dominación, es una mirada a las consecuencias de ciertos actos y la desnaturalización del ser humano frente a estos. </w:t>
      </w:r>
    </w:p>
    <w:p w:rsidR="00A00E75" w:rsidRDefault="00A00E75" w:rsidP="00611949">
      <w:pPr>
        <w:spacing w:line="360" w:lineRule="auto"/>
        <w:ind w:left="720" w:right="720"/>
        <w:jc w:val="both"/>
        <w:rPr>
          <w:rFonts w:ascii="Times New Roman" w:hAnsi="Times New Roman"/>
          <w:sz w:val="24"/>
          <w:szCs w:val="24"/>
        </w:rPr>
      </w:pPr>
      <w:r w:rsidRPr="00616A87">
        <w:rPr>
          <w:rFonts w:ascii="Times New Roman" w:hAnsi="Times New Roman"/>
          <w:sz w:val="24"/>
          <w:szCs w:val="24"/>
        </w:rPr>
        <w:t xml:space="preserve">Rara vez un libro </w:t>
      </w:r>
      <w:r>
        <w:rPr>
          <w:rFonts w:ascii="Times New Roman" w:hAnsi="Times New Roman"/>
          <w:sz w:val="24"/>
          <w:szCs w:val="24"/>
        </w:rPr>
        <w:t>h</w:t>
      </w:r>
      <w:r w:rsidRPr="00616A87">
        <w:rPr>
          <w:rFonts w:ascii="Times New Roman" w:hAnsi="Times New Roman"/>
          <w:sz w:val="24"/>
          <w:szCs w:val="24"/>
        </w:rPr>
        <w:t xml:space="preserve">a provisto de una mayor riqueza de símbolos para esta edad y para las generaciones venideras y rara vez los símbolos literarios han sido invertidos con tanto poder,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por lo que han sido tan apropiados, y porque las características que </w:t>
      </w:r>
      <w:r>
        <w:rPr>
          <w:rFonts w:ascii="Times New Roman" w:hAnsi="Times New Roman"/>
          <w:sz w:val="24"/>
          <w:szCs w:val="24"/>
        </w:rPr>
        <w:lastRenderedPageBreak/>
        <w:t>(</w:t>
      </w:r>
      <w:r w:rsidRPr="00616A87">
        <w:rPr>
          <w:rFonts w:ascii="Times New Roman" w:hAnsi="Times New Roman"/>
          <w:sz w:val="24"/>
          <w:szCs w:val="24"/>
        </w:rPr>
        <w:t>Orwell</w:t>
      </w:r>
      <w:r>
        <w:rPr>
          <w:rFonts w:ascii="Times New Roman" w:hAnsi="Times New Roman"/>
          <w:sz w:val="24"/>
          <w:szCs w:val="24"/>
        </w:rPr>
        <w:t>)</w:t>
      </w:r>
      <w:r w:rsidRPr="00616A87">
        <w:rPr>
          <w:rFonts w:ascii="Times New Roman" w:hAnsi="Times New Roman"/>
          <w:sz w:val="24"/>
          <w:szCs w:val="24"/>
        </w:rPr>
        <w:t xml:space="preserve"> delineó, descomunales como lo fueron</w:t>
      </w:r>
      <w:r>
        <w:rPr>
          <w:rFonts w:ascii="Times New Roman" w:hAnsi="Times New Roman"/>
          <w:sz w:val="24"/>
          <w:szCs w:val="24"/>
        </w:rPr>
        <w:t>, también fueron tan familiares (Cronkite, 1983, p.1)</w:t>
      </w:r>
      <w:r w:rsidRPr="00616A87">
        <w:rPr>
          <w:rFonts w:ascii="Times New Roman" w:hAnsi="Times New Roman"/>
          <w:sz w:val="24"/>
          <w:szCs w:val="24"/>
        </w:rPr>
        <w:t xml:space="preserve">.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¿Si </w:t>
      </w:r>
      <w:r w:rsidRPr="00616A87">
        <w:rPr>
          <w:rFonts w:ascii="Times New Roman" w:hAnsi="Times New Roman"/>
          <w:i/>
          <w:sz w:val="24"/>
          <w:szCs w:val="24"/>
        </w:rPr>
        <w:t>1984</w:t>
      </w:r>
      <w:r w:rsidRPr="00616A87">
        <w:rPr>
          <w:rFonts w:ascii="Times New Roman" w:hAnsi="Times New Roman"/>
          <w:sz w:val="24"/>
          <w:szCs w:val="24"/>
        </w:rPr>
        <w:t xml:space="preserve"> no es una profecía, entonces, qué es? “Es, como muchos lo notaron, una advertencia”</w:t>
      </w:r>
      <w:r>
        <w:rPr>
          <w:rFonts w:ascii="Times New Roman" w:hAnsi="Times New Roman"/>
          <w:sz w:val="24"/>
          <w:szCs w:val="24"/>
        </w:rPr>
        <w:t xml:space="preserve"> (Cronkite, 1983, p.2)</w:t>
      </w:r>
      <w:r w:rsidRPr="00616A87">
        <w:rPr>
          <w:rFonts w:ascii="Times New Roman" w:hAnsi="Times New Roman"/>
          <w:sz w:val="24"/>
          <w:szCs w:val="24"/>
        </w:rPr>
        <w:t xml:space="preserve">. Y sería una lástima si se interpreta la obra como una simple descripción del barbarismo estalinista o del nazismo hitleriano; o, peor aún, como una crítica directa al socialismo y el comunismo; porque George Orwell también se refería a nosotros. No esperemos encontrar una descripción exacta con la actualidad para ver las similitudes. La Oceanía de </w:t>
      </w:r>
      <w:r w:rsidRPr="00616A87">
        <w:rPr>
          <w:rFonts w:ascii="Times New Roman" w:hAnsi="Times New Roman"/>
          <w:i/>
          <w:sz w:val="24"/>
          <w:szCs w:val="24"/>
        </w:rPr>
        <w:t>1984</w:t>
      </w:r>
      <w:r w:rsidRPr="00616A87">
        <w:rPr>
          <w:rFonts w:ascii="Times New Roman" w:hAnsi="Times New Roman"/>
          <w:sz w:val="24"/>
          <w:szCs w:val="24"/>
        </w:rPr>
        <w:t xml:space="preserve"> es el resultado final de todas estas prácticas que, a simple vista, parecen tan fáciles de encontrar en nuestra propia sociedad y que, con una adecuada comparación, podrán ser desentrañadas de las páginas de la historia. “Puede que 1984 no haya llegado a tiempo, pero siempre habrá 1985”</w:t>
      </w:r>
      <w:r>
        <w:rPr>
          <w:rFonts w:ascii="Times New Roman" w:hAnsi="Times New Roman"/>
          <w:sz w:val="24"/>
          <w:szCs w:val="24"/>
        </w:rPr>
        <w:t xml:space="preserve"> (Cronkite, 1983, p.2)</w:t>
      </w:r>
      <w:r w:rsidRPr="00616A87">
        <w:rPr>
          <w:rFonts w:ascii="Times New Roman" w:hAnsi="Times New Roman"/>
          <w:sz w:val="24"/>
          <w:szCs w:val="24"/>
        </w:rPr>
        <w:t>. No es la fecha, ni el lugar, ni el nombre: es la posibilidad.</w:t>
      </w:r>
    </w:p>
    <w:p w:rsidR="00A00E75" w:rsidRPr="00616A87" w:rsidRDefault="00A00E75" w:rsidP="00722253">
      <w:pPr>
        <w:pStyle w:val="TtuloTesis"/>
      </w:pPr>
      <w:r w:rsidRPr="00616A87">
        <w:br w:type="page"/>
      </w:r>
      <w:bookmarkStart w:id="19" w:name="_Toc295373143"/>
      <w:r w:rsidRPr="00616A87">
        <w:lastRenderedPageBreak/>
        <w:t>METODOLOGÍA DE LA INVESTIGACIÓN</w:t>
      </w:r>
      <w:bookmarkEnd w:id="19"/>
    </w:p>
    <w:p w:rsidR="00722253" w:rsidRDefault="00722253" w:rsidP="00616A87">
      <w:pPr>
        <w:spacing w:before="100" w:beforeAutospacing="1" w:after="100" w:afterAutospacing="1" w:line="360" w:lineRule="auto"/>
        <w:jc w:val="both"/>
        <w:rPr>
          <w:rFonts w:ascii="Times New Roman" w:hAnsi="Times New Roman"/>
          <w:sz w:val="24"/>
          <w:szCs w:val="24"/>
        </w:rPr>
      </w:pPr>
      <w:r>
        <w:rPr>
          <w:rFonts w:ascii="Times New Roman" w:hAnsi="Times New Roman"/>
          <w:sz w:val="24"/>
          <w:szCs w:val="24"/>
        </w:rPr>
        <w:t>Para la realización del presente estudio se utilizaron los siguientes métodos de investigación: dialéctico (recurriendo al contraste de puntos de vista y a su separación), histórico y comparativo.</w:t>
      </w:r>
    </w:p>
    <w:p w:rsidR="00A00E75" w:rsidRPr="00616A87" w:rsidRDefault="00722253" w:rsidP="00722253">
      <w:pPr>
        <w:spacing w:before="100" w:beforeAutospacing="1" w:after="100" w:afterAutospacing="1" w:line="360" w:lineRule="auto"/>
        <w:jc w:val="both"/>
        <w:rPr>
          <w:rFonts w:ascii="Times New Roman" w:hAnsi="Times New Roman"/>
          <w:sz w:val="24"/>
          <w:szCs w:val="24"/>
        </w:rPr>
      </w:pPr>
      <w:r>
        <w:rPr>
          <w:rFonts w:ascii="Times New Roman" w:hAnsi="Times New Roman"/>
          <w:sz w:val="24"/>
          <w:szCs w:val="24"/>
        </w:rPr>
        <w:t xml:space="preserve">Las técnicas utilizadas para la estructuración de la investigación fueron: investigación documental, encuestas y análisis de datos a partir de tablas y gráficos.   </w:t>
      </w:r>
    </w:p>
    <w:p w:rsidR="00A00E75" w:rsidRDefault="00A00E75" w:rsidP="00616A87">
      <w:pPr>
        <w:spacing w:line="360" w:lineRule="auto"/>
        <w:jc w:val="both"/>
        <w:rPr>
          <w:rFonts w:ascii="Times New Roman" w:hAnsi="Times New Roman"/>
          <w:b/>
          <w:sz w:val="24"/>
          <w:szCs w:val="24"/>
        </w:rPr>
      </w:pPr>
    </w:p>
    <w:p w:rsidR="00A00E75" w:rsidRDefault="00A00E75" w:rsidP="00616A87">
      <w:pPr>
        <w:spacing w:line="360" w:lineRule="auto"/>
        <w:jc w:val="both"/>
        <w:rPr>
          <w:rFonts w:ascii="Times New Roman" w:hAnsi="Times New Roman"/>
          <w:b/>
          <w:sz w:val="24"/>
          <w:szCs w:val="24"/>
        </w:rPr>
      </w:pPr>
    </w:p>
    <w:p w:rsidR="00A00E75" w:rsidRDefault="00A00E75" w:rsidP="00616A87">
      <w:pPr>
        <w:spacing w:line="360" w:lineRule="auto"/>
        <w:jc w:val="both"/>
        <w:rPr>
          <w:rFonts w:ascii="Times New Roman" w:hAnsi="Times New Roman"/>
          <w:b/>
          <w:sz w:val="24"/>
          <w:szCs w:val="24"/>
        </w:rPr>
      </w:pPr>
    </w:p>
    <w:p w:rsidR="00722253" w:rsidRDefault="00722253" w:rsidP="002E0094">
      <w:pPr>
        <w:pStyle w:val="TtuloTesis"/>
        <w:outlineLvl w:val="0"/>
      </w:pPr>
      <w:r>
        <w:br w:type="page"/>
      </w:r>
    </w:p>
    <w:p w:rsidR="00722253" w:rsidRDefault="00722253" w:rsidP="002E0094">
      <w:pPr>
        <w:pStyle w:val="TtuloTesis"/>
        <w:outlineLvl w:val="0"/>
      </w:pPr>
    </w:p>
    <w:p w:rsidR="00722253" w:rsidRDefault="00722253" w:rsidP="002E0094">
      <w:pPr>
        <w:pStyle w:val="TtuloTesis"/>
        <w:outlineLvl w:val="0"/>
      </w:pPr>
    </w:p>
    <w:p w:rsidR="00A00E75" w:rsidRPr="00616A87" w:rsidRDefault="00A00E75" w:rsidP="002E0094">
      <w:pPr>
        <w:pStyle w:val="TtuloTesis"/>
        <w:outlineLvl w:val="0"/>
      </w:pPr>
      <w:bookmarkStart w:id="20" w:name="_Toc295373144"/>
      <w:r w:rsidRPr="00616A87">
        <w:t>DESARROLLO</w:t>
      </w:r>
      <w:bookmarkEnd w:id="20"/>
    </w:p>
    <w:p w:rsidR="00A00E75" w:rsidRPr="00616A87" w:rsidRDefault="00A00E75" w:rsidP="00214339">
      <w:pPr>
        <w:pStyle w:val="TtuloTesis"/>
      </w:pPr>
      <w:bookmarkStart w:id="21" w:name="_Toc295373145"/>
      <w:r w:rsidRPr="00616A87">
        <w:t>CAPÍTULO 1: EL PROCESO DE DOMINACIÓN POLÍTICA EN EL ECUADOR DESDE 1830 HASTA 1979.</w:t>
      </w:r>
      <w:bookmarkEnd w:id="21"/>
    </w:p>
    <w:p w:rsidR="00A00E75" w:rsidRPr="00616A87" w:rsidRDefault="00A00E75" w:rsidP="002E0094">
      <w:pPr>
        <w:pStyle w:val="Subttulotesis"/>
        <w:outlineLvl w:val="0"/>
      </w:pPr>
      <w:bookmarkStart w:id="22" w:name="_Toc295373146"/>
      <w:r w:rsidRPr="00616A87">
        <w:t>Breve vistazo a la época colonial.</w:t>
      </w:r>
      <w:bookmarkEnd w:id="22"/>
    </w:p>
    <w:p w:rsidR="00A00E75" w:rsidRDefault="00A00E75" w:rsidP="00BD4C9F">
      <w:pPr>
        <w:spacing w:line="360" w:lineRule="auto"/>
        <w:ind w:left="720" w:right="720"/>
        <w:jc w:val="both"/>
        <w:rPr>
          <w:rFonts w:ascii="Times New Roman" w:hAnsi="Times New Roman"/>
          <w:sz w:val="24"/>
          <w:szCs w:val="24"/>
        </w:rPr>
      </w:pPr>
      <w:r w:rsidRPr="00616A87">
        <w:rPr>
          <w:rFonts w:ascii="Times New Roman" w:hAnsi="Times New Roman"/>
          <w:sz w:val="24"/>
          <w:szCs w:val="24"/>
        </w:rPr>
        <w:t>Sebastián de Benalcázar inicia la conquista de los territorios quiteños con 290 hombre</w:t>
      </w:r>
      <w:r>
        <w:rPr>
          <w:rFonts w:ascii="Times New Roman" w:hAnsi="Times New Roman"/>
          <w:sz w:val="24"/>
          <w:szCs w:val="24"/>
        </w:rPr>
        <w:t>s</w:t>
      </w:r>
      <w:r w:rsidRPr="00616A87">
        <w:rPr>
          <w:rFonts w:ascii="Times New Roman" w:hAnsi="Times New Roman"/>
          <w:sz w:val="24"/>
          <w:szCs w:val="24"/>
        </w:rPr>
        <w:t xml:space="preserve"> y Diego de Almagro con 30. Pedro de Alvarado los hace con 500. Aproximadamente 2.000 españoles interviene</w:t>
      </w:r>
      <w:r w:rsidR="00C621EF">
        <w:rPr>
          <w:rFonts w:ascii="Times New Roman" w:hAnsi="Times New Roman"/>
          <w:sz w:val="24"/>
          <w:szCs w:val="24"/>
        </w:rPr>
        <w:t>n</w:t>
      </w:r>
      <w:r w:rsidRPr="00616A87">
        <w:rPr>
          <w:rFonts w:ascii="Times New Roman" w:hAnsi="Times New Roman"/>
          <w:sz w:val="24"/>
          <w:szCs w:val="24"/>
        </w:rPr>
        <w:t xml:space="preserve"> en el sometimiento de 500.000 indígenas en los 16 años que dura la conquista y pacificación de la circunscripción geográfic</w:t>
      </w:r>
      <w:r>
        <w:rPr>
          <w:rFonts w:ascii="Times New Roman" w:hAnsi="Times New Roman"/>
          <w:sz w:val="24"/>
          <w:szCs w:val="24"/>
        </w:rPr>
        <w:t>a que hoy constituye el Ecuador (Hurtado, 2007, p.13)</w:t>
      </w:r>
      <w:r w:rsidRPr="00616A87">
        <w:rPr>
          <w:rFonts w:ascii="Times New Roman" w:hAnsi="Times New Roman"/>
          <w:sz w:val="24"/>
          <w:szCs w:val="24"/>
        </w:rPr>
        <w:t xml:space="preserve">.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La subordinación de los indígenas supone la primera fase de la nueva constitución política de América. Las encomiendas y el trabajo forzado de los indígenas constituyeron las bases económicas para el desarrollo de la causa española. Si bien existía una distinción legal entre la encomienda, cuya “denominación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era la de ‘servicios personales’”</w:t>
      </w:r>
      <w:r>
        <w:rPr>
          <w:rFonts w:ascii="Times New Roman" w:hAnsi="Times New Roman"/>
          <w:sz w:val="24"/>
          <w:szCs w:val="24"/>
        </w:rPr>
        <w:t xml:space="preserve"> (Hurtado, 2007, p.15)</w:t>
      </w:r>
      <w:r w:rsidRPr="00616A87">
        <w:rPr>
          <w:rFonts w:ascii="Times New Roman" w:hAnsi="Times New Roman"/>
          <w:sz w:val="24"/>
          <w:szCs w:val="24"/>
        </w:rPr>
        <w:t xml:space="preserve">, y el trabajo forzado, la explotación fue la misma. Las tasas pagadas por los trabajadores eran altas e incluso cuando en 1720 se eliminan las encomiendas, la figura de “servicios personales” sigue manteniendo su  vigencia jurídica.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Mediante “mercedes reales” se permite la apropiación de tierras, fuente primaria de abastecimiento para la corona. Entregada a los conquistadores, estas fueron evolucionando hasta eventualmente convertirse en haciendas. Las ciudades, en sus inicios, eran centros de administración clérigo-político donde se desarrolló la nueva clase criolla. “Cuando el pillaje de los conquistadores agota los metales preciosos acumulados en las manos de los indígenas”</w:t>
      </w:r>
      <w:r>
        <w:rPr>
          <w:rFonts w:ascii="Times New Roman" w:hAnsi="Times New Roman"/>
          <w:sz w:val="24"/>
          <w:szCs w:val="24"/>
        </w:rPr>
        <w:t xml:space="preserve"> (Hurtado, 2007, p.17)</w:t>
      </w:r>
      <w:r w:rsidRPr="00616A87">
        <w:rPr>
          <w:rFonts w:ascii="Times New Roman" w:hAnsi="Times New Roman"/>
          <w:sz w:val="24"/>
          <w:szCs w:val="24"/>
        </w:rPr>
        <w:t xml:space="preserve">, los </w:t>
      </w:r>
      <w:r w:rsidRPr="00616A87">
        <w:rPr>
          <w:rFonts w:ascii="Times New Roman" w:hAnsi="Times New Roman"/>
          <w:sz w:val="24"/>
          <w:szCs w:val="24"/>
        </w:rPr>
        <w:lastRenderedPageBreak/>
        <w:t xml:space="preserve">conquistadores recurren a la explotación de las minas de plata y los lavaderos de oro. La necesidad de comerciar estos metales a Europa, fortalece los puertos como centros comerciales importantes en la colonia. En la Sierra, los indígenas se dedican a la explotación y la agricultura, mientras que en la Costa, lugares inhóspitos para los españoles, se alzan los puertos y las vías de intercambio. La minería pierde su importancia en los inicios de la colonia por el alto índice de muertes, trabajadores que resultaban indispensables para la agricultura.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La organización política de la república tomaba su estructura legal de</w:t>
      </w:r>
      <w:r>
        <w:rPr>
          <w:rFonts w:ascii="Times New Roman" w:hAnsi="Times New Roman"/>
          <w:sz w:val="24"/>
          <w:szCs w:val="24"/>
        </w:rPr>
        <w:t xml:space="preserve"> “la tradición jurídica latina (</w:t>
      </w:r>
      <w:r w:rsidRPr="00616A87">
        <w:rPr>
          <w:rFonts w:ascii="Times New Roman" w:hAnsi="Times New Roman"/>
          <w:sz w:val="24"/>
          <w:szCs w:val="24"/>
        </w:rPr>
        <w:t>y</w:t>
      </w:r>
      <w:r>
        <w:rPr>
          <w:rFonts w:ascii="Times New Roman" w:hAnsi="Times New Roman"/>
          <w:sz w:val="24"/>
          <w:szCs w:val="24"/>
        </w:rPr>
        <w:t xml:space="preserve">) </w:t>
      </w:r>
      <w:r w:rsidRPr="00616A87">
        <w:rPr>
          <w:rFonts w:ascii="Times New Roman" w:hAnsi="Times New Roman"/>
          <w:sz w:val="24"/>
          <w:szCs w:val="24"/>
        </w:rPr>
        <w:t>la ética católica”</w:t>
      </w:r>
      <w:r>
        <w:rPr>
          <w:rFonts w:ascii="Times New Roman" w:hAnsi="Times New Roman"/>
          <w:sz w:val="24"/>
          <w:szCs w:val="24"/>
        </w:rPr>
        <w:t xml:space="preserve"> (Hurtado, 2007, p.23)</w:t>
      </w:r>
      <w:r w:rsidRPr="00616A87">
        <w:rPr>
          <w:rFonts w:ascii="Times New Roman" w:hAnsi="Times New Roman"/>
          <w:sz w:val="24"/>
          <w:szCs w:val="24"/>
        </w:rPr>
        <w:t xml:space="preserve">. Las presiones de los defensores indígenas, entre los más destacados Bartolomé de las Casa, llevan a Felipe II a firmar las </w:t>
      </w:r>
      <w:r w:rsidRPr="00616A87">
        <w:rPr>
          <w:rFonts w:ascii="Times New Roman" w:hAnsi="Times New Roman"/>
          <w:i/>
          <w:sz w:val="24"/>
          <w:szCs w:val="24"/>
        </w:rPr>
        <w:t>Nuevas leyes de Indias</w:t>
      </w:r>
      <w:r w:rsidRPr="00616A87">
        <w:rPr>
          <w:rFonts w:ascii="Times New Roman" w:hAnsi="Times New Roman"/>
          <w:sz w:val="24"/>
          <w:szCs w:val="24"/>
        </w:rPr>
        <w:t xml:space="preserve"> en 1542, tratado que contenía un Código de Trabajo y defendía la labor remunerada de los indígenas. Las autoridades fueron </w:t>
      </w:r>
      <w:r w:rsidR="00C621EF">
        <w:rPr>
          <w:rFonts w:ascii="Times New Roman" w:hAnsi="Times New Roman"/>
          <w:sz w:val="24"/>
          <w:szCs w:val="24"/>
        </w:rPr>
        <w:t>designaciones</w:t>
      </w:r>
      <w:r w:rsidRPr="00616A87">
        <w:rPr>
          <w:rFonts w:ascii="Times New Roman" w:hAnsi="Times New Roman"/>
          <w:sz w:val="24"/>
          <w:szCs w:val="24"/>
        </w:rPr>
        <w:t xml:space="preserve"> directas del Rey. La iglesia estaba subordinada al Estado e íntimamente vinculad</w:t>
      </w:r>
      <w:r w:rsidR="00C621EF">
        <w:rPr>
          <w:rFonts w:ascii="Times New Roman" w:hAnsi="Times New Roman"/>
          <w:sz w:val="24"/>
          <w:szCs w:val="24"/>
        </w:rPr>
        <w:t>a al mismo</w:t>
      </w:r>
      <w:r w:rsidRPr="00616A87">
        <w:rPr>
          <w:rFonts w:ascii="Times New Roman" w:hAnsi="Times New Roman"/>
          <w:sz w:val="24"/>
          <w:szCs w:val="24"/>
        </w:rPr>
        <w:t xml:space="preserve">. Los cabildos, primeras ciudades americanas, fueron gobernados inicialmente por conquistadores y luego por su descendencia. Para controlar a estos funcionarios, el Consejo de Indias ordenaba periódicamente el informe de un visitador que vigilase la administración de estas tierras. </w:t>
      </w:r>
    </w:p>
    <w:p w:rsidR="00A00E75" w:rsidRPr="00616A87" w:rsidRDefault="00A00E75" w:rsidP="00616A87">
      <w:pPr>
        <w:spacing w:line="360" w:lineRule="auto"/>
        <w:jc w:val="both"/>
        <w:rPr>
          <w:rFonts w:ascii="Times New Roman" w:hAnsi="Times New Roman"/>
          <w:sz w:val="24"/>
          <w:szCs w:val="24"/>
        </w:rPr>
      </w:pPr>
      <w:r>
        <w:rPr>
          <w:rFonts w:ascii="Times New Roman" w:hAnsi="Times New Roman"/>
          <w:sz w:val="24"/>
          <w:szCs w:val="24"/>
        </w:rPr>
        <w:t>L</w:t>
      </w:r>
      <w:r w:rsidRPr="00616A87">
        <w:rPr>
          <w:rFonts w:ascii="Times New Roman" w:hAnsi="Times New Roman"/>
          <w:sz w:val="24"/>
          <w:szCs w:val="24"/>
        </w:rPr>
        <w:t>os conquistadores llegan a América por financiamiento propio.  Los obrajes y las encomiendas sirven para capitalizar las expediciones y, eventualmente, España utilizará el comercio para explotar los recursos. La sociedad austera y religiosa de la Sierra, basaba su economía en el obraje, poco eficiente y dependiente de la Corona. Con la apertura a los mercados internacionales, especialmente China, este tipo de producción quebró. Diferente fue la Costa, donde no había tanta presencia religiosa, y el comercio siempre fue activo</w:t>
      </w:r>
      <w:r>
        <w:rPr>
          <w:rFonts w:ascii="Times New Roman" w:hAnsi="Times New Roman"/>
          <w:sz w:val="24"/>
          <w:szCs w:val="24"/>
        </w:rPr>
        <w:t xml:space="preserve"> (Hurtado, 2007)</w:t>
      </w:r>
      <w:r w:rsidRPr="00616A87">
        <w:rPr>
          <w:rFonts w:ascii="Times New Roman" w:hAnsi="Times New Roman"/>
          <w:sz w:val="24"/>
          <w:szCs w:val="24"/>
        </w:rPr>
        <w:t xml:space="preserve">. </w:t>
      </w:r>
    </w:p>
    <w:p w:rsidR="00A00E75"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El control español sobre los indígenas era más que militar. Una vez vencido el Inca y derrotados sus dioses e ídolos, “se produce un traumatismo colectivo que persiste hasta nuestros días”</w:t>
      </w:r>
      <w:r>
        <w:rPr>
          <w:rFonts w:ascii="Times New Roman" w:hAnsi="Times New Roman"/>
          <w:sz w:val="24"/>
          <w:szCs w:val="24"/>
        </w:rPr>
        <w:t xml:space="preserve"> (Hurtado, 2007, p.38)</w:t>
      </w:r>
      <w:r w:rsidRPr="00616A87">
        <w:rPr>
          <w:rFonts w:ascii="Times New Roman" w:hAnsi="Times New Roman"/>
          <w:sz w:val="24"/>
          <w:szCs w:val="24"/>
        </w:rPr>
        <w:t xml:space="preserve">. Esta dominación de los conquistadores sobre los indígenas  se tradujo en una dependencia que no les permitió formar una sociedad de hombres libres. La encomienda, además de ser un sistema mercantilista explotador del trabajo, explotaba, mediante los tributos, a </w:t>
      </w:r>
      <w:r w:rsidRPr="00616A87">
        <w:rPr>
          <w:rFonts w:ascii="Times New Roman" w:hAnsi="Times New Roman"/>
          <w:sz w:val="24"/>
          <w:szCs w:val="24"/>
        </w:rPr>
        <w:lastRenderedPageBreak/>
        <w:t>los trabajadores. Entre los derechos de vivienda que debían pagar y los diezmos dedicados a las fiestas religiosas, los indígenas tenían poco recursos para sobrevivir. Estos recursos que fueron drenados, se dividían entre el Estado y la Iglesia, participantes de este sistema de explotación. En los estratos medios y altos, los artesanos y comerciantes mestizos y criollos sentían la desigualdad producida en sus condiciones de trabajo e intercambio, en comparación con la de los españoles. Las brechas se fueron extendiendo y el descontento civil llevo a los posteriores levantamientos, tanto indígenas (como los de 1578, 1599 y 1764) como criollos, los cuales eventualmente nos darían nuestra independencia.</w:t>
      </w:r>
      <w:r>
        <w:rPr>
          <w:rFonts w:ascii="Times New Roman" w:hAnsi="Times New Roman"/>
          <w:sz w:val="24"/>
          <w:szCs w:val="24"/>
        </w:rPr>
        <w:t xml:space="preserve"> (Hurtado, 2007)</w:t>
      </w:r>
    </w:p>
    <w:p w:rsidR="007B557B" w:rsidRPr="00616A87" w:rsidRDefault="007B557B" w:rsidP="00616A87">
      <w:pPr>
        <w:spacing w:line="360" w:lineRule="auto"/>
        <w:jc w:val="both"/>
        <w:rPr>
          <w:rFonts w:ascii="Times New Roman" w:hAnsi="Times New Roman"/>
          <w:sz w:val="24"/>
          <w:szCs w:val="24"/>
        </w:rPr>
      </w:pPr>
      <w:r>
        <w:rPr>
          <w:rFonts w:ascii="Times New Roman" w:hAnsi="Times New Roman"/>
          <w:sz w:val="24"/>
          <w:szCs w:val="24"/>
        </w:rPr>
        <w:t xml:space="preserve">Desde entonces ya se puede notar la marcada jerarquización de la sociedad  y los grupos de dominación que ejercían poder, en este caso, sobre los indígenas. Será la “clase media” latina la que buscará, eventualmente, la independencia. Como explicaba Orwell, solo la clase media, ayudada por la Baja, puede quitar el poder a la Alta, en este caso los españoles. Pero una vez cambiada la estructura de poder, la clase baja regresaría a su posición de sumisión anterior. Como efectivamente sucedió.  </w:t>
      </w:r>
    </w:p>
    <w:p w:rsidR="00A00E75" w:rsidRPr="00616A87" w:rsidRDefault="00A00E75" w:rsidP="002E0094">
      <w:pPr>
        <w:pStyle w:val="Subttulotesis"/>
        <w:outlineLvl w:val="0"/>
      </w:pPr>
      <w:bookmarkStart w:id="23" w:name="_Toc295373147"/>
      <w:r w:rsidRPr="00616A87">
        <w:t>Los inicios de la República</w:t>
      </w:r>
      <w:bookmarkEnd w:id="23"/>
    </w:p>
    <w:p w:rsidR="00A00E75"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Para los inicios de la república, el Ecuador destinaba más del 75% de su población a la producción agrícola</w:t>
      </w:r>
      <w:r>
        <w:rPr>
          <w:rFonts w:ascii="Times New Roman" w:hAnsi="Times New Roman"/>
          <w:sz w:val="24"/>
          <w:szCs w:val="24"/>
        </w:rPr>
        <w:t xml:space="preserve"> (Hurtado, 2007)</w:t>
      </w:r>
      <w:r w:rsidRPr="00616A87">
        <w:rPr>
          <w:rFonts w:ascii="Times New Roman" w:hAnsi="Times New Roman"/>
          <w:sz w:val="24"/>
          <w:szCs w:val="24"/>
        </w:rPr>
        <w:t xml:space="preserve">. Para poder mantener una economía agraria y, por ende, el poder político, la hacienda se consolida como la unidad productora por antonomasia. </w:t>
      </w:r>
    </w:p>
    <w:p w:rsidR="00A00E75" w:rsidRDefault="00A00E75" w:rsidP="00493F47">
      <w:pPr>
        <w:spacing w:line="360" w:lineRule="auto"/>
        <w:ind w:left="720" w:right="720"/>
        <w:jc w:val="both"/>
        <w:rPr>
          <w:rFonts w:ascii="Times New Roman" w:hAnsi="Times New Roman"/>
          <w:sz w:val="24"/>
          <w:szCs w:val="24"/>
        </w:rPr>
      </w:pPr>
      <w:r w:rsidRPr="00616A87">
        <w:rPr>
          <w:rFonts w:ascii="Times New Roman" w:hAnsi="Times New Roman"/>
          <w:sz w:val="24"/>
          <w:szCs w:val="24"/>
        </w:rPr>
        <w:t xml:space="preserve">Ella,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se conforma paulatinamente en la Colonia, se consolida en el siglo XVIII y en el siglo XIX adquiere las características con las que ha llegado al presente. En la República, la gran propiedad se forma por la compra, despojo, herencia, matrimonio, donaciones y mayorazgos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 (Hurtado, 2007, p.59)</w:t>
      </w:r>
      <w:r w:rsidRPr="00616A87">
        <w:rPr>
          <w:rFonts w:ascii="Times New Roman" w:hAnsi="Times New Roman"/>
          <w:sz w:val="24"/>
          <w:szCs w:val="24"/>
        </w:rPr>
        <w:t xml:space="preserve">.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En fin, nuestra emancipación de España “no iba a significar para las clases explotadas otra cosa que la sustitución del funcionario metropolitano por el encomendero criollo en varios órdenes de la vida nacional”</w:t>
      </w:r>
      <w:r>
        <w:rPr>
          <w:rFonts w:ascii="Times New Roman" w:hAnsi="Times New Roman"/>
          <w:sz w:val="24"/>
          <w:szCs w:val="24"/>
        </w:rPr>
        <w:t xml:space="preserve"> (Cueva, 1988, p.13)</w:t>
      </w:r>
      <w:r w:rsidRPr="00616A87">
        <w:rPr>
          <w:rFonts w:ascii="Times New Roman" w:hAnsi="Times New Roman"/>
          <w:sz w:val="24"/>
          <w:szCs w:val="24"/>
        </w:rPr>
        <w:t xml:space="preserve">. </w:t>
      </w:r>
      <w:r w:rsidRPr="00616A87">
        <w:rPr>
          <w:rFonts w:ascii="Times New Roman" w:hAnsi="Times New Roman"/>
          <w:sz w:val="24"/>
          <w:szCs w:val="24"/>
        </w:rPr>
        <w:lastRenderedPageBreak/>
        <w:t>Parte de estos nuevos gobernadores serán generales cuya tendencia se resuelve hacia el conservadurismo. “Esta nueva clase de propietarios se ha formado, unas veces, por alianzas con el criollismo aristocrático; otros, por despojos o enriquecimientos de la administración pública”</w:t>
      </w:r>
      <w:r>
        <w:rPr>
          <w:rFonts w:ascii="Times New Roman" w:hAnsi="Times New Roman"/>
          <w:sz w:val="24"/>
          <w:szCs w:val="24"/>
        </w:rPr>
        <w:t xml:space="preserve"> (Pareja, 2009, p.71)</w:t>
      </w:r>
      <w:r w:rsidRPr="00616A87">
        <w:rPr>
          <w:rFonts w:ascii="Times New Roman" w:hAnsi="Times New Roman"/>
          <w:sz w:val="24"/>
          <w:szCs w:val="24"/>
        </w:rPr>
        <w:t xml:space="preserve">.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ab/>
        <w:t>“Por sobre ello, la vida semifeudal permanece intacta en los campos”</w:t>
      </w:r>
      <w:r>
        <w:rPr>
          <w:rFonts w:ascii="Times New Roman" w:hAnsi="Times New Roman"/>
          <w:sz w:val="24"/>
          <w:szCs w:val="24"/>
        </w:rPr>
        <w:t xml:space="preserve"> (Pareja, 2009, p.71)</w:t>
      </w:r>
      <w:r w:rsidRPr="00616A87">
        <w:rPr>
          <w:rFonts w:ascii="Times New Roman" w:hAnsi="Times New Roman"/>
          <w:sz w:val="24"/>
          <w:szCs w:val="24"/>
        </w:rPr>
        <w:t>. Esta situación, más allá de la posible modernización que pudo haber sufrido el Estado con el aparecimiento de una pequeña burg</w:t>
      </w:r>
      <w:r w:rsidR="00733976">
        <w:rPr>
          <w:rFonts w:ascii="Times New Roman" w:hAnsi="Times New Roman"/>
          <w:sz w:val="24"/>
          <w:szCs w:val="24"/>
        </w:rPr>
        <w:t>uesía en la costa que dominaría</w:t>
      </w:r>
      <w:r w:rsidRPr="00616A87">
        <w:rPr>
          <w:rFonts w:ascii="Times New Roman" w:hAnsi="Times New Roman"/>
          <w:sz w:val="24"/>
          <w:szCs w:val="24"/>
        </w:rPr>
        <w:t xml:space="preserve"> sobre “sectores populares cuya situación ya no se institucionalizará bajo la férula eclesiástica ni por otros mecanismos propios del periodo colonial”</w:t>
      </w:r>
      <w:r>
        <w:rPr>
          <w:rFonts w:ascii="Times New Roman" w:hAnsi="Times New Roman"/>
          <w:sz w:val="24"/>
          <w:szCs w:val="24"/>
        </w:rPr>
        <w:t xml:space="preserve"> (Cueva, 1988, p.17)</w:t>
      </w:r>
      <w:r w:rsidRPr="00616A87">
        <w:rPr>
          <w:rFonts w:ascii="Times New Roman" w:hAnsi="Times New Roman"/>
          <w:sz w:val="24"/>
          <w:szCs w:val="24"/>
        </w:rPr>
        <w:t>. Las muchas transformaciones que se pudieron producir en esta época, especialmente en la importancia económica de la sierra y de su clase dominante, no produjeron un reajuste a “la superestructura político-jurídica”</w:t>
      </w:r>
      <w:r>
        <w:rPr>
          <w:rFonts w:ascii="Times New Roman" w:hAnsi="Times New Roman"/>
          <w:sz w:val="24"/>
          <w:szCs w:val="24"/>
        </w:rPr>
        <w:t xml:space="preserve"> (Cueva, 1988, p.18)</w:t>
      </w:r>
      <w:r w:rsidRPr="00616A87">
        <w:rPr>
          <w:rFonts w:ascii="Times New Roman" w:hAnsi="Times New Roman"/>
          <w:sz w:val="24"/>
          <w:szCs w:val="24"/>
        </w:rPr>
        <w:t xml:space="preserve">. Como herederos privilegiados de la colonia, los “terratenientes andinos seguían conservando su hegemonía política a escala nacional, hecho que reflejaba y garantizaba,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la supervivencia de una marco institucional ahora anacrónico para el Ecuador”</w:t>
      </w:r>
      <w:r>
        <w:rPr>
          <w:rFonts w:ascii="Times New Roman" w:hAnsi="Times New Roman"/>
          <w:sz w:val="24"/>
          <w:szCs w:val="24"/>
        </w:rPr>
        <w:t xml:space="preserve"> (Cueva, 1988, p.18)</w:t>
      </w:r>
      <w:r w:rsidRPr="00616A87">
        <w:rPr>
          <w:rFonts w:ascii="Times New Roman" w:hAnsi="Times New Roman"/>
          <w:sz w:val="24"/>
          <w:szCs w:val="24"/>
        </w:rPr>
        <w:t xml:space="preserve">. No sería hasta la revolución liberal que existiría una reforma verdadera a la infraestructura económica del país, una transferencia del control del Estado a una burguesía agroexportadora, que se modificaron las relaciones del poder. </w:t>
      </w:r>
    </w:p>
    <w:p w:rsidR="00A00E75"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ab/>
        <w:t>Sin embargo, este cambio en las estructuras de poder tendría que esperar. García Moreno sería el último del siglo XIX que perpetuara el sistema colonial y su idiosincrasia. “Este hombre de inteligencia mayor, que pudo haber recibido la influencia económica de su ciudad guayaquileña, aparece, a ratos, como un recién llegado de Europa, como un colonizador”. La dominación política se ejercería con la ayuda de instituciones auxiliares, como lo fueron la Iglesia Católica.</w:t>
      </w:r>
    </w:p>
    <w:p w:rsidR="00A00E75" w:rsidRDefault="00A00E75" w:rsidP="004F57C4">
      <w:pPr>
        <w:spacing w:line="360" w:lineRule="auto"/>
        <w:ind w:left="720" w:right="720"/>
        <w:jc w:val="both"/>
        <w:rPr>
          <w:rFonts w:ascii="Times New Roman" w:hAnsi="Times New Roman"/>
          <w:sz w:val="24"/>
          <w:szCs w:val="24"/>
        </w:rPr>
      </w:pPr>
      <w:r w:rsidRPr="00616A87">
        <w:rPr>
          <w:rFonts w:ascii="Times New Roman" w:hAnsi="Times New Roman"/>
          <w:sz w:val="24"/>
          <w:szCs w:val="24"/>
        </w:rPr>
        <w:t xml:space="preserve">“Los valores que se transmiten a través del sistema educacional y de sus prédicas favorecen el mantenimiento y el funcionamiento del sistema hacienda. Las más o menos explícitas afirmaciones de que las estructuras económicas, las jerarquías sociales y las relaciones de autoridad son inmutables por ser queridas por Dios </w:t>
      </w:r>
      <w:r w:rsidRPr="00616A87">
        <w:rPr>
          <w:rFonts w:ascii="Times New Roman" w:hAnsi="Times New Roman"/>
          <w:sz w:val="24"/>
          <w:szCs w:val="24"/>
        </w:rPr>
        <w:lastRenderedPageBreak/>
        <w:t>convierten a la rebelión en un acto contrario a la divinidad”</w:t>
      </w:r>
      <w:r>
        <w:rPr>
          <w:rFonts w:ascii="Times New Roman" w:hAnsi="Times New Roman"/>
          <w:sz w:val="24"/>
          <w:szCs w:val="24"/>
        </w:rPr>
        <w:t xml:space="preserve"> (Hurtado, 2007, p.72)</w:t>
      </w:r>
      <w:r w:rsidRPr="00616A87">
        <w:rPr>
          <w:rFonts w:ascii="Times New Roman" w:hAnsi="Times New Roman"/>
          <w:sz w:val="24"/>
          <w:szCs w:val="24"/>
        </w:rPr>
        <w:t xml:space="preserve">. </w:t>
      </w:r>
    </w:p>
    <w:p w:rsidR="00A00E75"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La visión colonial, la visión paternalista, está reflejada incluso en las relaciones jurídicas-sociales demostradas a través de la ideología de la época. “El Art. 68 de la Constitución de 1830 ordena que los curas párrocos sean nombrados ‘tutores y padres naturales’ de la ‘inocente, abyecta y miserable’ raza indígena”</w:t>
      </w:r>
      <w:r>
        <w:rPr>
          <w:rFonts w:ascii="Times New Roman" w:hAnsi="Times New Roman"/>
          <w:sz w:val="24"/>
          <w:szCs w:val="24"/>
        </w:rPr>
        <w:t xml:space="preserve"> (Hurtado, 2007, p.74)</w:t>
      </w:r>
      <w:r w:rsidRPr="00616A87">
        <w:rPr>
          <w:rFonts w:ascii="Times New Roman" w:hAnsi="Times New Roman"/>
          <w:sz w:val="24"/>
          <w:szCs w:val="24"/>
        </w:rPr>
        <w:t xml:space="preserve">.  </w:t>
      </w:r>
    </w:p>
    <w:p w:rsidR="00733976" w:rsidRPr="00616A87" w:rsidRDefault="00733976" w:rsidP="00616A87">
      <w:pPr>
        <w:spacing w:line="360" w:lineRule="auto"/>
        <w:jc w:val="both"/>
        <w:rPr>
          <w:rFonts w:ascii="Times New Roman" w:hAnsi="Times New Roman"/>
          <w:sz w:val="24"/>
          <w:szCs w:val="24"/>
        </w:rPr>
      </w:pPr>
      <w:r>
        <w:rPr>
          <w:rFonts w:ascii="Times New Roman" w:hAnsi="Times New Roman"/>
          <w:sz w:val="24"/>
          <w:szCs w:val="24"/>
        </w:rPr>
        <w:t xml:space="preserve">Orwell entiende los procesos de dominación como un afincamiento dentro de la estructura política del país. Hasta la revolución liberal, la influencia eclesiástica dentro del quehacer social fue determinante para crear grupos de dominación consolidados; grupos que se perpetuarán y definirán la historia política del país. La explotación, para perpetuar el sistema de dominación, fue más evidente en esa época. Las instituciones legales y los derechos aún no tenían una amplia difusión. Y, sin embargo, pese a los derechos que se ganarán eventualmente, la situación de dominación continuará. </w:t>
      </w:r>
      <w:r w:rsidRPr="00616A87">
        <w:rPr>
          <w:rFonts w:ascii="Times New Roman" w:hAnsi="Times New Roman"/>
          <w:sz w:val="24"/>
          <w:szCs w:val="24"/>
        </w:rPr>
        <w:t xml:space="preserve">Los importante dentro del sistema de dominación político orwelliano es mantener el </w:t>
      </w:r>
      <w:r>
        <w:rPr>
          <w:rFonts w:ascii="Times New Roman" w:hAnsi="Times New Roman"/>
          <w:sz w:val="24"/>
          <w:szCs w:val="24"/>
        </w:rPr>
        <w:t>e</w:t>
      </w:r>
      <w:r w:rsidRPr="00616A87">
        <w:rPr>
          <w:rFonts w:ascii="Times New Roman" w:hAnsi="Times New Roman"/>
          <w:i/>
          <w:sz w:val="24"/>
          <w:szCs w:val="24"/>
        </w:rPr>
        <w:t>status quo</w:t>
      </w:r>
      <w:r w:rsidRPr="00616A87">
        <w:rPr>
          <w:rFonts w:ascii="Times New Roman" w:hAnsi="Times New Roman"/>
          <w:sz w:val="24"/>
          <w:szCs w:val="24"/>
        </w:rPr>
        <w:t xml:space="preserve"> vigente</w:t>
      </w:r>
      <w:r>
        <w:rPr>
          <w:rFonts w:ascii="Times New Roman" w:hAnsi="Times New Roman"/>
          <w:sz w:val="24"/>
          <w:szCs w:val="24"/>
        </w:rPr>
        <w:t xml:space="preserve">.  </w:t>
      </w:r>
    </w:p>
    <w:p w:rsidR="00A00E75" w:rsidRPr="00616A87" w:rsidRDefault="00A00E75" w:rsidP="00214339">
      <w:pPr>
        <w:pStyle w:val="Subttulotesis"/>
      </w:pPr>
      <w:bookmarkStart w:id="24" w:name="_Toc295373148"/>
      <w:r w:rsidRPr="00616A87">
        <w:t>Siglo XX, Revolución Liberal y su consecuencias</w:t>
      </w:r>
      <w:bookmarkEnd w:id="24"/>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El inicio del siglo XX fue llevado de la mano de la revolución liberal, muy a pesar de que “en el año 1901, seguían existiendo dos fuerzas políticas organizadas: el clero y el ejército”</w:t>
      </w:r>
      <w:r>
        <w:rPr>
          <w:rFonts w:ascii="Times New Roman" w:hAnsi="Times New Roman"/>
          <w:sz w:val="24"/>
          <w:szCs w:val="24"/>
        </w:rPr>
        <w:t xml:space="preserve"> (Pareja, 2009a, p.61).</w:t>
      </w:r>
      <w:r w:rsidRPr="00616A87">
        <w:rPr>
          <w:rFonts w:ascii="Times New Roman" w:hAnsi="Times New Roman"/>
          <w:sz w:val="24"/>
          <w:szCs w:val="24"/>
        </w:rPr>
        <w:t xml:space="preserve">  Un aspecto que resulta fundamental de la Revolución Liberal “fue la ruptura del eje central del viejo poder: el vínculo entre la Iglesia y el Estado”</w:t>
      </w:r>
      <w:r>
        <w:rPr>
          <w:rFonts w:ascii="Times New Roman" w:hAnsi="Times New Roman"/>
          <w:sz w:val="24"/>
          <w:szCs w:val="24"/>
        </w:rPr>
        <w:t xml:space="preserve"> (Moreano, 1991, p.186)</w:t>
      </w:r>
      <w:r w:rsidRPr="00616A87">
        <w:rPr>
          <w:rFonts w:ascii="Times New Roman" w:hAnsi="Times New Roman"/>
          <w:sz w:val="24"/>
          <w:szCs w:val="24"/>
        </w:rPr>
        <w:t xml:space="preserve">. Después del gobierno de Eloy Alfaro y el liberalismo “machetero” que terminaría trágicamente en 1912, hubo una serie de gobiernos plutocráticos (1912 – 1925) que significarían la consolidación del orden liberal-burgués y la decadencia total de la revolución. Y es que, “realizadas las transformaciones político-jurídicas que la burguesía agro-mercantil requería para afianzarse como clase dominante, el liberalismo ya no tenía interés en mantener su línea radical del periodo ascendente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w:t>
      </w:r>
      <w:r w:rsidR="006153D2">
        <w:rPr>
          <w:rFonts w:ascii="Times New Roman" w:hAnsi="Times New Roman"/>
          <w:sz w:val="24"/>
          <w:szCs w:val="24"/>
        </w:rPr>
        <w:t xml:space="preserve"> </w:t>
      </w:r>
      <w:r>
        <w:rPr>
          <w:rFonts w:ascii="Times New Roman" w:hAnsi="Times New Roman"/>
          <w:sz w:val="24"/>
          <w:szCs w:val="24"/>
        </w:rPr>
        <w:t>(Cueva, 1988, p.20)</w:t>
      </w:r>
      <w:r w:rsidRPr="00616A87">
        <w:rPr>
          <w:rFonts w:ascii="Times New Roman" w:hAnsi="Times New Roman"/>
          <w:sz w:val="24"/>
          <w:szCs w:val="24"/>
        </w:rPr>
        <w:t>.</w:t>
      </w:r>
      <w:r w:rsidR="006153D2">
        <w:rPr>
          <w:rFonts w:ascii="Times New Roman" w:hAnsi="Times New Roman"/>
          <w:sz w:val="24"/>
          <w:szCs w:val="24"/>
        </w:rPr>
        <w:t xml:space="preserve"> </w:t>
      </w:r>
      <w:r w:rsidRPr="00616A87">
        <w:rPr>
          <w:rFonts w:ascii="Times New Roman" w:hAnsi="Times New Roman"/>
          <w:sz w:val="24"/>
          <w:szCs w:val="24"/>
        </w:rPr>
        <w:t xml:space="preserve">Fue una conducta económica aberrante lo que se tradujo, </w:t>
      </w:r>
      <w:r w:rsidRPr="00616A87">
        <w:rPr>
          <w:rFonts w:ascii="Times New Roman" w:hAnsi="Times New Roman"/>
          <w:sz w:val="24"/>
          <w:szCs w:val="24"/>
        </w:rPr>
        <w:lastRenderedPageBreak/>
        <w:t xml:space="preserve">eventualmente, en una clase dominante cuyas aspiraciones políticas estaban estrechamente ligadas con su enriquecimiento. Cueva cita a Luis Dillon refiriéndose a la crisis económica financiera del Ecuador en 1925: </w:t>
      </w:r>
    </w:p>
    <w:p w:rsidR="00A00E75" w:rsidRPr="00616A87" w:rsidRDefault="00A00E75" w:rsidP="002843E0">
      <w:pPr>
        <w:spacing w:line="360" w:lineRule="auto"/>
        <w:ind w:left="720" w:right="720"/>
        <w:jc w:val="both"/>
        <w:rPr>
          <w:rFonts w:ascii="Times New Roman" w:hAnsi="Times New Roman"/>
          <w:sz w:val="24"/>
          <w:szCs w:val="24"/>
        </w:rPr>
      </w:pPr>
      <w:r w:rsidRPr="00616A87">
        <w:rPr>
          <w:rFonts w:ascii="Times New Roman" w:hAnsi="Times New Roman"/>
          <w:sz w:val="24"/>
          <w:szCs w:val="24"/>
        </w:rPr>
        <w:t xml:space="preserve">Hasta el último día del año 1924 la deuda interna del Ecuador ascendía a 39.834.541,70 sucres. De esta suma, cerca de 37 millones correspondían sólo a los bancos.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El mayor y más p</w:t>
      </w:r>
      <w:r w:rsidR="006153D2">
        <w:rPr>
          <w:rFonts w:ascii="Times New Roman" w:hAnsi="Times New Roman"/>
          <w:sz w:val="24"/>
          <w:szCs w:val="24"/>
        </w:rPr>
        <w:t>oderoso acreedor del gobierno: e</w:t>
      </w:r>
      <w:r w:rsidRPr="00616A87">
        <w:rPr>
          <w:rFonts w:ascii="Times New Roman" w:hAnsi="Times New Roman"/>
          <w:sz w:val="24"/>
          <w:szCs w:val="24"/>
        </w:rPr>
        <w:t xml:space="preserve">l Banco Comercial y Agrícola de Guayaquil.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Al terminarse la presidencia de José Luis Tamayo, esta institución de crédito anotaba, en contra del Fisco ecuatoriano, la suma de 21.771.253,27 sucres.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00467674">
        <w:rPr>
          <w:rFonts w:ascii="Times New Roman" w:hAnsi="Times New Roman"/>
          <w:sz w:val="24"/>
          <w:szCs w:val="24"/>
        </w:rPr>
        <w:t xml:space="preserve"> E</w:t>
      </w:r>
      <w:r w:rsidRPr="00616A87">
        <w:rPr>
          <w:rFonts w:ascii="Times New Roman" w:hAnsi="Times New Roman"/>
          <w:sz w:val="24"/>
          <w:szCs w:val="24"/>
        </w:rPr>
        <w:t xml:space="preserve">ran los intereses compuestos,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lo que, de un modo principal, habían engr</w:t>
      </w:r>
      <w:r w:rsidR="00C621EF">
        <w:rPr>
          <w:rFonts w:ascii="Times New Roman" w:hAnsi="Times New Roman"/>
          <w:sz w:val="24"/>
          <w:szCs w:val="24"/>
        </w:rPr>
        <w:t>o</w:t>
      </w:r>
      <w:r w:rsidRPr="00616A87">
        <w:rPr>
          <w:rFonts w:ascii="Times New Roman" w:hAnsi="Times New Roman"/>
          <w:sz w:val="24"/>
          <w:szCs w:val="24"/>
        </w:rPr>
        <w:t xml:space="preserve">sado fabulosamente la deuda; pues el verdadero monto de préstamos concedidos por el Banco Comercial Agrícola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apenas ascendía a 10 millones de sucres.</w:t>
      </w:r>
      <w:r>
        <w:rPr>
          <w:rFonts w:ascii="Times New Roman" w:hAnsi="Times New Roman"/>
          <w:sz w:val="24"/>
          <w:szCs w:val="24"/>
        </w:rPr>
        <w:t xml:space="preserve"> (Cueva, 1988, p.21)</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Este procedimiento, reflejo de la idiosincrasia política de los grupos dominantes, fue lo que consolidó el carácter mercantil de la burguesía y el subdesarrollo del país. Dentro del proceso de dominación política, la revolución liberal sirvió para que “el país entre en contacto con el mundo exterior y con el pensamiento filosófico y científico contemporáneo, en los que tan interesados estaban los positivistas liberales, opuestos a la hegemonía ejercida por la Teología en los campos del pensamiento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 xml:space="preserve"> (Hurtado, 2007, p.141).</w:t>
      </w:r>
      <w:r w:rsidRPr="00616A87">
        <w:rPr>
          <w:rFonts w:ascii="Times New Roman" w:hAnsi="Times New Roman"/>
          <w:sz w:val="24"/>
          <w:szCs w:val="24"/>
        </w:rPr>
        <w:t xml:space="preserve"> Y, sin embargo, esta revolución liberal fue limitada: se suprimió el tributo de los indios y se abolió el concertaje</w:t>
      </w:r>
      <w:r w:rsidRPr="00616A87">
        <w:rPr>
          <w:rStyle w:val="Refdenotaalpie"/>
          <w:rFonts w:ascii="Times New Roman" w:hAnsi="Times New Roman"/>
          <w:sz w:val="24"/>
          <w:szCs w:val="24"/>
        </w:rPr>
        <w:footnoteReference w:id="5"/>
      </w:r>
      <w:r w:rsidRPr="00616A87">
        <w:rPr>
          <w:rFonts w:ascii="Times New Roman" w:hAnsi="Times New Roman"/>
          <w:sz w:val="24"/>
          <w:szCs w:val="24"/>
        </w:rPr>
        <w:t xml:space="preserve"> pero estas reformas tenían el fin de movilizar más fácilmente hacia las plantaciones de la costa la mano de obra acaparada por las h</w:t>
      </w:r>
      <w:r w:rsidR="00C621EF">
        <w:rPr>
          <w:rFonts w:ascii="Times New Roman" w:hAnsi="Times New Roman"/>
          <w:sz w:val="24"/>
          <w:szCs w:val="24"/>
        </w:rPr>
        <w:t>ac</w:t>
      </w:r>
      <w:r w:rsidRPr="00616A87">
        <w:rPr>
          <w:rFonts w:ascii="Times New Roman" w:hAnsi="Times New Roman"/>
          <w:sz w:val="24"/>
          <w:szCs w:val="24"/>
        </w:rPr>
        <w:t>iendas de la sierra; “pero sin destruir la matriz de las relaciones socio-económicas de esta región”</w:t>
      </w:r>
      <w:r>
        <w:rPr>
          <w:rFonts w:ascii="Times New Roman" w:hAnsi="Times New Roman"/>
          <w:sz w:val="24"/>
          <w:szCs w:val="24"/>
        </w:rPr>
        <w:t xml:space="preserve"> (Cueva, 1988, p.22)</w:t>
      </w:r>
      <w:r w:rsidRPr="00616A87">
        <w:rPr>
          <w:rFonts w:ascii="Times New Roman" w:hAnsi="Times New Roman"/>
          <w:sz w:val="24"/>
          <w:szCs w:val="24"/>
        </w:rPr>
        <w:t>. En términos concretos, en las estructuras que conformaban el agro de la sierra ecuatoriana y que se proyectaban como modelos de dominación, “no se produjo una transformación profunda de las relaciones sociales imperantes”</w:t>
      </w:r>
      <w:r>
        <w:rPr>
          <w:rFonts w:ascii="Times New Roman" w:hAnsi="Times New Roman"/>
          <w:sz w:val="24"/>
          <w:szCs w:val="24"/>
        </w:rPr>
        <w:t xml:space="preserve"> (Moreano, 1991, p187)</w:t>
      </w:r>
      <w:r w:rsidRPr="00616A87">
        <w:rPr>
          <w:rFonts w:ascii="Times New Roman" w:hAnsi="Times New Roman"/>
          <w:sz w:val="24"/>
          <w:szCs w:val="24"/>
        </w:rPr>
        <w:t xml:space="preserve">. Con esta propuesta, la burguesía agro-mercantil intentaba consolidar su dominio económico y social. Dominio que </w:t>
      </w:r>
      <w:r w:rsidRPr="00616A87">
        <w:rPr>
          <w:rFonts w:ascii="Times New Roman" w:hAnsi="Times New Roman"/>
          <w:sz w:val="24"/>
          <w:szCs w:val="24"/>
        </w:rPr>
        <w:lastRenderedPageBreak/>
        <w:t>resultaba difícil por las limitaciones técnicas del país y por el predominio demográfico absoluto de la sierra. Esto explica por qué los liberales, para mantener el control del Estado, tuvieron no solamente que recurrir al fraude</w:t>
      </w:r>
      <w:r w:rsidRPr="00616A87">
        <w:rPr>
          <w:rStyle w:val="Refdenotaalpie"/>
          <w:rFonts w:ascii="Times New Roman" w:hAnsi="Times New Roman"/>
          <w:sz w:val="24"/>
          <w:szCs w:val="24"/>
        </w:rPr>
        <w:footnoteReference w:id="6"/>
      </w:r>
      <w:r w:rsidRPr="00616A87">
        <w:rPr>
          <w:rFonts w:ascii="Times New Roman" w:hAnsi="Times New Roman"/>
          <w:sz w:val="24"/>
          <w:szCs w:val="24"/>
        </w:rPr>
        <w:t xml:space="preserve">, sino además hacer concesiones al adversario conservador. Aquellas concesiones sirvieron para eventualmente derrotar al liberal Eloy Alfaro y la posterior insurrección izquierdista (pero caudillista) de Carlos Concha en la provincia de Esmeraldas.  </w:t>
      </w:r>
    </w:p>
    <w:p w:rsidR="00A00E75"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La coyuntura social y política vivida en esa época creó una dicotomía en la dominación: </w:t>
      </w:r>
    </w:p>
    <w:p w:rsidR="00A00E75" w:rsidRDefault="00A00E75" w:rsidP="00526EA6">
      <w:pPr>
        <w:spacing w:line="360" w:lineRule="auto"/>
        <w:ind w:left="720" w:right="720"/>
        <w:jc w:val="both"/>
        <w:rPr>
          <w:rFonts w:ascii="Times New Roman" w:hAnsi="Times New Roman"/>
          <w:sz w:val="24"/>
          <w:szCs w:val="24"/>
        </w:rPr>
      </w:pPr>
      <w:r>
        <w:rPr>
          <w:rFonts w:ascii="Times New Roman" w:hAnsi="Times New Roman"/>
          <w:sz w:val="24"/>
          <w:szCs w:val="24"/>
        </w:rPr>
        <w:t>U</w:t>
      </w:r>
      <w:r w:rsidRPr="00616A87">
        <w:rPr>
          <w:rFonts w:ascii="Times New Roman" w:hAnsi="Times New Roman"/>
          <w:sz w:val="24"/>
          <w:szCs w:val="24"/>
        </w:rPr>
        <w:t>na permanente crisis de hegemonía en su doble sentido; esto es, la incapacidad de la burguesía para imponer su dirección política a la fracción terrateniente y su dirección histórico-moral al conjunto de la sociedad ecuatoriana</w:t>
      </w:r>
      <w:r>
        <w:rPr>
          <w:rFonts w:ascii="Times New Roman" w:hAnsi="Times New Roman"/>
          <w:sz w:val="24"/>
          <w:szCs w:val="24"/>
        </w:rPr>
        <w:t>. (Moreano, 1991, p.187)</w:t>
      </w:r>
      <w:r w:rsidRPr="00616A87">
        <w:rPr>
          <w:rFonts w:ascii="Times New Roman" w:hAnsi="Times New Roman"/>
          <w:sz w:val="24"/>
          <w:szCs w:val="24"/>
        </w:rPr>
        <w:t xml:space="preserve">. </w:t>
      </w:r>
    </w:p>
    <w:p w:rsidR="00A00E75"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Y el control que tuvo la burguesía agro-mercantil le permitió cohesionar, en la medida de lo posible, “los heterogéneos elementos de nuestra sociedad, de acuerdo a su proyecto específico de dominación; pactar, pero desde una posición privilegiada, con las fuerzas sociales que todavía no renunciaban a su ambición de dominio exclusivo (caso de los terratenientes serranos)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y continuar incrementando, a través de mecanismos diversos, su base económica de clase”</w:t>
      </w:r>
      <w:r>
        <w:rPr>
          <w:rFonts w:ascii="Times New Roman" w:hAnsi="Times New Roman"/>
          <w:sz w:val="24"/>
          <w:szCs w:val="24"/>
        </w:rPr>
        <w:t xml:space="preserve"> (Cueva, 1988, p.23)</w:t>
      </w:r>
      <w:r w:rsidRPr="00616A87">
        <w:rPr>
          <w:rFonts w:ascii="Times New Roman" w:hAnsi="Times New Roman"/>
          <w:sz w:val="24"/>
          <w:szCs w:val="24"/>
        </w:rPr>
        <w:t>. Esta nueva constitución social es lo que, posteriormente, llevaría a la estructuración de una clase proletaria, a “la creación de algunos islotes de modernismo”</w:t>
      </w:r>
      <w:r>
        <w:rPr>
          <w:rFonts w:ascii="Times New Roman" w:hAnsi="Times New Roman"/>
          <w:sz w:val="24"/>
          <w:szCs w:val="24"/>
        </w:rPr>
        <w:t xml:space="preserve"> (Cueva, 1988, p.25)</w:t>
      </w:r>
      <w:r w:rsidRPr="00616A87">
        <w:rPr>
          <w:rFonts w:ascii="Times New Roman" w:hAnsi="Times New Roman"/>
          <w:sz w:val="24"/>
          <w:szCs w:val="24"/>
        </w:rPr>
        <w:t xml:space="preserve"> y eventualmente a la Revolución Juliana. Antes de las acciones del 9 de julio de 1925, se importante recalcar que fue “el mismo progreso e</w:t>
      </w:r>
      <w:r w:rsidR="00C621EF">
        <w:rPr>
          <w:rFonts w:ascii="Times New Roman" w:hAnsi="Times New Roman"/>
          <w:sz w:val="24"/>
          <w:szCs w:val="24"/>
        </w:rPr>
        <w:t>conómico</w:t>
      </w:r>
      <w:r w:rsidRPr="00616A87">
        <w:rPr>
          <w:rFonts w:ascii="Times New Roman" w:hAnsi="Times New Roman"/>
          <w:sz w:val="24"/>
          <w:szCs w:val="24"/>
        </w:rPr>
        <w:t xml:space="preserve"> del puerto lo que sacaba a luz el conflicto social”</w:t>
      </w:r>
      <w:r>
        <w:rPr>
          <w:rFonts w:ascii="Times New Roman" w:hAnsi="Times New Roman"/>
          <w:sz w:val="24"/>
          <w:szCs w:val="24"/>
        </w:rPr>
        <w:t xml:space="preserve"> (Pareja, 2009b, p.34)</w:t>
      </w:r>
      <w:r w:rsidRPr="00616A87">
        <w:rPr>
          <w:rFonts w:ascii="Times New Roman" w:hAnsi="Times New Roman"/>
          <w:sz w:val="24"/>
          <w:szCs w:val="24"/>
        </w:rPr>
        <w:t xml:space="preserve">. Desde 1922, “el hombre de la calle participa activamente en la vida política” lo que llevaría a que, desde entonces, “todo profesional de la política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invocara la reforma social como piedra angular de su discurso de promesa”</w:t>
      </w:r>
      <w:r>
        <w:rPr>
          <w:rFonts w:ascii="Times New Roman" w:hAnsi="Times New Roman"/>
          <w:sz w:val="24"/>
          <w:szCs w:val="24"/>
        </w:rPr>
        <w:t xml:space="preserve"> (Pareja, 2009b, p.35)</w:t>
      </w:r>
      <w:r w:rsidRPr="00616A87">
        <w:rPr>
          <w:rFonts w:ascii="Times New Roman" w:hAnsi="Times New Roman"/>
          <w:sz w:val="24"/>
          <w:szCs w:val="24"/>
        </w:rPr>
        <w:t>.</w:t>
      </w:r>
    </w:p>
    <w:p w:rsidR="00467674" w:rsidRPr="00616A87" w:rsidRDefault="00467674" w:rsidP="00616A87">
      <w:pPr>
        <w:spacing w:line="360" w:lineRule="auto"/>
        <w:jc w:val="both"/>
        <w:rPr>
          <w:rFonts w:ascii="Times New Roman" w:hAnsi="Times New Roman"/>
          <w:sz w:val="24"/>
          <w:szCs w:val="24"/>
        </w:rPr>
      </w:pPr>
      <w:r>
        <w:rPr>
          <w:rFonts w:ascii="Times New Roman" w:hAnsi="Times New Roman"/>
          <w:sz w:val="24"/>
          <w:szCs w:val="24"/>
        </w:rPr>
        <w:lastRenderedPageBreak/>
        <w:t>A través de la visión orwelliana de la dominación, se entiende la necesidad de estructura</w:t>
      </w:r>
      <w:r w:rsidR="00EF0B9A">
        <w:rPr>
          <w:rFonts w:ascii="Times New Roman" w:hAnsi="Times New Roman"/>
          <w:sz w:val="24"/>
          <w:szCs w:val="24"/>
        </w:rPr>
        <w:t>r</w:t>
      </w:r>
      <w:r>
        <w:rPr>
          <w:rFonts w:ascii="Times New Roman" w:hAnsi="Times New Roman"/>
          <w:sz w:val="24"/>
          <w:szCs w:val="24"/>
        </w:rPr>
        <w:t xml:space="preserve"> un aparato económico que beneficie a ciertos sectores, para generar espacios de poder. Los conflictos</w:t>
      </w:r>
      <w:r w:rsidR="00EF0B9A">
        <w:rPr>
          <w:rFonts w:ascii="Times New Roman" w:hAnsi="Times New Roman"/>
          <w:sz w:val="24"/>
          <w:szCs w:val="24"/>
        </w:rPr>
        <w:t xml:space="preserve"> que se dan a inicios del siglo XX determinan la posición que cada uno de los grupos de dominación tendrán sobre el quehacer social y político. No es un conflicto ideológico</w:t>
      </w:r>
      <w:r w:rsidR="00ED2F19">
        <w:rPr>
          <w:rFonts w:ascii="Times New Roman" w:hAnsi="Times New Roman"/>
          <w:sz w:val="24"/>
          <w:szCs w:val="24"/>
        </w:rPr>
        <w:t>, las ideologías son “apenas distinguibles” (Orwell, 1983, p.162)</w:t>
      </w:r>
      <w:r w:rsidR="00EF0B9A">
        <w:rPr>
          <w:rFonts w:ascii="Times New Roman" w:hAnsi="Times New Roman"/>
          <w:sz w:val="24"/>
          <w:szCs w:val="24"/>
        </w:rPr>
        <w:t xml:space="preserve">. Es un conflicto político entre facciones que buscan llenar los espacios que va dejando el clero. </w:t>
      </w:r>
      <w:r>
        <w:rPr>
          <w:rFonts w:ascii="Times New Roman" w:hAnsi="Times New Roman"/>
          <w:sz w:val="24"/>
          <w:szCs w:val="24"/>
        </w:rPr>
        <w:t xml:space="preserve">  </w:t>
      </w:r>
    </w:p>
    <w:p w:rsidR="00A00E75" w:rsidRPr="00616A87" w:rsidRDefault="00A00E75" w:rsidP="00214339">
      <w:pPr>
        <w:pStyle w:val="Subttulotesis"/>
      </w:pPr>
      <w:bookmarkStart w:id="25" w:name="_Toc295373149"/>
      <w:r w:rsidRPr="00616A87">
        <w:t>La Revolución Juliana y el inicio del velasquismo</w:t>
      </w:r>
      <w:bookmarkEnd w:id="25"/>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Fue la conjunción de una clase obrera en pie de lucha y una clase media en pos de ascenso, enmarcada en una coyuntura de crisis económica, lo que “terminaría por echar abajo el deleznable orden liberal plutocrático”</w:t>
      </w:r>
      <w:r>
        <w:rPr>
          <w:rFonts w:ascii="Times New Roman" w:hAnsi="Times New Roman"/>
          <w:sz w:val="24"/>
          <w:szCs w:val="24"/>
        </w:rPr>
        <w:t xml:space="preserve"> (Cueva, 1988, p.26)</w:t>
      </w:r>
      <w:r w:rsidRPr="00616A87">
        <w:rPr>
          <w:rFonts w:ascii="Times New Roman" w:hAnsi="Times New Roman"/>
          <w:sz w:val="24"/>
          <w:szCs w:val="24"/>
        </w:rPr>
        <w:t>. La primera demostración de este nuevo orden social se daría en noviembre de 1922 con una masacre por parte del gobierno a trabajadores de Guayaquil</w:t>
      </w:r>
      <w:r w:rsidRPr="00616A87">
        <w:rPr>
          <w:rStyle w:val="Refdenotaalpie"/>
          <w:rFonts w:ascii="Times New Roman" w:hAnsi="Times New Roman"/>
          <w:sz w:val="24"/>
          <w:szCs w:val="24"/>
        </w:rPr>
        <w:footnoteReference w:id="7"/>
      </w:r>
      <w:r w:rsidRPr="00616A87">
        <w:rPr>
          <w:rFonts w:ascii="Times New Roman" w:hAnsi="Times New Roman"/>
          <w:sz w:val="24"/>
          <w:szCs w:val="24"/>
        </w:rPr>
        <w:t xml:space="preserve">. La importancia, para efecto de este trabajo, es el nuevo poder de cohesión que adquirieron los obreros que se disponían a paralizar el comercio porteño por el alto precio de los artículos importados y </w:t>
      </w:r>
      <w:r w:rsidR="009F5407">
        <w:rPr>
          <w:rFonts w:ascii="Times New Roman" w:hAnsi="Times New Roman"/>
          <w:sz w:val="24"/>
          <w:szCs w:val="24"/>
        </w:rPr>
        <w:t>el</w:t>
      </w:r>
      <w:r w:rsidRPr="00616A87">
        <w:rPr>
          <w:rFonts w:ascii="Times New Roman" w:hAnsi="Times New Roman"/>
          <w:sz w:val="24"/>
          <w:szCs w:val="24"/>
        </w:rPr>
        <w:t xml:space="preserve"> mecanismo de represión utilizados por el partido Liberal (encabezado en ese entonces por José Luis Tamayo). El carácter represivo de los liberales, similar a la de los conservadores y en alianza con ellos, se demostraría un año después en Tungurahua, donde los peones de la hacienda Leito reclaman más jornal y horas de trabajo legales.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El gobierno, a petición del patrón, mandó soldados a poner orden </w:t>
      </w:r>
      <w:r>
        <w:rPr>
          <w:rFonts w:ascii="Times New Roman" w:hAnsi="Times New Roman"/>
          <w:sz w:val="24"/>
          <w:szCs w:val="24"/>
        </w:rPr>
        <w:t>(</w:t>
      </w:r>
      <w:r w:rsidRPr="00616A87">
        <w:rPr>
          <w:rFonts w:ascii="Times New Roman" w:hAnsi="Times New Roman"/>
          <w:sz w:val="24"/>
          <w:szCs w:val="24"/>
        </w:rPr>
        <w:t>y</w:t>
      </w:r>
      <w:r>
        <w:rPr>
          <w:rFonts w:ascii="Times New Roman" w:hAnsi="Times New Roman"/>
          <w:sz w:val="24"/>
          <w:szCs w:val="24"/>
        </w:rPr>
        <w:t>)</w:t>
      </w:r>
      <w:r w:rsidRPr="00616A87">
        <w:rPr>
          <w:rFonts w:ascii="Times New Roman" w:hAnsi="Times New Roman"/>
          <w:sz w:val="24"/>
          <w:szCs w:val="24"/>
        </w:rPr>
        <w:t xml:space="preserve"> se asesinó a centenares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horrible carnicería de indios que se hizo con la explicación de sofocar un levantamiento comunista”</w:t>
      </w:r>
      <w:r>
        <w:rPr>
          <w:rFonts w:ascii="Times New Roman" w:hAnsi="Times New Roman"/>
          <w:sz w:val="24"/>
          <w:szCs w:val="24"/>
        </w:rPr>
        <w:t xml:space="preserve"> (Pareja, 2009b, p.35)</w:t>
      </w:r>
      <w:r w:rsidRPr="00616A87">
        <w:rPr>
          <w:rFonts w:ascii="Times New Roman" w:hAnsi="Times New Roman"/>
          <w:sz w:val="24"/>
          <w:szCs w:val="24"/>
        </w:rPr>
        <w:t>. Mismo chivo expiatorio que se usara en 1885 por Plácido Caamaño (conservador).</w:t>
      </w:r>
      <w:r w:rsidR="00820995">
        <w:rPr>
          <w:rFonts w:ascii="Times New Roman" w:hAnsi="Times New Roman"/>
          <w:sz w:val="24"/>
          <w:szCs w:val="24"/>
        </w:rPr>
        <w:t xml:space="preserve"> </w:t>
      </w:r>
      <w:r w:rsidRPr="00616A87">
        <w:rPr>
          <w:rFonts w:ascii="Times New Roman" w:hAnsi="Times New Roman"/>
          <w:sz w:val="24"/>
          <w:szCs w:val="24"/>
        </w:rPr>
        <w:t>Se decía, además, “que en el Ecuador mandaba el Banco Comercial Agrícola”</w:t>
      </w:r>
      <w:r>
        <w:rPr>
          <w:rFonts w:ascii="Times New Roman" w:hAnsi="Times New Roman"/>
          <w:sz w:val="24"/>
          <w:szCs w:val="24"/>
        </w:rPr>
        <w:t xml:space="preserve"> (Pareja, 2009b, p.37)</w:t>
      </w:r>
      <w:r w:rsidRPr="00616A87">
        <w:rPr>
          <w:rFonts w:ascii="Times New Roman" w:hAnsi="Times New Roman"/>
          <w:sz w:val="24"/>
          <w:szCs w:val="24"/>
        </w:rPr>
        <w:t>. En este marco social se darían las acciones del 9 de julio de 1925.</w:t>
      </w:r>
      <w:r w:rsidRPr="00616A87">
        <w:rPr>
          <w:rFonts w:ascii="Times New Roman" w:hAnsi="Times New Roman"/>
          <w:sz w:val="24"/>
          <w:szCs w:val="24"/>
        </w:rPr>
        <w:tab/>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Además de lo descrito previamente, el “malestar económico continu</w:t>
      </w:r>
      <w:r w:rsidR="00453510">
        <w:rPr>
          <w:rFonts w:ascii="Times New Roman" w:hAnsi="Times New Roman"/>
          <w:sz w:val="24"/>
          <w:szCs w:val="24"/>
        </w:rPr>
        <w:t>aba agravándose sin que hallase</w:t>
      </w:r>
      <w:r w:rsidRPr="00616A87">
        <w:rPr>
          <w:rFonts w:ascii="Times New Roman" w:hAnsi="Times New Roman"/>
          <w:sz w:val="24"/>
          <w:szCs w:val="24"/>
        </w:rPr>
        <w:t xml:space="preserve"> medio para conjurarlo. El Banco Comercial Agrícola, </w:t>
      </w:r>
      <w:r w:rsidRPr="00616A87">
        <w:rPr>
          <w:rFonts w:ascii="Times New Roman" w:hAnsi="Times New Roman"/>
          <w:sz w:val="24"/>
          <w:szCs w:val="24"/>
        </w:rPr>
        <w:lastRenderedPageBreak/>
        <w:t>inevitablemente, asumió el papel de orientador de la política, para defender sus inversiones y precaverse de cualquier cambio desfavorable a sus intereses”</w:t>
      </w:r>
      <w:r>
        <w:rPr>
          <w:rFonts w:ascii="Times New Roman" w:hAnsi="Times New Roman"/>
          <w:sz w:val="24"/>
          <w:szCs w:val="24"/>
        </w:rPr>
        <w:t xml:space="preserve"> (Pareja, 2009b, p.38)</w:t>
      </w:r>
      <w:r w:rsidRPr="00616A87">
        <w:rPr>
          <w:rFonts w:ascii="Times New Roman" w:hAnsi="Times New Roman"/>
          <w:sz w:val="24"/>
          <w:szCs w:val="24"/>
        </w:rPr>
        <w:t>. Tanto ministros de Estado, como legisladores respondían a su influencia. El ideal liberal, a su vez, cambia, tomando un giro socialista inspirado por el Revolución Bolchevique de 1917. A la par, el mundo sale de la gran matanza de la Primera Guerra Mundial. Con el racionalismo histórico de Europa venido a menos, nace una época de experimentos, “que revelan el nacimiento de otra edad”</w:t>
      </w:r>
      <w:r>
        <w:rPr>
          <w:rFonts w:ascii="Times New Roman" w:hAnsi="Times New Roman"/>
          <w:sz w:val="24"/>
          <w:szCs w:val="24"/>
        </w:rPr>
        <w:t xml:space="preserve"> (Pareja, 2009b, p.39)</w:t>
      </w:r>
      <w:r w:rsidRPr="00616A87">
        <w:rPr>
          <w:rFonts w:ascii="Times New Roman" w:hAnsi="Times New Roman"/>
          <w:sz w:val="24"/>
          <w:szCs w:val="24"/>
        </w:rPr>
        <w:t xml:space="preserve">.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Eficazmente superiores fueron los oficiales de baja graduación que los intelectuales de vanguardia. El teórico e inspirador del movimiento juliano fue Luis Napoleón Dillon. Pareja Diezcanseco cita a Dillon:</w:t>
      </w:r>
    </w:p>
    <w:p w:rsidR="00A00E75" w:rsidRPr="00616A87" w:rsidRDefault="00A00E75" w:rsidP="002843E0">
      <w:pPr>
        <w:spacing w:line="360" w:lineRule="auto"/>
        <w:ind w:left="720" w:right="720"/>
        <w:jc w:val="both"/>
        <w:rPr>
          <w:rFonts w:ascii="Times New Roman" w:hAnsi="Times New Roman"/>
          <w:sz w:val="24"/>
          <w:szCs w:val="24"/>
        </w:rPr>
      </w:pPr>
      <w:r w:rsidRPr="00616A87">
        <w:rPr>
          <w:rFonts w:ascii="Times New Roman" w:hAnsi="Times New Roman"/>
          <w:sz w:val="24"/>
          <w:szCs w:val="24"/>
        </w:rPr>
        <w:t xml:space="preserve">La </w:t>
      </w:r>
      <w:r>
        <w:rPr>
          <w:rFonts w:ascii="Times New Roman" w:hAnsi="Times New Roman"/>
          <w:sz w:val="24"/>
          <w:szCs w:val="24"/>
        </w:rPr>
        <w:t>(</w:t>
      </w:r>
      <w:r w:rsidRPr="00616A87">
        <w:rPr>
          <w:rFonts w:ascii="Times New Roman" w:hAnsi="Times New Roman"/>
          <w:sz w:val="24"/>
          <w:szCs w:val="24"/>
        </w:rPr>
        <w:t>transformación</w:t>
      </w:r>
      <w:r>
        <w:rPr>
          <w:rFonts w:ascii="Times New Roman" w:hAnsi="Times New Roman"/>
          <w:sz w:val="24"/>
          <w:szCs w:val="24"/>
        </w:rPr>
        <w:t>)</w:t>
      </w:r>
      <w:r w:rsidRPr="00616A87">
        <w:rPr>
          <w:rFonts w:ascii="Times New Roman" w:hAnsi="Times New Roman"/>
          <w:sz w:val="24"/>
          <w:szCs w:val="24"/>
        </w:rPr>
        <w:t xml:space="preserve"> del 9 de Julio fue revolución por motivos económicos y con fines de reconstrucción de la mi</w:t>
      </w:r>
      <w:r w:rsidR="00820995">
        <w:rPr>
          <w:rFonts w:ascii="Times New Roman" w:hAnsi="Times New Roman"/>
          <w:sz w:val="24"/>
          <w:szCs w:val="24"/>
        </w:rPr>
        <w:t>s</w:t>
      </w:r>
      <w:r w:rsidRPr="00616A87">
        <w:rPr>
          <w:rFonts w:ascii="Times New Roman" w:hAnsi="Times New Roman"/>
          <w:sz w:val="24"/>
          <w:szCs w:val="24"/>
        </w:rPr>
        <w:t xml:space="preserve">ma naturaleza, y nuestra buena suerte quiso que se realizara en forma incruenta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merced a la cooperación del Ejército, </w:t>
      </w:r>
      <w:r w:rsidR="009F5407">
        <w:rPr>
          <w:rFonts w:ascii="Times New Roman" w:hAnsi="Times New Roman"/>
          <w:sz w:val="24"/>
          <w:szCs w:val="24"/>
        </w:rPr>
        <w:t>que</w:t>
      </w:r>
      <w:r w:rsidRPr="00616A87">
        <w:rPr>
          <w:rFonts w:ascii="Times New Roman" w:hAnsi="Times New Roman"/>
          <w:sz w:val="24"/>
          <w:szCs w:val="24"/>
        </w:rPr>
        <w:t xml:space="preserve">,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se sintió solidario de causa tan eminentemente nacional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00453510">
        <w:rPr>
          <w:rFonts w:ascii="Times New Roman" w:hAnsi="Times New Roman"/>
          <w:sz w:val="24"/>
          <w:szCs w:val="24"/>
        </w:rPr>
        <w:t xml:space="preserve"> </w:t>
      </w:r>
      <w:r>
        <w:rPr>
          <w:rFonts w:ascii="Times New Roman" w:hAnsi="Times New Roman"/>
          <w:sz w:val="24"/>
          <w:szCs w:val="24"/>
        </w:rPr>
        <w:t>(Pareja, 2009b, p.40)</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Y, sin embargo, en la práctica, la transformación de 1925 no será más “que un típico reajuste socio-económico, auspiciado por </w:t>
      </w:r>
      <w:r>
        <w:rPr>
          <w:rFonts w:ascii="Times New Roman" w:hAnsi="Times New Roman"/>
          <w:sz w:val="24"/>
          <w:szCs w:val="24"/>
        </w:rPr>
        <w:t>(</w:t>
      </w:r>
      <w:r w:rsidRPr="00616A87">
        <w:rPr>
          <w:rFonts w:ascii="Times New Roman" w:hAnsi="Times New Roman"/>
          <w:sz w:val="24"/>
          <w:szCs w:val="24"/>
        </w:rPr>
        <w:t>la clase media</w:t>
      </w:r>
      <w:r>
        <w:rPr>
          <w:rFonts w:ascii="Times New Roman" w:hAnsi="Times New Roman"/>
          <w:sz w:val="24"/>
          <w:szCs w:val="24"/>
        </w:rPr>
        <w:t>)</w:t>
      </w:r>
      <w:r w:rsidRPr="00616A87">
        <w:rPr>
          <w:rFonts w:ascii="Times New Roman" w:hAnsi="Times New Roman"/>
          <w:sz w:val="24"/>
          <w:szCs w:val="24"/>
        </w:rPr>
        <w:t>, en beneficio suyo a fin de cuentas”. Reajuste de una nueva clase militar, además, que, si bien pudo, en algún momento, buscar el beneficio de la clase media, ante la inoperancia de esta nueva cúpula, las estructuras política y económica se mantuvieron iguales. Y es que “una transformación política que no modifica de manera radical la estructura económica está condenada a pactar con el adversario al que creyó derrotar”</w:t>
      </w:r>
      <w:r>
        <w:rPr>
          <w:rFonts w:ascii="Times New Roman" w:hAnsi="Times New Roman"/>
          <w:sz w:val="24"/>
          <w:szCs w:val="24"/>
        </w:rPr>
        <w:t xml:space="preserve"> (Cueva, 1988, p.30)</w:t>
      </w:r>
      <w:r w:rsidRPr="00616A87">
        <w:rPr>
          <w:rFonts w:ascii="Times New Roman" w:hAnsi="Times New Roman"/>
          <w:sz w:val="24"/>
          <w:szCs w:val="24"/>
        </w:rPr>
        <w:t xml:space="preserve">. Hubo cambios puntuales en políticas superficiales (“prohibición de peleas de gallos, ley seca en Guayaquil, persecución de triste mujeres “alegres” del Barrio Verde del puerto, Ligas de Salud que muy poco pudieron hacer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 xml:space="preserve"> (Pareja, 2009b, p.42)</w:t>
      </w:r>
      <w:r w:rsidRPr="00616A87">
        <w:rPr>
          <w:rFonts w:ascii="Times New Roman" w:hAnsi="Times New Roman"/>
          <w:sz w:val="24"/>
          <w:szCs w:val="24"/>
        </w:rPr>
        <w:t xml:space="preserve"> que no terminaron por cambiar la relación de poder, ni la dominación en el país. El regionalismo, explotado por la burguesía costeña, a través de “una intensiva campaña de prensa”</w:t>
      </w:r>
      <w:r>
        <w:rPr>
          <w:rFonts w:ascii="Times New Roman" w:hAnsi="Times New Roman"/>
          <w:sz w:val="24"/>
          <w:szCs w:val="24"/>
        </w:rPr>
        <w:t xml:space="preserve"> (Cueva, 1988, p.31)</w:t>
      </w:r>
      <w:r w:rsidRPr="00616A87">
        <w:rPr>
          <w:rFonts w:ascii="Times New Roman" w:hAnsi="Times New Roman"/>
          <w:sz w:val="24"/>
          <w:szCs w:val="24"/>
        </w:rPr>
        <w:t xml:space="preserve">, hizo aparecer las reformas propuestas por el gobierno como un ataque a la </w:t>
      </w:r>
      <w:r w:rsidRPr="00616A87">
        <w:rPr>
          <w:rFonts w:ascii="Times New Roman" w:hAnsi="Times New Roman"/>
          <w:sz w:val="24"/>
          <w:szCs w:val="24"/>
        </w:rPr>
        <w:lastRenderedPageBreak/>
        <w:t>ciudad de Guayaquil. La clase media se dio cuenta, una vez en el gobierno, que no podía manejar por sí sola las riendas del país, “ni enfrentar con éxito a un grupo tan poderoso como la burguesía agro-mercantil”</w:t>
      </w:r>
      <w:r>
        <w:rPr>
          <w:rFonts w:ascii="Times New Roman" w:hAnsi="Times New Roman"/>
          <w:sz w:val="24"/>
          <w:szCs w:val="24"/>
        </w:rPr>
        <w:t xml:space="preserve"> (Cueva, 1988, p.31)</w:t>
      </w:r>
      <w:r w:rsidRPr="00616A87">
        <w:rPr>
          <w:rFonts w:ascii="Times New Roman" w:hAnsi="Times New Roman"/>
          <w:sz w:val="24"/>
          <w:szCs w:val="24"/>
        </w:rPr>
        <w:t>. Se llamaron a participar del proceso a individuos identificados con la sierra, quienes no veían del todo mal poner en vereda a su rival de Guayaquil. El terrateniente Neptalí</w:t>
      </w:r>
      <w:r w:rsidR="007861E2">
        <w:rPr>
          <w:rFonts w:ascii="Times New Roman" w:hAnsi="Times New Roman"/>
          <w:sz w:val="24"/>
          <w:szCs w:val="24"/>
        </w:rPr>
        <w:t xml:space="preserve"> </w:t>
      </w:r>
      <w:r w:rsidRPr="00616A87">
        <w:rPr>
          <w:rFonts w:ascii="Times New Roman" w:hAnsi="Times New Roman"/>
          <w:sz w:val="24"/>
          <w:szCs w:val="24"/>
        </w:rPr>
        <w:t xml:space="preserve">Bonifaz, que luego desempeñaría un papel aciago en la política nacional, fue nombrado primer gerente del nuevo Banco Central.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Situación que supo aprovechar la banca serrana. “La devaluación de nuestra moneda, por ejemplo, a la vez que golpeó a los banco de la Guayaquil, (buena parte de la deuda fiscal se disolvió con ello), creó una situación proteccionista para la incipiente industria textil serrana”</w:t>
      </w:r>
      <w:r>
        <w:rPr>
          <w:rFonts w:ascii="Times New Roman" w:hAnsi="Times New Roman"/>
          <w:sz w:val="24"/>
          <w:szCs w:val="24"/>
        </w:rPr>
        <w:t xml:space="preserve"> (Cueva, 1988, p.31)</w:t>
      </w:r>
      <w:r w:rsidRPr="00616A87">
        <w:rPr>
          <w:rFonts w:ascii="Times New Roman" w:hAnsi="Times New Roman"/>
          <w:sz w:val="24"/>
          <w:szCs w:val="24"/>
        </w:rPr>
        <w:t>. Con esto, además, no solo hay un relación de explotación, también hay un pugna política, más que económica, entre la superestructuras del poder. Las burguesías, los poderes políticos y sus relaciones de poder serán más determinantes en el proceso de dominación en el Ecuador, que la situación económica. Con excepción del caso de noviembre de 1922 y otros menores pero similares, “la explotación social no ha dado origen a una lucha económica y menos a una lucha política”</w:t>
      </w:r>
      <w:r>
        <w:rPr>
          <w:rFonts w:ascii="Times New Roman" w:hAnsi="Times New Roman"/>
          <w:sz w:val="24"/>
          <w:szCs w:val="24"/>
        </w:rPr>
        <w:t xml:space="preserve"> (Hurtado, 2007, p.185)</w:t>
      </w:r>
      <w:r w:rsidRPr="00616A87">
        <w:rPr>
          <w:rFonts w:ascii="Times New Roman" w:hAnsi="Times New Roman"/>
          <w:sz w:val="24"/>
          <w:szCs w:val="24"/>
        </w:rPr>
        <w:t xml:space="preserve">.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Lo que sucedió con las nuevas instituciones estatales, fue la inmediata y excesiva burocratización, unida a una tendencia por obedecer a las élites dominantes. Si bien el gobierno de la Junta Militar instituyó varias recetas novedosas en las estructura del gobierno y el manejo del país, fueron lo plutócratas quienes siguieron manejando las riendas del poder. Los conflictos de interés y de poder convirtieron la llamada </w:t>
      </w:r>
      <w:r w:rsidRPr="00616A87">
        <w:rPr>
          <w:rFonts w:ascii="Times New Roman" w:hAnsi="Times New Roman"/>
          <w:i/>
          <w:sz w:val="24"/>
          <w:szCs w:val="24"/>
        </w:rPr>
        <w:t>revolución</w:t>
      </w:r>
      <w:r w:rsidRPr="00616A87">
        <w:rPr>
          <w:rFonts w:ascii="Times New Roman" w:hAnsi="Times New Roman"/>
          <w:sz w:val="24"/>
          <w:szCs w:val="24"/>
        </w:rPr>
        <w:t>, en una lucha constante de odio. Francisco Urbina Ja</w:t>
      </w:r>
      <w:r w:rsidR="009F5407">
        <w:rPr>
          <w:rFonts w:ascii="Times New Roman" w:hAnsi="Times New Roman"/>
          <w:sz w:val="24"/>
          <w:szCs w:val="24"/>
        </w:rPr>
        <w:t>d</w:t>
      </w:r>
      <w:r w:rsidRPr="00616A87">
        <w:rPr>
          <w:rFonts w:ascii="Times New Roman" w:hAnsi="Times New Roman"/>
          <w:sz w:val="24"/>
          <w:szCs w:val="24"/>
        </w:rPr>
        <w:t>o, “sin duda el mayor símbolo de la plutocracia, pero un excelente banquero,”</w:t>
      </w:r>
      <w:r>
        <w:rPr>
          <w:rFonts w:ascii="Times New Roman" w:hAnsi="Times New Roman"/>
          <w:sz w:val="24"/>
          <w:szCs w:val="24"/>
        </w:rPr>
        <w:t xml:space="preserve"> (Pareja, 2009b, p.34)</w:t>
      </w:r>
      <w:r w:rsidRPr="00616A87">
        <w:rPr>
          <w:rFonts w:ascii="Times New Roman" w:hAnsi="Times New Roman"/>
          <w:sz w:val="24"/>
          <w:szCs w:val="24"/>
        </w:rPr>
        <w:t xml:space="preserve"> aportó como pudo al desarrollo nacional desde la gerencia del Banco Central. Sin embargo, la Junta Militar acusó a Urbina de emisión inorgánica del el Banco Comercial y Agrícola, que fue una medida necesaria ante la necesidad de circulante y ante la necesidad imperante de comprar armamento para proteger la frontera, y fue desterrado del país en 1925. El Banco Agrícola y Comercial fue impuesto una deuda de más de dos millones de sucres </w:t>
      </w:r>
      <w:r w:rsidRPr="00616A87">
        <w:rPr>
          <w:rFonts w:ascii="Times New Roman" w:hAnsi="Times New Roman"/>
          <w:sz w:val="24"/>
          <w:szCs w:val="24"/>
        </w:rPr>
        <w:lastRenderedPageBreak/>
        <w:t xml:space="preserve">(exorbitante para la época) y liquidado por el Ingenio San Carlos. La revolución Juliana, símbolo del nacimiento de una nueva clase, terminó siendo la vendetta tradicional de los procesos de cambio, manteniendo, por supuesto, la situación de dominación.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Las instituciones que fueron creadas con fines sociales terminaron por servir como fuente de ingreso para sus patrocinadores. Se crearon cargos sin funciones, incrementando la burocracia y dando paso al fortalecimiento de una pequeña burguesía, que tradicionalmente respondía a las élites dominantes. Cueva cita a Regis Debray: “Esta pequeña burguesía progresista, sin la infraestructura de un poderío económico preexistente a su predominio político transforma entonces al Estado no solo en instrumento de dominación política, sino también en fuente de poder económico”</w:t>
      </w:r>
      <w:r>
        <w:rPr>
          <w:rFonts w:ascii="Times New Roman" w:hAnsi="Times New Roman"/>
          <w:sz w:val="24"/>
          <w:szCs w:val="24"/>
        </w:rPr>
        <w:t xml:space="preserve"> (Cueva, 1988, p.33)</w:t>
      </w:r>
      <w:r w:rsidRPr="00616A87">
        <w:rPr>
          <w:rFonts w:ascii="Times New Roman" w:hAnsi="Times New Roman"/>
          <w:sz w:val="24"/>
          <w:szCs w:val="24"/>
        </w:rPr>
        <w:t>. Si bien se pasaron leyes de carácter progresista</w:t>
      </w:r>
      <w:r w:rsidRPr="00616A87">
        <w:rPr>
          <w:rStyle w:val="Refdenotaalpie"/>
          <w:rFonts w:ascii="Times New Roman" w:hAnsi="Times New Roman"/>
          <w:sz w:val="24"/>
          <w:szCs w:val="24"/>
        </w:rPr>
        <w:footnoteReference w:id="8"/>
      </w:r>
      <w:r w:rsidRPr="00616A87">
        <w:rPr>
          <w:rFonts w:ascii="Times New Roman" w:hAnsi="Times New Roman"/>
          <w:sz w:val="24"/>
          <w:szCs w:val="24"/>
        </w:rPr>
        <w:t>, estas no cambiaron las estructuras del poder. Si bien hubo un incremento notable en la calidad de vida de la clase media, este adelant</w:t>
      </w:r>
      <w:r w:rsidR="002719AD">
        <w:rPr>
          <w:rFonts w:ascii="Times New Roman" w:hAnsi="Times New Roman"/>
          <w:sz w:val="24"/>
          <w:szCs w:val="24"/>
        </w:rPr>
        <w:t>o</w:t>
      </w:r>
      <w:r w:rsidRPr="00616A87">
        <w:rPr>
          <w:rFonts w:ascii="Times New Roman" w:hAnsi="Times New Roman"/>
          <w:sz w:val="24"/>
          <w:szCs w:val="24"/>
        </w:rPr>
        <w:t xml:space="preserve"> socio-económico no llegó más que a un sector limitado de la población.</w:t>
      </w:r>
      <w:r>
        <w:rPr>
          <w:rFonts w:ascii="Times New Roman" w:hAnsi="Times New Roman"/>
          <w:sz w:val="24"/>
          <w:szCs w:val="24"/>
        </w:rPr>
        <w:t xml:space="preserve"> (Cueva, 1988)</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Pese a que las estructuras sociales se habían mantenido, el modelo económico prosperó gracias a las altas ventas de café y cacao en el mundo. Esta situación, sin embargo, duró poco. La crisis deflacionaria de los años treinta, afectó las exportaciones ecuatorianas y generó una crisis aguda que terminó por derrumbar el gobierno de Isidro Ayora que, hasta entonces, y pese a ser una dictadura, supo mantenerse dentro de los parámetros de los julianos y aportar con valiosas instituciones y leyes para el país. La crisis económica no tardó en desatar una crisis política. Como se mencionó anteriormente, la revolución de 1895 devolvió las tierras a los terratenientes conservadores, “y en los años veinte y el treinta consolidaron aún más su posición, al debilitarse el poder la burguesía agro-mercantil, que fue la más afectada por la crisis”</w:t>
      </w:r>
      <w:r>
        <w:rPr>
          <w:rFonts w:ascii="Times New Roman" w:hAnsi="Times New Roman"/>
          <w:sz w:val="24"/>
          <w:szCs w:val="24"/>
        </w:rPr>
        <w:t xml:space="preserve"> (Cueva, 1988, p.36)</w:t>
      </w:r>
      <w:r w:rsidRPr="00616A87">
        <w:rPr>
          <w:rFonts w:ascii="Times New Roman" w:hAnsi="Times New Roman"/>
          <w:sz w:val="24"/>
          <w:szCs w:val="24"/>
        </w:rPr>
        <w:t>. En esta situación, Alfredo Baquerizo Moreno, sucesor de Larrea Alba y este a su vez sucesor de Isidro Ayora, llamó a elecciones y una coalición conservadora-liberal propuso a Neptalí</w:t>
      </w:r>
      <w:r w:rsidR="004C6283">
        <w:rPr>
          <w:rFonts w:ascii="Times New Roman" w:hAnsi="Times New Roman"/>
          <w:sz w:val="24"/>
          <w:szCs w:val="24"/>
        </w:rPr>
        <w:t xml:space="preserve"> </w:t>
      </w:r>
      <w:r w:rsidRPr="00616A87">
        <w:rPr>
          <w:rFonts w:ascii="Times New Roman" w:hAnsi="Times New Roman"/>
          <w:sz w:val="24"/>
          <w:szCs w:val="24"/>
        </w:rPr>
        <w:t xml:space="preserve">Bonifaz como candidato y eventual ganador de las elecciones. Su presunta peruanidad generó un clima de caos en el Congreso y hubo </w:t>
      </w:r>
      <w:r w:rsidRPr="00616A87">
        <w:rPr>
          <w:rFonts w:ascii="Times New Roman" w:hAnsi="Times New Roman"/>
          <w:sz w:val="24"/>
          <w:szCs w:val="24"/>
        </w:rPr>
        <w:lastRenderedPageBreak/>
        <w:t xml:space="preserve">manifestaciones y enfrentamientos en calles de Quito con voces a favor y en contra de su designación. Fue la oficialidad la que eventualmente terminaría con la defensa bonifacista. Si bien “paisanos armados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cooperaron con los soldados en la defensa de la capital de los ataques que hacía el ejército traído por los liberales sobre Quito”</w:t>
      </w:r>
      <w:r>
        <w:rPr>
          <w:rFonts w:ascii="Times New Roman" w:hAnsi="Times New Roman"/>
          <w:sz w:val="24"/>
          <w:szCs w:val="24"/>
        </w:rPr>
        <w:t xml:space="preserve"> (Pareja, 2009b, p.34)</w:t>
      </w:r>
      <w:r w:rsidRPr="00616A87">
        <w:rPr>
          <w:rFonts w:ascii="Times New Roman" w:hAnsi="Times New Roman"/>
          <w:sz w:val="24"/>
          <w:szCs w:val="24"/>
        </w:rPr>
        <w:t>, la superioridad del ejercito prevaleció. La conducta de estos paisanos nos remite a la lógica social de entonces, donde “es explicable que los terratenientes hayan conseguido formar una fuerza de lucha de las características indicadas, porque los descendientes de los encomenderos disponían de todos los mecanismo de control social sobre ‘su’ gente”</w:t>
      </w:r>
      <w:r>
        <w:rPr>
          <w:rFonts w:ascii="Times New Roman" w:hAnsi="Times New Roman"/>
          <w:sz w:val="24"/>
          <w:szCs w:val="24"/>
        </w:rPr>
        <w:t xml:space="preserve"> (Cueva, 1988, p.38)</w:t>
      </w:r>
      <w:r w:rsidRPr="00616A87">
        <w:rPr>
          <w:rFonts w:ascii="Times New Roman" w:hAnsi="Times New Roman"/>
          <w:sz w:val="24"/>
          <w:szCs w:val="24"/>
        </w:rPr>
        <w:t xml:space="preserve">. La clase media, por su lado, estuvo decididamente en contra de entregar el poder una vez más a un grupo de mentalidad aristocratizante, como lo fue el que manejó los inicios del Banco Central. Sin embargo, esta clase media sería incapaz de controlar las estructuras de dominación del país, especialmente del fracaso que, para la época, iba pareciendo el “julianismo”.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La reacción a los procesos de dominación política fueron sentando las bases para un nuevo fenómeno social: el populismo.  Después de los varios enfrentamientos que se suscitaron como reacción a una necesidad de cambio estructural. El encargado del gobierno, Alberto Guerrero Martínez, efectivizó las elecciones y el candidato liberal fue Juan de Dios Martínez Mera. Pese a la capacidad que hubiera </w:t>
      </w:r>
      <w:r w:rsidR="00F163B9">
        <w:rPr>
          <w:rFonts w:ascii="Times New Roman" w:hAnsi="Times New Roman"/>
          <w:sz w:val="24"/>
          <w:szCs w:val="24"/>
        </w:rPr>
        <w:t>podido mostrar este candidato, t</w:t>
      </w:r>
      <w:r w:rsidRPr="00616A87">
        <w:rPr>
          <w:rFonts w:ascii="Times New Roman" w:hAnsi="Times New Roman"/>
          <w:sz w:val="24"/>
          <w:szCs w:val="24"/>
        </w:rPr>
        <w:t>uvo un “exagerado apoyo oficial: se aumentó a voluntad cada voto que hacía falta”</w:t>
      </w:r>
      <w:r>
        <w:rPr>
          <w:rFonts w:ascii="Times New Roman" w:hAnsi="Times New Roman"/>
          <w:sz w:val="24"/>
          <w:szCs w:val="24"/>
        </w:rPr>
        <w:t xml:space="preserve"> (Pareja, 2009b, p.67)</w:t>
      </w:r>
      <w:r w:rsidRPr="00616A87">
        <w:rPr>
          <w:rFonts w:ascii="Times New Roman" w:hAnsi="Times New Roman"/>
          <w:sz w:val="24"/>
          <w:szCs w:val="24"/>
        </w:rPr>
        <w:t>. Un gobierno de estas características no tenía un futuro prometedor. El catalizador de la caída de Martínez Mera fue el conflicto de “Leticia”. Lo que se suponía una inminente guerra entre Colombia y Perú</w:t>
      </w:r>
      <w:r w:rsidRPr="00616A87">
        <w:rPr>
          <w:rStyle w:val="Refdenotaalpie"/>
          <w:rFonts w:ascii="Times New Roman" w:hAnsi="Times New Roman"/>
          <w:sz w:val="24"/>
          <w:szCs w:val="24"/>
        </w:rPr>
        <w:footnoteReference w:id="9"/>
      </w:r>
      <w:r w:rsidRPr="00616A87">
        <w:rPr>
          <w:rFonts w:ascii="Times New Roman" w:hAnsi="Times New Roman"/>
          <w:sz w:val="24"/>
          <w:szCs w:val="24"/>
        </w:rPr>
        <w:t>, sirvió para que el Congreso de 1933, cinco días después de su instalación, “deplorara hondamente que el Poder Ejecutivo, por carecer de fervor y base democrática, y por ineficiencia administrativa, no haya resuelto ninguno de los angustiosos problemas (¡en cinco días!) que han intranquilizado a la Nación ecuatoriana”</w:t>
      </w:r>
      <w:r>
        <w:rPr>
          <w:rFonts w:ascii="Times New Roman" w:hAnsi="Times New Roman"/>
          <w:sz w:val="24"/>
          <w:szCs w:val="24"/>
        </w:rPr>
        <w:t xml:space="preserve"> (Pareja, 2009b, p.72)</w:t>
      </w:r>
      <w:r w:rsidRPr="00616A87">
        <w:rPr>
          <w:rFonts w:ascii="Times New Roman" w:hAnsi="Times New Roman"/>
          <w:sz w:val="24"/>
          <w:szCs w:val="24"/>
        </w:rPr>
        <w:t xml:space="preserve">. Estas acusaciones </w:t>
      </w:r>
      <w:r w:rsidRPr="00616A87">
        <w:rPr>
          <w:rFonts w:ascii="Times New Roman" w:hAnsi="Times New Roman"/>
          <w:sz w:val="24"/>
          <w:szCs w:val="24"/>
        </w:rPr>
        <w:lastRenderedPageBreak/>
        <w:t>fueron lideradas por José María Velasco Ibarra. Los sectores de derecha se lanzaron en contra de Martínez Mera, ayudados por la “inocencia socialista”</w:t>
      </w:r>
      <w:r w:rsidR="00D71B86">
        <w:rPr>
          <w:rFonts w:ascii="Times New Roman" w:hAnsi="Times New Roman"/>
          <w:sz w:val="24"/>
          <w:szCs w:val="24"/>
        </w:rPr>
        <w:t>,</w:t>
      </w:r>
      <w:r w:rsidRPr="00616A87">
        <w:rPr>
          <w:rFonts w:ascii="Times New Roman" w:hAnsi="Times New Roman"/>
          <w:sz w:val="24"/>
          <w:szCs w:val="24"/>
        </w:rPr>
        <w:t xml:space="preserve"> por creer al presidente un hombre de negocios. Eventualmente, Martínez Mera viajó a Guayaquil y permitiendo que el Congreso declare el abandono del cargo. Se lanzaron una vez más a elecciones. </w:t>
      </w:r>
    </w:p>
    <w:p w:rsidR="00A00E75" w:rsidRDefault="00A00E75" w:rsidP="00674641">
      <w:pPr>
        <w:spacing w:line="360" w:lineRule="auto"/>
        <w:ind w:left="720" w:right="720"/>
        <w:jc w:val="both"/>
        <w:rPr>
          <w:rFonts w:ascii="Times New Roman" w:hAnsi="Times New Roman"/>
          <w:sz w:val="24"/>
          <w:szCs w:val="24"/>
        </w:rPr>
      </w:pPr>
      <w:r w:rsidRPr="00616A87">
        <w:rPr>
          <w:rFonts w:ascii="Times New Roman" w:hAnsi="Times New Roman"/>
          <w:sz w:val="24"/>
          <w:szCs w:val="24"/>
        </w:rPr>
        <w:t>Solo que esta vez la burguesía liberal ya no se atrevió a cometer fraude</w:t>
      </w:r>
      <w:r w:rsidRPr="00616A87">
        <w:rPr>
          <w:rStyle w:val="Refdenotaalpie"/>
          <w:rFonts w:ascii="Times New Roman" w:hAnsi="Times New Roman"/>
          <w:sz w:val="24"/>
          <w:szCs w:val="24"/>
        </w:rPr>
        <w:footnoteReference w:id="10"/>
      </w:r>
      <w:r w:rsidRPr="00616A87">
        <w:rPr>
          <w:rFonts w:ascii="Times New Roman" w:hAnsi="Times New Roman"/>
          <w:sz w:val="24"/>
          <w:szCs w:val="24"/>
        </w:rPr>
        <w:t xml:space="preserve"> , porque resultaba peligroso en un momento en que no se podía dejar de tomar en cuenta las eventuales reacciones de un nuevo elemento social, el subproletariado de las urbes, seducido ya por ciert</w:t>
      </w:r>
      <w:r w:rsidR="00E40439">
        <w:rPr>
          <w:rFonts w:ascii="Times New Roman" w:hAnsi="Times New Roman"/>
          <w:sz w:val="24"/>
          <w:szCs w:val="24"/>
        </w:rPr>
        <w:t>o tipo de líderes y de política.</w:t>
      </w:r>
      <w:r>
        <w:rPr>
          <w:rFonts w:ascii="Times New Roman" w:hAnsi="Times New Roman"/>
          <w:sz w:val="24"/>
          <w:szCs w:val="24"/>
        </w:rPr>
        <w:t xml:space="preserve"> (Cueva, 1988, p.42)</w:t>
      </w:r>
      <w:r w:rsidRPr="00616A87">
        <w:rPr>
          <w:rFonts w:ascii="Times New Roman" w:hAnsi="Times New Roman"/>
          <w:sz w:val="24"/>
          <w:szCs w:val="24"/>
        </w:rPr>
        <w:t xml:space="preserve">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En septiembre de 1934 se posesionó Velasco Ibarra por primera ocasión. Por un lado, este primer velasquismo fue, en parte, “continuación del bonifacismo, expresado en la base popular quiteña de los compactados”. Velasco Ibarra, el orador fogoso</w:t>
      </w:r>
      <w:r w:rsidRPr="00616A87">
        <w:rPr>
          <w:rStyle w:val="Refdenotaalpie"/>
          <w:rFonts w:ascii="Times New Roman" w:hAnsi="Times New Roman"/>
          <w:sz w:val="24"/>
          <w:szCs w:val="24"/>
        </w:rPr>
        <w:footnoteReference w:id="11"/>
      </w:r>
      <w:r w:rsidRPr="00616A87">
        <w:rPr>
          <w:rFonts w:ascii="Times New Roman" w:hAnsi="Times New Roman"/>
          <w:sz w:val="24"/>
          <w:szCs w:val="24"/>
        </w:rPr>
        <w:t>, derrotó a sus únicos contendores</w:t>
      </w:r>
      <w:r w:rsidRPr="00616A87">
        <w:rPr>
          <w:rStyle w:val="Refdenotaalpie"/>
          <w:rFonts w:ascii="Times New Roman" w:hAnsi="Times New Roman"/>
          <w:sz w:val="24"/>
          <w:szCs w:val="24"/>
        </w:rPr>
        <w:footnoteReference w:id="12"/>
      </w:r>
      <w:r w:rsidRPr="00616A87">
        <w:rPr>
          <w:rFonts w:ascii="Times New Roman" w:hAnsi="Times New Roman"/>
          <w:sz w:val="24"/>
          <w:szCs w:val="24"/>
        </w:rPr>
        <w:t>, “poniendo en manifiesto la debilidad de la izquierda marxista en el Ecuador”</w:t>
      </w:r>
      <w:r>
        <w:rPr>
          <w:rFonts w:ascii="Times New Roman" w:hAnsi="Times New Roman"/>
          <w:sz w:val="24"/>
          <w:szCs w:val="24"/>
        </w:rPr>
        <w:t xml:space="preserve"> (Cueva, 1988, p.43)</w:t>
      </w:r>
      <w:r w:rsidRPr="00616A87">
        <w:rPr>
          <w:rFonts w:ascii="Times New Roman" w:hAnsi="Times New Roman"/>
          <w:sz w:val="24"/>
          <w:szCs w:val="24"/>
        </w:rPr>
        <w:t xml:space="preserve">. Contó, como lo hizo Bonifaz, con el apoyo de los “compactados” de Quito y con la simpatía del pueblo guayaquileño, “deseoso de un cambio radical en la vida política”. </w:t>
      </w:r>
    </w:p>
    <w:p w:rsidR="00A00E75"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Las posturas de Velasco fueron las que eventualmente lo bajaron del poder. Era una caudillo sin poder, lleno de enemigos y cometiendo varias imprudencias que eventualmente lo llevarían a “precipitarse </w:t>
      </w:r>
      <w:r w:rsidR="00C668BF">
        <w:rPr>
          <w:rFonts w:ascii="Times New Roman" w:hAnsi="Times New Roman"/>
          <w:sz w:val="24"/>
          <w:szCs w:val="24"/>
        </w:rPr>
        <w:t>sobre</w:t>
      </w:r>
      <w:r w:rsidRPr="00616A87">
        <w:rPr>
          <w:rFonts w:ascii="Times New Roman" w:hAnsi="Times New Roman"/>
          <w:sz w:val="24"/>
          <w:szCs w:val="24"/>
        </w:rPr>
        <w:t xml:space="preserve"> las bayonetas”. Pese a que hubo varias obras concretas que ser realizaron, la crisis económica y, por sobre esta, la crisis política, perpetuó la crisis de hegemonía y llevó a una eventual solución militarista. Arroyo del Río se había hecho de la presidencia del Parlamento, y “ante la falta de garantías”</w:t>
      </w:r>
      <w:r w:rsidRPr="00616A87">
        <w:rPr>
          <w:rStyle w:val="Refdenotaalpie"/>
          <w:rFonts w:ascii="Times New Roman" w:hAnsi="Times New Roman"/>
          <w:sz w:val="24"/>
          <w:szCs w:val="24"/>
        </w:rPr>
        <w:footnoteReference w:id="13"/>
      </w:r>
      <w:r w:rsidR="00453510">
        <w:rPr>
          <w:rFonts w:ascii="Times New Roman" w:hAnsi="Times New Roman"/>
          <w:sz w:val="24"/>
          <w:szCs w:val="24"/>
        </w:rPr>
        <w:t xml:space="preserve"> </w:t>
      </w:r>
      <w:r w:rsidRPr="00616A87">
        <w:rPr>
          <w:rFonts w:ascii="Times New Roman" w:hAnsi="Times New Roman"/>
          <w:sz w:val="24"/>
          <w:szCs w:val="24"/>
        </w:rPr>
        <w:t xml:space="preserve">por las ofensivas lanzadas por las masas velasquistas, abandonaron el Congreso. Esta “trampa” sirvió para que Velasco Ibarra intentara </w:t>
      </w:r>
      <w:r w:rsidRPr="00616A87">
        <w:rPr>
          <w:rFonts w:ascii="Times New Roman" w:hAnsi="Times New Roman"/>
          <w:sz w:val="24"/>
          <w:szCs w:val="24"/>
        </w:rPr>
        <w:lastRenderedPageBreak/>
        <w:t xml:space="preserve">disolver el Congreso y proclamarse dictador. “En el momento de leerse el bando, el comandante Carlos Suárez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exclamó ‘¡Abajo la dictadura!’.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El intento dictatorial fracasó”</w:t>
      </w:r>
      <w:r>
        <w:rPr>
          <w:rFonts w:ascii="Times New Roman" w:hAnsi="Times New Roman"/>
          <w:sz w:val="24"/>
          <w:szCs w:val="24"/>
        </w:rPr>
        <w:t xml:space="preserve"> (Pareja, 2009b, p.79)</w:t>
      </w:r>
      <w:r w:rsidRPr="00616A87">
        <w:rPr>
          <w:rFonts w:ascii="Times New Roman" w:hAnsi="Times New Roman"/>
          <w:sz w:val="24"/>
          <w:szCs w:val="24"/>
        </w:rPr>
        <w:t>. La fórmula populista ensayada entre 1934 y 1935, “aceptada  por las clases dominantes a título de mal menor, no podía ser duradera y efectivamente no lo fue”</w:t>
      </w:r>
      <w:r>
        <w:rPr>
          <w:rFonts w:ascii="Times New Roman" w:hAnsi="Times New Roman"/>
          <w:sz w:val="24"/>
          <w:szCs w:val="24"/>
        </w:rPr>
        <w:t xml:space="preserve"> (Cueva, 1988, p.45)</w:t>
      </w:r>
      <w:r w:rsidRPr="00616A87">
        <w:rPr>
          <w:rFonts w:ascii="Times New Roman" w:hAnsi="Times New Roman"/>
          <w:sz w:val="24"/>
          <w:szCs w:val="24"/>
        </w:rPr>
        <w:t xml:space="preserve">. </w:t>
      </w:r>
    </w:p>
    <w:p w:rsidR="00453510" w:rsidRPr="00616A87" w:rsidRDefault="00453510" w:rsidP="00616A87">
      <w:pPr>
        <w:spacing w:line="360" w:lineRule="auto"/>
        <w:jc w:val="both"/>
        <w:rPr>
          <w:rFonts w:ascii="Times New Roman" w:hAnsi="Times New Roman"/>
          <w:sz w:val="24"/>
          <w:szCs w:val="24"/>
        </w:rPr>
      </w:pPr>
      <w:r>
        <w:rPr>
          <w:rFonts w:ascii="Times New Roman" w:hAnsi="Times New Roman"/>
          <w:sz w:val="24"/>
          <w:szCs w:val="24"/>
        </w:rPr>
        <w:t xml:space="preserve">Se vislumbra los primeros pasos del populismo formal dentro del plano político nacional. El desarrollo populista acentúa la figura del líder político como salvador y receptor único de las emociones civiles dirigidas hacia la clase gobernante. Orwell detalla esta función y la alza a nivel del partido. Utiliza este comportamiento para determinar el funcionamiento de los gobernantes hacia sus electores: una máscara que genere un conflicto para permita el afianzamiento de los grupos de poder que efectivamente manejan la política. Al final, resulta irrelevante la figura que esté por delante, lo importante es quién está manejando realmente el escenario político. </w:t>
      </w:r>
    </w:p>
    <w:p w:rsidR="00A00E75" w:rsidRPr="00616A87" w:rsidRDefault="00A00E75" w:rsidP="00214339">
      <w:pPr>
        <w:pStyle w:val="Subttulotesis"/>
      </w:pPr>
      <w:bookmarkStart w:id="26" w:name="_Toc295373150"/>
      <w:r w:rsidRPr="00616A87">
        <w:t>La grave crisis política de la década de los 30 y</w:t>
      </w:r>
      <w:r>
        <w:t xml:space="preserve"> de los</w:t>
      </w:r>
      <w:r w:rsidRPr="00616A87">
        <w:t xml:space="preserve"> 40</w:t>
      </w:r>
      <w:bookmarkEnd w:id="26"/>
    </w:p>
    <w:p w:rsidR="00A00E75"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Los problemas políticos tuvieron que ser resueltos a través de la intervención del ejército, arbitraje admitido por las clases hegemónicas “a título de compromiso”</w:t>
      </w:r>
      <w:r>
        <w:rPr>
          <w:rFonts w:ascii="Times New Roman" w:hAnsi="Times New Roman"/>
          <w:sz w:val="24"/>
          <w:szCs w:val="24"/>
        </w:rPr>
        <w:t xml:space="preserve"> (Cueva, 1988, p.46)</w:t>
      </w:r>
      <w:r w:rsidRPr="00616A87">
        <w:rPr>
          <w:rFonts w:ascii="Times New Roman" w:hAnsi="Times New Roman"/>
          <w:sz w:val="24"/>
          <w:szCs w:val="24"/>
        </w:rPr>
        <w:t xml:space="preserve">. En algún momento Velasco Ibarra también quiso asumir este papel, sin embargo, sus equivocaciones políticas lo llevaron a las estrepitosas caídas, como la antes mencionada. Existía una lucha constante entre clases dominantes y estas no podían elevarse hacia el interés general de la dominación. </w:t>
      </w:r>
    </w:p>
    <w:p w:rsidR="00A00E75" w:rsidRDefault="00A00E75" w:rsidP="00674641">
      <w:pPr>
        <w:spacing w:line="360" w:lineRule="auto"/>
        <w:ind w:left="720" w:right="720"/>
        <w:jc w:val="both"/>
        <w:rPr>
          <w:rFonts w:ascii="Times New Roman" w:hAnsi="Times New Roman"/>
          <w:sz w:val="24"/>
          <w:szCs w:val="24"/>
        </w:rPr>
      </w:pPr>
      <w:r w:rsidRPr="00616A87">
        <w:rPr>
          <w:rFonts w:ascii="Times New Roman" w:hAnsi="Times New Roman"/>
          <w:sz w:val="24"/>
          <w:szCs w:val="24"/>
        </w:rPr>
        <w:t xml:space="preserve">“De allí la continua exacerbación de los conflictos entre las distintas fracciones dominantes y la permanente crisis e inestabilidad políticas.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La recurrencia a los gobiernos militares era el mecanismo inevitable para establecer la unidad del poder estatal</w:t>
      </w:r>
      <w:r>
        <w:rPr>
          <w:rFonts w:ascii="Times New Roman" w:hAnsi="Times New Roman"/>
          <w:sz w:val="24"/>
          <w:szCs w:val="24"/>
        </w:rPr>
        <w:t>. (Moreano, 1991, p.192)</w:t>
      </w:r>
      <w:r w:rsidRPr="00616A87">
        <w:rPr>
          <w:rFonts w:ascii="Times New Roman" w:hAnsi="Times New Roman"/>
          <w:sz w:val="24"/>
          <w:szCs w:val="24"/>
        </w:rPr>
        <w:t xml:space="preserve">.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En este marco, el encargado del gobierno fue Antonio Pons, pero este renunció al poder y lo entregó a las fuerzas armadas ya que “convocar a nuevas elecciones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equivaldría a entregar el mando a los conservadores</w:t>
      </w:r>
      <w:r w:rsidR="00EA58B7" w:rsidRPr="00616A87">
        <w:rPr>
          <w:rFonts w:ascii="Times New Roman" w:hAnsi="Times New Roman"/>
          <w:sz w:val="24"/>
          <w:szCs w:val="24"/>
        </w:rPr>
        <w:t>”</w:t>
      </w:r>
      <w:r w:rsidR="00EA58B7">
        <w:rPr>
          <w:rFonts w:ascii="Times New Roman" w:hAnsi="Times New Roman"/>
          <w:sz w:val="24"/>
          <w:szCs w:val="24"/>
        </w:rPr>
        <w:t xml:space="preserve"> (</w:t>
      </w:r>
      <w:r>
        <w:rPr>
          <w:rFonts w:ascii="Times New Roman" w:hAnsi="Times New Roman"/>
          <w:sz w:val="24"/>
          <w:szCs w:val="24"/>
        </w:rPr>
        <w:t>Cueva, 1991, p.100)</w:t>
      </w:r>
      <w:r w:rsidRPr="00616A87">
        <w:rPr>
          <w:rFonts w:ascii="Times New Roman" w:hAnsi="Times New Roman"/>
          <w:sz w:val="24"/>
          <w:szCs w:val="24"/>
        </w:rPr>
        <w:t xml:space="preserve">. </w:t>
      </w:r>
      <w:r w:rsidRPr="00616A87">
        <w:rPr>
          <w:rFonts w:ascii="Times New Roman" w:hAnsi="Times New Roman"/>
          <w:sz w:val="24"/>
          <w:szCs w:val="24"/>
        </w:rPr>
        <w:lastRenderedPageBreak/>
        <w:t xml:space="preserve">Esto, sin embargo, fue únicamente superficial. Federico Páez fue encargado del poder, manteniendo la inercia política y social que caracterizó al Ecuador de esa época. Pese a los múltiples enfrentamientos que hubo entre gobierno y sociedad civil, reafirmados por la fuerza que ganaron los sindicatos después de la Revolución Juliana, las estructuras sociales se mantuvieron. Se aprobó un Código del Trabajo que nunca terminó por “afectar </w:t>
      </w:r>
      <w:r>
        <w:rPr>
          <w:rFonts w:ascii="Times New Roman" w:hAnsi="Times New Roman"/>
          <w:sz w:val="24"/>
          <w:szCs w:val="24"/>
        </w:rPr>
        <w:t>(</w:t>
      </w:r>
      <w:r w:rsidRPr="00616A87">
        <w:rPr>
          <w:rFonts w:ascii="Times New Roman" w:hAnsi="Times New Roman"/>
          <w:sz w:val="24"/>
          <w:szCs w:val="24"/>
        </w:rPr>
        <w:t>a los terratenientes conservadores</w:t>
      </w:r>
      <w:r>
        <w:rPr>
          <w:rFonts w:ascii="Times New Roman" w:hAnsi="Times New Roman"/>
          <w:sz w:val="24"/>
          <w:szCs w:val="24"/>
        </w:rPr>
        <w:t>)</w:t>
      </w:r>
      <w:r w:rsidRPr="00616A87">
        <w:rPr>
          <w:rFonts w:ascii="Times New Roman" w:hAnsi="Times New Roman"/>
          <w:sz w:val="24"/>
          <w:szCs w:val="24"/>
        </w:rPr>
        <w:t>, como tampoco a los demás ‘pilares’ del sistema: propietarios de plantación, comerciantes y banqueros</w:t>
      </w:r>
      <w:r w:rsidR="00EA58B7" w:rsidRPr="00616A87">
        <w:rPr>
          <w:rFonts w:ascii="Times New Roman" w:hAnsi="Times New Roman"/>
          <w:sz w:val="24"/>
          <w:szCs w:val="24"/>
        </w:rPr>
        <w:t>”</w:t>
      </w:r>
      <w:r w:rsidR="00EA58B7">
        <w:rPr>
          <w:rFonts w:ascii="Times New Roman" w:hAnsi="Times New Roman"/>
          <w:sz w:val="24"/>
          <w:szCs w:val="24"/>
        </w:rPr>
        <w:t xml:space="preserve"> (</w:t>
      </w:r>
      <w:r>
        <w:rPr>
          <w:rFonts w:ascii="Times New Roman" w:hAnsi="Times New Roman"/>
          <w:sz w:val="24"/>
          <w:szCs w:val="24"/>
        </w:rPr>
        <w:t>Cueva, 1988, p.46)</w:t>
      </w:r>
      <w:r w:rsidRPr="00616A87">
        <w:rPr>
          <w:rFonts w:ascii="Times New Roman" w:hAnsi="Times New Roman"/>
          <w:sz w:val="24"/>
          <w:szCs w:val="24"/>
        </w:rPr>
        <w:t>.  Lo que si queda claro es que la decisión final siempre le correspondió al ejército</w:t>
      </w:r>
      <w:r w:rsidRPr="00616A87">
        <w:rPr>
          <w:rStyle w:val="Refdenotaalpie"/>
          <w:rFonts w:ascii="Times New Roman" w:hAnsi="Times New Roman"/>
          <w:sz w:val="24"/>
          <w:szCs w:val="24"/>
        </w:rPr>
        <w:footnoteReference w:id="14"/>
      </w:r>
      <w:r w:rsidR="00EA58B7">
        <w:rPr>
          <w:rFonts w:ascii="Times New Roman" w:hAnsi="Times New Roman"/>
          <w:sz w:val="24"/>
          <w:szCs w:val="24"/>
        </w:rPr>
        <w:t>, quien se volvió</w:t>
      </w:r>
      <w:r w:rsidRPr="00616A87">
        <w:rPr>
          <w:rFonts w:ascii="Times New Roman" w:hAnsi="Times New Roman"/>
          <w:sz w:val="24"/>
          <w:szCs w:val="24"/>
        </w:rPr>
        <w:t xml:space="preserve"> del proceso de dominación política y se reafirma el voto dirimente que ha ejercido en el quehacer nacional.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Las actitudes de Páez si mostraron un movimiento en las bases sociales que, si bien no llegaron a cambiar las estructuras, si denotar nuevos actores políticos importantes. Iniciando por un incremento del presupuesto al ej</w:t>
      </w:r>
      <w:r w:rsidR="0087123A">
        <w:rPr>
          <w:rFonts w:ascii="Times New Roman" w:hAnsi="Times New Roman"/>
          <w:sz w:val="24"/>
          <w:szCs w:val="24"/>
        </w:rPr>
        <w:t>ército nacional y, por ende, un</w:t>
      </w:r>
      <w:r w:rsidRPr="00616A87">
        <w:rPr>
          <w:rFonts w:ascii="Times New Roman" w:hAnsi="Times New Roman"/>
          <w:sz w:val="24"/>
          <w:szCs w:val="24"/>
        </w:rPr>
        <w:t xml:space="preserve"> incremento de la burocracia. Lo que inicialmente fue “una ‘dictablanda’ de Don Federico, luego, fue la dictadura, la tiranía, mejor. Porque don Federico se volvió feroz”</w:t>
      </w:r>
      <w:r>
        <w:rPr>
          <w:rFonts w:ascii="Times New Roman" w:hAnsi="Times New Roman"/>
          <w:sz w:val="24"/>
          <w:szCs w:val="24"/>
        </w:rPr>
        <w:t xml:space="preserve"> (Pareja, 2009b, p.84)</w:t>
      </w:r>
      <w:r w:rsidRPr="00616A87">
        <w:rPr>
          <w:rFonts w:ascii="Times New Roman" w:hAnsi="Times New Roman"/>
          <w:sz w:val="24"/>
          <w:szCs w:val="24"/>
        </w:rPr>
        <w:t xml:space="preserve">.  Llegó, incluso, a clausurar la Universidad Central, cuyos estudiantes ya constituían una fuerza social importante y obstaculizó las marchas sindicales y persiguió a los dirigentes políticos.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En 1937 el ejército derrocó a Páez y fue posesionado en su lugar el general progresista Alberto Enríquez. Ese mismo año hubo un repunte de las exportaciones y una nueva coyuntura económica lo que revitalizó la burguesía guayaquileña que, en 1938, “logró retomar directamente el gobierno por medio de Aurelio Mosquera Narváez, a raíz de la renuncia del general Enríquez”</w:t>
      </w:r>
      <w:r>
        <w:rPr>
          <w:rFonts w:ascii="Times New Roman" w:hAnsi="Times New Roman"/>
          <w:sz w:val="24"/>
          <w:szCs w:val="24"/>
        </w:rPr>
        <w:t xml:space="preserve"> (Cueva, 1991, p.103)</w:t>
      </w:r>
      <w:r w:rsidRPr="00616A87">
        <w:rPr>
          <w:rFonts w:ascii="Times New Roman" w:hAnsi="Times New Roman"/>
          <w:sz w:val="24"/>
          <w:szCs w:val="24"/>
        </w:rPr>
        <w:t>. En su periodo, el General Enríquez puso en práctica un congreso “equitativo”, donde todas las fuerzas sociales se vieran representadas de igual manera. Fue así que el parlamente de 1937 tenía igual número de representantes del partido Liberal, Conservador y Socialista. No pudieron ponerse de acuerdo</w:t>
      </w:r>
      <w:r w:rsidRPr="00616A87">
        <w:rPr>
          <w:rStyle w:val="Refdenotaalpie"/>
          <w:rFonts w:ascii="Times New Roman" w:hAnsi="Times New Roman"/>
          <w:sz w:val="24"/>
          <w:szCs w:val="24"/>
        </w:rPr>
        <w:footnoteReference w:id="15"/>
      </w:r>
      <w:r w:rsidRPr="00616A87">
        <w:rPr>
          <w:rFonts w:ascii="Times New Roman" w:hAnsi="Times New Roman"/>
          <w:sz w:val="24"/>
          <w:szCs w:val="24"/>
        </w:rPr>
        <w:t xml:space="preserve">. </w:t>
      </w:r>
      <w:r w:rsidRPr="00616A87">
        <w:rPr>
          <w:rFonts w:ascii="Times New Roman" w:hAnsi="Times New Roman"/>
          <w:sz w:val="24"/>
          <w:szCs w:val="24"/>
        </w:rPr>
        <w:lastRenderedPageBreak/>
        <w:t>Con su demisión a favor de Mosquera Narváez, Carlos Arroyo del Río, última palabra en el partido Liberal pasó a desempeñar el papel de tutor sobre Mosquera Narváez. Fue así que se conformó un gabinete absolutamente liberal</w:t>
      </w:r>
      <w:r w:rsidRPr="00616A87">
        <w:rPr>
          <w:rStyle w:val="Refdenotaalpie"/>
          <w:rFonts w:ascii="Times New Roman" w:hAnsi="Times New Roman"/>
          <w:sz w:val="24"/>
          <w:szCs w:val="24"/>
        </w:rPr>
        <w:footnoteReference w:id="16"/>
      </w:r>
      <w:r w:rsidRPr="00616A87">
        <w:rPr>
          <w:rFonts w:ascii="Times New Roman" w:hAnsi="Times New Roman"/>
          <w:sz w:val="24"/>
          <w:szCs w:val="24"/>
        </w:rPr>
        <w:t>. Cuando Mosquera Narváez fallece en 1939, “no se alteró significativamente el panorama político</w:t>
      </w:r>
      <w:r w:rsidR="00EA58B7" w:rsidRPr="00616A87">
        <w:rPr>
          <w:rFonts w:ascii="Times New Roman" w:hAnsi="Times New Roman"/>
          <w:sz w:val="24"/>
          <w:szCs w:val="24"/>
        </w:rPr>
        <w:t>”</w:t>
      </w:r>
      <w:r w:rsidR="00EA58B7">
        <w:rPr>
          <w:rFonts w:ascii="Times New Roman" w:hAnsi="Times New Roman"/>
          <w:sz w:val="24"/>
          <w:szCs w:val="24"/>
        </w:rPr>
        <w:t xml:space="preserve"> (</w:t>
      </w:r>
      <w:r>
        <w:rPr>
          <w:rFonts w:ascii="Times New Roman" w:hAnsi="Times New Roman"/>
          <w:sz w:val="24"/>
          <w:szCs w:val="24"/>
        </w:rPr>
        <w:t>Cueva, 1988, p.53)</w:t>
      </w:r>
      <w:r w:rsidRPr="00616A87">
        <w:rPr>
          <w:rFonts w:ascii="Times New Roman" w:hAnsi="Times New Roman"/>
          <w:sz w:val="24"/>
          <w:szCs w:val="24"/>
        </w:rPr>
        <w:t xml:space="preserve">. Arroyo del Río fue encargado de la presidencia, en su calidad de presidente del Congreso, y llamó a elecciones en enero de 1940. </w:t>
      </w:r>
    </w:p>
    <w:p w:rsidR="00A00E75"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El fraude perpetuado en esas elecciones caracterizó lo que serían los años del gobierno “arroyista”</w:t>
      </w:r>
      <w:r w:rsidRPr="00616A87">
        <w:rPr>
          <w:rStyle w:val="Refdenotaalpie"/>
          <w:rFonts w:ascii="Times New Roman" w:hAnsi="Times New Roman"/>
          <w:sz w:val="24"/>
          <w:szCs w:val="24"/>
        </w:rPr>
        <w:footnoteReference w:id="17"/>
      </w:r>
      <w:r w:rsidRPr="00616A87">
        <w:rPr>
          <w:rFonts w:ascii="Times New Roman" w:hAnsi="Times New Roman"/>
          <w:sz w:val="24"/>
          <w:szCs w:val="24"/>
        </w:rPr>
        <w:t>. Un gobierno que solo pudo mantenerse mediante el terror y el evidente apoyo de las clases dominantes. Para su consolidación, la aparición de la figura de los carabineros</w:t>
      </w:r>
      <w:r w:rsidR="00EA58B7">
        <w:rPr>
          <w:rFonts w:ascii="Times New Roman" w:hAnsi="Times New Roman"/>
          <w:sz w:val="24"/>
          <w:szCs w:val="24"/>
        </w:rPr>
        <w:t xml:space="preserve"> cobró</w:t>
      </w:r>
      <w:r w:rsidRPr="00616A87">
        <w:rPr>
          <w:rFonts w:ascii="Times New Roman" w:hAnsi="Times New Roman"/>
          <w:sz w:val="24"/>
          <w:szCs w:val="24"/>
        </w:rPr>
        <w:t xml:space="preserve"> particular fuerza. Este reforzamiento resultaría paradójico, cuando la “situación económica había empeorado sensiblemente para el pueblo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pese a que la situación económica del país,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registraba condiciones favorables</w:t>
      </w:r>
      <w:r w:rsidR="00181960" w:rsidRPr="00616A87">
        <w:rPr>
          <w:rFonts w:ascii="Times New Roman" w:hAnsi="Times New Roman"/>
          <w:sz w:val="24"/>
          <w:szCs w:val="24"/>
        </w:rPr>
        <w:t>”</w:t>
      </w:r>
      <w:r w:rsidR="00181960">
        <w:rPr>
          <w:rFonts w:ascii="Times New Roman" w:hAnsi="Times New Roman"/>
          <w:sz w:val="24"/>
          <w:szCs w:val="24"/>
        </w:rPr>
        <w:t xml:space="preserve"> (</w:t>
      </w:r>
      <w:r>
        <w:rPr>
          <w:rFonts w:ascii="Times New Roman" w:hAnsi="Times New Roman"/>
          <w:sz w:val="24"/>
          <w:szCs w:val="24"/>
        </w:rPr>
        <w:t>Cueva, 1988, p.55)</w:t>
      </w:r>
      <w:r w:rsidRPr="00616A87">
        <w:rPr>
          <w:rFonts w:ascii="Times New Roman" w:hAnsi="Times New Roman"/>
          <w:sz w:val="24"/>
          <w:szCs w:val="24"/>
        </w:rPr>
        <w:t xml:space="preserve">. Las condiciones de la dominación política y social se verían mejor reflejadas en 1941 cuando el Ecuador fue invadido por el Perú. Ante la amenaza peruana, el gobierno “arroyista” tuvo la facultad omnímoda (concedidas por el Congreso) de armar a la población para defender la frontera. Arroyo ni siquiera envío los mejores cuerpos del ejército a contener la invasión (los necesitaba para la defensa del régimen burgués), y se negó terminantemente a armar a la población.  Incluso hubo una oferta de los Estados Unidos para rearmar al ejército a cambio de la utilización de las Islas Galápagos como base militar. </w:t>
      </w:r>
    </w:p>
    <w:p w:rsidR="00A00E75" w:rsidRPr="00616A87" w:rsidRDefault="00A00E75" w:rsidP="00547639">
      <w:pPr>
        <w:spacing w:line="360" w:lineRule="auto"/>
        <w:ind w:left="720" w:right="720"/>
        <w:jc w:val="both"/>
        <w:rPr>
          <w:rFonts w:ascii="Times New Roman" w:hAnsi="Times New Roman"/>
          <w:sz w:val="24"/>
          <w:szCs w:val="24"/>
        </w:rPr>
      </w:pP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Hasta el 31 de julio de 1941 no se conoció ninguna </w:t>
      </w:r>
      <w:r w:rsidR="00181960" w:rsidRPr="00616A87">
        <w:rPr>
          <w:rFonts w:ascii="Times New Roman" w:hAnsi="Times New Roman"/>
          <w:sz w:val="24"/>
          <w:szCs w:val="24"/>
        </w:rPr>
        <w:t>respuesta</w:t>
      </w:r>
      <w:r w:rsidRPr="00616A87">
        <w:rPr>
          <w:rFonts w:ascii="Times New Roman" w:hAnsi="Times New Roman"/>
          <w:sz w:val="24"/>
          <w:szCs w:val="24"/>
        </w:rPr>
        <w:t xml:space="preserve"> del presidente Arroyo. Al gobierno no le convenía que se armara al Ejército, pues, frente a la tradicional institución armada, se estaba dando gran vuelo</w:t>
      </w:r>
      <w:r w:rsidR="00181960">
        <w:rPr>
          <w:rFonts w:ascii="Times New Roman" w:hAnsi="Times New Roman"/>
          <w:sz w:val="24"/>
          <w:szCs w:val="24"/>
        </w:rPr>
        <w:t xml:space="preserve"> a otra fuerza: los carabineros.</w:t>
      </w:r>
      <w:r>
        <w:rPr>
          <w:rFonts w:ascii="Times New Roman" w:hAnsi="Times New Roman"/>
          <w:sz w:val="24"/>
          <w:szCs w:val="24"/>
        </w:rPr>
        <w:t xml:space="preserve"> (Pareja, 2009b, p.99)</w:t>
      </w:r>
    </w:p>
    <w:p w:rsidR="00A00E75"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lastRenderedPageBreak/>
        <w:t>Esta situación y la posterior resolución del conflicto Ecuador-Perú con el Tratado de Río de Janeiro terminaron por mermar la fuerza política de Arroyo del Río.</w:t>
      </w:r>
    </w:p>
    <w:p w:rsidR="00A00E75" w:rsidRDefault="00A00E75" w:rsidP="00AD356A">
      <w:pPr>
        <w:spacing w:line="360" w:lineRule="auto"/>
        <w:ind w:left="720" w:right="720"/>
        <w:jc w:val="both"/>
        <w:rPr>
          <w:rFonts w:ascii="Times New Roman" w:hAnsi="Times New Roman"/>
          <w:sz w:val="24"/>
          <w:szCs w:val="24"/>
        </w:rPr>
      </w:pPr>
      <w:r w:rsidRPr="00616A87">
        <w:rPr>
          <w:rFonts w:ascii="Times New Roman" w:hAnsi="Times New Roman"/>
          <w:sz w:val="24"/>
          <w:szCs w:val="24"/>
        </w:rPr>
        <w:t xml:space="preserve">Entonces la Alianza Democrática Ecuatoriana,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formada por los partidos conservadores, socialista, comunista y hasta una fracción del liberal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llamó a Velasco Ibarra a asumir l</w:t>
      </w:r>
      <w:r>
        <w:rPr>
          <w:rFonts w:ascii="Times New Roman" w:hAnsi="Times New Roman"/>
          <w:sz w:val="24"/>
          <w:szCs w:val="24"/>
        </w:rPr>
        <w:t>a primera magistratura del país.</w:t>
      </w:r>
      <w:r w:rsidR="00181960">
        <w:rPr>
          <w:rFonts w:ascii="Times New Roman" w:hAnsi="Times New Roman"/>
          <w:sz w:val="24"/>
          <w:szCs w:val="24"/>
        </w:rPr>
        <w:t xml:space="preserve"> </w:t>
      </w:r>
      <w:r>
        <w:rPr>
          <w:rFonts w:ascii="Times New Roman" w:hAnsi="Times New Roman"/>
          <w:sz w:val="24"/>
          <w:szCs w:val="24"/>
        </w:rPr>
        <w:t>(Cueva, 1988, p.57)</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El discurso de Velasco Ibarra una vez más convenció, pero del discurso a la realidad hubo un abismo que no se pudo cubrir. Lo que se denominaría la Revolución “Gloriosa” del 28 de mayo de 1944 (cuando fue derrocado Arroyo del Río), fue perdiendo fuerza por el trato laxo dado a los “arroyistas” y al propio Arroyo (quien se refugió en la embajada de Colombia) y por la grave situación económica del país. “Pasado el primer fervor, el frente patriótico que había llevado a Velasco a la presidencia comenzó, por lo demás, a resquebrajarse”</w:t>
      </w:r>
      <w:r>
        <w:rPr>
          <w:rFonts w:ascii="Times New Roman" w:hAnsi="Times New Roman"/>
          <w:sz w:val="24"/>
          <w:szCs w:val="24"/>
        </w:rPr>
        <w:t xml:space="preserve"> (Cueva, 1991, p.109)</w:t>
      </w:r>
      <w:r w:rsidRPr="00616A87">
        <w:rPr>
          <w:rFonts w:ascii="Times New Roman" w:hAnsi="Times New Roman"/>
          <w:sz w:val="24"/>
          <w:szCs w:val="24"/>
        </w:rPr>
        <w:t>. Si bien el sentimiento de patriotismo que había acabado con Arroyo había también llevado a Velasco Ibarra al poder, este no pudo mantener su apoyo. Par</w:t>
      </w:r>
      <w:r w:rsidR="00F44F95">
        <w:rPr>
          <w:rFonts w:ascii="Times New Roman" w:hAnsi="Times New Roman"/>
          <w:sz w:val="24"/>
          <w:szCs w:val="24"/>
        </w:rPr>
        <w:t>a</w:t>
      </w:r>
      <w:r w:rsidRPr="00616A87">
        <w:rPr>
          <w:rFonts w:ascii="Times New Roman" w:hAnsi="Times New Roman"/>
          <w:sz w:val="24"/>
          <w:szCs w:val="24"/>
        </w:rPr>
        <w:t xml:space="preserve"> muchos izquierdistas “esto de la ‘revolución’ no había sido más que una manera de incrustarse en la burocracia”</w:t>
      </w:r>
      <w:r>
        <w:rPr>
          <w:rFonts w:ascii="Times New Roman" w:hAnsi="Times New Roman"/>
          <w:sz w:val="24"/>
          <w:szCs w:val="24"/>
        </w:rPr>
        <w:t xml:space="preserve"> (Cueva, 1988, p.62)</w:t>
      </w:r>
      <w:r w:rsidRPr="00616A87">
        <w:rPr>
          <w:rFonts w:ascii="Times New Roman" w:hAnsi="Times New Roman"/>
          <w:sz w:val="24"/>
          <w:szCs w:val="24"/>
        </w:rPr>
        <w:t xml:space="preserve"> y los que no pudieron hacerlo se volcaron a la oposición. Las fuerzas informales que habían apoyado Velasco no formaron parte del tejido institucional que se armaba desde la Asamblea Constituyente y sin este poder se volvía insostenible su posición como presidente.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El discurso lleno de </w:t>
      </w:r>
      <w:r w:rsidR="003E217D">
        <w:rPr>
          <w:rFonts w:ascii="Times New Roman" w:hAnsi="Times New Roman"/>
          <w:sz w:val="24"/>
          <w:szCs w:val="24"/>
        </w:rPr>
        <w:t>exaltaciones de orden moral y é</w:t>
      </w:r>
      <w:r w:rsidRPr="00616A87">
        <w:rPr>
          <w:rFonts w:ascii="Times New Roman" w:hAnsi="Times New Roman"/>
          <w:sz w:val="24"/>
          <w:szCs w:val="24"/>
        </w:rPr>
        <w:t xml:space="preserve">tico no </w:t>
      </w:r>
      <w:r w:rsidR="003E217D" w:rsidRPr="00616A87">
        <w:rPr>
          <w:rFonts w:ascii="Times New Roman" w:hAnsi="Times New Roman"/>
          <w:sz w:val="24"/>
          <w:szCs w:val="24"/>
        </w:rPr>
        <w:t>sirvió</w:t>
      </w:r>
      <w:r w:rsidRPr="00616A87">
        <w:rPr>
          <w:rFonts w:ascii="Times New Roman" w:hAnsi="Times New Roman"/>
          <w:sz w:val="24"/>
          <w:szCs w:val="24"/>
        </w:rPr>
        <w:t xml:space="preserve"> para convencer a una sociedad que vivía la miseria en carne propia. En 1945 se dio la Marcha </w:t>
      </w:r>
      <w:r w:rsidR="003E217D">
        <w:rPr>
          <w:rFonts w:ascii="Times New Roman" w:hAnsi="Times New Roman"/>
          <w:sz w:val="24"/>
          <w:szCs w:val="24"/>
        </w:rPr>
        <w:t>d</w:t>
      </w:r>
      <w:r w:rsidRPr="00616A87">
        <w:rPr>
          <w:rFonts w:ascii="Times New Roman" w:hAnsi="Times New Roman"/>
          <w:sz w:val="24"/>
          <w:szCs w:val="24"/>
        </w:rPr>
        <w:t>el Hambre en Guayaquil, marcha que fue “brutalmente reprimida por la policía”</w:t>
      </w:r>
      <w:r>
        <w:rPr>
          <w:rFonts w:ascii="Times New Roman" w:hAnsi="Times New Roman"/>
          <w:sz w:val="24"/>
          <w:szCs w:val="24"/>
        </w:rPr>
        <w:t xml:space="preserve"> (Cueva, 1988, p.63)</w:t>
      </w:r>
      <w:r w:rsidRPr="00616A87">
        <w:rPr>
          <w:rFonts w:ascii="Times New Roman" w:hAnsi="Times New Roman"/>
          <w:sz w:val="24"/>
          <w:szCs w:val="24"/>
        </w:rPr>
        <w:t>, como se lo hiciera en 1942. La influencia de la clase dominante era evidente. El apoyo de los grupos conservadores hacia Velasco Ibarra siempre fue el del “mal menor”, por lo tanto su apoyo distaba de ser incondicional. En agosto de 1947 el ministro de Defensa, coronel Carlos Mancheno, dio un golpe de Estado y Velasco fue expulsado del país. “No hubo reacción alguna en su favor”</w:t>
      </w:r>
      <w:r>
        <w:rPr>
          <w:rFonts w:ascii="Times New Roman" w:hAnsi="Times New Roman"/>
          <w:sz w:val="24"/>
          <w:szCs w:val="24"/>
        </w:rPr>
        <w:t xml:space="preserve"> (Cueva, 1988, p.65)</w:t>
      </w:r>
      <w:r w:rsidRPr="00616A87">
        <w:rPr>
          <w:rFonts w:ascii="Times New Roman" w:hAnsi="Times New Roman"/>
          <w:sz w:val="24"/>
          <w:szCs w:val="24"/>
        </w:rPr>
        <w:t>.</w:t>
      </w:r>
    </w:p>
    <w:p w:rsidR="00A00E75"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lastRenderedPageBreak/>
        <w:t>Mancheno no tuvo apoyo del ejército y fue obligado a dar paso a Mariano Suárez Veintimilla. “Pero como ni el pueblo ni el Ejército querían un régimen conservador, el zurcimiento legal se hizo con la condición de que Suárez resignase ante un Congreso extraordinario, convocado para que eligiese presidente constitucional”</w:t>
      </w:r>
      <w:r>
        <w:rPr>
          <w:rFonts w:ascii="Times New Roman" w:hAnsi="Times New Roman"/>
          <w:sz w:val="24"/>
          <w:szCs w:val="24"/>
        </w:rPr>
        <w:t xml:space="preserve"> (Pareja, 2009b, p.125)</w:t>
      </w:r>
      <w:r w:rsidRPr="00616A87">
        <w:rPr>
          <w:rFonts w:ascii="Times New Roman" w:hAnsi="Times New Roman"/>
          <w:sz w:val="24"/>
          <w:szCs w:val="24"/>
        </w:rPr>
        <w:t xml:space="preserve">. El 6 de junio de 1948 se celebraron elecciones y Galo Plaza Lasso triunfó en ellas. De 1948 a 1960 se suscitó un “paréntesis de democracia”. </w:t>
      </w:r>
    </w:p>
    <w:p w:rsidR="005D2D5A" w:rsidRPr="00616A87" w:rsidRDefault="005D2D5A" w:rsidP="00616A87">
      <w:pPr>
        <w:spacing w:line="360" w:lineRule="auto"/>
        <w:jc w:val="both"/>
        <w:rPr>
          <w:rFonts w:ascii="Times New Roman" w:hAnsi="Times New Roman"/>
          <w:sz w:val="24"/>
          <w:szCs w:val="24"/>
        </w:rPr>
      </w:pPr>
      <w:r>
        <w:rPr>
          <w:rFonts w:ascii="Times New Roman" w:hAnsi="Times New Roman"/>
          <w:sz w:val="24"/>
          <w:szCs w:val="24"/>
        </w:rPr>
        <w:t xml:space="preserve">Orwell prevé al conflicto político como parte del proceso de dominación política. El conflicto perpetuo que se estableció a manera de práctica común en el Ecuador, generaba choque de fuerza “ideológicamente contrapuestas”, con la misma finalidad y accionar. Este estado proporcionaba un debilitamiento de la sociedad civil frente a los grupos de poder que, aprovechándose del </w:t>
      </w:r>
      <w:r>
        <w:rPr>
          <w:rFonts w:ascii="Times New Roman" w:hAnsi="Times New Roman"/>
          <w:i/>
          <w:sz w:val="24"/>
          <w:szCs w:val="24"/>
        </w:rPr>
        <w:t>estatus quo</w:t>
      </w:r>
      <w:r>
        <w:rPr>
          <w:rFonts w:ascii="Times New Roman" w:hAnsi="Times New Roman"/>
          <w:sz w:val="24"/>
          <w:szCs w:val="24"/>
        </w:rPr>
        <w:t xml:space="preserve">, podía continuar disfrutando de los privilegios del poder. </w:t>
      </w:r>
    </w:p>
    <w:p w:rsidR="00A00E75" w:rsidRPr="00616A87" w:rsidRDefault="00A00E75" w:rsidP="002E0094">
      <w:pPr>
        <w:pStyle w:val="Subttulotesis"/>
        <w:outlineLvl w:val="0"/>
      </w:pPr>
      <w:bookmarkStart w:id="27" w:name="_Toc295373151"/>
      <w:r w:rsidRPr="00616A87">
        <w:t>El paréntesis democrático</w:t>
      </w:r>
      <w:bookmarkEnd w:id="27"/>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En el periodo presidencial de Galo Plaza “se propuso racionalizar el modelo de dominación burguesa, siendo el iniciador de la política que hoy denominamos </w:t>
      </w:r>
      <w:r w:rsidRPr="00616A87">
        <w:rPr>
          <w:rFonts w:ascii="Times New Roman" w:hAnsi="Times New Roman"/>
          <w:i/>
          <w:sz w:val="24"/>
          <w:szCs w:val="24"/>
        </w:rPr>
        <w:t>desarrollista</w:t>
      </w:r>
      <w:r w:rsidRPr="00616A87">
        <w:rPr>
          <w:rFonts w:ascii="Times New Roman" w:hAnsi="Times New Roman"/>
          <w:sz w:val="24"/>
          <w:szCs w:val="24"/>
        </w:rPr>
        <w:t>”</w:t>
      </w:r>
      <w:r>
        <w:rPr>
          <w:rFonts w:ascii="Times New Roman" w:hAnsi="Times New Roman"/>
          <w:sz w:val="24"/>
          <w:szCs w:val="24"/>
        </w:rPr>
        <w:t xml:space="preserve"> (Cueva, 1991, p.113)</w:t>
      </w:r>
      <w:r w:rsidRPr="00616A87">
        <w:rPr>
          <w:rFonts w:ascii="Times New Roman" w:hAnsi="Times New Roman"/>
          <w:sz w:val="24"/>
          <w:szCs w:val="24"/>
        </w:rPr>
        <w:t>. Si bien Galo Plaza hablaba de una maduración de la sociedad política ecuatoriana, su gobierno no trajo un cambio en las estructuras de dominación, “la administración placista introdujo un nuevo modelo (y estilo) de dominación burguesa en el Ecuador”</w:t>
      </w:r>
      <w:r>
        <w:rPr>
          <w:rFonts w:ascii="Times New Roman" w:hAnsi="Times New Roman"/>
          <w:sz w:val="24"/>
          <w:szCs w:val="24"/>
        </w:rPr>
        <w:t xml:space="preserve"> (Cueva, 1988, p.66)</w:t>
      </w:r>
      <w:r w:rsidRPr="00616A87">
        <w:rPr>
          <w:rFonts w:ascii="Times New Roman" w:hAnsi="Times New Roman"/>
          <w:sz w:val="24"/>
          <w:szCs w:val="24"/>
        </w:rPr>
        <w:t xml:space="preserve">, es decir, una modernización en los modelos de dominación. Por otro lado, Pareja Diezcanseco afirma: </w:t>
      </w:r>
    </w:p>
    <w:p w:rsidR="00A00E75" w:rsidRPr="00616A87" w:rsidRDefault="00A00E75" w:rsidP="002843E0">
      <w:pPr>
        <w:spacing w:line="360" w:lineRule="auto"/>
        <w:ind w:left="720" w:right="720"/>
        <w:jc w:val="both"/>
        <w:rPr>
          <w:rFonts w:ascii="Times New Roman" w:hAnsi="Times New Roman"/>
          <w:sz w:val="24"/>
          <w:szCs w:val="24"/>
        </w:rPr>
      </w:pPr>
      <w:r w:rsidRPr="00616A87">
        <w:rPr>
          <w:rFonts w:ascii="Times New Roman" w:hAnsi="Times New Roman"/>
          <w:sz w:val="24"/>
          <w:szCs w:val="24"/>
        </w:rPr>
        <w:t>Se acusa a Plaza Lasso de no haber hecho nada por robustecer la vida de los partidos políticos, condición indispensable para el juego democrático eficaz. Mas, téngase en cuenta que de la crisis de los partidos no era responsable, y que la solución de este problema depende de los dirigentes políticos, si poseen capacidad suficiente para buscarla</w:t>
      </w:r>
      <w:r>
        <w:rPr>
          <w:rFonts w:ascii="Times New Roman" w:hAnsi="Times New Roman"/>
          <w:sz w:val="24"/>
          <w:szCs w:val="24"/>
        </w:rPr>
        <w:t>. (Pareja, 2009b, p.127)</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El cambio demográfico que se produjo en este periodo de estabilidad fue lo que cambió, a su vez, las élites dominantes. El crecimiento de las urbes sirvió para el </w:t>
      </w:r>
      <w:r w:rsidRPr="00616A87">
        <w:rPr>
          <w:rFonts w:ascii="Times New Roman" w:hAnsi="Times New Roman"/>
          <w:sz w:val="24"/>
          <w:szCs w:val="24"/>
        </w:rPr>
        <w:lastRenderedPageBreak/>
        <w:t>partido conservador perdiera muchas de sus bases.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Se habían sentado las bases para que los conservadores ya no pudieran triunfar en términos absolutos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y en condiciones tales que se viesen obligados a gobernar a la manera liberal (es lo que hizo Camilo Ponce, cuya administración apenas se difiere en algo de la de Galo Plaza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 xml:space="preserve"> (Cueva, 1988, p.68)</w:t>
      </w:r>
      <w:r w:rsidRPr="00616A87">
        <w:rPr>
          <w:rFonts w:ascii="Times New Roman" w:hAnsi="Times New Roman"/>
          <w:sz w:val="24"/>
          <w:szCs w:val="24"/>
        </w:rPr>
        <w:t xml:space="preserve">. Tomando en cuenta esta realidad, los sectores conservadores se dispusieron a limar asperezas con los liberales, produciendo un clima pacífico y favorable para la gobernanza. Sin embargo, hubo sectores fuertes de la oposición, lo cual explica la victoria de Velasco Ibarra en el siguiente periodo. “El principal impugnador del </w:t>
      </w:r>
      <w:r w:rsidR="00EF1634">
        <w:rPr>
          <w:rFonts w:ascii="Times New Roman" w:hAnsi="Times New Roman"/>
          <w:i/>
          <w:sz w:val="24"/>
          <w:szCs w:val="24"/>
        </w:rPr>
        <w:t>e</w:t>
      </w:r>
      <w:r w:rsidRPr="00616A87">
        <w:rPr>
          <w:rFonts w:ascii="Times New Roman" w:hAnsi="Times New Roman"/>
          <w:i/>
          <w:sz w:val="24"/>
          <w:szCs w:val="24"/>
        </w:rPr>
        <w:t>status quo</w:t>
      </w:r>
      <w:r w:rsidRPr="00616A87">
        <w:rPr>
          <w:rFonts w:ascii="Times New Roman" w:hAnsi="Times New Roman"/>
          <w:sz w:val="24"/>
          <w:szCs w:val="24"/>
        </w:rPr>
        <w:t xml:space="preserve"> en este periodo fue el subproletariado”</w:t>
      </w:r>
      <w:r>
        <w:rPr>
          <w:rFonts w:ascii="Times New Roman" w:hAnsi="Times New Roman"/>
          <w:sz w:val="24"/>
          <w:szCs w:val="24"/>
        </w:rPr>
        <w:t xml:space="preserve"> (Cueva, 1988, p.71)</w:t>
      </w:r>
      <w:r w:rsidRPr="00616A87">
        <w:rPr>
          <w:rFonts w:ascii="Times New Roman" w:hAnsi="Times New Roman"/>
          <w:sz w:val="24"/>
          <w:szCs w:val="24"/>
        </w:rPr>
        <w:t>. Incluso Camilo Ponce Enríquez, presidente desde 1956 hasta 1960, ministro de Velasco Ibarra y apoyado por Velasco Ibarra durante las elecciones</w:t>
      </w:r>
      <w:r w:rsidRPr="00616A87">
        <w:rPr>
          <w:rStyle w:val="Refdenotaalpie"/>
          <w:rFonts w:ascii="Times New Roman" w:hAnsi="Times New Roman"/>
          <w:sz w:val="24"/>
          <w:szCs w:val="24"/>
        </w:rPr>
        <w:footnoteReference w:id="18"/>
      </w:r>
      <w:r w:rsidRPr="00616A87">
        <w:rPr>
          <w:rFonts w:ascii="Times New Roman" w:hAnsi="Times New Roman"/>
          <w:sz w:val="24"/>
          <w:szCs w:val="24"/>
        </w:rPr>
        <w:t>, “sofocó un levantamiento de los mismo subproletarios en 1959, ordenando una represión que dejó centenares de muertos”</w:t>
      </w:r>
      <w:r>
        <w:rPr>
          <w:rFonts w:ascii="Times New Roman" w:hAnsi="Times New Roman"/>
          <w:sz w:val="24"/>
          <w:szCs w:val="24"/>
        </w:rPr>
        <w:t xml:space="preserve"> (Cueva, 1991, p.120)</w:t>
      </w:r>
      <w:r w:rsidRPr="00616A87">
        <w:rPr>
          <w:rFonts w:ascii="Times New Roman" w:hAnsi="Times New Roman"/>
          <w:sz w:val="24"/>
          <w:szCs w:val="24"/>
        </w:rPr>
        <w:t xml:space="preserve">. Y, sin embargo, estos años de democracia sirvieron para revitalizar la sociedad y la economía nacional, preparándola para los años de la dictadura. Porque si bien existió una racionalización del proceso democrático no hubo una transformación social que asegurara una estabilidad duradera.    </w:t>
      </w:r>
    </w:p>
    <w:p w:rsidR="00A00E75" w:rsidRPr="00616A87" w:rsidRDefault="00A00E75" w:rsidP="002E0094">
      <w:pPr>
        <w:pStyle w:val="Subttulotesis"/>
        <w:outlineLvl w:val="0"/>
      </w:pPr>
      <w:bookmarkStart w:id="28" w:name="_Toc295373152"/>
      <w:r w:rsidRPr="00616A87">
        <w:t>El fantasma de la dictadura</w:t>
      </w:r>
      <w:bookmarkEnd w:id="28"/>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La coyuntura económica favorable que caracterizó a esa época se disolvió con la caída del precio del cacao. Uno de los síntomas de este deterioro de la situación social fue el resurgimiento del velasquismo, arrollador en las elecciones de 1960 (no así en las de 1952). Con Velasco, al igual que en años anteriores, la situación del país se deterioraba rápidamente, acrecentados por las pugnas entre los dos mandatarios: Velasco Ibarra y Carlos Julio Ar</w:t>
      </w:r>
      <w:r w:rsidR="007A0D0B">
        <w:rPr>
          <w:rFonts w:ascii="Times New Roman" w:hAnsi="Times New Roman"/>
          <w:sz w:val="24"/>
          <w:szCs w:val="24"/>
        </w:rPr>
        <w:t>ose</w:t>
      </w:r>
      <w:r w:rsidRPr="00616A87">
        <w:rPr>
          <w:rFonts w:ascii="Times New Roman" w:hAnsi="Times New Roman"/>
          <w:sz w:val="24"/>
          <w:szCs w:val="24"/>
        </w:rPr>
        <w:t xml:space="preserve">mena (vicepresidente). Los verdaderos temores de la clase dominante estaban en “la posibilidad de una revolución, que a raíz de la liberación de Cuba parecía viable en el Ecuador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 xml:space="preserve"> (Cueva, 1988, p.74)</w:t>
      </w:r>
      <w:r w:rsidRPr="00616A87">
        <w:rPr>
          <w:rFonts w:ascii="Times New Roman" w:hAnsi="Times New Roman"/>
          <w:sz w:val="24"/>
          <w:szCs w:val="24"/>
        </w:rPr>
        <w:t xml:space="preserve">. Lo que fue preparando una solución militar que se dio en 1961. Arosemena asumió el poder en ese año y tuvo una actitud “progresista”, evitando la represión del gobierno y mostrándose nacionalista con tintes </w:t>
      </w:r>
      <w:r w:rsidRPr="00616A87">
        <w:rPr>
          <w:rFonts w:ascii="Times New Roman" w:hAnsi="Times New Roman"/>
          <w:sz w:val="24"/>
          <w:szCs w:val="24"/>
        </w:rPr>
        <w:lastRenderedPageBreak/>
        <w:t>antiimperialistas. Sin embargo, “la actitud de Arosemena fue insuficiente para imprimir un nuevo rumbo al Ecuador, aunque si eficaz para granjearse la enemistad de las clases dominantes y el imperialismo”</w:t>
      </w:r>
      <w:r>
        <w:rPr>
          <w:rFonts w:ascii="Times New Roman" w:hAnsi="Times New Roman"/>
          <w:sz w:val="24"/>
          <w:szCs w:val="24"/>
        </w:rPr>
        <w:t xml:space="preserve"> (Cueva, 1988, p.74)</w:t>
      </w:r>
      <w:r w:rsidRPr="00616A87">
        <w:rPr>
          <w:rFonts w:ascii="Times New Roman" w:hAnsi="Times New Roman"/>
          <w:sz w:val="24"/>
          <w:szCs w:val="24"/>
        </w:rPr>
        <w:t xml:space="preserve">.  Por su clara postura de izquierda, la reacción local </w:t>
      </w:r>
      <w:r w:rsidR="00EF1634">
        <w:rPr>
          <w:rFonts w:ascii="Times New Roman" w:hAnsi="Times New Roman"/>
          <w:sz w:val="24"/>
          <w:szCs w:val="24"/>
        </w:rPr>
        <w:t>fue “denunciar la infiltración ‘</w:t>
      </w:r>
      <w:r w:rsidRPr="00616A87">
        <w:rPr>
          <w:rFonts w:ascii="Times New Roman" w:hAnsi="Times New Roman"/>
          <w:sz w:val="24"/>
          <w:szCs w:val="24"/>
        </w:rPr>
        <w:t>comunista</w:t>
      </w:r>
      <w:r w:rsidR="00EF1634">
        <w:rPr>
          <w:rFonts w:ascii="Times New Roman" w:hAnsi="Times New Roman"/>
          <w:sz w:val="24"/>
          <w:szCs w:val="24"/>
        </w:rPr>
        <w:t>’</w:t>
      </w:r>
      <w:r w:rsidRPr="00616A87">
        <w:rPr>
          <w:rFonts w:ascii="Times New Roman" w:hAnsi="Times New Roman"/>
          <w:sz w:val="24"/>
          <w:szCs w:val="24"/>
        </w:rPr>
        <w:t xml:space="preserve"> en el gobierno y explotar el asunto cubano”</w:t>
      </w:r>
      <w:r>
        <w:rPr>
          <w:rFonts w:ascii="Times New Roman" w:hAnsi="Times New Roman"/>
          <w:sz w:val="24"/>
          <w:szCs w:val="24"/>
        </w:rPr>
        <w:t xml:space="preserve"> (Cueva, 1991, p.154)</w:t>
      </w:r>
      <w:r w:rsidRPr="00616A87">
        <w:rPr>
          <w:rFonts w:ascii="Times New Roman" w:hAnsi="Times New Roman"/>
          <w:sz w:val="24"/>
          <w:szCs w:val="24"/>
        </w:rPr>
        <w:t xml:space="preserve">. A estos intentos se le unió la Iglesia, que pidió el rompimiento de las relaciones con Cuba, desmintiendo el sentimiento laico de </w:t>
      </w:r>
      <w:r>
        <w:rPr>
          <w:rFonts w:ascii="Times New Roman" w:hAnsi="Times New Roman"/>
          <w:sz w:val="24"/>
          <w:szCs w:val="24"/>
        </w:rPr>
        <w:t>la sociedad. “Así la burguesía ‘</w:t>
      </w:r>
      <w:r w:rsidRPr="00616A87">
        <w:rPr>
          <w:rFonts w:ascii="Times New Roman" w:hAnsi="Times New Roman"/>
          <w:sz w:val="24"/>
          <w:szCs w:val="24"/>
        </w:rPr>
        <w:t>laica</w:t>
      </w:r>
      <w:r>
        <w:rPr>
          <w:rFonts w:ascii="Times New Roman" w:hAnsi="Times New Roman"/>
          <w:sz w:val="24"/>
          <w:szCs w:val="24"/>
        </w:rPr>
        <w:t>’</w:t>
      </w:r>
      <w:r w:rsidRPr="00616A87">
        <w:rPr>
          <w:rFonts w:ascii="Times New Roman" w:hAnsi="Times New Roman"/>
          <w:sz w:val="24"/>
          <w:szCs w:val="24"/>
        </w:rPr>
        <w:t xml:space="preserve"> se rindió ante la evidencia de que la Iglesia seguía siendo el puntal ideológico más firme del orden establecido, rendición que fue de incalculable rentabilidad política”</w:t>
      </w:r>
      <w:r>
        <w:rPr>
          <w:rFonts w:ascii="Times New Roman" w:hAnsi="Times New Roman"/>
          <w:sz w:val="24"/>
          <w:szCs w:val="24"/>
        </w:rPr>
        <w:t xml:space="preserve"> (Cueva, 1988, p.75)</w:t>
      </w:r>
      <w:r w:rsidRPr="00616A87">
        <w:rPr>
          <w:rFonts w:ascii="Times New Roman" w:hAnsi="Times New Roman"/>
          <w:sz w:val="24"/>
          <w:szCs w:val="24"/>
        </w:rPr>
        <w:t>. Tanto así que Arosemena rompe relaciones con Cuba en abril de 1962. No sirvió de nada. El 11 de julio de 1963, Arosemena Monroy fue depuesto por una Junta Militar</w:t>
      </w:r>
      <w:r w:rsidRPr="00616A87">
        <w:rPr>
          <w:rStyle w:val="Refdenotaalpie"/>
          <w:rFonts w:ascii="Times New Roman" w:hAnsi="Times New Roman"/>
          <w:sz w:val="24"/>
          <w:szCs w:val="24"/>
        </w:rPr>
        <w:footnoteReference w:id="19"/>
      </w:r>
      <w:r w:rsidRPr="00616A87">
        <w:rPr>
          <w:rFonts w:ascii="Times New Roman" w:hAnsi="Times New Roman"/>
          <w:sz w:val="24"/>
          <w:szCs w:val="24"/>
        </w:rPr>
        <w:t xml:space="preserve">.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Esta Junta Militar inició con un carácter progresista. El 11 de julio de 1964 se expide por primera vez la Ley de Reforma Agraria</w:t>
      </w:r>
      <w:r w:rsidRPr="00616A87">
        <w:rPr>
          <w:rStyle w:val="Refdenotaalpie"/>
          <w:rFonts w:ascii="Times New Roman" w:hAnsi="Times New Roman"/>
          <w:sz w:val="24"/>
          <w:szCs w:val="24"/>
        </w:rPr>
        <w:footnoteReference w:id="20"/>
      </w:r>
      <w:r w:rsidRPr="00616A87">
        <w:rPr>
          <w:rFonts w:ascii="Times New Roman" w:hAnsi="Times New Roman"/>
          <w:sz w:val="24"/>
          <w:szCs w:val="24"/>
        </w:rPr>
        <w:t xml:space="preserve"> y una meritoria reforma tributaria. Lo que parecía un nuevo viraje hacia un gobierno no ideologizado atrajo a “de una parte la joven tecno-burocracia convencida de embarcarse en un empresa ‘técnica’ y no política; de otra parte, estaban mucho miembros de la antigua clase media intelectual, entregados ahora en defensa de un sistema que mal o bien les había permitido ascender”</w:t>
      </w:r>
      <w:r>
        <w:rPr>
          <w:rFonts w:ascii="Times New Roman" w:hAnsi="Times New Roman"/>
          <w:sz w:val="24"/>
          <w:szCs w:val="24"/>
        </w:rPr>
        <w:t xml:space="preserve"> (Cueva, 1988, p.77)</w:t>
      </w:r>
      <w:r w:rsidRPr="00616A87">
        <w:rPr>
          <w:rFonts w:ascii="Times New Roman" w:hAnsi="Times New Roman"/>
          <w:sz w:val="24"/>
          <w:szCs w:val="24"/>
        </w:rPr>
        <w:t xml:space="preserve">. La dictadura se encargó de perseguir a los militantes de izquierda, el cual no fue el verdadero enemigo. Los grupos dominantes, la oligarquía, quienes se habían encargado de poner a la Junta en el gobierno, tomaron su tiempo antes de guerrear contra este. Si bien los terratenientes de la sierra aceptaron (a regañadientes) la Reforma Agraria, la burguesía comercial y financiera de la costa no aceptó la reforma del arancel de aduanas. “La Aduana de </w:t>
      </w:r>
      <w:r>
        <w:rPr>
          <w:rFonts w:ascii="Times New Roman" w:hAnsi="Times New Roman"/>
          <w:sz w:val="24"/>
          <w:szCs w:val="24"/>
        </w:rPr>
        <w:t>(</w:t>
      </w:r>
      <w:r w:rsidRPr="00616A87">
        <w:rPr>
          <w:rFonts w:ascii="Times New Roman" w:hAnsi="Times New Roman"/>
          <w:sz w:val="24"/>
          <w:szCs w:val="24"/>
        </w:rPr>
        <w:t>Guayaquil</w:t>
      </w:r>
      <w:r>
        <w:rPr>
          <w:rFonts w:ascii="Times New Roman" w:hAnsi="Times New Roman"/>
          <w:sz w:val="24"/>
          <w:szCs w:val="24"/>
        </w:rPr>
        <w:t>)</w:t>
      </w:r>
      <w:r w:rsidRPr="00616A87">
        <w:rPr>
          <w:rFonts w:ascii="Times New Roman" w:hAnsi="Times New Roman"/>
          <w:sz w:val="24"/>
          <w:szCs w:val="24"/>
        </w:rPr>
        <w:t xml:space="preserve"> recaudaba un promedio diario de tres millones de sucres. Por el tres de mayo de 1965, la recaudación se mantenía en quinientos sucres diarios”</w:t>
      </w:r>
      <w:r>
        <w:rPr>
          <w:rFonts w:ascii="Times New Roman" w:hAnsi="Times New Roman"/>
          <w:sz w:val="24"/>
          <w:szCs w:val="24"/>
        </w:rPr>
        <w:t xml:space="preserve"> (Cueva, 1988, p.78)</w:t>
      </w:r>
      <w:r w:rsidRPr="00616A87">
        <w:rPr>
          <w:rFonts w:ascii="Times New Roman" w:hAnsi="Times New Roman"/>
          <w:sz w:val="24"/>
          <w:szCs w:val="24"/>
        </w:rPr>
        <w:t>. Ante esta situación los terratenientes de la sierra exigieron mayor representación en el Instituto de Reforma Agraria y “la clase dominantes pasó a la oposición activa”</w:t>
      </w:r>
      <w:r>
        <w:rPr>
          <w:rFonts w:ascii="Times New Roman" w:hAnsi="Times New Roman"/>
          <w:sz w:val="24"/>
          <w:szCs w:val="24"/>
        </w:rPr>
        <w:t xml:space="preserve"> (Cueva, 1991, </w:t>
      </w:r>
      <w:r>
        <w:rPr>
          <w:rFonts w:ascii="Times New Roman" w:hAnsi="Times New Roman"/>
          <w:sz w:val="24"/>
          <w:szCs w:val="24"/>
        </w:rPr>
        <w:lastRenderedPageBreak/>
        <w:t>p.161)</w:t>
      </w:r>
      <w:r w:rsidRPr="00616A87">
        <w:rPr>
          <w:rFonts w:ascii="Times New Roman" w:hAnsi="Times New Roman"/>
          <w:sz w:val="24"/>
          <w:szCs w:val="24"/>
        </w:rPr>
        <w:t>.  Comenzó la persecución de la Junta y esta invadió la Universidad Central, agrediendo tanto a partidarios como opositores. Esto le valió perder el apoyo del único estamento social que todavía la apoyaba: la tecno-burocracia. “Al parecer, un movimiento estudiantil derrocó a la Junta Militar, el 29 de marzo de 1966. Esa fue la cara exterior del fenómeno: en realidad, quienes promovieron y usufructuaron el derrocamiento fueron los grupos oligárquicos, especialmente los de Guayaquil”</w:t>
      </w:r>
      <w:r>
        <w:rPr>
          <w:rFonts w:ascii="Times New Roman" w:hAnsi="Times New Roman"/>
          <w:sz w:val="24"/>
          <w:szCs w:val="24"/>
        </w:rPr>
        <w:t xml:space="preserve"> (Pareja, 2009b, p.143)</w:t>
      </w:r>
      <w:r w:rsidRPr="00616A87">
        <w:rPr>
          <w:rFonts w:ascii="Times New Roman" w:hAnsi="Times New Roman"/>
          <w:sz w:val="24"/>
          <w:szCs w:val="24"/>
        </w:rPr>
        <w:t xml:space="preserve">. Esto significó que el gobierno vuelva a las manos de ésta.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La Asamblea Constituyente que naci</w:t>
      </w:r>
      <w:r w:rsidR="009C27E9">
        <w:rPr>
          <w:rFonts w:ascii="Times New Roman" w:hAnsi="Times New Roman"/>
          <w:sz w:val="24"/>
          <w:szCs w:val="24"/>
        </w:rPr>
        <w:t>ó de este evento proclamó como P</w:t>
      </w:r>
      <w:r w:rsidRPr="00616A87">
        <w:rPr>
          <w:rFonts w:ascii="Times New Roman" w:hAnsi="Times New Roman"/>
          <w:sz w:val="24"/>
          <w:szCs w:val="24"/>
        </w:rPr>
        <w:t>residente a Otto Arosemena. Su elección significó la unión de grupos dominantes, “un sector importante de la burguesía serrana cuyos intereses coinciden en lo fundamental con los de la burguesía de la costa”</w:t>
      </w:r>
      <w:r>
        <w:rPr>
          <w:rFonts w:ascii="Times New Roman" w:hAnsi="Times New Roman"/>
          <w:sz w:val="24"/>
          <w:szCs w:val="24"/>
        </w:rPr>
        <w:t xml:space="preserve"> (Cueva, 1988, p.80)</w:t>
      </w:r>
      <w:r w:rsidRPr="00616A87">
        <w:rPr>
          <w:rFonts w:ascii="Times New Roman" w:hAnsi="Times New Roman"/>
          <w:sz w:val="24"/>
          <w:szCs w:val="24"/>
        </w:rPr>
        <w:t>. Los cambios estructurales sustanciales, sin embargo, no se dieron en la sociedad. Se liberó de un gobierno abiertamente dictatorial y la campaña anticomunista se atenuó, pero esto fue dado “porque a la burguesía exportadora le interesaba ahora mayor ‘liberalidad’: ante la contracción de la demanda de banano en el área capitalista, érale indispensable buscar nuevos mercados en los países socialistas”</w:t>
      </w:r>
      <w:r>
        <w:rPr>
          <w:rFonts w:ascii="Times New Roman" w:hAnsi="Times New Roman"/>
          <w:sz w:val="24"/>
          <w:szCs w:val="24"/>
        </w:rPr>
        <w:t xml:space="preserve"> (Cueva, 1988, p.80)</w:t>
      </w:r>
      <w:r w:rsidRPr="00616A87">
        <w:rPr>
          <w:rFonts w:ascii="Times New Roman" w:hAnsi="Times New Roman"/>
          <w:sz w:val="24"/>
          <w:szCs w:val="24"/>
        </w:rPr>
        <w:t xml:space="preserve">.  Las elecciones de 1968 llevaron a Velasco Ibarra por quinta ocasión al poder; administración que inició de manera prudencial pero que fue variando por la coyuntura política y las presiones que ejercieron los intereses de distintos grupos. Para 1969 el gobierno había adquirido una actitud claramente represiva frente a la aguda crisis económica, social y política. El 21 de junio de 1970 Velasco Ibarra se proclamó dictador con el aparente apoyo unánime de la Fuerzas Armadas. La sociedad estaba en una etapa de transición entre la producción petrolera y el petróleo encontrado en el oriente amazónico. “Todas las fuerzas sociopolíticas estaban conscientes de la situación y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se apresuraban a ganar posiciones”</w:t>
      </w:r>
      <w:r>
        <w:rPr>
          <w:rFonts w:ascii="Times New Roman" w:hAnsi="Times New Roman"/>
          <w:sz w:val="24"/>
          <w:szCs w:val="24"/>
        </w:rPr>
        <w:t xml:space="preserve"> (Cueva, 1991, p.163)</w:t>
      </w:r>
      <w:r w:rsidRPr="00616A87">
        <w:rPr>
          <w:rFonts w:ascii="Times New Roman" w:hAnsi="Times New Roman"/>
          <w:sz w:val="24"/>
          <w:szCs w:val="24"/>
        </w:rPr>
        <w:t xml:space="preserve">. Razón por la cual la fracción agromercantil de la burguesía, que había ocupado una posición hegemónica durante el “boom bananero”, temía perder este control. </w:t>
      </w:r>
    </w:p>
    <w:p w:rsidR="00A00E75"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El interés por ganar espacios dentro de la toma de decisiones llevó a que los grupos de poder buscaran espacios dentro del Ejecutivo, espacios que se requerían </w:t>
      </w:r>
      <w:r w:rsidRPr="00616A87">
        <w:rPr>
          <w:rFonts w:ascii="Times New Roman" w:hAnsi="Times New Roman"/>
          <w:sz w:val="24"/>
          <w:szCs w:val="24"/>
        </w:rPr>
        <w:lastRenderedPageBreak/>
        <w:t>más por buscar afinidades con las fuerzas armadas que con Velasco Ibarra, pero que de todas manera marcó la sinuosidad de la política velasquista y la “divergencia entre sectores del ejército, más o menos influidos por sendos sectores de la burguesía”</w:t>
      </w:r>
      <w:r>
        <w:rPr>
          <w:rFonts w:ascii="Times New Roman" w:hAnsi="Times New Roman"/>
          <w:sz w:val="24"/>
          <w:szCs w:val="24"/>
        </w:rPr>
        <w:t xml:space="preserve"> (Cueva, 1988, p.82)</w:t>
      </w:r>
      <w:r w:rsidRPr="00616A87">
        <w:rPr>
          <w:rFonts w:ascii="Times New Roman" w:hAnsi="Times New Roman"/>
          <w:sz w:val="24"/>
          <w:szCs w:val="24"/>
        </w:rPr>
        <w:t xml:space="preserve">. Velasco Ibarra fue finalmente depuesto el 15 de febrero de 1972. El general Guillermo Rodríguez Lara, en delegación de las diferentes ramas de las fuerzas armadas, fue delegado por ellas </w:t>
      </w:r>
      <w:r w:rsidR="009C27E9">
        <w:rPr>
          <w:rFonts w:ascii="Times New Roman" w:hAnsi="Times New Roman"/>
          <w:sz w:val="24"/>
          <w:szCs w:val="24"/>
        </w:rPr>
        <w:t>P</w:t>
      </w:r>
      <w:r w:rsidRPr="00616A87">
        <w:rPr>
          <w:rFonts w:ascii="Times New Roman" w:hAnsi="Times New Roman"/>
          <w:sz w:val="24"/>
          <w:szCs w:val="24"/>
        </w:rPr>
        <w:t>residente sin término fijo, es decir, dictador. Este golpe de Estado se llamó Revolución Nacionalista, una denominación claramente nominal “como una expresión de la clase media”</w:t>
      </w:r>
      <w:r>
        <w:rPr>
          <w:rFonts w:ascii="Times New Roman" w:hAnsi="Times New Roman"/>
          <w:sz w:val="24"/>
          <w:szCs w:val="24"/>
        </w:rPr>
        <w:t xml:space="preserve"> (Cueva, 1988, p.84)</w:t>
      </w:r>
      <w:r w:rsidRPr="00616A87">
        <w:rPr>
          <w:rFonts w:ascii="Times New Roman" w:hAnsi="Times New Roman"/>
          <w:sz w:val="24"/>
          <w:szCs w:val="24"/>
        </w:rPr>
        <w:t xml:space="preserve"> y de un nacionalismo derivado de “de la</w:t>
      </w:r>
      <w:r w:rsidR="009E6D2C">
        <w:rPr>
          <w:rFonts w:ascii="Times New Roman" w:hAnsi="Times New Roman"/>
          <w:sz w:val="24"/>
          <w:szCs w:val="24"/>
        </w:rPr>
        <w:t>s</w:t>
      </w:r>
      <w:r w:rsidRPr="00616A87">
        <w:rPr>
          <w:rFonts w:ascii="Times New Roman" w:hAnsi="Times New Roman"/>
          <w:sz w:val="24"/>
          <w:szCs w:val="24"/>
        </w:rPr>
        <w:t xml:space="preserve"> características generales latinoamericanas”</w:t>
      </w:r>
      <w:r>
        <w:rPr>
          <w:rFonts w:ascii="Times New Roman" w:hAnsi="Times New Roman"/>
          <w:sz w:val="24"/>
          <w:szCs w:val="24"/>
        </w:rPr>
        <w:t xml:space="preserve"> (Pareja, 2009b, p.146)</w:t>
      </w:r>
      <w:r w:rsidRPr="00616A87">
        <w:rPr>
          <w:rFonts w:ascii="Times New Roman" w:hAnsi="Times New Roman"/>
          <w:sz w:val="24"/>
          <w:szCs w:val="24"/>
        </w:rPr>
        <w:t xml:space="preserve">. </w:t>
      </w:r>
    </w:p>
    <w:p w:rsidR="009C27E9" w:rsidRPr="00616A87" w:rsidRDefault="009C27E9" w:rsidP="00616A87">
      <w:pPr>
        <w:spacing w:line="360" w:lineRule="auto"/>
        <w:jc w:val="both"/>
        <w:rPr>
          <w:rFonts w:ascii="Times New Roman" w:hAnsi="Times New Roman"/>
          <w:sz w:val="24"/>
          <w:szCs w:val="24"/>
        </w:rPr>
      </w:pPr>
      <w:r>
        <w:rPr>
          <w:rFonts w:ascii="Times New Roman" w:hAnsi="Times New Roman"/>
          <w:sz w:val="24"/>
          <w:szCs w:val="24"/>
        </w:rPr>
        <w:t xml:space="preserve">Existe un cambio </w:t>
      </w:r>
      <w:r w:rsidR="009E6D2C">
        <w:rPr>
          <w:rFonts w:ascii="Times New Roman" w:hAnsi="Times New Roman"/>
          <w:sz w:val="24"/>
          <w:szCs w:val="24"/>
        </w:rPr>
        <w:t xml:space="preserve">de </w:t>
      </w:r>
      <w:r>
        <w:rPr>
          <w:rFonts w:ascii="Times New Roman" w:hAnsi="Times New Roman"/>
          <w:sz w:val="24"/>
          <w:szCs w:val="24"/>
        </w:rPr>
        <w:t>las características del poder. Es un poder que evoluciona y se adapta a la coyuntura social. Los grupos de poder, sin embargo, continúa</w:t>
      </w:r>
      <w:r w:rsidR="007A0D0B">
        <w:rPr>
          <w:rFonts w:ascii="Times New Roman" w:hAnsi="Times New Roman"/>
          <w:sz w:val="24"/>
          <w:szCs w:val="24"/>
        </w:rPr>
        <w:t>n</w:t>
      </w:r>
      <w:r>
        <w:rPr>
          <w:rFonts w:ascii="Times New Roman" w:hAnsi="Times New Roman"/>
          <w:sz w:val="24"/>
          <w:szCs w:val="24"/>
        </w:rPr>
        <w:t xml:space="preserve"> ejerciendo la misma función. Incluso la dictadura responde a un grupo de poder determinado. Son las diferentes manifestaciones del poder y el nominalismo necesario</w:t>
      </w:r>
      <w:r w:rsidR="007A0D0B">
        <w:rPr>
          <w:rFonts w:ascii="Times New Roman" w:hAnsi="Times New Roman"/>
          <w:sz w:val="24"/>
          <w:szCs w:val="24"/>
        </w:rPr>
        <w:t>s</w:t>
      </w:r>
      <w:r>
        <w:rPr>
          <w:rFonts w:ascii="Times New Roman" w:hAnsi="Times New Roman"/>
          <w:sz w:val="24"/>
          <w:szCs w:val="24"/>
        </w:rPr>
        <w:t xml:space="preserve"> para mantener sumisa a la sociedad. Nominalismo que Orwell determina como </w:t>
      </w:r>
      <w:r w:rsidR="00E44C4A">
        <w:rPr>
          <w:rFonts w:ascii="Times New Roman" w:hAnsi="Times New Roman"/>
          <w:sz w:val="24"/>
          <w:szCs w:val="24"/>
        </w:rPr>
        <w:t xml:space="preserve">parte del engaño, la creación de una imagen, para satisfacer las emociones de, lo que él considera, como una masa irracional. </w:t>
      </w:r>
    </w:p>
    <w:p w:rsidR="00A00E75" w:rsidRPr="00616A87" w:rsidRDefault="00A00E75" w:rsidP="002E0094">
      <w:pPr>
        <w:pStyle w:val="Subttulotesis"/>
        <w:outlineLvl w:val="0"/>
      </w:pPr>
      <w:bookmarkStart w:id="29" w:name="_Toc295373153"/>
      <w:r w:rsidRPr="00616A87">
        <w:t xml:space="preserve">La nueva dictadura y el </w:t>
      </w:r>
      <w:r w:rsidRPr="00616A87">
        <w:rPr>
          <w:i/>
        </w:rPr>
        <w:t xml:space="preserve">boom </w:t>
      </w:r>
      <w:r w:rsidRPr="00616A87">
        <w:t>petrolero</w:t>
      </w:r>
      <w:bookmarkEnd w:id="29"/>
    </w:p>
    <w:p w:rsidR="00A00E75"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La abundancia de la que gozó el gobierno de Rodríguez Lara, por la bonanza petrolera, no sirvió para una mejor distribución o un cambio sustancial de las estructuras sociales. Se confundió riqueza con abundancia en un sector privilegiado. “Esta equivocación fue la inicial de la que se multiplicaría después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cuando esos grupos de interés aumentaron veloz y desproporcionalmente sus ingresos, disminuyendo los que percibe la mayoría ecuatoriana”</w:t>
      </w:r>
      <w:r>
        <w:rPr>
          <w:rFonts w:ascii="Times New Roman" w:hAnsi="Times New Roman"/>
          <w:sz w:val="24"/>
          <w:szCs w:val="24"/>
        </w:rPr>
        <w:t xml:space="preserve"> (Cueva, 1991, p.147)</w:t>
      </w:r>
      <w:r w:rsidRPr="00616A87">
        <w:rPr>
          <w:rFonts w:ascii="Times New Roman" w:hAnsi="Times New Roman"/>
          <w:sz w:val="24"/>
          <w:szCs w:val="24"/>
        </w:rPr>
        <w:t>. Si bien tuvo un</w:t>
      </w:r>
      <w:r w:rsidR="00DE2382">
        <w:rPr>
          <w:rFonts w:ascii="Times New Roman" w:hAnsi="Times New Roman"/>
          <w:sz w:val="24"/>
          <w:szCs w:val="24"/>
        </w:rPr>
        <w:t>a</w:t>
      </w:r>
      <w:r w:rsidRPr="00616A87">
        <w:rPr>
          <w:rFonts w:ascii="Times New Roman" w:hAnsi="Times New Roman"/>
          <w:sz w:val="24"/>
          <w:szCs w:val="24"/>
        </w:rPr>
        <w:t xml:space="preserve"> faceta progresista</w:t>
      </w:r>
      <w:r w:rsidRPr="00616A87">
        <w:rPr>
          <w:rStyle w:val="Refdenotaalpie"/>
          <w:rFonts w:ascii="Times New Roman" w:hAnsi="Times New Roman"/>
          <w:sz w:val="24"/>
          <w:szCs w:val="24"/>
        </w:rPr>
        <w:footnoteReference w:id="21"/>
      </w:r>
      <w:r w:rsidRPr="00616A87">
        <w:rPr>
          <w:rFonts w:ascii="Times New Roman" w:hAnsi="Times New Roman"/>
          <w:sz w:val="24"/>
          <w:szCs w:val="24"/>
        </w:rPr>
        <w:t xml:space="preserve">, el nacionalismo consagrado en la política petrolera y el ingreso a la OPEP en 1973 fue el detonante para que los grupos de dominación tradicionales y los extranjeros buscaran mecanismos para </w:t>
      </w:r>
      <w:r w:rsidRPr="00616A87">
        <w:rPr>
          <w:rFonts w:ascii="Times New Roman" w:hAnsi="Times New Roman"/>
          <w:sz w:val="24"/>
          <w:szCs w:val="24"/>
        </w:rPr>
        <w:lastRenderedPageBreak/>
        <w:t>mantener su hegemonía. Además, el sentido progresista no venía desde un impulso de la sociedad civil, por lo contrario, “las condiciones de relativa desactivación y desorganización en que se encontraban los sectores subalternos en aquel entonces eran la pauta dominante”</w:t>
      </w:r>
      <w:r>
        <w:rPr>
          <w:rFonts w:ascii="Times New Roman" w:hAnsi="Times New Roman"/>
          <w:sz w:val="24"/>
          <w:szCs w:val="24"/>
        </w:rPr>
        <w:t xml:space="preserve"> (Argones, 1991, p.211)</w:t>
      </w:r>
      <w:r w:rsidRPr="00616A87">
        <w:rPr>
          <w:rFonts w:ascii="Times New Roman" w:hAnsi="Times New Roman"/>
          <w:sz w:val="24"/>
          <w:szCs w:val="24"/>
        </w:rPr>
        <w:t>. Dentro del plan de de gobierno se buscaba cambiar el sistema latifundista del agro ecuatoriano, proceso que tuvo poco éxito</w:t>
      </w:r>
      <w:r w:rsidRPr="00616A87">
        <w:rPr>
          <w:rStyle w:val="Refdenotaalpie"/>
          <w:rFonts w:ascii="Times New Roman" w:hAnsi="Times New Roman"/>
          <w:sz w:val="24"/>
          <w:szCs w:val="24"/>
        </w:rPr>
        <w:footnoteReference w:id="22"/>
      </w:r>
      <w:r w:rsidRPr="00616A87">
        <w:rPr>
          <w:rFonts w:ascii="Times New Roman" w:hAnsi="Times New Roman"/>
          <w:sz w:val="24"/>
          <w:szCs w:val="24"/>
        </w:rPr>
        <w:t>, y que significo el “abandono por parte del gobierno de un punto básico de su programa antioligárquico</w:t>
      </w:r>
      <w:r w:rsidR="00B811F4">
        <w:rPr>
          <w:rFonts w:ascii="Times New Roman" w:hAnsi="Times New Roman"/>
          <w:sz w:val="24"/>
          <w:szCs w:val="24"/>
        </w:rPr>
        <w:t xml:space="preserve">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hecho que constituyó un triunfo resonante de la oligarquía”</w:t>
      </w:r>
      <w:r>
        <w:rPr>
          <w:rFonts w:ascii="Times New Roman" w:hAnsi="Times New Roman"/>
          <w:sz w:val="24"/>
          <w:szCs w:val="24"/>
        </w:rPr>
        <w:t xml:space="preserve"> (Cueva, 1988, p.87)</w:t>
      </w:r>
      <w:r w:rsidRPr="00616A87">
        <w:rPr>
          <w:rFonts w:ascii="Times New Roman" w:hAnsi="Times New Roman"/>
          <w:sz w:val="24"/>
          <w:szCs w:val="24"/>
        </w:rPr>
        <w:t xml:space="preserve">. A esto se sumaba las críticas al régimen por ahuyentar la inversión extranjera por la dureza de su política petrolera. Tanto así que la Texaco Gulf inició un boicot en la producción en 1974, cuando el gobierno intentó restablecer la cuota mínima de exportación. </w:t>
      </w:r>
    </w:p>
    <w:p w:rsidR="00A00E75" w:rsidRDefault="00A00E75" w:rsidP="00265AE0">
      <w:pPr>
        <w:spacing w:line="360" w:lineRule="auto"/>
        <w:ind w:left="720" w:right="720"/>
        <w:jc w:val="both"/>
        <w:rPr>
          <w:rFonts w:ascii="Times New Roman" w:hAnsi="Times New Roman"/>
          <w:sz w:val="24"/>
          <w:szCs w:val="24"/>
        </w:rPr>
      </w:pPr>
      <w:r w:rsidRPr="00616A87">
        <w:rPr>
          <w:rFonts w:ascii="Times New Roman" w:hAnsi="Times New Roman"/>
          <w:sz w:val="24"/>
          <w:szCs w:val="24"/>
        </w:rPr>
        <w:t xml:space="preserve">Texaco </w:t>
      </w:r>
      <w:r>
        <w:rPr>
          <w:rFonts w:ascii="Times New Roman" w:hAnsi="Times New Roman"/>
          <w:sz w:val="24"/>
          <w:szCs w:val="24"/>
        </w:rPr>
        <w:t>(</w:t>
      </w:r>
      <w:r w:rsidRPr="00616A87">
        <w:rPr>
          <w:rFonts w:ascii="Times New Roman" w:hAnsi="Times New Roman"/>
          <w:sz w:val="24"/>
          <w:szCs w:val="24"/>
        </w:rPr>
        <w:t>suspendió</w:t>
      </w:r>
      <w:r>
        <w:rPr>
          <w:rFonts w:ascii="Times New Roman" w:hAnsi="Times New Roman"/>
          <w:sz w:val="24"/>
          <w:szCs w:val="24"/>
        </w:rPr>
        <w:t>)</w:t>
      </w:r>
      <w:r w:rsidRPr="00616A87">
        <w:rPr>
          <w:rFonts w:ascii="Times New Roman" w:hAnsi="Times New Roman"/>
          <w:sz w:val="24"/>
          <w:szCs w:val="24"/>
        </w:rPr>
        <w:t xml:space="preserve"> casi completamente la extracción de petróleo, que se prolongó por cerca de dos meses, hasta que el gobierno cedió al chantaje reduciendo en 43 centavos de dólar el precio de barril de crudo</w:t>
      </w:r>
      <w:r>
        <w:rPr>
          <w:rFonts w:ascii="Times New Roman" w:hAnsi="Times New Roman"/>
          <w:sz w:val="24"/>
          <w:szCs w:val="24"/>
        </w:rPr>
        <w:t>. (Cueva, 1988, p.89)</w:t>
      </w:r>
      <w:r w:rsidRPr="00616A87">
        <w:rPr>
          <w:rFonts w:ascii="Times New Roman" w:hAnsi="Times New Roman"/>
          <w:sz w:val="24"/>
          <w:szCs w:val="24"/>
        </w:rPr>
        <w:t xml:space="preserve">.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Cuando el gobierno intentó fomentar la agricultura, se topó con el interés de los terratenientes. Hubo una carestía generalizada de alimentos, excusa que “los propios terratenientes aprovecharon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para hostigar al gobierno, acusándolo de todos los males por no imponer un ‘clima de confianza’ en el agro, es decir, por responder con una represión en gran escala al malestar creciente de los campesinos”</w:t>
      </w:r>
      <w:r>
        <w:rPr>
          <w:rFonts w:ascii="Times New Roman" w:hAnsi="Times New Roman"/>
          <w:sz w:val="24"/>
          <w:szCs w:val="24"/>
        </w:rPr>
        <w:t xml:space="preserve"> (Cueva, 1991, p.173)</w:t>
      </w:r>
      <w:r w:rsidRPr="00616A87">
        <w:rPr>
          <w:rFonts w:ascii="Times New Roman" w:hAnsi="Times New Roman"/>
          <w:sz w:val="24"/>
          <w:szCs w:val="24"/>
        </w:rPr>
        <w:t>. El inicio de un proceso de industrialización se topó con la débil industria ecuatoriana y su incapacidad de producir, el decreto 738 que buscaba la sustitución de las importaciones grabando con un impuesto del 60% a las importaciones de bienes no esenciales sirvió como pretexto, no para eliminar el decreto, sino para terminar con el gobierno:</w:t>
      </w:r>
    </w:p>
    <w:p w:rsidR="00A00E75" w:rsidRPr="00616A87" w:rsidRDefault="00A00E75" w:rsidP="002843E0">
      <w:pPr>
        <w:spacing w:line="360" w:lineRule="auto"/>
        <w:ind w:left="720" w:right="720"/>
        <w:jc w:val="both"/>
        <w:rPr>
          <w:rFonts w:ascii="Times New Roman" w:hAnsi="Times New Roman"/>
          <w:sz w:val="24"/>
          <w:szCs w:val="24"/>
        </w:rPr>
      </w:pPr>
      <w:r w:rsidRPr="00616A87">
        <w:rPr>
          <w:rFonts w:ascii="Times New Roman" w:hAnsi="Times New Roman"/>
          <w:sz w:val="24"/>
          <w:szCs w:val="24"/>
        </w:rPr>
        <w:t xml:space="preserve">La expedición del decreto 738 no tuvo por lo tanto otro efecto político que el de desencadenar toda la furia oligárquica contra el gobierno, al que se achacaba desde la aplicación de una ‘absurda’ política petrolera hasta la imposición de una ‘estatización’ de la </w:t>
      </w:r>
      <w:r w:rsidRPr="00616A87">
        <w:rPr>
          <w:rFonts w:ascii="Times New Roman" w:hAnsi="Times New Roman"/>
          <w:sz w:val="24"/>
          <w:szCs w:val="24"/>
        </w:rPr>
        <w:lastRenderedPageBreak/>
        <w:t xml:space="preserve">economía, pasando por el supuesto ‘ahuyentamiento’ del capital extranjero y la ‘siembra del caos’ en el campo con su secuela de encarecimiento de los víveres, etcétera. Para remediar lo cual la oligarquía exigía </w:t>
      </w:r>
      <w:r w:rsidR="00DD73E9">
        <w:rPr>
          <w:rFonts w:ascii="Times New Roman" w:hAnsi="Times New Roman"/>
          <w:sz w:val="24"/>
          <w:szCs w:val="24"/>
        </w:rPr>
        <w:t>u</w:t>
      </w:r>
      <w:r w:rsidRPr="00616A87">
        <w:rPr>
          <w:rFonts w:ascii="Times New Roman" w:hAnsi="Times New Roman"/>
          <w:sz w:val="24"/>
          <w:szCs w:val="24"/>
        </w:rPr>
        <w:t>n inmediato retorno al orden constitucional, tarea que intentó ‘acelerar’, bien a su manera, mediante el abortado golpe fascista del primero de septiembre de 1975, cuya naturaleza política quedó evidenciada con el asilo del jefe golpista, general Raúl González Alvear, en la embajada de Pinochet en Quito, y sintomáticamente avalad</w:t>
      </w:r>
      <w:r w:rsidR="00DD73E9">
        <w:rPr>
          <w:rFonts w:ascii="Times New Roman" w:hAnsi="Times New Roman"/>
          <w:sz w:val="24"/>
          <w:szCs w:val="24"/>
        </w:rPr>
        <w:t>o</w:t>
      </w:r>
      <w:r w:rsidRPr="00616A87">
        <w:rPr>
          <w:rFonts w:ascii="Times New Roman" w:hAnsi="Times New Roman"/>
          <w:sz w:val="24"/>
          <w:szCs w:val="24"/>
        </w:rPr>
        <w:t xml:space="preserve"> con la declaración que Galo Plaza formulara pocos días después, en el sentido de que ‘los golpes de Estado son inevitables, porque han servido para evitar el caos en que han caído nuestros pueblos’.</w:t>
      </w:r>
      <w:r>
        <w:rPr>
          <w:rFonts w:ascii="Times New Roman" w:hAnsi="Times New Roman"/>
          <w:sz w:val="24"/>
          <w:szCs w:val="24"/>
        </w:rPr>
        <w:t xml:space="preserve"> (Cueva, 1988, p.92)</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Las presiones que intentó ejercer la dictadura sobre la estructura de dominación establecida y el obvio hecho de ser un gobierno autoritario y que violó el Estado de Derecho (pero que no le corresponde analizar al presente trabajo), fueron detenidas eficazmente por los grupos hegemónicos quienes “buscaban un gobierno completamente suyo, tratando de manipular para el efecto no solo a grupos militares, sino, inclusive a sectores populares”, como lo propusiera un manifiesto de la CEDOC del 3 de septiembre de 1975. (Cueva 1988, 93) Si bien para la clase dominante el gobierno de Rodríguez Lara no podía considerarse completamente suyo, menos podía decirse de la clase obrera, </w:t>
      </w:r>
      <w:r w:rsidR="00070665">
        <w:rPr>
          <w:rFonts w:ascii="Times New Roman" w:hAnsi="Times New Roman"/>
          <w:sz w:val="24"/>
          <w:szCs w:val="24"/>
        </w:rPr>
        <w:t>que</w:t>
      </w:r>
      <w:r w:rsidRPr="00616A87">
        <w:rPr>
          <w:rFonts w:ascii="Times New Roman" w:hAnsi="Times New Roman"/>
          <w:sz w:val="24"/>
          <w:szCs w:val="24"/>
        </w:rPr>
        <w:t xml:space="preserve"> radicalizó su inconformidad el 13 de noviembre de 1975 en el Primer Paro Nacional. No hubo problema para derrocar al gobierno en 1976. Asumieron el poder el vicealmirante Alfredo Poveda Burbano, el general Guillermo Durán Arcentales y el brigadier Luis Leoro Franco, jefes de las tres armas.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Si bien existieron graves atropellos durante el gobierno el triunvirato militar, al igual que en el gobierno de Rodríguez Lara, entre los hechos que demuestran claramente la influencia de los grupos dominantes esta la derogatoria del artículo 25 de la Ley de Reforma Agraria donde se preveía que a partir de 1976 serían expropiados los latifundios insuficientes o deficientemente cultivados. Si bien se comenzaron a dar los primeros pasos, también hubo represiones a grupos sociales. </w:t>
      </w:r>
      <w:r w:rsidRPr="00616A87">
        <w:rPr>
          <w:rFonts w:ascii="Times New Roman" w:hAnsi="Times New Roman"/>
          <w:sz w:val="24"/>
          <w:szCs w:val="24"/>
        </w:rPr>
        <w:lastRenderedPageBreak/>
        <w:t>Como escribiría Alejandro Moreano, “solamente la esterilización de la vida política de la sociedad posibilita la imposición del plan de Estado”</w:t>
      </w:r>
      <w:r>
        <w:rPr>
          <w:rFonts w:ascii="Times New Roman" w:hAnsi="Times New Roman"/>
          <w:sz w:val="24"/>
          <w:szCs w:val="24"/>
        </w:rPr>
        <w:t xml:space="preserve"> (Moreano, 1983, p.153)</w:t>
      </w:r>
      <w:r w:rsidRPr="00616A87">
        <w:rPr>
          <w:rFonts w:ascii="Times New Roman" w:hAnsi="Times New Roman"/>
          <w:sz w:val="24"/>
          <w:szCs w:val="24"/>
        </w:rPr>
        <w:t>.  El 15 de enero de 1978 se sometió a la consulta popular dos proyectos de Constitución. Bajo la nueva Constitución, el 20 de febrero del mismo año se expidió la Ley de Elecciones. El 16 de julio de 1978 tuvo lugar la primera ronda de las elecciones presidenciales.</w:t>
      </w:r>
    </w:p>
    <w:p w:rsidR="00A00E75" w:rsidRPr="00616A87" w:rsidRDefault="00A00E75" w:rsidP="002E0094">
      <w:pPr>
        <w:pStyle w:val="Subttulotesis"/>
        <w:outlineLvl w:val="0"/>
      </w:pPr>
      <w:bookmarkStart w:id="30" w:name="_Toc295373154"/>
      <w:r w:rsidRPr="00616A87">
        <w:t>Comentarios</w:t>
      </w:r>
      <w:bookmarkEnd w:id="30"/>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En el conflicto conservador/liberal las similitudes entre sus posturas es evidente</w:t>
      </w:r>
      <w:r w:rsidR="006755F0">
        <w:rPr>
          <w:rFonts w:ascii="Times New Roman" w:hAnsi="Times New Roman"/>
          <w:sz w:val="24"/>
          <w:szCs w:val="24"/>
        </w:rPr>
        <w:t xml:space="preserve">. Orwell advertía acerca de </w:t>
      </w:r>
      <w:r w:rsidR="006755F0" w:rsidRPr="00616A87">
        <w:rPr>
          <w:rFonts w:ascii="Times New Roman" w:hAnsi="Times New Roman"/>
          <w:sz w:val="24"/>
          <w:szCs w:val="24"/>
        </w:rPr>
        <w:t>filosofías que son “apenas distinguibles, y los sistemas sociales que apoyan son absolutamente indistinguibles. En todo lado hay la misma estructura piramidal (y) la misma alabanza al líder semi-dios”</w:t>
      </w:r>
      <w:r w:rsidR="006755F0">
        <w:rPr>
          <w:rFonts w:ascii="Times New Roman" w:hAnsi="Times New Roman"/>
          <w:sz w:val="24"/>
          <w:szCs w:val="24"/>
        </w:rPr>
        <w:t xml:space="preserve"> </w:t>
      </w:r>
      <w:r w:rsidR="006755F0" w:rsidRPr="00616A87">
        <w:rPr>
          <w:rFonts w:ascii="Times New Roman" w:hAnsi="Times New Roman"/>
          <w:sz w:val="24"/>
          <w:szCs w:val="24"/>
        </w:rPr>
        <w:t>(</w:t>
      </w:r>
      <w:r w:rsidR="006755F0">
        <w:rPr>
          <w:rFonts w:ascii="Times New Roman" w:hAnsi="Times New Roman"/>
          <w:sz w:val="24"/>
          <w:szCs w:val="24"/>
        </w:rPr>
        <w:t>Orwell, 1983</w:t>
      </w:r>
      <w:r w:rsidR="006755F0" w:rsidRPr="00616A87">
        <w:rPr>
          <w:rFonts w:ascii="Times New Roman" w:hAnsi="Times New Roman"/>
          <w:sz w:val="24"/>
          <w:szCs w:val="24"/>
        </w:rPr>
        <w:t xml:space="preserve">, </w:t>
      </w:r>
      <w:r w:rsidR="006755F0">
        <w:rPr>
          <w:rFonts w:ascii="Times New Roman" w:hAnsi="Times New Roman"/>
          <w:sz w:val="24"/>
          <w:szCs w:val="24"/>
        </w:rPr>
        <w:t>p.</w:t>
      </w:r>
      <w:r w:rsidR="006755F0" w:rsidRPr="00616A87">
        <w:rPr>
          <w:rFonts w:ascii="Times New Roman" w:hAnsi="Times New Roman"/>
          <w:sz w:val="24"/>
          <w:szCs w:val="24"/>
        </w:rPr>
        <w:t>162)</w:t>
      </w:r>
      <w:r w:rsidRPr="00616A87">
        <w:rPr>
          <w:rFonts w:ascii="Times New Roman" w:hAnsi="Times New Roman"/>
          <w:sz w:val="24"/>
          <w:szCs w:val="24"/>
        </w:rPr>
        <w:t>. Si al propietario de la sierra se lo considera latifundista, al de la costa “no se le puede considerar como ‘burguesía urbana’ propiamente dicha. Hay que recordar que son a la vez mercaderes y latifundistas y cuando alguno no lo es por herencia lo termina siéndolo por compra”</w:t>
      </w:r>
      <w:r>
        <w:rPr>
          <w:rFonts w:ascii="Times New Roman" w:hAnsi="Times New Roman"/>
          <w:sz w:val="24"/>
          <w:szCs w:val="24"/>
        </w:rPr>
        <w:t xml:space="preserve"> (Hurtado, 2007, p.176)</w:t>
      </w:r>
      <w:r w:rsidRPr="00616A87">
        <w:rPr>
          <w:rFonts w:ascii="Times New Roman" w:hAnsi="Times New Roman"/>
          <w:sz w:val="24"/>
          <w:szCs w:val="24"/>
        </w:rPr>
        <w:t xml:space="preserve">. El proceso de dominación política del país moderno viene enraizado en el </w:t>
      </w:r>
      <w:r w:rsidRPr="00616A87">
        <w:rPr>
          <w:rFonts w:ascii="Times New Roman" w:hAnsi="Times New Roman"/>
          <w:i/>
          <w:sz w:val="24"/>
          <w:szCs w:val="24"/>
        </w:rPr>
        <w:t xml:space="preserve">modus operandi </w:t>
      </w:r>
      <w:r w:rsidRPr="00616A87">
        <w:rPr>
          <w:rFonts w:ascii="Times New Roman" w:hAnsi="Times New Roman"/>
          <w:sz w:val="24"/>
          <w:szCs w:val="24"/>
        </w:rPr>
        <w:t xml:space="preserve">de los grupos hegemónicas y su lucha, obvia, de permanecer en el poder. Los gobiernos, llenos de cambios superficiales o de buenas intenciones, no pudieron cambiar las estructuras sociales ni la relaciones de poder, y con ello, tampoco pudieron democratizar el Estado en las tomas de poder. Las épocas de bonanza y los “paréntesis democráticos” sirvieron para la creación de nuevas grupos de influencia en la toma de poderes mas no para equiparación de las fuerzas.  </w:t>
      </w:r>
    </w:p>
    <w:p w:rsidR="00A00E75" w:rsidRDefault="003F1A65" w:rsidP="00616A87">
      <w:pPr>
        <w:spacing w:line="360" w:lineRule="auto"/>
        <w:jc w:val="both"/>
        <w:rPr>
          <w:rFonts w:ascii="Times New Roman" w:hAnsi="Times New Roman"/>
          <w:sz w:val="24"/>
          <w:szCs w:val="24"/>
        </w:rPr>
      </w:pPr>
      <w:r>
        <w:rPr>
          <w:rFonts w:ascii="Times New Roman" w:hAnsi="Times New Roman"/>
          <w:sz w:val="24"/>
          <w:szCs w:val="24"/>
        </w:rPr>
        <w:t>La</w:t>
      </w:r>
      <w:r w:rsidR="00A00E75" w:rsidRPr="00616A87">
        <w:rPr>
          <w:rFonts w:ascii="Times New Roman" w:hAnsi="Times New Roman"/>
          <w:sz w:val="24"/>
          <w:szCs w:val="24"/>
        </w:rPr>
        <w:t xml:space="preserve"> tesis propuesta </w:t>
      </w:r>
      <w:r w:rsidR="00C013A8">
        <w:rPr>
          <w:rFonts w:ascii="Times New Roman" w:hAnsi="Times New Roman"/>
          <w:sz w:val="24"/>
          <w:szCs w:val="24"/>
        </w:rPr>
        <w:t xml:space="preserve">por </w:t>
      </w:r>
      <w:r w:rsidR="00A00E75" w:rsidRPr="00616A87">
        <w:rPr>
          <w:rFonts w:ascii="Times New Roman" w:hAnsi="Times New Roman"/>
          <w:sz w:val="24"/>
          <w:szCs w:val="24"/>
        </w:rPr>
        <w:t>Agustín Cueva, tesis que se toma como base para la realización de este c</w:t>
      </w:r>
      <w:r w:rsidR="00A00E75">
        <w:rPr>
          <w:rFonts w:ascii="Times New Roman" w:hAnsi="Times New Roman"/>
          <w:sz w:val="24"/>
          <w:szCs w:val="24"/>
        </w:rPr>
        <w:t xml:space="preserve">apítulo, </w:t>
      </w:r>
      <w:r>
        <w:rPr>
          <w:rFonts w:ascii="Times New Roman" w:hAnsi="Times New Roman"/>
          <w:sz w:val="24"/>
          <w:szCs w:val="24"/>
        </w:rPr>
        <w:t>hace un an</w:t>
      </w:r>
      <w:r w:rsidR="00C83383">
        <w:rPr>
          <w:rFonts w:ascii="Times New Roman" w:hAnsi="Times New Roman"/>
          <w:sz w:val="24"/>
          <w:szCs w:val="24"/>
        </w:rPr>
        <w:t>álisis marxista-materialista</w:t>
      </w:r>
      <w:r>
        <w:rPr>
          <w:rFonts w:ascii="Times New Roman" w:hAnsi="Times New Roman"/>
          <w:sz w:val="24"/>
          <w:szCs w:val="24"/>
        </w:rPr>
        <w:t xml:space="preserve"> del proceso de dominación política en el Ecuador, coincidente con la postura de George Orwell. La tesis de Cueva </w:t>
      </w:r>
      <w:r w:rsidR="00A00E75">
        <w:rPr>
          <w:rFonts w:ascii="Times New Roman" w:hAnsi="Times New Roman"/>
          <w:sz w:val="24"/>
          <w:szCs w:val="24"/>
        </w:rPr>
        <w:t>tiene sus divergentes</w:t>
      </w:r>
      <w:r w:rsidR="00A00E75">
        <w:rPr>
          <w:rStyle w:val="Refdenotaalpie"/>
          <w:rFonts w:ascii="Times New Roman" w:hAnsi="Times New Roman"/>
          <w:sz w:val="24"/>
          <w:szCs w:val="24"/>
        </w:rPr>
        <w:footnoteReference w:id="23"/>
      </w:r>
      <w:r w:rsidR="00A00E75">
        <w:rPr>
          <w:rFonts w:ascii="Times New Roman" w:hAnsi="Times New Roman"/>
          <w:sz w:val="24"/>
          <w:szCs w:val="24"/>
        </w:rPr>
        <w:t>. S</w:t>
      </w:r>
      <w:r w:rsidR="00A00E75" w:rsidRPr="00616A87">
        <w:rPr>
          <w:rFonts w:ascii="Times New Roman" w:hAnsi="Times New Roman"/>
          <w:sz w:val="24"/>
          <w:szCs w:val="24"/>
        </w:rPr>
        <w:t xml:space="preserve">in embargo, la objetividad de la misma da paso para ciertas reflexiones que no pueden ser negadas ante la realidad </w:t>
      </w:r>
      <w:r w:rsidR="00A00E75" w:rsidRPr="00616A87">
        <w:rPr>
          <w:rFonts w:ascii="Times New Roman" w:hAnsi="Times New Roman"/>
          <w:sz w:val="24"/>
          <w:szCs w:val="24"/>
        </w:rPr>
        <w:lastRenderedPageBreak/>
        <w:t>nacional. La estructura social que caracteriza el país no puede ser un hecho  aleatorio. La construcción de la sociedad bien dada por los actores sociales que la componen y su evidente y natural necesidad de mantenerse siempre en una situación favorable. La pugna política que caracterizó las épocas ideológicamente más marcadas de la historia ecuatoriana no fue una lucha de convicciones, fue una lucha de poder. El país que llega con el fin de la dictadura está marcado por estas luchas. Resulta irremediable volcarse hacia esta tesis para poder entender la naturaleza de los acontecimientos de la “vuelta a la democracia”. La fuerza política caracterizada por “la novedad y el espectáculo”</w:t>
      </w:r>
      <w:r w:rsidR="00A00E75">
        <w:rPr>
          <w:rFonts w:ascii="Times New Roman" w:hAnsi="Times New Roman"/>
          <w:sz w:val="24"/>
          <w:szCs w:val="24"/>
        </w:rPr>
        <w:t xml:space="preserve"> (Pareja, 2009b, p.76)</w:t>
      </w:r>
      <w:r w:rsidR="00A00E75" w:rsidRPr="00616A87">
        <w:rPr>
          <w:rFonts w:ascii="Times New Roman" w:hAnsi="Times New Roman"/>
          <w:sz w:val="24"/>
          <w:szCs w:val="24"/>
        </w:rPr>
        <w:t>, son un remanente de la influencia velasquista y sin duda constituyen hoy en día una metodología explotada por la grupos de poder. Incluso las repercusiones de la Revolución Liberal son palpables en los acontecimientos de la última década, Revolución Liberal que “</w:t>
      </w:r>
      <w:r w:rsidR="00A00E75">
        <w:rPr>
          <w:rFonts w:ascii="Times New Roman" w:hAnsi="Times New Roman"/>
          <w:sz w:val="24"/>
          <w:szCs w:val="24"/>
        </w:rPr>
        <w:t>(</w:t>
      </w:r>
      <w:r w:rsidR="00A00E75" w:rsidRPr="00616A87">
        <w:rPr>
          <w:rFonts w:ascii="Times New Roman" w:hAnsi="Times New Roman"/>
          <w:sz w:val="24"/>
          <w:szCs w:val="24"/>
        </w:rPr>
        <w:t>…</w:t>
      </w:r>
      <w:r w:rsidR="00A00E75">
        <w:rPr>
          <w:rFonts w:ascii="Times New Roman" w:hAnsi="Times New Roman"/>
          <w:sz w:val="24"/>
          <w:szCs w:val="24"/>
        </w:rPr>
        <w:t>)</w:t>
      </w:r>
      <w:r w:rsidR="00A00E75" w:rsidRPr="00616A87">
        <w:rPr>
          <w:rFonts w:ascii="Times New Roman" w:hAnsi="Times New Roman"/>
          <w:sz w:val="24"/>
          <w:szCs w:val="24"/>
        </w:rPr>
        <w:t xml:space="preserve"> provocó un proceso histórico cuyo resultado ha sido más bien el fortalecimiento de un poder sustentado en estructuras antidemocráticas y cuya función es confiscar, expropiar toda la vida política y cultural del pueblo”</w:t>
      </w:r>
      <w:r w:rsidR="00A00E75">
        <w:rPr>
          <w:rFonts w:ascii="Times New Roman" w:hAnsi="Times New Roman"/>
          <w:sz w:val="24"/>
          <w:szCs w:val="24"/>
        </w:rPr>
        <w:t xml:space="preserve"> (Moreano, 1991, p.185)</w:t>
      </w:r>
      <w:r w:rsidR="00A00E75" w:rsidRPr="00616A87">
        <w:rPr>
          <w:rFonts w:ascii="Times New Roman" w:hAnsi="Times New Roman"/>
          <w:sz w:val="24"/>
          <w:szCs w:val="24"/>
        </w:rPr>
        <w:t xml:space="preserve">. </w:t>
      </w:r>
    </w:p>
    <w:p w:rsidR="006755F0" w:rsidRPr="00616A87" w:rsidRDefault="006755F0" w:rsidP="00616A87">
      <w:pPr>
        <w:spacing w:line="360" w:lineRule="auto"/>
        <w:jc w:val="both"/>
        <w:rPr>
          <w:rFonts w:ascii="Times New Roman" w:hAnsi="Times New Roman"/>
          <w:sz w:val="24"/>
          <w:szCs w:val="24"/>
        </w:rPr>
      </w:pPr>
      <w:r>
        <w:rPr>
          <w:rFonts w:ascii="Times New Roman" w:hAnsi="Times New Roman"/>
          <w:sz w:val="24"/>
          <w:szCs w:val="24"/>
        </w:rPr>
        <w:t>Es importante detallar el proceso histórico para entender el funcionamiento social/político desde los albores de la república. El tema de investigación analiza el proceso de dominación desde 1979, sin embargo, resulta ineludible un pequeño vistazo a la cultura política que se fue construyendo a partir de la fragmentación del país. El proceso de dominación política empieza muc</w:t>
      </w:r>
      <w:r w:rsidR="009229E9">
        <w:rPr>
          <w:rFonts w:ascii="Times New Roman" w:hAnsi="Times New Roman"/>
          <w:sz w:val="24"/>
          <w:szCs w:val="24"/>
        </w:rPr>
        <w:t xml:space="preserve">ho antes de 1979, y entender la composición de la estructura social resulta indispensable para dilucidar las actitudes y las situaciones que se desarrollaran a partir del “regreso a la democracia”. </w:t>
      </w:r>
      <w:r>
        <w:rPr>
          <w:rFonts w:ascii="Times New Roman" w:hAnsi="Times New Roman"/>
          <w:sz w:val="24"/>
          <w:szCs w:val="24"/>
        </w:rPr>
        <w:t xml:space="preserve"> </w:t>
      </w:r>
    </w:p>
    <w:p w:rsidR="00A00E75" w:rsidRPr="00616A87" w:rsidRDefault="00A00E75" w:rsidP="00616A87">
      <w:pPr>
        <w:spacing w:line="360" w:lineRule="auto"/>
        <w:jc w:val="both"/>
        <w:rPr>
          <w:rFonts w:ascii="Times New Roman" w:hAnsi="Times New Roman"/>
          <w:b/>
          <w:sz w:val="24"/>
          <w:szCs w:val="24"/>
        </w:rPr>
      </w:pPr>
    </w:p>
    <w:p w:rsidR="00A00E75" w:rsidRPr="00616A87" w:rsidRDefault="00A00E75" w:rsidP="00616A87">
      <w:pPr>
        <w:spacing w:line="360" w:lineRule="auto"/>
        <w:jc w:val="both"/>
        <w:rPr>
          <w:rFonts w:ascii="Times New Roman" w:hAnsi="Times New Roman"/>
          <w:sz w:val="24"/>
          <w:szCs w:val="24"/>
        </w:rPr>
      </w:pPr>
    </w:p>
    <w:p w:rsidR="00A00E75" w:rsidRDefault="00A00E75" w:rsidP="00C327B7">
      <w:pPr>
        <w:pStyle w:val="TtuloTesis"/>
      </w:pPr>
      <w:r w:rsidRPr="00616A87">
        <w:br w:type="page"/>
      </w:r>
    </w:p>
    <w:p w:rsidR="00A00E75" w:rsidRDefault="00A00E75" w:rsidP="00C327B7">
      <w:pPr>
        <w:pStyle w:val="TtuloTesis"/>
      </w:pPr>
    </w:p>
    <w:p w:rsidR="00A00E75" w:rsidRDefault="00A00E75" w:rsidP="00C327B7">
      <w:pPr>
        <w:pStyle w:val="TtuloTesis"/>
      </w:pPr>
    </w:p>
    <w:p w:rsidR="00A00E75" w:rsidRDefault="00A00E75" w:rsidP="00C327B7">
      <w:pPr>
        <w:pStyle w:val="TtuloTesis"/>
      </w:pPr>
    </w:p>
    <w:p w:rsidR="00A00E75" w:rsidRDefault="00A00E75" w:rsidP="00C327B7">
      <w:pPr>
        <w:pStyle w:val="TtuloTesis"/>
      </w:pPr>
      <w:bookmarkStart w:id="31" w:name="_Toc295373155"/>
      <w:r>
        <w:t>CAPÍTULO 2: PROCESO DE DOMINACIÓN POLÍTICA EN EL ECUADOR DESDE 1979 HASTA EL 2003: UNA VISIÓN ORWELLIANA.</w:t>
      </w:r>
      <w:bookmarkEnd w:id="31"/>
    </w:p>
    <w:p w:rsidR="00A00E75" w:rsidRPr="00263CC9" w:rsidRDefault="00A00E75" w:rsidP="00263CC9">
      <w:pPr>
        <w:pStyle w:val="Subttulotesis"/>
      </w:pPr>
      <w:bookmarkStart w:id="32" w:name="_Toc295373156"/>
      <w:r>
        <w:t>La jerarquía de la sociedad: masa, conflicto y dominación.</w:t>
      </w:r>
      <w:bookmarkEnd w:id="32"/>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Presentados como entes irracionales, las masas en </w:t>
      </w:r>
      <w:r w:rsidRPr="00616A87">
        <w:rPr>
          <w:rFonts w:ascii="Times New Roman" w:hAnsi="Times New Roman"/>
          <w:i/>
          <w:sz w:val="24"/>
          <w:szCs w:val="24"/>
        </w:rPr>
        <w:t>1984</w:t>
      </w:r>
      <w:r w:rsidRPr="00616A87">
        <w:rPr>
          <w:rFonts w:ascii="Times New Roman" w:hAnsi="Times New Roman"/>
          <w:sz w:val="24"/>
          <w:szCs w:val="24"/>
        </w:rPr>
        <w:t xml:space="preserve"> son una manifestación popular cuya presencia en el aparato del Estado no determina un cambio estructural; ni significa, pese a las presiones que puedan tener, una materialización de los deseos de un movimiento dentro de las políticas públicas. Al igual que en </w:t>
      </w:r>
      <w:r w:rsidRPr="00616A87">
        <w:rPr>
          <w:rFonts w:ascii="Times New Roman" w:hAnsi="Times New Roman"/>
          <w:i/>
          <w:sz w:val="24"/>
          <w:szCs w:val="24"/>
        </w:rPr>
        <w:t>1984</w:t>
      </w:r>
      <w:r w:rsidRPr="00616A87">
        <w:rPr>
          <w:rFonts w:ascii="Times New Roman" w:hAnsi="Times New Roman"/>
          <w:sz w:val="24"/>
          <w:szCs w:val="24"/>
        </w:rPr>
        <w:t xml:space="preserve">, el conflicto es un fenómeno necesario y parte desde una propuesta democrática para la creación de las instituciones. “Si las instituciones son capaces de gobernar al conflicto, es porque el conflicto precede a las instituciones, las cuales son producto de los conflictos” (Sánchez-Parga, 2010, </w:t>
      </w:r>
      <w:r>
        <w:rPr>
          <w:rFonts w:ascii="Times New Roman" w:hAnsi="Times New Roman"/>
          <w:sz w:val="24"/>
          <w:szCs w:val="24"/>
        </w:rPr>
        <w:t>p.</w:t>
      </w:r>
      <w:r w:rsidRPr="00616A87">
        <w:rPr>
          <w:rFonts w:ascii="Times New Roman" w:hAnsi="Times New Roman"/>
          <w:sz w:val="24"/>
          <w:szCs w:val="24"/>
        </w:rPr>
        <w:t>20)</w:t>
      </w:r>
      <w:r>
        <w:rPr>
          <w:rFonts w:ascii="Times New Roman" w:hAnsi="Times New Roman"/>
          <w:sz w:val="24"/>
          <w:szCs w:val="24"/>
        </w:rPr>
        <w:t>.</w:t>
      </w:r>
      <w:r w:rsidRPr="00616A87">
        <w:rPr>
          <w:rFonts w:ascii="Times New Roman" w:hAnsi="Times New Roman"/>
          <w:sz w:val="24"/>
          <w:szCs w:val="24"/>
        </w:rPr>
        <w:t xml:space="preserve"> Partiendo de esta consideración, resulta</w:t>
      </w:r>
      <w:r w:rsidR="00610FE6">
        <w:rPr>
          <w:rFonts w:ascii="Times New Roman" w:hAnsi="Times New Roman"/>
          <w:sz w:val="24"/>
          <w:szCs w:val="24"/>
        </w:rPr>
        <w:t>n</w:t>
      </w:r>
      <w:r w:rsidRPr="00616A87">
        <w:rPr>
          <w:rFonts w:ascii="Times New Roman" w:hAnsi="Times New Roman"/>
          <w:sz w:val="24"/>
          <w:szCs w:val="24"/>
        </w:rPr>
        <w:t xml:space="preserve"> acertada</w:t>
      </w:r>
      <w:r w:rsidR="00610FE6">
        <w:rPr>
          <w:rFonts w:ascii="Times New Roman" w:hAnsi="Times New Roman"/>
          <w:sz w:val="24"/>
          <w:szCs w:val="24"/>
        </w:rPr>
        <w:t>s</w:t>
      </w:r>
      <w:r w:rsidRPr="00616A87">
        <w:rPr>
          <w:rFonts w:ascii="Times New Roman" w:hAnsi="Times New Roman"/>
          <w:sz w:val="24"/>
          <w:szCs w:val="24"/>
        </w:rPr>
        <w:t xml:space="preserve"> la</w:t>
      </w:r>
      <w:r w:rsidR="00610FE6">
        <w:rPr>
          <w:rFonts w:ascii="Times New Roman" w:hAnsi="Times New Roman"/>
          <w:sz w:val="24"/>
          <w:szCs w:val="24"/>
        </w:rPr>
        <w:t>s</w:t>
      </w:r>
      <w:r w:rsidRPr="00616A87">
        <w:rPr>
          <w:rFonts w:ascii="Times New Roman" w:hAnsi="Times New Roman"/>
          <w:sz w:val="24"/>
          <w:szCs w:val="24"/>
        </w:rPr>
        <w:t xml:space="preserve"> siguiente</w:t>
      </w:r>
      <w:r w:rsidR="00610FE6">
        <w:rPr>
          <w:rFonts w:ascii="Times New Roman" w:hAnsi="Times New Roman"/>
          <w:sz w:val="24"/>
          <w:szCs w:val="24"/>
        </w:rPr>
        <w:t>s</w:t>
      </w:r>
      <w:r w:rsidRPr="00616A87">
        <w:rPr>
          <w:rFonts w:ascii="Times New Roman" w:hAnsi="Times New Roman"/>
          <w:sz w:val="24"/>
          <w:szCs w:val="24"/>
        </w:rPr>
        <w:t xml:space="preserve"> interrogante</w:t>
      </w:r>
      <w:r w:rsidR="00610FE6">
        <w:rPr>
          <w:rFonts w:ascii="Times New Roman" w:hAnsi="Times New Roman"/>
          <w:sz w:val="24"/>
          <w:szCs w:val="24"/>
        </w:rPr>
        <w:t>s</w:t>
      </w:r>
      <w:r w:rsidRPr="00616A87">
        <w:rPr>
          <w:rFonts w:ascii="Times New Roman" w:hAnsi="Times New Roman"/>
          <w:sz w:val="24"/>
          <w:szCs w:val="24"/>
        </w:rPr>
        <w:t>: ¿los paros nacionales y las movilizaciones llevaron a cambios estructurales dentro del aparato del Estado? ¿Hasta qué punto los procesos de reivindicación social fueron parte del andamiaje público y consolidado dentro de la institucionalidad?</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Las características de los conflictos, dentro de la sociedad ecuatoriana, están determinados por su baja intensidad y la falta de “un conflicto central estructural y estructurante del resto de la conflictividad” (Sánchez-Parga, 2010, </w:t>
      </w:r>
      <w:r>
        <w:rPr>
          <w:rFonts w:ascii="Times New Roman" w:hAnsi="Times New Roman"/>
          <w:sz w:val="24"/>
          <w:szCs w:val="24"/>
        </w:rPr>
        <w:t>p.</w:t>
      </w:r>
      <w:r w:rsidRPr="00616A87">
        <w:rPr>
          <w:rFonts w:ascii="Times New Roman" w:hAnsi="Times New Roman"/>
          <w:sz w:val="24"/>
          <w:szCs w:val="24"/>
        </w:rPr>
        <w:t xml:space="preserve">15). No ha existido la profundidad necesaria dentro de los conflictos para que las propuestas de estos, cuando las hay, puedan ser expresadas y consolidadas en el Estado. El fraccionamiento de los grupos sociales, su heterogeneidad y la falta de consensos </w:t>
      </w:r>
      <w:r w:rsidRPr="00616A87">
        <w:rPr>
          <w:rFonts w:ascii="Times New Roman" w:hAnsi="Times New Roman"/>
          <w:sz w:val="24"/>
          <w:szCs w:val="24"/>
        </w:rPr>
        <w:lastRenderedPageBreak/>
        <w:t xml:space="preserve">para crear propuestas viables dentro la estructura social, económica o política de un gobierno terminan por restarle validez a estas expresiones colectivas.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El resultante es una gran cantidad de paros y movilizaciones pero una muy baja efectividad de cada uno de ellos. Es precisamente por esa ligereza con la que los movimientos sociales han tomado estos conflictos, que las reacciones del colectivo social hacia ellos son de cotidianidad, más que de la efectiva necesidad de institucionalizar estas manifestaciones. Ante esta realidad, los sectores dominantes no ven la necesidad de resolver el conflicto, basta con aplazarlos, “y por ellos se vuelven reincidentes y acumulativos” (Sánchez-Parga, 2010, </w:t>
      </w:r>
      <w:r>
        <w:rPr>
          <w:rFonts w:ascii="Times New Roman" w:hAnsi="Times New Roman"/>
          <w:sz w:val="24"/>
          <w:szCs w:val="24"/>
        </w:rPr>
        <w:t>p.</w:t>
      </w:r>
      <w:r w:rsidRPr="00616A87">
        <w:rPr>
          <w:rFonts w:ascii="Times New Roman" w:hAnsi="Times New Roman"/>
          <w:sz w:val="24"/>
          <w:szCs w:val="24"/>
        </w:rPr>
        <w:t xml:space="preserve">16). No por eso los conflictos dejan de suceder. Únicamente pierden su efectividad, y sin esa efectividad, no son más que expresiones violentas de una sociedad, que pueden ser manejados de la misma manera por los gobiernos y los grupos de poder.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A cuenta de esto, la manipulación de las expresiones sociales ha sido evidente. Los movimientos sociales pierden su legitimidad ante la opinión pública cuando sus reivindicaciones no trascienden a un plano institucional. Este proceso necesario para la consolidación de una manifestación pública, para la democratización de estas expresiones sectoriales, se desvanece ante la impotencia y, en la mayoría de las veces, en la completa falta de voluntad política de traducir estas acciones en reales instituciones por parte de los grupos de dominación. Actitud que responde a una obvia necesidad de no reconocer estos clamores, sino aplazarlos. La politización de los grupos sociales, lo cual “politiza cada vez más a la misma </w:t>
      </w:r>
      <w:r w:rsidRPr="00616A87">
        <w:rPr>
          <w:rFonts w:ascii="Times New Roman" w:hAnsi="Times New Roman"/>
          <w:i/>
          <w:sz w:val="24"/>
          <w:szCs w:val="24"/>
        </w:rPr>
        <w:t xml:space="preserve">sociedad civil, </w:t>
      </w:r>
      <w:r w:rsidRPr="00616A87">
        <w:rPr>
          <w:rFonts w:ascii="Times New Roman" w:hAnsi="Times New Roman"/>
          <w:sz w:val="24"/>
          <w:szCs w:val="24"/>
        </w:rPr>
        <w:t xml:space="preserve">al convertirla en la arena de un enfrentamiento político contra los gobiernos y el Estado” (Sánchez-Parga, 2010, </w:t>
      </w:r>
      <w:r>
        <w:rPr>
          <w:rFonts w:ascii="Times New Roman" w:hAnsi="Times New Roman"/>
          <w:sz w:val="24"/>
          <w:szCs w:val="24"/>
        </w:rPr>
        <w:t>p.</w:t>
      </w:r>
      <w:r w:rsidRPr="00616A87">
        <w:rPr>
          <w:rFonts w:ascii="Times New Roman" w:hAnsi="Times New Roman"/>
          <w:sz w:val="24"/>
          <w:szCs w:val="24"/>
        </w:rPr>
        <w:t xml:space="preserve">57), los permeabiliza y los hace susceptibles a las manipulaciones de los las élites dominantes. Estas manipulaciones servirán, como lo explicaría Orwell, para aliar a las masas a los grupos dominantes, utilizarlas y, eventualmente, “mandarla (…) de regreso a su posición de servidumbre” (Orwell, 1983, </w:t>
      </w:r>
      <w:r>
        <w:rPr>
          <w:rFonts w:ascii="Times New Roman" w:hAnsi="Times New Roman"/>
          <w:sz w:val="24"/>
          <w:szCs w:val="24"/>
        </w:rPr>
        <w:t>p.</w:t>
      </w:r>
      <w:r w:rsidRPr="00616A87">
        <w:rPr>
          <w:rFonts w:ascii="Times New Roman" w:hAnsi="Times New Roman"/>
          <w:sz w:val="24"/>
          <w:szCs w:val="24"/>
        </w:rPr>
        <w:t xml:space="preserve">166). </w:t>
      </w:r>
    </w:p>
    <w:p w:rsidR="00A00E75"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La dominación sobre las masas, mencionadas en el capítulo primero, no se da a través de la limitación de sus facultades. Sea el sector donde haya sido formada la concepción ideológica o política detrás de una movilización, esta gradualmente </w:t>
      </w:r>
      <w:r w:rsidRPr="00616A87">
        <w:rPr>
          <w:rFonts w:ascii="Times New Roman" w:hAnsi="Times New Roman"/>
          <w:sz w:val="24"/>
          <w:szCs w:val="24"/>
        </w:rPr>
        <w:lastRenderedPageBreak/>
        <w:t xml:space="preserve">será adoptada como propia por las masas. “(Se) puede comenzar movilizando un sector determinado de las sociedad, para terminar movilizando otros sectores sociales muy diferentes” (Sánchez-Parga, 2010, </w:t>
      </w:r>
      <w:r>
        <w:rPr>
          <w:rFonts w:ascii="Times New Roman" w:hAnsi="Times New Roman"/>
          <w:sz w:val="24"/>
          <w:szCs w:val="24"/>
        </w:rPr>
        <w:t>p.</w:t>
      </w:r>
      <w:r w:rsidRPr="00616A87">
        <w:rPr>
          <w:rFonts w:ascii="Times New Roman" w:hAnsi="Times New Roman"/>
          <w:sz w:val="24"/>
          <w:szCs w:val="24"/>
        </w:rPr>
        <w:t>67). Partiendo del supuesto orwelliano de considerar a las masas como entes irracionales, también se vuelven en entes cuyo dinamismo res</w:t>
      </w:r>
      <w:r>
        <w:rPr>
          <w:rFonts w:ascii="Times New Roman" w:hAnsi="Times New Roman"/>
          <w:sz w:val="24"/>
          <w:szCs w:val="24"/>
        </w:rPr>
        <w:t xml:space="preserve">ponde a realidad coyunturales. </w:t>
      </w:r>
    </w:p>
    <w:p w:rsidR="00A00E75" w:rsidRDefault="00A00E75" w:rsidP="00FC63BE">
      <w:pPr>
        <w:spacing w:line="360" w:lineRule="auto"/>
        <w:ind w:left="720" w:right="720"/>
        <w:jc w:val="both"/>
        <w:rPr>
          <w:rFonts w:ascii="Times New Roman" w:hAnsi="Times New Roman"/>
          <w:sz w:val="24"/>
          <w:szCs w:val="24"/>
        </w:rPr>
      </w:pPr>
      <w:r w:rsidRPr="00616A87">
        <w:rPr>
          <w:rFonts w:ascii="Times New Roman" w:hAnsi="Times New Roman"/>
          <w:sz w:val="24"/>
          <w:szCs w:val="24"/>
        </w:rPr>
        <w:t xml:space="preserve">Incluso cuando </w:t>
      </w:r>
      <w:r>
        <w:rPr>
          <w:rFonts w:ascii="Times New Roman" w:hAnsi="Times New Roman"/>
          <w:sz w:val="24"/>
          <w:szCs w:val="24"/>
        </w:rPr>
        <w:t>(</w:t>
      </w:r>
      <w:r w:rsidRPr="00616A87">
        <w:rPr>
          <w:rFonts w:ascii="Times New Roman" w:hAnsi="Times New Roman"/>
          <w:sz w:val="24"/>
          <w:szCs w:val="24"/>
        </w:rPr>
        <w:t xml:space="preserve">la </w:t>
      </w:r>
      <w:r w:rsidRPr="00616A87">
        <w:rPr>
          <w:rFonts w:ascii="Times New Roman" w:hAnsi="Times New Roman"/>
          <w:i/>
          <w:sz w:val="24"/>
          <w:szCs w:val="24"/>
        </w:rPr>
        <w:t>prole</w:t>
      </w:r>
      <w:r>
        <w:rPr>
          <w:rFonts w:ascii="Times New Roman" w:hAnsi="Times New Roman"/>
          <w:sz w:val="24"/>
          <w:szCs w:val="24"/>
        </w:rPr>
        <w:t>)</w:t>
      </w:r>
      <w:r w:rsidRPr="00616A87">
        <w:rPr>
          <w:rFonts w:ascii="Times New Roman" w:hAnsi="Times New Roman"/>
          <w:sz w:val="24"/>
          <w:szCs w:val="24"/>
        </w:rPr>
        <w:t xml:space="preserve"> se volvía descontenta, como a veces los hacían, este descontento no llevaba a ningún lado, siendo sin ideas generales, solo pueden enfocarse en dolencias específicas e insignificantes. Los grandes males inevitableme</w:t>
      </w:r>
      <w:r>
        <w:rPr>
          <w:rFonts w:ascii="Times New Roman" w:hAnsi="Times New Roman"/>
          <w:sz w:val="24"/>
          <w:szCs w:val="24"/>
        </w:rPr>
        <w:t>nte escapaban de su realización.</w:t>
      </w:r>
      <w:r w:rsidRPr="00616A87">
        <w:rPr>
          <w:rFonts w:ascii="Times New Roman" w:hAnsi="Times New Roman"/>
          <w:sz w:val="24"/>
          <w:szCs w:val="24"/>
        </w:rPr>
        <w:t xml:space="preserve"> (Orwell, 1983, </w:t>
      </w:r>
      <w:r>
        <w:rPr>
          <w:rFonts w:ascii="Times New Roman" w:hAnsi="Times New Roman"/>
          <w:sz w:val="24"/>
          <w:szCs w:val="24"/>
        </w:rPr>
        <w:t>p.</w:t>
      </w:r>
      <w:r w:rsidRPr="00616A87">
        <w:rPr>
          <w:rFonts w:ascii="Times New Roman" w:hAnsi="Times New Roman"/>
          <w:sz w:val="24"/>
          <w:szCs w:val="24"/>
        </w:rPr>
        <w:t>171)</w:t>
      </w:r>
    </w:p>
    <w:p w:rsidR="00A00E75" w:rsidRPr="00616A87" w:rsidRDefault="00A00E75" w:rsidP="00263CC9">
      <w:pPr>
        <w:pStyle w:val="Subttulotesis"/>
      </w:pPr>
      <w:bookmarkStart w:id="33" w:name="_Toc295373157"/>
      <w:r>
        <w:t>Eliminación sistemática de la clase media como proceso de dominación.</w:t>
      </w:r>
      <w:bookmarkEnd w:id="33"/>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A</w:t>
      </w:r>
      <w:r>
        <w:rPr>
          <w:rFonts w:ascii="Times New Roman" w:hAnsi="Times New Roman"/>
          <w:sz w:val="24"/>
          <w:szCs w:val="24"/>
        </w:rPr>
        <w:t xml:space="preserve"> lo expuesto en el título anterior</w:t>
      </w:r>
      <w:r w:rsidRPr="00616A87">
        <w:rPr>
          <w:rFonts w:ascii="Times New Roman" w:hAnsi="Times New Roman"/>
          <w:sz w:val="24"/>
          <w:szCs w:val="24"/>
        </w:rPr>
        <w:t xml:space="preserve"> se suma la sistemática reducción de una clase media. Orwell plantea que una de las razones para que una clase dominante caiga del poder es “con la formación de una clase Media fuerte y descontenta” (Orwell, 1983, </w:t>
      </w:r>
      <w:r>
        <w:rPr>
          <w:rFonts w:ascii="Times New Roman" w:hAnsi="Times New Roman"/>
          <w:sz w:val="24"/>
          <w:szCs w:val="24"/>
        </w:rPr>
        <w:t>p.</w:t>
      </w:r>
      <w:r w:rsidRPr="00616A87">
        <w:rPr>
          <w:rFonts w:ascii="Times New Roman" w:hAnsi="Times New Roman"/>
          <w:sz w:val="24"/>
          <w:szCs w:val="24"/>
        </w:rPr>
        <w:t xml:space="preserve">170). En el Ecuador hemos construido una clase media descontenta. Una clase media que expresa su insatisfacción pero que no halla los medios para hacer efectiva sus propuestas. El Estado nunca ha establecido los mecanismos de participación que incluyen a los sectores fuera del campo político, dentro de la construcción colectiva del propio Estado. Las demandas sociales y reivindicativas de la clase media están acompañadas por una reducida capacidad de acción política. Estas condiciones “la vuelve incapaz de atenuar o amortiguar los conflictos extremos entre las minorías cada vez más reducidas y fuertes de la sociedad y las mayorías cada vez más pobres y fragilizadas” (Sánchez-Parga, 2010, </w:t>
      </w:r>
      <w:r>
        <w:rPr>
          <w:rFonts w:ascii="Times New Roman" w:hAnsi="Times New Roman"/>
          <w:sz w:val="24"/>
          <w:szCs w:val="24"/>
        </w:rPr>
        <w:t>p.</w:t>
      </w:r>
      <w:r w:rsidRPr="00616A87">
        <w:rPr>
          <w:rFonts w:ascii="Times New Roman" w:hAnsi="Times New Roman"/>
          <w:sz w:val="24"/>
          <w:szCs w:val="24"/>
        </w:rPr>
        <w:t>32).</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La escasa participación de la clase media dentro del terreno público se ha conjugado con su reducción para extender la dominación política de los grupos dominantes en el Ecuador. Esta escasa participación se dio, en buena parte, por la reducida representación de la clase media dentro del plano demográfico. Situación a la que se puede llegar únicamente a través de una política económica deficiente, </w:t>
      </w:r>
      <w:r w:rsidRPr="00616A87">
        <w:rPr>
          <w:rFonts w:ascii="Times New Roman" w:hAnsi="Times New Roman"/>
          <w:sz w:val="24"/>
          <w:szCs w:val="24"/>
        </w:rPr>
        <w:lastRenderedPageBreak/>
        <w:t xml:space="preserve">excluyente y enfocada a satisfacer las demandas de las oligarquías y los grupos históricamente dominantes. El proceso iniciado en la “década perdida” de los 80 es determinado por las siguientes características: </w:t>
      </w:r>
    </w:p>
    <w:p w:rsidR="00A00E75" w:rsidRPr="00616A87" w:rsidRDefault="00A00E75" w:rsidP="009128DD">
      <w:pPr>
        <w:spacing w:line="360" w:lineRule="auto"/>
        <w:ind w:left="720" w:right="720"/>
        <w:jc w:val="both"/>
        <w:rPr>
          <w:rFonts w:ascii="Times New Roman" w:hAnsi="Times New Roman"/>
          <w:sz w:val="24"/>
          <w:szCs w:val="24"/>
        </w:rPr>
      </w:pPr>
      <w:r w:rsidRPr="00616A87">
        <w:rPr>
          <w:rFonts w:ascii="Times New Roman" w:hAnsi="Times New Roman"/>
          <w:sz w:val="24"/>
          <w:szCs w:val="24"/>
        </w:rPr>
        <w:t xml:space="preserve">En primer lugar, las desigualdades sociales eran tan radicales e irreductibles, que impidiendo en mayor o menor escala toda posible distribución de riqueza, bloquearon y frustraron las demandas de más y mejor participación social protagonizadas por los movimientos sociales; en segundo lugar, la ausencia de una sociedad política, de un sistema de partidos y de un Congreso, suficientemente fuertes e independientes de las fuerzas e intereses de las clases dominantes, no sometidos a las oligarquías dominantes, hizo imposible una real representación política de las reivindicaciones y conflictos sociales; en tercer lugar, tampoco los gobiernos de la “transición democrática” ni el Estado en su organización político administrativa fueron capaces de responder a las reivindicaciones expresadas en los conflictos y protagonizadas por los “movimientos sociales”, ni mucho menos de implementar políticas redistributivas y programas sociales, que atenuaran dichos conflictos y satisficieran en parte dichas reivindicaciones. </w:t>
      </w:r>
      <w:r w:rsidRPr="00616A87">
        <w:rPr>
          <w:rFonts w:ascii="Times New Roman" w:hAnsi="Times New Roman"/>
          <w:noProof/>
          <w:sz w:val="24"/>
          <w:szCs w:val="24"/>
        </w:rPr>
        <w:t>(Sánchez-Parga, 2010)</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Existe un proceso histórico en donde las clases dominantes </w:t>
      </w:r>
      <w:r w:rsidR="00610FE6">
        <w:rPr>
          <w:rFonts w:ascii="Times New Roman" w:hAnsi="Times New Roman"/>
          <w:sz w:val="24"/>
          <w:szCs w:val="24"/>
        </w:rPr>
        <w:t>supieron</w:t>
      </w:r>
      <w:r w:rsidRPr="00616A87">
        <w:rPr>
          <w:rFonts w:ascii="Times New Roman" w:hAnsi="Times New Roman"/>
          <w:sz w:val="24"/>
          <w:szCs w:val="24"/>
        </w:rPr>
        <w:t xml:space="preserve"> aprovecharse de las crisis económicas para poder extender su participación dentro de la toma de decisiones en desmedro de la capacidad participativa de la clase media. Eventualmente, la clase media ecuatoriana se tecnocratizó y fue perdiendo cualquier incidencia política y social que pudo haber tenido en el pasado. Sin esa clase media capaz de debatir efectivamente las tesis de dominación, no tanto por la falta de argumento pero si por la falta de medios y poder político, fue la clase baja la que sistemáticamente fue utilizada para desprestigiar al movimiento social e imponer reivindicaciones a partir de la violencia, es decir, deslegitimizando al movimiento social.  </w:t>
      </w:r>
    </w:p>
    <w:p w:rsidR="00A00E75"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lastRenderedPageBreak/>
        <w:t xml:space="preserve">Si tomamos en cuenta los procesos económicos nacionales y globales y las consecuencias de estos procesos, será evidente la desaparición </w:t>
      </w:r>
      <w:r w:rsidR="00D3221D">
        <w:rPr>
          <w:rFonts w:ascii="Times New Roman" w:hAnsi="Times New Roman"/>
          <w:sz w:val="24"/>
          <w:szCs w:val="24"/>
        </w:rPr>
        <w:t>metódica</w:t>
      </w:r>
      <w:r w:rsidR="00D3221D" w:rsidRPr="00616A87">
        <w:rPr>
          <w:rFonts w:ascii="Times New Roman" w:hAnsi="Times New Roman"/>
          <w:sz w:val="24"/>
          <w:szCs w:val="24"/>
        </w:rPr>
        <w:t xml:space="preserve"> </w:t>
      </w:r>
      <w:r w:rsidRPr="00616A87">
        <w:rPr>
          <w:rFonts w:ascii="Times New Roman" w:hAnsi="Times New Roman"/>
          <w:sz w:val="24"/>
          <w:szCs w:val="24"/>
        </w:rPr>
        <w:t xml:space="preserve">de la clase media y el agrandamiento de la brecha entre los extremos. </w:t>
      </w:r>
    </w:p>
    <w:p w:rsidR="00A00E75" w:rsidRDefault="00A00E75" w:rsidP="00263CC9">
      <w:pPr>
        <w:spacing w:line="360" w:lineRule="auto"/>
        <w:ind w:left="720" w:right="720"/>
        <w:jc w:val="both"/>
        <w:rPr>
          <w:rFonts w:ascii="Times New Roman" w:hAnsi="Times New Roman"/>
          <w:sz w:val="24"/>
          <w:szCs w:val="24"/>
        </w:rPr>
      </w:pPr>
      <w:r w:rsidRPr="00616A87">
        <w:rPr>
          <w:rFonts w:ascii="Times New Roman" w:hAnsi="Times New Roman"/>
          <w:sz w:val="24"/>
          <w:szCs w:val="24"/>
        </w:rPr>
        <w:t>Mientras que el PIB llega a duplicarse entre 1980 y 1998, simultáneamente se constata un empobrecimiento progresivo en la sociedad, (…) en la misma época la pobreza habría pasado del 55.9% de la población (1995) al 60.8% (2001); y los niveles de indigencia subieron en</w:t>
      </w:r>
      <w:r>
        <w:rPr>
          <w:rFonts w:ascii="Times New Roman" w:hAnsi="Times New Roman"/>
          <w:sz w:val="24"/>
          <w:szCs w:val="24"/>
        </w:rPr>
        <w:t xml:space="preserve"> dicho período del 20% al 33.8%</w:t>
      </w:r>
      <w:r w:rsidRPr="00616A87">
        <w:rPr>
          <w:rFonts w:ascii="Times New Roman" w:hAnsi="Times New Roman"/>
          <w:sz w:val="24"/>
          <w:szCs w:val="24"/>
        </w:rPr>
        <w:t xml:space="preserve">. </w:t>
      </w:r>
      <w:r>
        <w:rPr>
          <w:rFonts w:ascii="Times New Roman" w:hAnsi="Times New Roman"/>
          <w:noProof/>
          <w:sz w:val="24"/>
          <w:szCs w:val="24"/>
        </w:rPr>
        <w:t>(Sánchez-Parga, 2010, p</w:t>
      </w:r>
      <w:r>
        <w:rPr>
          <w:rFonts w:ascii="Times New Roman" w:hAnsi="Times New Roman"/>
          <w:sz w:val="24"/>
          <w:szCs w:val="24"/>
        </w:rPr>
        <w:t>.</w:t>
      </w:r>
      <w:r w:rsidRPr="00616A87">
        <w:rPr>
          <w:rFonts w:ascii="Times New Roman" w:hAnsi="Times New Roman"/>
          <w:sz w:val="24"/>
          <w:szCs w:val="24"/>
        </w:rPr>
        <w:t xml:space="preserve">72)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En el Cuadro 1 y 2, se puede ver la evolución del PIB y del Coeficiente GINI, graficando como la realidad no es una falta de la riqueza, sino una mala distribución de la misma. Esto se puede complementar con el Cuadro 3, evidenciando que se ha complementado el olvido de la sociedad por una falta de voluntad política. Lo que resulta importante, según Orwell, es evitar tener estándares de comparación. La inversión del PIB en servicios básicos ha bajado en detrimento del pago de la deuda externa. La situación de las clases más pobres no ha cambiado. (Ver anexos). Por lo que, como veremos, la necesidad de acabar con la clase media, se vuelve una política, voluntaria o involuntaria, </w:t>
      </w:r>
      <w:r w:rsidR="00C16FD0">
        <w:rPr>
          <w:rFonts w:ascii="Times New Roman" w:hAnsi="Times New Roman"/>
          <w:sz w:val="24"/>
          <w:szCs w:val="24"/>
        </w:rPr>
        <w:t>constante</w:t>
      </w:r>
      <w:r w:rsidR="00C16FD0" w:rsidRPr="00616A87">
        <w:rPr>
          <w:rFonts w:ascii="Times New Roman" w:hAnsi="Times New Roman"/>
          <w:sz w:val="24"/>
          <w:szCs w:val="24"/>
        </w:rPr>
        <w:t xml:space="preserve"> </w:t>
      </w:r>
      <w:r w:rsidRPr="00616A87">
        <w:rPr>
          <w:rFonts w:ascii="Times New Roman" w:hAnsi="Times New Roman"/>
          <w:sz w:val="24"/>
          <w:szCs w:val="24"/>
        </w:rPr>
        <w:t xml:space="preserve">de concentración de la riqueza.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La dependencia petrolera del Ecuador iniciada en los set</w:t>
      </w:r>
      <w:r w:rsidR="00C013A8">
        <w:rPr>
          <w:rFonts w:ascii="Times New Roman" w:hAnsi="Times New Roman"/>
          <w:sz w:val="24"/>
          <w:szCs w:val="24"/>
        </w:rPr>
        <w:t>enta, sirvió como el primer cauc</w:t>
      </w:r>
      <w:r w:rsidRPr="00616A87">
        <w:rPr>
          <w:rFonts w:ascii="Times New Roman" w:hAnsi="Times New Roman"/>
          <w:sz w:val="24"/>
          <w:szCs w:val="24"/>
        </w:rPr>
        <w:t xml:space="preserve">e para la debacle económica de los ochenta y las posteriores ramificaciones de la misma. Un crudo que llegó a los $35 en 1980, empezó desde entonces un deterioro sostenido hasta llegar a menos de $9 por barril en julio de 1986. El crecimiento económico que se experimentó en los años setenta, “cubierto por una burbuja financiera y especulativa, terminó en forma abrupta y con él el tiempo para la formulación relativamente fácil de correctivos en la política económica” (Acosta, 2002, </w:t>
      </w:r>
      <w:r>
        <w:rPr>
          <w:rFonts w:ascii="Times New Roman" w:hAnsi="Times New Roman"/>
          <w:sz w:val="24"/>
          <w:szCs w:val="24"/>
        </w:rPr>
        <w:t>p.</w:t>
      </w:r>
      <w:r w:rsidRPr="00616A87">
        <w:rPr>
          <w:rFonts w:ascii="Times New Roman" w:hAnsi="Times New Roman"/>
          <w:sz w:val="24"/>
          <w:szCs w:val="24"/>
        </w:rPr>
        <w:t xml:space="preserve">140). En el Ecuador nos convencimos de la posibilidad de remediar todo con el petróleo. Lo que inicialmente se pensó como una falta de liquidez, terminó por sumir en crisis al país, cuando el país rector de la política económica mundial, Estados Unidos, se empeñaron en “reorganizar el mundo para adecuarlo a los cambios de requería la nueva revolución tecnológica </w:t>
      </w:r>
      <w:r w:rsidRPr="00616A87">
        <w:rPr>
          <w:rFonts w:ascii="Times New Roman" w:hAnsi="Times New Roman"/>
          <w:sz w:val="24"/>
          <w:szCs w:val="24"/>
        </w:rPr>
        <w:lastRenderedPageBreak/>
        <w:t xml:space="preserve">en marcha y, por supuesto, para su beneficio”. (Acosta, 2002, </w:t>
      </w:r>
      <w:r>
        <w:rPr>
          <w:rFonts w:ascii="Times New Roman" w:hAnsi="Times New Roman"/>
          <w:sz w:val="24"/>
          <w:szCs w:val="24"/>
        </w:rPr>
        <w:t>p.</w:t>
      </w:r>
      <w:r w:rsidRPr="00616A87">
        <w:rPr>
          <w:rFonts w:ascii="Times New Roman" w:hAnsi="Times New Roman"/>
          <w:sz w:val="24"/>
          <w:szCs w:val="24"/>
        </w:rPr>
        <w:t xml:space="preserve">140) Esto de aquí complementado por las nuevas políticas reaganianas, que elevaron las tasa fluctuantes de entre 4% y 6%, hasta el 20%. </w:t>
      </w:r>
    </w:p>
    <w:p w:rsidR="00A00E75" w:rsidRPr="00616A87" w:rsidRDefault="00A00E75" w:rsidP="009128DD">
      <w:pPr>
        <w:spacing w:line="360" w:lineRule="auto"/>
        <w:ind w:left="720" w:right="720"/>
        <w:jc w:val="both"/>
        <w:rPr>
          <w:rFonts w:ascii="Times New Roman" w:hAnsi="Times New Roman"/>
          <w:sz w:val="24"/>
          <w:szCs w:val="24"/>
        </w:rPr>
      </w:pPr>
      <w:r w:rsidRPr="00616A87">
        <w:rPr>
          <w:rFonts w:ascii="Times New Roman" w:hAnsi="Times New Roman"/>
          <w:sz w:val="24"/>
          <w:szCs w:val="24"/>
        </w:rPr>
        <w:t xml:space="preserve">Además del fenómeno global de empobrecimiento, se inició un proceso de polarización de la sociedad y de deterioro en la distribución del ingreso. El salario mínimo vital en términos reales representó en 1990 apenas un 24% del de 1981. La crisis del empleo urbano se agravó y cambió de naturaleza, al dejar de ser determinada solamente por un crecimiento muy rápido de la oferta laboral urbana, y pasar a ser producto también de la falta de dinamismo de la demanda laboral. La estructura del desempleo igualmente se transformó, al incorporar no solamente a jóvenes y grupos marginales, sino también a jefes de hogar, mientras que las condiciones de empleo se deterioraron, aumentando significativamente el subempleo. (Correa, 2009, </w:t>
      </w:r>
      <w:r>
        <w:rPr>
          <w:rFonts w:ascii="Times New Roman" w:hAnsi="Times New Roman"/>
          <w:sz w:val="24"/>
          <w:szCs w:val="24"/>
        </w:rPr>
        <w:t>p.</w:t>
      </w:r>
      <w:r w:rsidRPr="00616A87">
        <w:rPr>
          <w:rFonts w:ascii="Times New Roman" w:hAnsi="Times New Roman"/>
          <w:sz w:val="24"/>
          <w:szCs w:val="24"/>
        </w:rPr>
        <w:t>30)</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Cesaron entonces dos fuentes fundamentales de ingreso para el Ecuador, los ingresos petroleros y el acceso al crédito internacional. Como consecuencia de las devaluaciones y las altas tasas de interés internacionales, la situación del sector privado endeudado en dólares se volvió insostenible, por lo que </w:t>
      </w:r>
      <w:r>
        <w:rPr>
          <w:rFonts w:ascii="Times New Roman" w:hAnsi="Times New Roman"/>
          <w:sz w:val="24"/>
          <w:szCs w:val="24"/>
        </w:rPr>
        <w:t>en 1983 el Presidentes Osvaldo H</w:t>
      </w:r>
      <w:r w:rsidRPr="00616A87">
        <w:rPr>
          <w:rFonts w:ascii="Times New Roman" w:hAnsi="Times New Roman"/>
          <w:sz w:val="24"/>
          <w:szCs w:val="24"/>
        </w:rPr>
        <w:t>urtado resolvió que el Estado asumiría la deuda externa privada con la banca internacional y se invoca el retorno del capital externo para lo cual se reforma la Ley de Hidrocarburos</w:t>
      </w:r>
      <w:r w:rsidR="00C16FD0">
        <w:rPr>
          <w:rFonts w:ascii="Times New Roman" w:hAnsi="Times New Roman"/>
          <w:sz w:val="24"/>
          <w:szCs w:val="24"/>
        </w:rPr>
        <w:t xml:space="preserve"> (Arboleda y Borja, 1985, p. 17)</w:t>
      </w:r>
      <w:r w:rsidRPr="00616A87">
        <w:rPr>
          <w:rFonts w:ascii="Times New Roman" w:hAnsi="Times New Roman"/>
          <w:sz w:val="24"/>
          <w:szCs w:val="24"/>
        </w:rPr>
        <w:t xml:space="preserve">. En ese mismo año, el FMI impone sus reglas en el plan de estabilización económica, consecuencia de la crisis producida por la Corriente del Niño, la inflación y la imposibilidad de Osvaldo Hurtado de retenerla. Se ponen en marcha el plan de sucretización de la deuda.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La irresponsabilidad frente a esta operación</w:t>
      </w:r>
      <w:r w:rsidRPr="00616A87">
        <w:rPr>
          <w:rStyle w:val="Refdenotaalpie"/>
          <w:rFonts w:ascii="Times New Roman" w:hAnsi="Times New Roman"/>
          <w:sz w:val="24"/>
          <w:szCs w:val="24"/>
        </w:rPr>
        <w:footnoteReference w:id="24"/>
      </w:r>
      <w:r w:rsidRPr="00616A87">
        <w:rPr>
          <w:rFonts w:ascii="Times New Roman" w:hAnsi="Times New Roman"/>
          <w:sz w:val="24"/>
          <w:szCs w:val="24"/>
        </w:rPr>
        <w:t xml:space="preserve">, hizo que “los beneficiados de la sucretización sean bancos del exterior matrices o vinculados con oficinas </w:t>
      </w:r>
      <w:r w:rsidRPr="00616A87">
        <w:rPr>
          <w:rFonts w:ascii="Times New Roman" w:hAnsi="Times New Roman"/>
          <w:sz w:val="24"/>
          <w:szCs w:val="24"/>
        </w:rPr>
        <w:lastRenderedPageBreak/>
        <w:t xml:space="preserve">bancarias de Ecuador, así como empresas extranjeras o sus subsidiarias” (Correa, 2009, </w:t>
      </w:r>
      <w:r>
        <w:rPr>
          <w:rFonts w:ascii="Times New Roman" w:hAnsi="Times New Roman"/>
          <w:sz w:val="24"/>
          <w:szCs w:val="24"/>
        </w:rPr>
        <w:t>p.</w:t>
      </w:r>
      <w:r w:rsidRPr="00616A87">
        <w:rPr>
          <w:rFonts w:ascii="Times New Roman" w:hAnsi="Times New Roman"/>
          <w:sz w:val="24"/>
          <w:szCs w:val="24"/>
        </w:rPr>
        <w:t xml:space="preserve">32) La presión viene de la situación económica interna y los grupos de poder, que Osvaldo Hurtado no pudo manejar al no contar con un sólido respaldo político ni de las élites dominantes. Esto a pesar de haber convertido al Estado en “empresa de reparaciones de los grupos económico más poderosos” (Acosta, 2002, </w:t>
      </w:r>
      <w:r>
        <w:rPr>
          <w:rFonts w:ascii="Times New Roman" w:hAnsi="Times New Roman"/>
          <w:sz w:val="24"/>
          <w:szCs w:val="24"/>
        </w:rPr>
        <w:t>p.</w:t>
      </w:r>
      <w:r w:rsidRPr="00616A87">
        <w:rPr>
          <w:rFonts w:ascii="Times New Roman" w:hAnsi="Times New Roman"/>
          <w:sz w:val="24"/>
          <w:szCs w:val="24"/>
        </w:rPr>
        <w:t xml:space="preserve">171)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La gestión del presidente León Febres Cordero se caracterizó por la coherencia de sus medidas económicas y la agresividad con que fueron implementadas. El gobierno anterior preparó el terreno para una administración determinada de la crisis pero restringiendo a los sectores más desfavorecidos de la sociedad; manejo económico que fue sometido a la presiones del Fondo Monetario Internacional</w:t>
      </w:r>
      <w:r w:rsidR="00C16FD0">
        <w:rPr>
          <w:rFonts w:ascii="Times New Roman" w:hAnsi="Times New Roman"/>
          <w:sz w:val="24"/>
          <w:szCs w:val="24"/>
        </w:rPr>
        <w:t xml:space="preserve"> (FMI)</w:t>
      </w:r>
      <w:r w:rsidRPr="00616A87">
        <w:rPr>
          <w:rFonts w:ascii="Times New Roman" w:hAnsi="Times New Roman"/>
          <w:sz w:val="24"/>
          <w:szCs w:val="24"/>
        </w:rPr>
        <w:t xml:space="preserve">. Sin embargo, el programa neoliberal de gobierno planteado por León Febres Cordero “se quedó en una serie de medidas inconclusas, debido a que éstas afectaba en última instancia al grupo de poder al que representaba, donde se encontraban los sectores ecuatorianos más tradicionales y grupos empresariales con fuertes intereses corporativos en el Estado” (Sánchez, 2008, </w:t>
      </w:r>
      <w:r>
        <w:rPr>
          <w:rFonts w:ascii="Times New Roman" w:hAnsi="Times New Roman"/>
          <w:sz w:val="24"/>
          <w:szCs w:val="24"/>
        </w:rPr>
        <w:t>p.</w:t>
      </w:r>
      <w:r w:rsidRPr="00616A87">
        <w:rPr>
          <w:rFonts w:ascii="Times New Roman" w:hAnsi="Times New Roman"/>
          <w:sz w:val="24"/>
          <w:szCs w:val="24"/>
        </w:rPr>
        <w:t xml:space="preserve">130).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Dentro de las políticas económicas planteadas por el presidente Febres-Cordero, alineadas claramente al proyecto Reagan, se inició con la institución de precios de sustentación, que incentivaron y reactivaron la producción agrícola a través de la imposición de unos precios mínimos (pero no precios máximos). Pese a haber declarado ser un partidista de la economía social de mercado, acató a cabalidad las políticas económicas del FMI. Yendo en contra del régimen de tratamiento de los capitales externos acordados en el Pacto Andino, se estimuló la inversión extranjera acompañado de una serie de medidas arancelarias que premiaban al importador. Para dar liquidez a las instituciones bancarias se incrementaron las tasas de interés, concentrándose en los recursos de ahorro nacional. Mejorar también las condiciones de pago de la deuda privada sucretizada, lo que permitió que los tenedores de estos papeles tuvieran ganancias exorbitantes. “La acción gubernamental ha ido generando simpatías y críticas, dialéctica que a primera </w:t>
      </w:r>
      <w:r w:rsidRPr="00616A87">
        <w:rPr>
          <w:rFonts w:ascii="Times New Roman" w:hAnsi="Times New Roman"/>
          <w:sz w:val="24"/>
          <w:szCs w:val="24"/>
        </w:rPr>
        <w:lastRenderedPageBreak/>
        <w:t>vista destaca que hay algunos sectores del empresariado que antes del 10 de agosto de 1984 reconocían la validez de la propuesta del presidente Febres-Cordero, hoy establecen una distancia entre el “modelo” y la realidad”</w:t>
      </w:r>
      <w:r w:rsidR="00C16FD0">
        <w:rPr>
          <w:rFonts w:ascii="Times New Roman" w:hAnsi="Times New Roman"/>
          <w:sz w:val="24"/>
          <w:szCs w:val="24"/>
        </w:rPr>
        <w:t xml:space="preserve"> (Arboleda et al., 1985, p. 17)</w:t>
      </w:r>
      <w:r w:rsidRPr="00616A87">
        <w:rPr>
          <w:rFonts w:ascii="Times New Roman" w:hAnsi="Times New Roman"/>
          <w:sz w:val="24"/>
          <w:szCs w:val="24"/>
        </w:rPr>
        <w:t xml:space="preserve">.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Finalmente, el afianzamiento de la política neoliberal supuso la medida perfecta para el aprovechamiento de la sucretización y el atraco más grande en la historia del país. Un modelo que redujo al 12% de su valor los papeles de la deuda, lo que permitiría al Estado comprar su propia deuda a una décima parte de su valor. En el gobierno de León Febres-Cordero, sin embargo, se pusieron a disposición los papeles de la deuda, muchos creen, comprados por ecuatorianos. Con la aplicación del modelo económico del FMI, y el compromiso de destinar la mayoría de los fondos estatales para el pago de esta deuda los papeles subieron su valor nominal al 112%. En 1988 era más rentable poseer papeles de la deuda ecuatorianos que de los Estados Unidos. Esa deuda es pagada, hasta la fecha, por los ecuatorianos</w:t>
      </w:r>
      <w:r w:rsidR="00C16FD0">
        <w:rPr>
          <w:rFonts w:ascii="Times New Roman" w:hAnsi="Times New Roman"/>
          <w:sz w:val="24"/>
          <w:szCs w:val="24"/>
        </w:rPr>
        <w:t xml:space="preserve"> (Borja, 1988, p.54)</w:t>
      </w:r>
      <w:r w:rsidRPr="00616A87">
        <w:rPr>
          <w:rFonts w:ascii="Times New Roman" w:hAnsi="Times New Roman"/>
          <w:sz w:val="24"/>
          <w:szCs w:val="24"/>
        </w:rPr>
        <w:t xml:space="preserve">. “Con las medidas de </w:t>
      </w:r>
      <w:r w:rsidRPr="00616A87">
        <w:rPr>
          <w:rFonts w:ascii="Times New Roman" w:hAnsi="Times New Roman"/>
          <w:i/>
          <w:sz w:val="24"/>
          <w:szCs w:val="24"/>
        </w:rPr>
        <w:t>ajuste</w:t>
      </w:r>
      <w:r w:rsidRPr="00616A87">
        <w:rPr>
          <w:rFonts w:ascii="Times New Roman" w:hAnsi="Times New Roman"/>
          <w:sz w:val="24"/>
          <w:szCs w:val="24"/>
        </w:rPr>
        <w:t xml:space="preserve"> y los programas neoliberales del gobierno de Febres Cordero (…) se inicia en Ecuador ‘el ciclo político de la economía y el gobierno económico de la política’, el cual se consolidará sobre todo con el gobierno neoliberal de Sixto Durán”. (Sánchez-Parga, 2010, </w:t>
      </w:r>
      <w:r>
        <w:rPr>
          <w:rFonts w:ascii="Times New Roman" w:hAnsi="Times New Roman"/>
          <w:sz w:val="24"/>
          <w:szCs w:val="24"/>
        </w:rPr>
        <w:t>p.</w:t>
      </w:r>
      <w:r w:rsidRPr="00616A87">
        <w:rPr>
          <w:rFonts w:ascii="Times New Roman" w:hAnsi="Times New Roman"/>
          <w:sz w:val="24"/>
          <w:szCs w:val="24"/>
        </w:rPr>
        <w:t xml:space="preserve">72)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El Gobierno de Rodrigo Borja trajo la expectativa de un cambio dentro de la política económica que había dominado en el Ecuador en la última década. Sin embargo, se convirtió en prioridad la estabilización de la economía, por lo que se valió de las políticas monetarias y cambiarias. Pese a la disponibilidad de recursos (por el alza del petróleo), no pudo reactivar la economía ni atender a los sectores sociales que venían reclamando por atención prioritaria por parte del gobierno. </w:t>
      </w:r>
    </w:p>
    <w:p w:rsidR="00A00E75" w:rsidRPr="00616A87" w:rsidRDefault="00A00E75" w:rsidP="00332B90">
      <w:pPr>
        <w:spacing w:line="360" w:lineRule="auto"/>
        <w:ind w:left="720" w:right="720"/>
        <w:jc w:val="both"/>
        <w:rPr>
          <w:rFonts w:ascii="Times New Roman" w:hAnsi="Times New Roman"/>
          <w:sz w:val="24"/>
          <w:szCs w:val="24"/>
        </w:rPr>
      </w:pPr>
      <w:r w:rsidRPr="00616A87">
        <w:rPr>
          <w:rFonts w:ascii="Times New Roman" w:hAnsi="Times New Roman"/>
          <w:sz w:val="24"/>
          <w:szCs w:val="24"/>
        </w:rPr>
        <w:t xml:space="preserve">Los esfuerzos en el campo social, integrados en lo que pomposamente se definió como “el pago de la deuda social”, no alcanzaron a afectar el meollo del asunto: la aplicación de las conocidas políticas económicas programadas para incrementar las tasas de utilidad del capital, a base de mayores índices de </w:t>
      </w:r>
      <w:r w:rsidRPr="00616A87">
        <w:rPr>
          <w:rFonts w:ascii="Times New Roman" w:hAnsi="Times New Roman"/>
          <w:sz w:val="24"/>
          <w:szCs w:val="24"/>
        </w:rPr>
        <w:lastRenderedPageBreak/>
        <w:t xml:space="preserve">explotación de la mano de obra, buscando mantener las relación con el capital financiero internacional. (Acosta, 2002, </w:t>
      </w:r>
      <w:r>
        <w:rPr>
          <w:rFonts w:ascii="Times New Roman" w:hAnsi="Times New Roman"/>
          <w:sz w:val="24"/>
          <w:szCs w:val="24"/>
        </w:rPr>
        <w:t>p.</w:t>
      </w:r>
      <w:r w:rsidRPr="00616A87">
        <w:rPr>
          <w:rFonts w:ascii="Times New Roman" w:hAnsi="Times New Roman"/>
          <w:sz w:val="24"/>
          <w:szCs w:val="24"/>
        </w:rPr>
        <w:t>179)</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Aparte de lo anterior, en este régimen se flexibilizó la contratación laboral incorporando la maquila y el contrato a tiempo parcial. Lo cual, evidentemente, permitió el abuso de la industria pero no así en despunte económico. Según Acosta, desde 1980 a 1989 la tasa anual promedio de crecimiento fue de -0,7%, la peor a nivel mundial.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En este espacio llega el presidente Sixto Durán Ballén a implementar un modelo neoliberal. Parte de su plan de gobierno fue la modernización del Estado, cambiando el rol del Estado frente al mercado y la economía. Bajo este esquema se pretendió “privatizar áreas que eran consideradas como estratégicas, así como para vender las acciones de otras empresas con inversiones del Estado” (Acosta, 2002, </w:t>
      </w:r>
      <w:r>
        <w:rPr>
          <w:rFonts w:ascii="Times New Roman" w:hAnsi="Times New Roman"/>
          <w:sz w:val="24"/>
          <w:szCs w:val="24"/>
        </w:rPr>
        <w:t>p.</w:t>
      </w:r>
      <w:r w:rsidRPr="00616A87">
        <w:rPr>
          <w:rFonts w:ascii="Times New Roman" w:hAnsi="Times New Roman"/>
          <w:sz w:val="24"/>
          <w:szCs w:val="24"/>
        </w:rPr>
        <w:t xml:space="preserve">182) Se iniciaron procesos que permitirían adecuar la economía nacional a las condiciones propuestas por los acreedores, reiniciando el pago de la deuda. Además, se utilizó el congelamiento cambiario como instrumento para estabilizar la economía, siguiendo un esquema de devaluaciones controladas dentro de bandas, reajustadas sucesivamente hasta principios de 1999.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Implantado este modelo económico, el gobierno presentó una Carta de Intención al FMI para la aprobación de un crédito contingente. La modernización, según está carta, radicaba en la privatización de las telecomunicaciones, los hidrocarburos y el sector eléctrico. Esto se complementaba con una reforma al sistema de seguridad social, al mercado de trabajo y a las leyes laborales. Con estos parámetros, en el marco del Plan B</w:t>
      </w:r>
      <w:r w:rsidR="00C013A8">
        <w:rPr>
          <w:rFonts w:ascii="Times New Roman" w:hAnsi="Times New Roman"/>
          <w:sz w:val="24"/>
          <w:szCs w:val="24"/>
        </w:rPr>
        <w:t>r</w:t>
      </w:r>
      <w:r w:rsidRPr="00616A87">
        <w:rPr>
          <w:rFonts w:ascii="Times New Roman" w:hAnsi="Times New Roman"/>
          <w:sz w:val="24"/>
          <w:szCs w:val="24"/>
        </w:rPr>
        <w:t>ardy, el gobierno renegoció la deuda, sin lograr, sin embargo, ninguna ventaja sobre las condiciones antes impuestas por los bancos internacionales. Básicamente, se favoreció la inversión financiera y no la productiva, se estableció un plan a 30 años (que fracasaría en 5 años) y generó una crisis que fue apaleándose con medidas monetaristas; medidas que no eran aplicadas cuando se trataban de intereses personales</w:t>
      </w:r>
      <w:r w:rsidRPr="00616A87">
        <w:rPr>
          <w:rStyle w:val="Refdenotaalpie"/>
          <w:rFonts w:ascii="Times New Roman" w:hAnsi="Times New Roman"/>
          <w:sz w:val="24"/>
          <w:szCs w:val="24"/>
        </w:rPr>
        <w:footnoteReference w:id="25"/>
      </w:r>
      <w:r w:rsidRPr="00616A87">
        <w:rPr>
          <w:rFonts w:ascii="Times New Roman" w:hAnsi="Times New Roman"/>
          <w:sz w:val="24"/>
          <w:szCs w:val="24"/>
        </w:rPr>
        <w:t>. (Acosta, 2002)</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lastRenderedPageBreak/>
        <w:t xml:space="preserve">En este modelo económico, asume Adbalá Bucaram la presidencia. Si bien su mandato no duró lo suficiente para implementar una política económica definida, era evidente su posición por la “convertibilidad”, tanto así que “la fuerza de los pobres”, aplicó uno de los paquetes de ajustes más duros. Se incrementaron las tarifas de los servicios públicos, se eliminaron subsidios, etc. Además se hicieron evidentes los intereses de ciertos grupos de poder dentro de la administración: Roberto Isaías, uno de los dueños de Filanbanco, era asesor de Bucaram, y Álvaro Noboa Pontón fue presidente de la Junta Monetaria. Poco duró esta gestión. Asumido el cargo por el presidente del Congreso, Fabián Alarcón, este aplicó medidas tradicionales de ajustes e incrementó el endeudamiento interno y externo.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El gobierno de Jamil Mahuad, “en sus acciones, prefirió atender a las demandas del gran capital, marginando, una vez más, a la mayoría de la población” (Acosta, 2002, </w:t>
      </w:r>
      <w:r>
        <w:rPr>
          <w:rFonts w:ascii="Times New Roman" w:hAnsi="Times New Roman"/>
          <w:sz w:val="24"/>
          <w:szCs w:val="24"/>
        </w:rPr>
        <w:t>p.</w:t>
      </w:r>
      <w:r w:rsidRPr="00616A87">
        <w:rPr>
          <w:rFonts w:ascii="Times New Roman" w:hAnsi="Times New Roman"/>
          <w:sz w:val="24"/>
          <w:szCs w:val="24"/>
        </w:rPr>
        <w:t>188) Así, par</w:t>
      </w:r>
      <w:r w:rsidR="00C16FD0">
        <w:rPr>
          <w:rFonts w:ascii="Times New Roman" w:hAnsi="Times New Roman"/>
          <w:sz w:val="24"/>
          <w:szCs w:val="24"/>
        </w:rPr>
        <w:t>a</w:t>
      </w:r>
      <w:r w:rsidRPr="00616A87">
        <w:rPr>
          <w:rFonts w:ascii="Times New Roman" w:hAnsi="Times New Roman"/>
          <w:sz w:val="24"/>
          <w:szCs w:val="24"/>
        </w:rPr>
        <w:t xml:space="preserve"> el salvataje de Filanbanco se entregaron </w:t>
      </w:r>
      <w:r w:rsidR="00C16FD0">
        <w:rPr>
          <w:rFonts w:ascii="Times New Roman" w:hAnsi="Times New Roman"/>
          <w:sz w:val="24"/>
          <w:szCs w:val="24"/>
        </w:rPr>
        <w:t>416 millones de dólares en 1998;</w:t>
      </w:r>
      <w:r w:rsidRPr="00616A87">
        <w:rPr>
          <w:rFonts w:ascii="Times New Roman" w:hAnsi="Times New Roman"/>
          <w:sz w:val="24"/>
          <w:szCs w:val="24"/>
        </w:rPr>
        <w:t xml:space="preserve"> para la rehabilitación del Banco de Fomento, se entregaron 20 millones de dólares. Se aprobó la Ley de Reordenamiento de Materia Económica en el Área Tributaria-Financiera (Ley de Garantía de Depósitos o Ley AGD), para la cual se creó la Agencia de Garantía de Depósitos (AGD), lo cual garantizaba en un 100% los depósitos en los bancos. La AGD no tenía poder coactivo, lo cual sirvió para “garantizar” el mal manejo de ciertos bancos (Correa, 2009). Al día siguiente de la aprobación de la ley AGD, se le entregaba colapsado, al Estado, Filanbanco. Se eliminó el impuesto a la renta y se lo sustituyó con un impuesto del 1% a la circulación de capitales y se aprobó, gracias a la “aplanadora” legislativa, un Presupuesto del Estado para 1999 que tenía un déficit estimado del 7% del PIB (Acosta, 2002).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Eventualmente, le débil banca ecuatoriana reaccionó contra este tributo, por lo que fue revertido en el 2000 con la Ley Trole II, que estableció una vez más, el impuesto a la renta. “Dada la crisis bancaria, el Gobierno central tuvo que emitir bonos para que la AGD cumpliera con sus obligaciones y, a su vez, el Banco Central se vio en la necesidad de suministrar liquidez y solvencia otorgados a la banca, provocó que el crecimiento anual de la base monetaria fuera del 41% en 1998 y del 136% en 1999” (Correa, 2009). Para salvar al Banco del Progreso, se </w:t>
      </w:r>
      <w:r w:rsidRPr="00616A87">
        <w:rPr>
          <w:rFonts w:ascii="Times New Roman" w:hAnsi="Times New Roman"/>
          <w:sz w:val="24"/>
          <w:szCs w:val="24"/>
        </w:rPr>
        <w:lastRenderedPageBreak/>
        <w:t>inició un feriado bancario en marzo de 1999, donde se congeló los depósitos bancarios en sucres y dólares, pertenecientes a particulares. La reacción social obligó al gobierno a tomar medidas, retomando impuestos, dando exenciones al IVA, reduciendo precios de combustibles, etc. En Agosto de 1999, el Ecuador se declara en moratoria de la deuda externa, después de haber reajustado repetidamente la economía para intentar continuar con los pagos, dejando impagos a maestros, médicos, enfermeras y miembros de la Policía.</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Lo que inició como una crisis bancaria, se transformó en una crisis monetaria gracias a la complicidad del Congreso nacional con la aprobación de la Ley AGD.</w:t>
      </w:r>
    </w:p>
    <w:p w:rsidR="00A00E75" w:rsidRPr="00616A87" w:rsidRDefault="00A00E75" w:rsidP="00AD673B">
      <w:pPr>
        <w:spacing w:line="360" w:lineRule="auto"/>
        <w:ind w:left="720" w:right="720"/>
        <w:jc w:val="both"/>
        <w:rPr>
          <w:rFonts w:ascii="Times New Roman" w:hAnsi="Times New Roman"/>
          <w:sz w:val="24"/>
          <w:szCs w:val="24"/>
        </w:rPr>
      </w:pPr>
      <w:r w:rsidRPr="00616A87">
        <w:rPr>
          <w:rFonts w:ascii="Times New Roman" w:hAnsi="Times New Roman"/>
          <w:sz w:val="24"/>
          <w:szCs w:val="24"/>
        </w:rPr>
        <w:t>Para atender a la (Ley AGD), el Ministro de Economía y Finanza emitió bonos que entregó a la AGD (…) y el Banco Central del Ecuador, (…) triplicó la emisión monetaria en poco más de una año para, (…) adquirir dichos bonos y otorgar recursos a la AGD para respaldar los depósitos. La depreciación del 245% que tuvo la mone</w:t>
      </w:r>
      <w:r w:rsidR="00C013A8">
        <w:rPr>
          <w:rFonts w:ascii="Times New Roman" w:hAnsi="Times New Roman"/>
          <w:sz w:val="24"/>
          <w:szCs w:val="24"/>
        </w:rPr>
        <w:t>d</w:t>
      </w:r>
      <w:r w:rsidRPr="00616A87">
        <w:rPr>
          <w:rFonts w:ascii="Times New Roman" w:hAnsi="Times New Roman"/>
          <w:sz w:val="24"/>
          <w:szCs w:val="24"/>
        </w:rPr>
        <w:t xml:space="preserve">a nacional entre enero de 1999 y enero de 2000, así como la amenazantes aceleración de la inflación, no hubieran sido posibles sin esta brutal inyección de liquidez en la economía, efectuadas paradójicamente por las institución constitucionalmente responsable de velar por la estabilidad de la moneda. </w:t>
      </w:r>
    </w:p>
    <w:p w:rsidR="00A00E75" w:rsidRPr="00616A87" w:rsidRDefault="00A00E75" w:rsidP="00AD673B">
      <w:pPr>
        <w:spacing w:line="360" w:lineRule="auto"/>
        <w:ind w:left="720" w:right="720" w:firstLine="708"/>
        <w:jc w:val="both"/>
        <w:rPr>
          <w:rFonts w:ascii="Times New Roman" w:hAnsi="Times New Roman"/>
          <w:sz w:val="24"/>
          <w:szCs w:val="24"/>
        </w:rPr>
      </w:pPr>
      <w:r w:rsidRPr="00616A87">
        <w:rPr>
          <w:rFonts w:ascii="Times New Roman" w:hAnsi="Times New Roman"/>
          <w:sz w:val="24"/>
          <w:szCs w:val="24"/>
        </w:rPr>
        <w:t>(…) Luego, en forma totalmente inconstitucional y después de un corto “feriado” bancario, (…) el Gobierno de Jamil Mahuad ordenó congelar los depósitos bancarios. (…) La gran mayoría de los depósitos solo comenzaron a devolverse un año después, una vez adoptada la dolarización, a un tipo de cambio de 25.000 sucres por dólar, mientras que al momento de congelamiento, el tipo de cambio era de 10.350 sucres por dólar. (…) El “congelamiento” en realidad representó un</w:t>
      </w:r>
      <w:r w:rsidR="0020042C">
        <w:rPr>
          <w:rFonts w:ascii="Times New Roman" w:hAnsi="Times New Roman"/>
          <w:sz w:val="24"/>
          <w:szCs w:val="24"/>
        </w:rPr>
        <w:t>a transferencia de cerca de 2.5</w:t>
      </w:r>
      <w:r w:rsidRPr="00616A87">
        <w:rPr>
          <w:rFonts w:ascii="Times New Roman" w:hAnsi="Times New Roman"/>
          <w:sz w:val="24"/>
          <w:szCs w:val="24"/>
        </w:rPr>
        <w:t xml:space="preserve">00 millones de dólares de los depositantes a los bancos y a los deudores de la banca, estos últimos frecuentemente los mismos banqueros.  </w:t>
      </w:r>
    </w:p>
    <w:p w:rsidR="00A00E75" w:rsidRPr="00616A87" w:rsidRDefault="00A00E75" w:rsidP="00AD673B">
      <w:pPr>
        <w:spacing w:line="360" w:lineRule="auto"/>
        <w:ind w:left="720" w:right="720"/>
        <w:jc w:val="both"/>
        <w:rPr>
          <w:rFonts w:ascii="Times New Roman" w:hAnsi="Times New Roman"/>
          <w:sz w:val="24"/>
          <w:szCs w:val="24"/>
        </w:rPr>
      </w:pPr>
      <w:r w:rsidRPr="00616A87">
        <w:rPr>
          <w:rFonts w:ascii="Times New Roman" w:hAnsi="Times New Roman"/>
          <w:sz w:val="24"/>
          <w:szCs w:val="24"/>
        </w:rPr>
        <w:lastRenderedPageBreak/>
        <w:t>Finalmente, (…) se crearon los llamados Certificado de Depósitos Reprogramables (CDR), es decir, documentos negociables que certificaban la cantidad de dinero que se tenía retenido en los bancos y que servirían para pagar obligaciones pendientes. Dicho decreto fue declarado inconstitucional por medio de la resolución del Tribunal Constitucional del 8 de noviembre de 1999 (…). No obstante lo anterior, (…) se expidió el Decreto 1492 (...) que obligó a la Corporación Financiera Nacional (CFN) a recibir de la banca, a precio nominal, cerca de 568 millones de dólares en CDR. Pese a que el decreto a su vez estipulaba que los deudores de la banca podían pagar sus deudas con CDR a precios nominales, esto nunca ocurrió. En realidad, la banca reconocía a sus clientes dichos CDR a precio de mercado, es decir, hasta con descuentos del 60%, mientras que por decreto se los traspasaba a la CFN al 100% del valor. Esta “operación financiera” generó inmensas ganancias a muchos banqueros inescrupulosos, mientras que produjo la quiebra técnica de la CFN, obligada además a recibir cartera incobrable de la banca por cerca de 425 millones</w:t>
      </w:r>
      <w:r>
        <w:rPr>
          <w:rFonts w:ascii="Times New Roman" w:hAnsi="Times New Roman"/>
          <w:sz w:val="24"/>
          <w:szCs w:val="24"/>
        </w:rPr>
        <w:t xml:space="preserve"> de dólares. (Correa, 2009, pp.</w:t>
      </w:r>
      <w:r w:rsidRPr="00616A87">
        <w:rPr>
          <w:rFonts w:ascii="Times New Roman" w:hAnsi="Times New Roman"/>
          <w:sz w:val="24"/>
          <w:szCs w:val="24"/>
        </w:rPr>
        <w:t>63-65)</w:t>
      </w:r>
    </w:p>
    <w:p w:rsidR="00A00E75" w:rsidRPr="00616A87" w:rsidRDefault="00A00E75" w:rsidP="00F21AFE">
      <w:pPr>
        <w:spacing w:line="360" w:lineRule="auto"/>
        <w:jc w:val="both"/>
        <w:rPr>
          <w:rFonts w:ascii="Times New Roman" w:hAnsi="Times New Roman"/>
          <w:sz w:val="24"/>
          <w:szCs w:val="24"/>
        </w:rPr>
      </w:pPr>
      <w:r w:rsidRPr="00616A87">
        <w:rPr>
          <w:rFonts w:ascii="Times New Roman" w:hAnsi="Times New Roman"/>
          <w:sz w:val="24"/>
          <w:szCs w:val="24"/>
        </w:rPr>
        <w:t xml:space="preserve">La política económica de Lucio Gutiérrez continúo con el mismo modelo de sus predecesores, ayudado por el incremento del precio del petróleo. A un mes de iniciado su gobierno, firmó la decimotercera Carta de Intención con el FMI. Dentro de las condiciones que se manifestaban en la carta, constaban el congelamiento de las pensiones jubilares, la paralización de los préstamos quirografarios otorgados por el Instituto de Seguridad Social (pese a ser una entidad autónoma), congelamiento de los sueldos y salarios de servidores públicos, la entrega de la administración de las compañías eléctricas y telefónicas a empresas internacionales, etc. La más interesante de las cláusulas hacía referencia a la contingencia en el servicio de la deuda externa a favor de los </w:t>
      </w:r>
      <w:r w:rsidRPr="00616A87">
        <w:rPr>
          <w:rFonts w:ascii="Times New Roman" w:hAnsi="Times New Roman"/>
          <w:sz w:val="24"/>
          <w:szCs w:val="24"/>
        </w:rPr>
        <w:lastRenderedPageBreak/>
        <w:t>acreedores</w:t>
      </w:r>
      <w:r w:rsidRPr="00616A87">
        <w:rPr>
          <w:rStyle w:val="Refdenotaalpie"/>
          <w:rFonts w:ascii="Times New Roman" w:hAnsi="Times New Roman"/>
          <w:sz w:val="24"/>
          <w:szCs w:val="24"/>
        </w:rPr>
        <w:footnoteReference w:id="26"/>
      </w:r>
      <w:r w:rsidRPr="00616A87">
        <w:rPr>
          <w:rFonts w:ascii="Times New Roman" w:hAnsi="Times New Roman"/>
          <w:sz w:val="24"/>
          <w:szCs w:val="24"/>
        </w:rPr>
        <w:t>. Una vez más, se pudo constatar la influencia de los grupos de poder dentro de los estamentos gubernamentales con la presencia de Mauricio Pozo como Ministro de Economía</w:t>
      </w:r>
      <w:r w:rsidRPr="00616A87">
        <w:rPr>
          <w:rStyle w:val="Refdenotaalpie"/>
          <w:rFonts w:ascii="Times New Roman" w:hAnsi="Times New Roman"/>
          <w:sz w:val="24"/>
          <w:szCs w:val="24"/>
        </w:rPr>
        <w:footnoteReference w:id="27"/>
      </w:r>
      <w:r w:rsidRPr="00616A87">
        <w:rPr>
          <w:rFonts w:ascii="Times New Roman" w:hAnsi="Times New Roman"/>
          <w:sz w:val="24"/>
          <w:szCs w:val="24"/>
        </w:rPr>
        <w:t>. La implementación de un modelo ortodoxo y conservador de la economía, con un gasto público controlado para evitar problemas fiscales y la puesta en funcionamiento del Fondo de Estabilización Inversión Social y Productiva y Reducción del Endeudamiento Público</w:t>
      </w:r>
      <w:r w:rsidRPr="00616A87">
        <w:rPr>
          <w:rStyle w:val="Refdenotaalpie"/>
          <w:rFonts w:ascii="Times New Roman" w:hAnsi="Times New Roman"/>
          <w:sz w:val="24"/>
          <w:szCs w:val="24"/>
        </w:rPr>
        <w:footnoteReference w:id="28"/>
      </w:r>
      <w:r w:rsidRPr="00616A87">
        <w:rPr>
          <w:rFonts w:ascii="Times New Roman" w:hAnsi="Times New Roman"/>
          <w:sz w:val="24"/>
          <w:szCs w:val="24"/>
        </w:rPr>
        <w:t xml:space="preserve"> (FEIREP), “tuvimos las tasas de crecimiento no petrolero más bajas de la última década (…), por lo que la tasas de desempleo pasó de 9,2% en 2002 a 11,5% en 2004” (Correa, 2009, </w:t>
      </w:r>
      <w:r>
        <w:rPr>
          <w:rFonts w:ascii="Times New Roman" w:hAnsi="Times New Roman"/>
          <w:sz w:val="24"/>
          <w:szCs w:val="24"/>
        </w:rPr>
        <w:t>p.</w:t>
      </w:r>
      <w:r w:rsidRPr="00616A87">
        <w:rPr>
          <w:rFonts w:ascii="Times New Roman" w:hAnsi="Times New Roman"/>
          <w:sz w:val="24"/>
          <w:szCs w:val="24"/>
        </w:rPr>
        <w:t xml:space="preserve">105). </w:t>
      </w:r>
    </w:p>
    <w:p w:rsidR="00A00E75" w:rsidRPr="00616A87" w:rsidRDefault="00773365" w:rsidP="00616A87">
      <w:pPr>
        <w:spacing w:line="360" w:lineRule="auto"/>
        <w:jc w:val="both"/>
        <w:rPr>
          <w:rFonts w:ascii="Times New Roman" w:hAnsi="Times New Roman"/>
          <w:sz w:val="24"/>
          <w:szCs w:val="24"/>
        </w:rPr>
      </w:pPr>
      <w:r>
        <w:rPr>
          <w:rFonts w:ascii="Times New Roman" w:hAnsi="Times New Roman"/>
          <w:sz w:val="24"/>
          <w:szCs w:val="24"/>
        </w:rPr>
        <w:t>El p</w:t>
      </w:r>
      <w:r w:rsidR="00A00E75" w:rsidRPr="00616A87">
        <w:rPr>
          <w:rFonts w:ascii="Times New Roman" w:hAnsi="Times New Roman"/>
          <w:sz w:val="24"/>
          <w:szCs w:val="24"/>
        </w:rPr>
        <w:t xml:space="preserve">roceso histórico del cual las clases dominantes han sabido aprovecharse, ha sido </w:t>
      </w:r>
      <w:r w:rsidR="00FA0194">
        <w:rPr>
          <w:rFonts w:ascii="Times New Roman" w:hAnsi="Times New Roman"/>
          <w:sz w:val="24"/>
          <w:szCs w:val="24"/>
        </w:rPr>
        <w:t xml:space="preserve">el </w:t>
      </w:r>
      <w:r w:rsidR="00A00E75" w:rsidRPr="00616A87">
        <w:rPr>
          <w:rFonts w:ascii="Times New Roman" w:hAnsi="Times New Roman"/>
          <w:sz w:val="24"/>
          <w:szCs w:val="24"/>
        </w:rPr>
        <w:t xml:space="preserve">proceso de crisis económica plagado de una mala administración político/económica y el abuso de las instituciones creadas desde el gobierno central: sucretizacion, neoliberalismo, deuda externa, etc. Si bien el caso orwelliano propone una búsqueda del poder por la satisfacción del poder, las condiciones para lograr este Estado vienen de una participación activa en el régimen económico que termina por desaparecer a los focos de resistencia y, con ello, perpetuar la dominación. Es por eso que muchos de los cambios políticos no resuelven los cambios estructurales del Ecuador. La prole solo ha visto cambio de dominador. La incidencia internacional de las medidas económicas y el apoyo </w:t>
      </w:r>
      <w:r w:rsidR="00A00E75" w:rsidRPr="00616A87">
        <w:rPr>
          <w:rFonts w:ascii="Times New Roman" w:hAnsi="Times New Roman"/>
          <w:sz w:val="24"/>
          <w:szCs w:val="24"/>
        </w:rPr>
        <w:lastRenderedPageBreak/>
        <w:t xml:space="preserve">inconmensurable de los gobiernos </w:t>
      </w:r>
      <w:r w:rsidR="00FA0194">
        <w:rPr>
          <w:rFonts w:ascii="Times New Roman" w:hAnsi="Times New Roman"/>
          <w:sz w:val="24"/>
          <w:szCs w:val="24"/>
        </w:rPr>
        <w:t>par</w:t>
      </w:r>
      <w:r w:rsidR="00A00E75" w:rsidRPr="00616A87">
        <w:rPr>
          <w:rFonts w:ascii="Times New Roman" w:hAnsi="Times New Roman"/>
          <w:sz w:val="24"/>
          <w:szCs w:val="24"/>
        </w:rPr>
        <w:t xml:space="preserve">a satisfacer las prebendas “impuestas” (alguien debe aceptar las condiciones) por los organismo internacionales y la manipulación de leyes que beneficien, en última estancia, a los grupos de dominación.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Mientras mayor ha sido el crecimiento económico, mayor ha sido la concentración de la riqueza. Las políticas económicas implementadas por los Gobiernos no han podido responder a las necesidades sociales, pero lo sí a los intereses de los grupos de poder. El coeficiente GINI (Cuadro 2), siempre por encima del 0,5, evidencia las desigualdades que se producen a causa del sistema económico, y esas desigualdades se traducen en una reducción sistemática de la clase m</w:t>
      </w:r>
      <w:r w:rsidR="00FA0194">
        <w:rPr>
          <w:rFonts w:ascii="Times New Roman" w:hAnsi="Times New Roman"/>
          <w:sz w:val="24"/>
          <w:szCs w:val="24"/>
        </w:rPr>
        <w:t>e</w:t>
      </w:r>
      <w:r w:rsidRPr="00616A87">
        <w:rPr>
          <w:rFonts w:ascii="Times New Roman" w:hAnsi="Times New Roman"/>
          <w:sz w:val="24"/>
          <w:szCs w:val="24"/>
        </w:rPr>
        <w:t xml:space="preserve">dia. Clase media que, como fue explicado anteriormente, sirve como mediador en el conflicto democrático. Sin esta clase media lo único que queda es la violencia: un estado de confrontación perpetuo. Sean voluntarias o involuntarias, las acciones que han sido adoptadas históricamente por los gobierno han servido para la consolidación y perpetuación de los grupos de poder y las élites económicas. Podemos deducir que estos han tenido una constante injerencia en este proceso. En este escenario los “puntos de comparación”, para las clases pobres se vuelven insostenibles, al no tenerlos. La situación ha sido llevada siempre cerca de extremos y unos parámetros de supervivencia constantes (Cuadro 4). Es precisamente cuando estos parámetros son abusados, que la violencia se convierte en acción política efectiva. Ruptura que se presenta después de la caída de Gutiérrez y que ya se convierte en parte de un análisis diferente.  </w:t>
      </w:r>
    </w:p>
    <w:p w:rsidR="00A00E75"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Con este antecedente es posible responder a las preguntas iniciales: ¿los paros nacionales y las movilizaciones llevaron a cambios estructurales dentro del aparato del Estado? </w:t>
      </w:r>
      <w:r w:rsidR="00C16FD0">
        <w:rPr>
          <w:rFonts w:ascii="Times New Roman" w:hAnsi="Times New Roman"/>
          <w:sz w:val="24"/>
          <w:szCs w:val="24"/>
        </w:rPr>
        <w:t xml:space="preserve">No. </w:t>
      </w:r>
      <w:r w:rsidRPr="00616A87">
        <w:rPr>
          <w:rFonts w:ascii="Times New Roman" w:hAnsi="Times New Roman"/>
          <w:sz w:val="24"/>
          <w:szCs w:val="24"/>
        </w:rPr>
        <w:t xml:space="preserve">¿Hasta qué punto los procesos de reivindicación social fueron parte del andamiaje público y consolidado dentro de la institucionalidad? </w:t>
      </w:r>
      <w:r w:rsidR="00C16FD0">
        <w:rPr>
          <w:rFonts w:ascii="Times New Roman" w:hAnsi="Times New Roman"/>
          <w:sz w:val="24"/>
          <w:szCs w:val="24"/>
        </w:rPr>
        <w:t>Hasta que el objetivo de las clases dominantes se</w:t>
      </w:r>
      <w:r w:rsidR="00FA0194">
        <w:rPr>
          <w:rFonts w:ascii="Times New Roman" w:hAnsi="Times New Roman"/>
          <w:sz w:val="24"/>
          <w:szCs w:val="24"/>
        </w:rPr>
        <w:t xml:space="preserve"> ha</w:t>
      </w:r>
      <w:r w:rsidR="00C16FD0">
        <w:rPr>
          <w:rFonts w:ascii="Times New Roman" w:hAnsi="Times New Roman"/>
          <w:sz w:val="24"/>
          <w:szCs w:val="24"/>
        </w:rPr>
        <w:t xml:space="preserve"> obtenido</w:t>
      </w:r>
      <w:r w:rsidRPr="00616A87">
        <w:rPr>
          <w:rFonts w:ascii="Times New Roman" w:hAnsi="Times New Roman"/>
          <w:sz w:val="24"/>
          <w:szCs w:val="24"/>
        </w:rPr>
        <w:t>. Pero la respuesta viene acompañada de una realidad aledaña: esta consolidación de un régimen económico enfocado a beneficiar a una minoría limitada y poderosa fue en desmedro de una mayoría que cada vez encontraba menos espacios para poder</w:t>
      </w:r>
      <w:r w:rsidR="00FA0194">
        <w:rPr>
          <w:rFonts w:ascii="Times New Roman" w:hAnsi="Times New Roman"/>
          <w:sz w:val="24"/>
          <w:szCs w:val="24"/>
        </w:rPr>
        <w:t xml:space="preserve"> hacer valer</w:t>
      </w:r>
      <w:r w:rsidRPr="00616A87">
        <w:rPr>
          <w:rFonts w:ascii="Times New Roman" w:hAnsi="Times New Roman"/>
          <w:sz w:val="24"/>
          <w:szCs w:val="24"/>
        </w:rPr>
        <w:t xml:space="preserve"> su representatividad dentro de los espacios públicos. No resulta </w:t>
      </w:r>
      <w:r w:rsidRPr="00616A87">
        <w:rPr>
          <w:rFonts w:ascii="Times New Roman" w:hAnsi="Times New Roman"/>
          <w:sz w:val="24"/>
          <w:szCs w:val="24"/>
        </w:rPr>
        <w:lastRenderedPageBreak/>
        <w:t xml:space="preserve">determinante </w:t>
      </w:r>
      <w:r w:rsidR="00773365">
        <w:rPr>
          <w:rFonts w:ascii="Times New Roman" w:hAnsi="Times New Roman"/>
          <w:sz w:val="24"/>
          <w:szCs w:val="24"/>
        </w:rPr>
        <w:t xml:space="preserve">para los sectores marginados </w:t>
      </w:r>
      <w:r w:rsidRPr="00616A87">
        <w:rPr>
          <w:rFonts w:ascii="Times New Roman" w:hAnsi="Times New Roman"/>
          <w:sz w:val="24"/>
          <w:szCs w:val="24"/>
        </w:rPr>
        <w:t>el nombre que se le pueda dar a un grupo dominante. Las luchas por la perpetuación de aquella dominación dentro de la esfera pública, no han determinado un cambio o una mejoría para las clases bajas. “Desde el punto de vista de la Baja, ningún proceso histórico a significado más que el cambio de nombre de sus maestros” (</w:t>
      </w:r>
      <w:r>
        <w:rPr>
          <w:rFonts w:ascii="Times New Roman" w:hAnsi="Times New Roman"/>
          <w:sz w:val="24"/>
          <w:szCs w:val="24"/>
        </w:rPr>
        <w:t>Orwell, 1983</w:t>
      </w:r>
      <w:r w:rsidRPr="00616A87">
        <w:rPr>
          <w:rFonts w:ascii="Times New Roman" w:hAnsi="Times New Roman"/>
          <w:sz w:val="24"/>
          <w:szCs w:val="24"/>
        </w:rPr>
        <w:t xml:space="preserve">, </w:t>
      </w:r>
      <w:r>
        <w:rPr>
          <w:rFonts w:ascii="Times New Roman" w:hAnsi="Times New Roman"/>
          <w:sz w:val="24"/>
          <w:szCs w:val="24"/>
        </w:rPr>
        <w:t>p.</w:t>
      </w:r>
      <w:r w:rsidRPr="00616A87">
        <w:rPr>
          <w:rFonts w:ascii="Times New Roman" w:hAnsi="Times New Roman"/>
          <w:sz w:val="24"/>
          <w:szCs w:val="24"/>
        </w:rPr>
        <w:t>167)</w:t>
      </w:r>
    </w:p>
    <w:p w:rsidR="00A00E75" w:rsidRPr="00616A87" w:rsidRDefault="00A00E75" w:rsidP="005E218B">
      <w:pPr>
        <w:pStyle w:val="Subttulotesis"/>
      </w:pPr>
      <w:bookmarkStart w:id="34" w:name="_Toc295373158"/>
      <w:r>
        <w:t>Falta de representatividad: partidos políticos y dominación</w:t>
      </w:r>
      <w:bookmarkEnd w:id="34"/>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Los cambios propuestos y exigidos por las masas son cambios que re</w:t>
      </w:r>
      <w:r w:rsidR="00C366C7">
        <w:rPr>
          <w:rFonts w:ascii="Times New Roman" w:hAnsi="Times New Roman"/>
          <w:sz w:val="24"/>
          <w:szCs w:val="24"/>
        </w:rPr>
        <w:t>sponden a la coyuntura. Hay</w:t>
      </w:r>
      <w:r w:rsidRPr="00616A87">
        <w:rPr>
          <w:rFonts w:ascii="Times New Roman" w:hAnsi="Times New Roman"/>
          <w:sz w:val="24"/>
          <w:szCs w:val="24"/>
        </w:rPr>
        <w:t xml:space="preserve"> enfoque</w:t>
      </w:r>
      <w:r w:rsidR="00FA0194">
        <w:rPr>
          <w:rFonts w:ascii="Times New Roman" w:hAnsi="Times New Roman"/>
          <w:sz w:val="24"/>
          <w:szCs w:val="24"/>
        </w:rPr>
        <w:t>s</w:t>
      </w:r>
      <w:r w:rsidRPr="00616A87">
        <w:rPr>
          <w:rFonts w:ascii="Times New Roman" w:hAnsi="Times New Roman"/>
          <w:sz w:val="24"/>
          <w:szCs w:val="24"/>
        </w:rPr>
        <w:t xml:space="preserve"> </w:t>
      </w:r>
      <w:r w:rsidR="00FA0194">
        <w:rPr>
          <w:rFonts w:ascii="Times New Roman" w:hAnsi="Times New Roman"/>
          <w:sz w:val="24"/>
          <w:szCs w:val="24"/>
        </w:rPr>
        <w:t>con</w:t>
      </w:r>
      <w:r w:rsidRPr="00616A87">
        <w:rPr>
          <w:rFonts w:ascii="Times New Roman" w:hAnsi="Times New Roman"/>
          <w:sz w:val="24"/>
          <w:szCs w:val="24"/>
        </w:rPr>
        <w:t xml:space="preserve"> dolencias específicas por parte de las clases dominadas, mientras que los grandes males escapan de su realización</w:t>
      </w:r>
      <w:r w:rsidR="00773365">
        <w:rPr>
          <w:rFonts w:ascii="Times New Roman" w:hAnsi="Times New Roman"/>
          <w:sz w:val="24"/>
          <w:szCs w:val="24"/>
        </w:rPr>
        <w:t>.</w:t>
      </w:r>
      <w:r w:rsidRPr="00616A87">
        <w:rPr>
          <w:rFonts w:ascii="Times New Roman" w:hAnsi="Times New Roman"/>
          <w:sz w:val="24"/>
          <w:szCs w:val="24"/>
        </w:rPr>
        <w:t xml:space="preserve"> Estos cambios coyunturales han sido fáciles de resolver por los gobiernos de turno. Desde el alza salarial (una respuesta que no responde a los problemas institucionales y estructurales de la sociedad) hasta la represión (la violencia sirve para deslegitimizar las causas </w:t>
      </w:r>
      <w:r w:rsidR="00FA0194">
        <w:rPr>
          <w:rFonts w:ascii="Times New Roman" w:hAnsi="Times New Roman"/>
          <w:sz w:val="24"/>
          <w:szCs w:val="24"/>
        </w:rPr>
        <w:t xml:space="preserve">de </w:t>
      </w:r>
      <w:r w:rsidRPr="00616A87">
        <w:rPr>
          <w:rFonts w:ascii="Times New Roman" w:hAnsi="Times New Roman"/>
          <w:sz w:val="24"/>
          <w:szCs w:val="24"/>
        </w:rPr>
        <w:t xml:space="preserve">los movimientos sociales), nunca hubo una respuesta oportuna a las necesidad sociales. Incluso cuando la consecuencia de una manifestación social ha sido la destitución de un presidente, la respuesta institucional a estos cambios y los reemplazantes a esas posiciones (eg., presidentes interinos) han continuado, o bien con la línea tradicional de dominación, o </w:t>
      </w:r>
      <w:r w:rsidR="00AF4698">
        <w:rPr>
          <w:rFonts w:ascii="Times New Roman" w:hAnsi="Times New Roman"/>
          <w:sz w:val="24"/>
          <w:szCs w:val="24"/>
        </w:rPr>
        <w:t xml:space="preserve">bien </w:t>
      </w:r>
      <w:r w:rsidRPr="00616A87">
        <w:rPr>
          <w:rFonts w:ascii="Times New Roman" w:hAnsi="Times New Roman"/>
          <w:sz w:val="24"/>
          <w:szCs w:val="24"/>
        </w:rPr>
        <w:t xml:space="preserve">no han tenido las capacidad </w:t>
      </w:r>
      <w:r w:rsidR="00AF4698">
        <w:rPr>
          <w:rFonts w:ascii="Times New Roman" w:hAnsi="Times New Roman"/>
          <w:sz w:val="24"/>
          <w:szCs w:val="24"/>
        </w:rPr>
        <w:t>ni el poder político para que su</w:t>
      </w:r>
      <w:r w:rsidRPr="00616A87">
        <w:rPr>
          <w:rFonts w:ascii="Times New Roman" w:hAnsi="Times New Roman"/>
          <w:sz w:val="24"/>
          <w:szCs w:val="24"/>
        </w:rPr>
        <w:t xml:space="preserve"> manejo sea efectivamente reflejado en una mejora de las clases más pobres.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Este proceso no ha tenido como consecuencia, sin embargo, que los espacios populares hayan sido foco de mayor control por parte de las élites dominante. No se ha buscado desarticular aquellos centros de los cuales puedan surgir nuevas movilizaciones. Orwell ya advertía que “solo la prole y los animales con libres” (</w:t>
      </w:r>
      <w:r>
        <w:rPr>
          <w:rFonts w:ascii="Times New Roman" w:hAnsi="Times New Roman"/>
          <w:sz w:val="24"/>
          <w:szCs w:val="24"/>
        </w:rPr>
        <w:t>Orwell, 1983</w:t>
      </w:r>
      <w:r w:rsidRPr="00616A87">
        <w:rPr>
          <w:rFonts w:ascii="Times New Roman" w:hAnsi="Times New Roman"/>
          <w:sz w:val="24"/>
          <w:szCs w:val="24"/>
        </w:rPr>
        <w:t xml:space="preserve">, </w:t>
      </w:r>
      <w:r>
        <w:rPr>
          <w:rFonts w:ascii="Times New Roman" w:hAnsi="Times New Roman"/>
          <w:sz w:val="24"/>
          <w:szCs w:val="24"/>
        </w:rPr>
        <w:t>p.</w:t>
      </w:r>
      <w:r w:rsidRPr="00616A87">
        <w:rPr>
          <w:rFonts w:ascii="Times New Roman" w:hAnsi="Times New Roman"/>
          <w:sz w:val="24"/>
          <w:szCs w:val="24"/>
        </w:rPr>
        <w:t xml:space="preserve">62). Y lo advertía ironizando la libertad a la que pueden aspirar las clases dominadas. Desde el regreso a la democracia, estas clases dominadas han tenido la posibilidad de ir a las urnas siete veces para la elección de presidente. La capacidad de elegir a tu dominador no te exonera de su dominación. Y esta relación entre el poder y las masas las mantiene en conflicto constante pero sin la posibilidad de que estas puedan obtener beneficio alguno de este </w:t>
      </w:r>
      <w:r w:rsidRPr="004E738B">
        <w:rPr>
          <w:rFonts w:ascii="Times New Roman" w:hAnsi="Times New Roman"/>
          <w:sz w:val="24"/>
          <w:szCs w:val="24"/>
        </w:rPr>
        <w:t xml:space="preserve">conflicto. Si acaso, el auspicio tácito de ciertos sectores de dominación a </w:t>
      </w:r>
      <w:r w:rsidRPr="004E738B">
        <w:rPr>
          <w:rFonts w:ascii="Times New Roman" w:hAnsi="Times New Roman"/>
          <w:sz w:val="24"/>
          <w:szCs w:val="24"/>
        </w:rPr>
        <w:lastRenderedPageBreak/>
        <w:t>grupos sociales ha sido siempre velando por sus intereses</w:t>
      </w:r>
      <w:r w:rsidRPr="00616A87">
        <w:rPr>
          <w:rFonts w:ascii="Times New Roman" w:hAnsi="Times New Roman"/>
          <w:sz w:val="24"/>
          <w:szCs w:val="24"/>
        </w:rPr>
        <w:t xml:space="preserve">. Toma mayor fuerza la máxima orwelliana: “Ignorancia es fuerza”.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La única salida de representatividad que encuentra</w:t>
      </w:r>
      <w:r w:rsidR="00FA0194">
        <w:rPr>
          <w:rFonts w:ascii="Times New Roman" w:hAnsi="Times New Roman"/>
          <w:sz w:val="24"/>
          <w:szCs w:val="24"/>
        </w:rPr>
        <w:t>n</w:t>
      </w:r>
      <w:r w:rsidRPr="00616A87">
        <w:rPr>
          <w:rFonts w:ascii="Times New Roman" w:hAnsi="Times New Roman"/>
          <w:sz w:val="24"/>
          <w:szCs w:val="24"/>
        </w:rPr>
        <w:t xml:space="preserve"> los grupos dominados es a través del apoyo de un partido político. Apoyo </w:t>
      </w:r>
      <w:r w:rsidR="00FA0194">
        <w:rPr>
          <w:rFonts w:ascii="Times New Roman" w:hAnsi="Times New Roman"/>
          <w:sz w:val="24"/>
          <w:szCs w:val="24"/>
        </w:rPr>
        <w:t xml:space="preserve">que </w:t>
      </w:r>
      <w:r w:rsidRPr="00616A87">
        <w:rPr>
          <w:rFonts w:ascii="Times New Roman" w:hAnsi="Times New Roman"/>
          <w:sz w:val="24"/>
          <w:szCs w:val="24"/>
        </w:rPr>
        <w:t xml:space="preserve">sigue siendo a través de las urnas pero que no se consolida dentro de la estructura misma del Estado. Entonces, la participación de los movimientos sociales termina ahí, y la pugna por el poder, la guerra constante , es llevada a un plano “superior” donde lo único que se busca es la legitimación a través de una votación democrática, pero que, a su vez, no representa un paso primordial dentro de la lucha por la dominación. Eventualmente, los grupos de dominación política encontraran los mecanismos para hacerse del poder.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Los partidos políticos han servido como fuente para extinguir el pensamiento independiente. El apoyo que se busca por parte de los partidos políticos no ha radicado en un apoyo a la consolidación de una institucionalidad dentro del Estado, sino a un apoyo al partido como la “única” representación de los intereses del pueblo. Aunque esta representación esté divida en el número de partidos que han existido en cada momento político determinado. Orwell hablaba del partido único, pero manifestaba esta representación única bajo la formación de asociaciones política manifestadas a través de filosofías que son “apenas distinguibles, y los sistemas sociales que apoyan son absolutamente indistinguibles. En todo lado hay la misma estructura piramidal (y) la misma alabanza al líder semi-dios” (</w:t>
      </w:r>
      <w:r>
        <w:rPr>
          <w:rFonts w:ascii="Times New Roman" w:hAnsi="Times New Roman"/>
          <w:sz w:val="24"/>
          <w:szCs w:val="24"/>
        </w:rPr>
        <w:t>Orwell, 1983</w:t>
      </w:r>
      <w:r w:rsidRPr="00616A87">
        <w:rPr>
          <w:rFonts w:ascii="Times New Roman" w:hAnsi="Times New Roman"/>
          <w:sz w:val="24"/>
          <w:szCs w:val="24"/>
        </w:rPr>
        <w:t xml:space="preserve">, </w:t>
      </w:r>
      <w:r>
        <w:rPr>
          <w:rFonts w:ascii="Times New Roman" w:hAnsi="Times New Roman"/>
          <w:sz w:val="24"/>
          <w:szCs w:val="24"/>
        </w:rPr>
        <w:t>p.</w:t>
      </w:r>
      <w:r w:rsidRPr="00616A87">
        <w:rPr>
          <w:rFonts w:ascii="Times New Roman" w:hAnsi="Times New Roman"/>
          <w:sz w:val="24"/>
          <w:szCs w:val="24"/>
        </w:rPr>
        <w:t xml:space="preserve">162). No es necesario buscar el partido único cuando la variedad de partidos que nos representan son, en su esencia, indistinguibles entre ellos.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Sin embargo, estos partidos políticos han sabido adueñarse de las manifestaciones sociales y ser la identificación misma de grupos que buscan representación a través de los partidos o en la creación de los partidos. El partido se apoya en el mito para la creación de una identidad con su electorado y apropiarse del mismo. “Los mitos (…) ayudan a estructurar instituciones básicas para el funcionamiento del sistema político como son el nacionalismo, el republicanismo, el laicismo y sus opuesto, entre otros, y contribuyen a dotar a los agentes de identidad grupal, </w:t>
      </w:r>
      <w:r w:rsidRPr="00616A87">
        <w:rPr>
          <w:rFonts w:ascii="Times New Roman" w:hAnsi="Times New Roman"/>
          <w:sz w:val="24"/>
          <w:szCs w:val="24"/>
        </w:rPr>
        <w:lastRenderedPageBreak/>
        <w:t>haciéndoles adquirir</w:t>
      </w:r>
      <w:r w:rsidR="00AF4698">
        <w:rPr>
          <w:rFonts w:ascii="Times New Roman" w:hAnsi="Times New Roman"/>
          <w:sz w:val="24"/>
          <w:szCs w:val="24"/>
        </w:rPr>
        <w:t xml:space="preserve"> un sentir y una forma de actuar colectivo</w:t>
      </w:r>
      <w:r w:rsidRPr="00616A87">
        <w:rPr>
          <w:rFonts w:ascii="Times New Roman" w:hAnsi="Times New Roman"/>
          <w:sz w:val="24"/>
          <w:szCs w:val="24"/>
        </w:rPr>
        <w:t xml:space="preserve">” (Alcántara, 2008, </w:t>
      </w:r>
      <w:r>
        <w:rPr>
          <w:rFonts w:ascii="Times New Roman" w:hAnsi="Times New Roman"/>
          <w:sz w:val="24"/>
          <w:szCs w:val="24"/>
        </w:rPr>
        <w:t>p.</w:t>
      </w:r>
      <w:r w:rsidRPr="00616A87">
        <w:rPr>
          <w:rFonts w:ascii="Times New Roman" w:hAnsi="Times New Roman"/>
          <w:sz w:val="24"/>
          <w:szCs w:val="24"/>
        </w:rPr>
        <w:t xml:space="preserve">14). Es decir, ayudan a la construcción de una cultura política dentro de un determinado sistema político.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Este mito viene conjugado con un supuesto perfil ideológico que determina la condición de cada uno de los partidos. El interés real por pertenecer a un partido, o por la creación de un partido, no radica en cimentar un movimiento político que proyectará y velera por una tendencia o una ideología definida. No ha sido el papel de los partidos el de “vincular la estructura formal del sistema político con los distintos elementos de la sociedad civil” (Sánchez, 2008, </w:t>
      </w:r>
      <w:r>
        <w:rPr>
          <w:rFonts w:ascii="Times New Roman" w:hAnsi="Times New Roman"/>
          <w:sz w:val="24"/>
          <w:szCs w:val="24"/>
        </w:rPr>
        <w:t>p.</w:t>
      </w:r>
      <w:r w:rsidRPr="00616A87">
        <w:rPr>
          <w:rFonts w:ascii="Times New Roman" w:hAnsi="Times New Roman"/>
          <w:sz w:val="24"/>
          <w:szCs w:val="24"/>
        </w:rPr>
        <w:t xml:space="preserve">36).  Pero la idea de de una democracia partidista, o de una representación democrática a través del partido político, afianzó el interés de los grupos de dominación por encontrar mecanismo para hacerse, o tener injerencia activa y efectiva, dentro de los partidos políticos. Y fue el mismo periodo de transición que dejó como herencia “un sistema que entregaba el monopolio legal de la participación y representación a los partidos políticos”. (Sánchez, 2008, </w:t>
      </w:r>
      <w:r>
        <w:rPr>
          <w:rFonts w:ascii="Times New Roman" w:hAnsi="Times New Roman"/>
          <w:sz w:val="24"/>
          <w:szCs w:val="24"/>
        </w:rPr>
        <w:t>p.</w:t>
      </w:r>
      <w:r w:rsidRPr="00616A87">
        <w:rPr>
          <w:rFonts w:ascii="Times New Roman" w:hAnsi="Times New Roman"/>
          <w:sz w:val="24"/>
          <w:szCs w:val="24"/>
        </w:rPr>
        <w:t xml:space="preserve">39) Y con esto fue posible eliminar ciertos grupos minoritarios a inicios de la década de los ochenta y permitir la adhesión de los mismos a partidos más grandes.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Legalmente, existieron los mecanismos para crear un proceso democrático dentro de los partidos políticos. “Con la intención de frenar el personalismo (…) en el Ecuador, se limitó a dos años la permanencia del dirigente máximo en la conducción del partido y solo podía ser reelegido una vez en el futuro, una vez que haya transcurrido un período, por otro período de dos años más” (Sánchez, 2008, </w:t>
      </w:r>
      <w:r>
        <w:rPr>
          <w:rFonts w:ascii="Times New Roman" w:hAnsi="Times New Roman"/>
          <w:sz w:val="24"/>
          <w:szCs w:val="24"/>
        </w:rPr>
        <w:t>p.</w:t>
      </w:r>
      <w:r w:rsidRPr="00616A87">
        <w:rPr>
          <w:rFonts w:ascii="Times New Roman" w:hAnsi="Times New Roman"/>
          <w:sz w:val="24"/>
          <w:szCs w:val="24"/>
        </w:rPr>
        <w:t xml:space="preserve">42). Más allá de determinar si estos mecanismos efectivamente eran llevados a cabo, es importante determinar la importancia que se ha dado a la figura del líder del partido. El caudillismo político tiene evidentes manifestaciones en todos los sectores de la sociedad y a la vez ha generado una tendencia de líderes político a querer contar con su partido político propio. Lo que Conaghan bautizaría como </w:t>
      </w:r>
      <w:r w:rsidRPr="00616A87">
        <w:rPr>
          <w:rFonts w:ascii="Times New Roman" w:hAnsi="Times New Roman"/>
          <w:i/>
          <w:sz w:val="24"/>
          <w:szCs w:val="24"/>
        </w:rPr>
        <w:t>huasipungo</w:t>
      </w:r>
      <w:r w:rsidRPr="00616A87">
        <w:rPr>
          <w:rFonts w:ascii="Times New Roman" w:hAnsi="Times New Roman"/>
          <w:sz w:val="24"/>
          <w:szCs w:val="24"/>
        </w:rPr>
        <w:t xml:space="preserve"> político (Sánchez, 2008).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La relación que podemos encontrar entre los partidos políticos y la sociedad civil determinará el verdadero fin del partido político y, más importante aún, determinará el </w:t>
      </w:r>
      <w:r w:rsidRPr="00616A87">
        <w:rPr>
          <w:rFonts w:ascii="Times New Roman" w:hAnsi="Times New Roman"/>
          <w:i/>
          <w:sz w:val="24"/>
          <w:szCs w:val="24"/>
        </w:rPr>
        <w:t>modus operandi</w:t>
      </w:r>
      <w:r w:rsidRPr="00616A87">
        <w:rPr>
          <w:rFonts w:ascii="Times New Roman" w:hAnsi="Times New Roman"/>
          <w:sz w:val="24"/>
          <w:szCs w:val="24"/>
        </w:rPr>
        <w:t xml:space="preserve"> de los partidos políticos. Por tanto que es </w:t>
      </w:r>
      <w:r w:rsidRPr="00616A87">
        <w:rPr>
          <w:rFonts w:ascii="Times New Roman" w:hAnsi="Times New Roman"/>
          <w:sz w:val="24"/>
          <w:szCs w:val="24"/>
        </w:rPr>
        <w:lastRenderedPageBreak/>
        <w:t>necesario hacer una clasificación de los partidos políticos y su reacción a “las distintas manera de regulara la estructura orgánica del estado y (…) las relaciones jurídicas y económicas entre la autoridad estatal y los ciudadano</w:t>
      </w:r>
      <w:r w:rsidR="0029649B">
        <w:rPr>
          <w:rFonts w:ascii="Times New Roman" w:hAnsi="Times New Roman"/>
          <w:sz w:val="24"/>
          <w:szCs w:val="24"/>
        </w:rPr>
        <w:t>s</w:t>
      </w:r>
      <w:r w:rsidRPr="00616A87">
        <w:rPr>
          <w:rFonts w:ascii="Times New Roman" w:hAnsi="Times New Roman"/>
          <w:sz w:val="24"/>
          <w:szCs w:val="24"/>
        </w:rPr>
        <w:t xml:space="preserve"> y las de estos entre sí”</w:t>
      </w:r>
      <w:r w:rsidR="00A937EE">
        <w:rPr>
          <w:rFonts w:ascii="Times New Roman" w:hAnsi="Times New Roman"/>
          <w:sz w:val="24"/>
          <w:szCs w:val="24"/>
        </w:rPr>
        <w:t>.</w:t>
      </w:r>
      <w:r w:rsidRPr="00616A87">
        <w:rPr>
          <w:rFonts w:ascii="Times New Roman" w:hAnsi="Times New Roman"/>
          <w:sz w:val="24"/>
          <w:szCs w:val="24"/>
        </w:rPr>
        <w:t xml:space="preserve"> (Quintero, 2005, </w:t>
      </w:r>
      <w:r>
        <w:rPr>
          <w:rFonts w:ascii="Times New Roman" w:hAnsi="Times New Roman"/>
          <w:sz w:val="24"/>
          <w:szCs w:val="24"/>
        </w:rPr>
        <w:t>p.</w:t>
      </w:r>
      <w:r w:rsidRPr="00616A87">
        <w:rPr>
          <w:rFonts w:ascii="Times New Roman" w:hAnsi="Times New Roman"/>
          <w:sz w:val="24"/>
          <w:szCs w:val="24"/>
        </w:rPr>
        <w:t xml:space="preserve">37) Entender su respuesta a los problemas y las tendencias globales y su visión hacia las relaciones de modernización del Estado “como forma orgánica capaz de proporcionar una dirección de carácter universalista (…) al conjunto de los intereses (…) que constituyen a la nación” (Bustamante, 1984, </w:t>
      </w:r>
      <w:r>
        <w:rPr>
          <w:rFonts w:ascii="Times New Roman" w:hAnsi="Times New Roman"/>
          <w:sz w:val="24"/>
          <w:szCs w:val="24"/>
        </w:rPr>
        <w:t>p.</w:t>
      </w:r>
      <w:r w:rsidRPr="00616A87">
        <w:rPr>
          <w:rFonts w:ascii="Times New Roman" w:hAnsi="Times New Roman"/>
          <w:sz w:val="24"/>
          <w:szCs w:val="24"/>
        </w:rPr>
        <w:t xml:space="preserve">151)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Bustamante (Bustamante, 1984) determina una clasificación de los partidos políticos que va:</w:t>
      </w:r>
    </w:p>
    <w:p w:rsidR="00A00E75" w:rsidRPr="00616A87" w:rsidRDefault="00A00E75" w:rsidP="00616A87">
      <w:pPr>
        <w:pStyle w:val="Prrafodelista1"/>
        <w:numPr>
          <w:ilvl w:val="0"/>
          <w:numId w:val="3"/>
        </w:numPr>
        <w:spacing w:line="360" w:lineRule="auto"/>
        <w:ind w:left="0" w:firstLine="0"/>
        <w:jc w:val="both"/>
        <w:rPr>
          <w:rFonts w:ascii="Times New Roman" w:hAnsi="Times New Roman"/>
          <w:sz w:val="24"/>
          <w:szCs w:val="24"/>
        </w:rPr>
      </w:pPr>
      <w:r w:rsidRPr="00616A87">
        <w:rPr>
          <w:rFonts w:ascii="Times New Roman" w:hAnsi="Times New Roman"/>
          <w:sz w:val="24"/>
          <w:szCs w:val="24"/>
        </w:rPr>
        <w:t>Derecha extrema (PSC, PC)</w:t>
      </w:r>
    </w:p>
    <w:p w:rsidR="00A00E75" w:rsidRPr="00616A87" w:rsidRDefault="00A00E75" w:rsidP="00616A87">
      <w:pPr>
        <w:pStyle w:val="Prrafodelista1"/>
        <w:numPr>
          <w:ilvl w:val="0"/>
          <w:numId w:val="3"/>
        </w:numPr>
        <w:spacing w:line="360" w:lineRule="auto"/>
        <w:ind w:left="0" w:firstLine="0"/>
        <w:jc w:val="both"/>
        <w:rPr>
          <w:rFonts w:ascii="Times New Roman" w:hAnsi="Times New Roman"/>
          <w:sz w:val="24"/>
          <w:szCs w:val="24"/>
        </w:rPr>
      </w:pPr>
      <w:r w:rsidRPr="00616A87">
        <w:rPr>
          <w:rFonts w:ascii="Times New Roman" w:hAnsi="Times New Roman"/>
          <w:sz w:val="24"/>
          <w:szCs w:val="24"/>
        </w:rPr>
        <w:t>Derecha moderada (PL, CID, “velasquismo”)</w:t>
      </w:r>
    </w:p>
    <w:p w:rsidR="00A00E75" w:rsidRPr="00616A87" w:rsidRDefault="00A00E75" w:rsidP="00616A87">
      <w:pPr>
        <w:pStyle w:val="Prrafodelista1"/>
        <w:numPr>
          <w:ilvl w:val="0"/>
          <w:numId w:val="3"/>
        </w:numPr>
        <w:spacing w:line="360" w:lineRule="auto"/>
        <w:ind w:left="0" w:firstLine="0"/>
        <w:jc w:val="both"/>
        <w:rPr>
          <w:rFonts w:ascii="Times New Roman" w:hAnsi="Times New Roman"/>
          <w:sz w:val="24"/>
          <w:szCs w:val="24"/>
        </w:rPr>
      </w:pPr>
      <w:r w:rsidRPr="00616A87">
        <w:rPr>
          <w:rFonts w:ascii="Times New Roman" w:hAnsi="Times New Roman"/>
          <w:sz w:val="24"/>
          <w:szCs w:val="24"/>
        </w:rPr>
        <w:t>Centro (PNR, FRA)</w:t>
      </w:r>
    </w:p>
    <w:p w:rsidR="00A00E75" w:rsidRPr="00616A87" w:rsidRDefault="00A00E75" w:rsidP="00616A87">
      <w:pPr>
        <w:pStyle w:val="Prrafodelista1"/>
        <w:numPr>
          <w:ilvl w:val="0"/>
          <w:numId w:val="3"/>
        </w:numPr>
        <w:spacing w:line="360" w:lineRule="auto"/>
        <w:ind w:left="0" w:firstLine="0"/>
        <w:jc w:val="both"/>
        <w:rPr>
          <w:rFonts w:ascii="Times New Roman" w:hAnsi="Times New Roman"/>
          <w:sz w:val="24"/>
          <w:szCs w:val="24"/>
        </w:rPr>
      </w:pPr>
      <w:r w:rsidRPr="00616A87">
        <w:rPr>
          <w:rFonts w:ascii="Times New Roman" w:hAnsi="Times New Roman"/>
          <w:sz w:val="24"/>
          <w:szCs w:val="24"/>
        </w:rPr>
        <w:t>Centro izquierda (ID, APRE)</w:t>
      </w:r>
    </w:p>
    <w:p w:rsidR="00A00E75" w:rsidRPr="00616A87" w:rsidRDefault="00A00E75" w:rsidP="00616A87">
      <w:pPr>
        <w:pStyle w:val="Prrafodelista1"/>
        <w:numPr>
          <w:ilvl w:val="0"/>
          <w:numId w:val="3"/>
        </w:numPr>
        <w:spacing w:line="360" w:lineRule="auto"/>
        <w:ind w:left="0" w:firstLine="0"/>
        <w:jc w:val="both"/>
        <w:rPr>
          <w:rFonts w:ascii="Times New Roman" w:hAnsi="Times New Roman"/>
          <w:sz w:val="24"/>
          <w:szCs w:val="24"/>
        </w:rPr>
      </w:pPr>
      <w:r w:rsidRPr="00616A87">
        <w:rPr>
          <w:rFonts w:ascii="Times New Roman" w:hAnsi="Times New Roman"/>
          <w:sz w:val="24"/>
          <w:szCs w:val="24"/>
        </w:rPr>
        <w:t>Izquierda no marxista (PCD, DP, PD, PRE)</w:t>
      </w:r>
    </w:p>
    <w:p w:rsidR="00A00E75" w:rsidRPr="00616A87" w:rsidRDefault="00A00E75" w:rsidP="00616A87">
      <w:pPr>
        <w:pStyle w:val="Prrafodelista1"/>
        <w:numPr>
          <w:ilvl w:val="0"/>
          <w:numId w:val="3"/>
        </w:numPr>
        <w:spacing w:line="360" w:lineRule="auto"/>
        <w:ind w:left="0" w:firstLine="0"/>
        <w:jc w:val="both"/>
        <w:rPr>
          <w:rFonts w:ascii="Times New Roman" w:hAnsi="Times New Roman"/>
          <w:sz w:val="24"/>
          <w:szCs w:val="24"/>
        </w:rPr>
      </w:pPr>
      <w:r w:rsidRPr="00616A87">
        <w:rPr>
          <w:rFonts w:ascii="Times New Roman" w:hAnsi="Times New Roman"/>
          <w:sz w:val="24"/>
          <w:szCs w:val="24"/>
        </w:rPr>
        <w:t>Izquierda extrema (MPD, PSE, UDP)</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Los partidos van desde la representación del “maximalismo burgués” (PSC) hasta los que se restringen a una concepción clasista el Estado (PS). Si bien la calificación es, desde una concepción ideológica, correcta; es necesario entender que estas afinidades ideológicas han pasado a ser un requerimiento, un formalismo, ante el Tribunal Electoral</w:t>
      </w:r>
      <w:r w:rsidRPr="00616A87">
        <w:rPr>
          <w:rStyle w:val="Refdenotaalpie"/>
          <w:rFonts w:ascii="Times New Roman" w:hAnsi="Times New Roman"/>
          <w:sz w:val="24"/>
          <w:szCs w:val="24"/>
        </w:rPr>
        <w:footnoteReference w:id="29"/>
      </w:r>
      <w:r w:rsidRPr="00616A87">
        <w:rPr>
          <w:rFonts w:ascii="Times New Roman" w:hAnsi="Times New Roman"/>
          <w:sz w:val="24"/>
          <w:szCs w:val="24"/>
        </w:rPr>
        <w:t xml:space="preserve">. “Y esto, porque muchos </w:t>
      </w:r>
      <w:r w:rsidRPr="00616A87">
        <w:rPr>
          <w:rFonts w:ascii="Times New Roman" w:hAnsi="Times New Roman"/>
          <w:i/>
          <w:sz w:val="24"/>
          <w:szCs w:val="24"/>
        </w:rPr>
        <w:t>programas doctrinarios</w:t>
      </w:r>
      <w:r w:rsidRPr="00616A87">
        <w:rPr>
          <w:rFonts w:ascii="Times New Roman" w:hAnsi="Times New Roman"/>
          <w:sz w:val="24"/>
          <w:szCs w:val="24"/>
        </w:rPr>
        <w:t xml:space="preserve"> se escriben y difunden con el propósito de presentar una imagen del partido al electorado, y no como una delineación de acciones a ser ejecutadas a futuro” (Quintero, 2005, </w:t>
      </w:r>
      <w:r>
        <w:rPr>
          <w:rFonts w:ascii="Times New Roman" w:hAnsi="Times New Roman"/>
          <w:sz w:val="24"/>
          <w:szCs w:val="24"/>
        </w:rPr>
        <w:t>p.</w:t>
      </w:r>
      <w:r w:rsidRPr="00616A87">
        <w:rPr>
          <w:rFonts w:ascii="Times New Roman" w:hAnsi="Times New Roman"/>
          <w:sz w:val="24"/>
          <w:szCs w:val="24"/>
        </w:rPr>
        <w:t xml:space="preserve">42). No podemos pensar que lo expuesto por los grupos políticos como “tesis” (o como propuesta de campaña) será su posición real frente a los problemas centrales del país o el manejo de sus relaciones dentro del aparato del Estado.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lastRenderedPageBreak/>
        <w:t>Los partidos, independiente de la fogosidad con la que puedan adscribirse ideológicamente, operaran buscando lo que mejor represente los intereses individuales, sea o no contrario a lo prometido en campaña o la visión política por la que se votó, y lo que mejor termine por consolidarlos dentro de los grupos de dominación. Como ejemplo, el caso de cierta fracción del Partido Socialista que, pese a “proclamar ‘los postulados de la filosofía marxista’”, apoy</w:t>
      </w:r>
      <w:r w:rsidR="00101696">
        <w:rPr>
          <w:rFonts w:ascii="Times New Roman" w:hAnsi="Times New Roman"/>
          <w:sz w:val="24"/>
          <w:szCs w:val="24"/>
        </w:rPr>
        <w:t>ó</w:t>
      </w:r>
      <w:r w:rsidRPr="00616A87">
        <w:rPr>
          <w:rFonts w:ascii="Times New Roman" w:hAnsi="Times New Roman"/>
          <w:sz w:val="24"/>
          <w:szCs w:val="24"/>
        </w:rPr>
        <w:t xml:space="preserve">, en la práctica, a la candidatura de Sixto Durán Ballén. (Quintero, 2005, </w:t>
      </w:r>
      <w:r>
        <w:rPr>
          <w:rFonts w:ascii="Times New Roman" w:hAnsi="Times New Roman"/>
          <w:sz w:val="24"/>
          <w:szCs w:val="24"/>
        </w:rPr>
        <w:t>p.</w:t>
      </w:r>
      <w:r w:rsidRPr="00616A87">
        <w:rPr>
          <w:rFonts w:ascii="Times New Roman" w:hAnsi="Times New Roman"/>
          <w:sz w:val="24"/>
          <w:szCs w:val="24"/>
        </w:rPr>
        <w:t xml:space="preserve">45). Un ejemplo más reciente es el del Partido Sociedad Patriótica 21 de Enero, cuyo programa político, escrito por intelectuales ecuatorianos de izquierda y progresistas, “resultó ser únicamente una pieza más de mercadotecnia electoral del candidato presidencial y un imán de atracción para fraguar la requerida alianza con el movimiento indígena y sectores de izquierda” (Quintero, 2005, </w:t>
      </w:r>
      <w:r>
        <w:rPr>
          <w:rFonts w:ascii="Times New Roman" w:hAnsi="Times New Roman"/>
          <w:sz w:val="24"/>
          <w:szCs w:val="24"/>
        </w:rPr>
        <w:t>p.</w:t>
      </w:r>
      <w:r w:rsidRPr="00616A87">
        <w:rPr>
          <w:rFonts w:ascii="Times New Roman" w:hAnsi="Times New Roman"/>
          <w:sz w:val="24"/>
          <w:szCs w:val="24"/>
        </w:rPr>
        <w:t xml:space="preserve">46). El comportamiento post-electoral del presidente Lucio Gutiérrez habría demostrado lo contrario.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Orwell declara que “de cierta manera, </w:t>
      </w:r>
      <w:r w:rsidR="00A937EE">
        <w:rPr>
          <w:rFonts w:ascii="Times New Roman" w:hAnsi="Times New Roman"/>
          <w:sz w:val="24"/>
          <w:szCs w:val="24"/>
        </w:rPr>
        <w:t>la</w:t>
      </w:r>
      <w:r w:rsidRPr="00616A87">
        <w:rPr>
          <w:rFonts w:ascii="Times New Roman" w:hAnsi="Times New Roman"/>
          <w:sz w:val="24"/>
          <w:szCs w:val="24"/>
        </w:rPr>
        <w:t xml:space="preserve"> visión global del Partido se ha impuesto con mayor éxito en personas incapaces de entenderla” (</w:t>
      </w:r>
      <w:r>
        <w:rPr>
          <w:rFonts w:ascii="Times New Roman" w:hAnsi="Times New Roman"/>
          <w:sz w:val="24"/>
          <w:szCs w:val="24"/>
        </w:rPr>
        <w:t>Orwell, 1983</w:t>
      </w:r>
      <w:r w:rsidRPr="00616A87">
        <w:rPr>
          <w:rFonts w:ascii="Times New Roman" w:hAnsi="Times New Roman"/>
          <w:sz w:val="24"/>
          <w:szCs w:val="24"/>
        </w:rPr>
        <w:t xml:space="preserve">, </w:t>
      </w:r>
      <w:r>
        <w:rPr>
          <w:rFonts w:ascii="Times New Roman" w:hAnsi="Times New Roman"/>
          <w:sz w:val="24"/>
          <w:szCs w:val="24"/>
        </w:rPr>
        <w:t>p.</w:t>
      </w:r>
      <w:r w:rsidRPr="00616A87">
        <w:rPr>
          <w:rFonts w:ascii="Times New Roman" w:hAnsi="Times New Roman"/>
          <w:sz w:val="24"/>
          <w:szCs w:val="24"/>
        </w:rPr>
        <w:t xml:space="preserve">129). Y esta ignorancia, traducida también en indiferencia, es lo que permite que tanto los partidos como los grupos de poder, puedan actuar libremente en sus afanes de dominación política. </w:t>
      </w:r>
      <w:r w:rsidRPr="00616A87">
        <w:rPr>
          <w:rFonts w:ascii="Times New Roman" w:hAnsi="Times New Roman"/>
          <w:i/>
          <w:sz w:val="24"/>
          <w:szCs w:val="24"/>
        </w:rPr>
        <w:t>Ergo</w:t>
      </w:r>
      <w:r w:rsidRPr="00616A87">
        <w:rPr>
          <w:rFonts w:ascii="Times New Roman" w:hAnsi="Times New Roman"/>
          <w:sz w:val="24"/>
          <w:szCs w:val="24"/>
        </w:rPr>
        <w:t xml:space="preserve">, la “ignorancia es fuerza”. Por lo tanto, resulta necesario que el partido se consolide, organizacional y estructuralmente, de una manera determinada que les permite llegar, desde </w:t>
      </w:r>
      <w:r w:rsidR="00A937EE">
        <w:rPr>
          <w:rFonts w:ascii="Times New Roman" w:hAnsi="Times New Roman"/>
          <w:sz w:val="24"/>
          <w:szCs w:val="24"/>
        </w:rPr>
        <w:t>la</w:t>
      </w:r>
      <w:r w:rsidRPr="00616A87">
        <w:rPr>
          <w:rFonts w:ascii="Times New Roman" w:hAnsi="Times New Roman"/>
          <w:sz w:val="24"/>
          <w:szCs w:val="24"/>
        </w:rPr>
        <w:t xml:space="preserve"> emocionalidad política, al elector. “Los movimientos políticos oscilan entre el espontaneísmo y la organización; la ambigüedad ideológica de su programa y su concreción; la relación inmediata entre los líderes y las masas; el llamado ora emocional, ora simbólico y mítico de su programa y la llaneza de sus deseos; la heterogeneidad de la composición de la masa movilizada (…) y el origen, muchas veces engañoso, de su líder o “jefe máximo” (Quintero, 2005, </w:t>
      </w:r>
      <w:r>
        <w:rPr>
          <w:rFonts w:ascii="Times New Roman" w:hAnsi="Times New Roman"/>
          <w:sz w:val="24"/>
          <w:szCs w:val="24"/>
        </w:rPr>
        <w:t>p.</w:t>
      </w:r>
      <w:r w:rsidRPr="00616A87">
        <w:rPr>
          <w:rFonts w:ascii="Times New Roman" w:hAnsi="Times New Roman"/>
          <w:sz w:val="24"/>
          <w:szCs w:val="24"/>
        </w:rPr>
        <w:t xml:space="preserve">47).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El partido se crea, entonces, como un instrumento más para la dominación. La carencia absoluta de alguna conexión entre una línea ideológica y su accionar político explica la necesidad de encontrar </w:t>
      </w:r>
      <w:r w:rsidR="00101696">
        <w:rPr>
          <w:rFonts w:ascii="Times New Roman" w:hAnsi="Times New Roman"/>
          <w:sz w:val="24"/>
          <w:szCs w:val="24"/>
        </w:rPr>
        <w:t xml:space="preserve">el </w:t>
      </w:r>
      <w:r w:rsidRPr="00616A87">
        <w:rPr>
          <w:rFonts w:ascii="Times New Roman" w:hAnsi="Times New Roman"/>
          <w:sz w:val="24"/>
          <w:szCs w:val="24"/>
        </w:rPr>
        <w:t xml:space="preserve">mecanismo para controlar el manejo organizacional y político del Estado, tanto más cuando esto supone prebendas para aquellos que “auspician” a dichos partidos. Lo cual no es una práctica </w:t>
      </w:r>
      <w:r w:rsidRPr="00616A87">
        <w:rPr>
          <w:rFonts w:ascii="Times New Roman" w:hAnsi="Times New Roman"/>
          <w:sz w:val="24"/>
          <w:szCs w:val="24"/>
        </w:rPr>
        <w:lastRenderedPageBreak/>
        <w:t xml:space="preserve">endémica. En países como Estados Unidos, el </w:t>
      </w:r>
      <w:r w:rsidRPr="00616A87">
        <w:rPr>
          <w:rFonts w:ascii="Times New Roman" w:hAnsi="Times New Roman"/>
          <w:i/>
          <w:sz w:val="24"/>
          <w:szCs w:val="24"/>
        </w:rPr>
        <w:t>lobbying</w:t>
      </w:r>
      <w:r w:rsidRPr="00616A87">
        <w:rPr>
          <w:rFonts w:ascii="Times New Roman" w:hAnsi="Times New Roman"/>
          <w:sz w:val="24"/>
          <w:szCs w:val="24"/>
        </w:rPr>
        <w:t xml:space="preserve"> (cabildeo) son prácticas amparadas dentro del marco legal y se producen, en la mayoría de los casos, de manera transparente. El votante está al tanto de las empresas, corporaciones y los intereses que rondan los curules de Washington. Es decir, parte de la sociedad civil, la parte más acaudalada sin duda, busca esa representación política dentro del Congreso norteamericano y lo hace con la venia del resto de esa sociedad civil. Una visión errónea del cabildeo en el Ecuador, ha terminado por criminalizar una práctica que, de todas maneras, se vuelve común dentro del Congreso. Esta criminalización y la necesidad de esconder cualquier influencia que pueda tener un asambleísta para votar, vuelve más difícil de prever la verdadera intencionalidad de cada uno de los representantes políticos. Al final del día, las prácticas se dan, pero se dan entre bastidores. El elector no tiene acceso a los intereses que está priorizando el candidato por el cual votó, y esta libertad permite a los grupos de dominación entrar, de manera discreta para no empañar el andamiaje comunicacional creado alrededor de un candidato, dentro de las esferas ejecutorias y prioritarias dentro de la organización del Estado.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No por lo descrito anteriormente, sin embargo, dejan de existir ejercicios de libertad dentro de los movimientos políticos independientes. Pero aún estos movimientos terminan por ser absorbidos por el sistema y la burocracia innata del sector político. “Es probable que tratándose de algún movimiento político anti-</w:t>
      </w:r>
      <w:r w:rsidRPr="00616A87">
        <w:rPr>
          <w:rFonts w:ascii="Times New Roman" w:hAnsi="Times New Roman"/>
          <w:i/>
          <w:sz w:val="24"/>
          <w:szCs w:val="24"/>
        </w:rPr>
        <w:t>status quo</w:t>
      </w:r>
      <w:r w:rsidRPr="00616A87">
        <w:rPr>
          <w:rFonts w:ascii="Times New Roman" w:hAnsi="Times New Roman"/>
          <w:sz w:val="24"/>
          <w:szCs w:val="24"/>
        </w:rPr>
        <w:t xml:space="preserve">, los grupos dominantes cedan, incluso, algunas posiciones y lleguen hasta la posibilidad de participación en el movimiento insurreccional, incluida la participación límite de la </w:t>
      </w:r>
      <w:r w:rsidRPr="00616A87">
        <w:rPr>
          <w:rFonts w:ascii="Times New Roman" w:hAnsi="Times New Roman"/>
          <w:i/>
          <w:sz w:val="24"/>
          <w:szCs w:val="24"/>
        </w:rPr>
        <w:t xml:space="preserve">coalición, </w:t>
      </w:r>
      <w:r w:rsidRPr="00616A87">
        <w:rPr>
          <w:rFonts w:ascii="Times New Roman" w:hAnsi="Times New Roman"/>
          <w:sz w:val="24"/>
          <w:szCs w:val="24"/>
        </w:rPr>
        <w:t>de modo tal que el movimiento de masas pierda su potencial anti-</w:t>
      </w:r>
      <w:r w:rsidRPr="00616A87">
        <w:rPr>
          <w:rFonts w:ascii="Times New Roman" w:hAnsi="Times New Roman"/>
          <w:i/>
          <w:sz w:val="24"/>
          <w:szCs w:val="24"/>
        </w:rPr>
        <w:t>status quo</w:t>
      </w:r>
      <w:r w:rsidRPr="00616A87">
        <w:rPr>
          <w:rFonts w:ascii="Times New Roman" w:hAnsi="Times New Roman"/>
          <w:sz w:val="24"/>
          <w:szCs w:val="24"/>
        </w:rPr>
        <w:t xml:space="preserve">.” (Quintero, 2005, </w:t>
      </w:r>
      <w:r>
        <w:rPr>
          <w:rFonts w:ascii="Times New Roman" w:hAnsi="Times New Roman"/>
          <w:sz w:val="24"/>
          <w:szCs w:val="24"/>
        </w:rPr>
        <w:t>p.</w:t>
      </w:r>
      <w:r w:rsidRPr="00616A87">
        <w:rPr>
          <w:rFonts w:ascii="Times New Roman" w:hAnsi="Times New Roman"/>
          <w:sz w:val="24"/>
          <w:szCs w:val="24"/>
        </w:rPr>
        <w:t xml:space="preserve">48) Y los movimientos aglutinantes de pequeñas organizaciones políticas también tienen una tendencia a absorber a estas organizaciones que buscan una cuota de influencia política, social y cultural, y que la encuentran dentro de estas facciones más grandes. Si las facciones no son guiadas por la misma propuesta ideológica que pregonan, por lo menos en el formalismo, entonces los movimientos serán compuestos por las más diversas tendencias, contradictorias entre ellas, y carentes de cualquier tipo de autonomía.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lastRenderedPageBreak/>
        <w:t xml:space="preserve">Dentro de la historia política moderna en el Ecuador se ha basado en una falta de fidelidad del electorado a los distintos partidos y pugnas internas entre los liderazgos. Esto como consecuencia de partidos que se mantiene “por encima” de la representación, ajenas a los mecanismos de participación ciudadana y llevados por un interés puro de concentrar poder y mantener el estatus quo de los grupos de dominación.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La Constitución aprobada en 1978 “aseguraba a los partidos políticos la exclusividad de la participación electoral”, limitando la participación de otros sectores por los requerimientos que había que cumplir para la conformación de dichos partidos. Requerimientos que, entre otras cosas, manifestaban la necesidad de un capital noasequible por muchas organizaciones sociales. Sánchez cita a Andrés Mejía (2002) cuando define que “el umbral de afiliados requeridos para constituir un partido era originalmente del 0,5% del padrón electoral, pero los militares deliberadamente lo triplicaron el 1,5% con el cual eliminaron dos partidos de izquierda que no reunían el número de afiliados”. Estas manipulaciones, conjugadas con la falta total de un compromiso de los partidos políticos con </w:t>
      </w:r>
      <w:r w:rsidR="00A937EE">
        <w:rPr>
          <w:rFonts w:ascii="Times New Roman" w:hAnsi="Times New Roman"/>
          <w:sz w:val="24"/>
          <w:szCs w:val="24"/>
        </w:rPr>
        <w:t xml:space="preserve">el </w:t>
      </w:r>
      <w:r w:rsidRPr="00616A87">
        <w:rPr>
          <w:rFonts w:ascii="Times New Roman" w:hAnsi="Times New Roman"/>
          <w:sz w:val="24"/>
          <w:szCs w:val="24"/>
        </w:rPr>
        <w:t xml:space="preserve">electorado definieron el “retorno a la democracia” y el funcionamiento del quehacer político dominado por ciertos grupos de poder.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Durante las primeras elecciones después de la dictadura, entre los partidos más representativos que lograron el registro electoral estaban el Partido Conservador Ecuatoriano (PCE) como representante de la derecha tradicional; la Concertación de Fuerza populares (CFP) como una representación viva del populismo contagioso de los sesenta; el Partido Social Cristiano (PSC) que iniciaba una transición regional hacia la Costa con la presencia de León Febres Cordero; y </w:t>
      </w:r>
      <w:r w:rsidR="00101696">
        <w:rPr>
          <w:rFonts w:ascii="Times New Roman" w:hAnsi="Times New Roman"/>
          <w:sz w:val="24"/>
          <w:szCs w:val="24"/>
        </w:rPr>
        <w:t>la</w:t>
      </w:r>
      <w:r w:rsidRPr="00616A87">
        <w:rPr>
          <w:rFonts w:ascii="Times New Roman" w:hAnsi="Times New Roman"/>
          <w:sz w:val="24"/>
          <w:szCs w:val="24"/>
        </w:rPr>
        <w:t xml:space="preserve"> Izquierda Democrática (ID), que ya iba ganando terreno en la Sierra. Aparte de estos, hubo otros once partidos de menor representación, pero que eventualmente pudieron obtener algún puesto dentro del Congreso: Frente Radical Alfarista (FRA), la Unión Democrática Popular (UDP) eventualmente conocida como el Frente Amplio de Izquierda (FADI), el Movimiento Popular Democrático (MPD), entre otros.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lastRenderedPageBreak/>
        <w:t xml:space="preserve">Ya para las elecciones generales de 1984, el sistema de partidos “va tomando la forma que mantendría hasta 1996, más o menos” (Sánchez, 2008, </w:t>
      </w:r>
      <w:r>
        <w:rPr>
          <w:rFonts w:ascii="Times New Roman" w:hAnsi="Times New Roman"/>
          <w:sz w:val="24"/>
          <w:szCs w:val="24"/>
        </w:rPr>
        <w:t>p.</w:t>
      </w:r>
      <w:r w:rsidRPr="00616A87">
        <w:rPr>
          <w:rFonts w:ascii="Times New Roman" w:hAnsi="Times New Roman"/>
          <w:sz w:val="24"/>
          <w:szCs w:val="24"/>
        </w:rPr>
        <w:t>44). La ID, la Democracia Popular (DP), el PSC y aparece el Partido Roldosista Ecuatoriano (PRE), a la cabeza de Abadalá Bucaram, que en ese año obtuvo la alcaldía de Guayaquil. Los partidos más tradicionales comenzarían a desparecer: el PCE y el CF</w:t>
      </w:r>
      <w:r>
        <w:rPr>
          <w:rFonts w:ascii="Times New Roman" w:hAnsi="Times New Roman"/>
          <w:sz w:val="24"/>
          <w:szCs w:val="24"/>
        </w:rPr>
        <w:t>P.</w:t>
      </w:r>
      <w:r w:rsidRPr="00616A87">
        <w:rPr>
          <w:rFonts w:ascii="Times New Roman" w:hAnsi="Times New Roman"/>
          <w:sz w:val="24"/>
          <w:szCs w:val="24"/>
        </w:rPr>
        <w:t xml:space="preserve">En las elecciones de 1984 gana la ID el 34% de los escaños en el Congreso, pero es León Febres Cordero quien gana las elecciones, por el importante voto de la Costa que le favoreció. Para entonces las elecciones para diputados eran </w:t>
      </w:r>
      <w:r w:rsidR="00101696">
        <w:rPr>
          <w:rFonts w:ascii="Times New Roman" w:hAnsi="Times New Roman"/>
          <w:sz w:val="24"/>
          <w:szCs w:val="24"/>
        </w:rPr>
        <w:t>cada</w:t>
      </w:r>
      <w:r w:rsidRPr="00616A87">
        <w:rPr>
          <w:rFonts w:ascii="Times New Roman" w:hAnsi="Times New Roman"/>
          <w:sz w:val="24"/>
          <w:szCs w:val="24"/>
        </w:rPr>
        <w:t xml:space="preserve"> dos años (desde 1986 hasta 1994) y se mantuvo una constancia en los partidos que reunían los votos necesarios para tener un puesto en el Congreso. Sin embargo, el porcentaje de representatividad dentro del Congreso varió en gran manera. “Quizá por el impacto del gobierno conservador de Febres Cordero, se marcaron dos tendencia opuestas: por un lado, creció el voto de su partido, el PSC, que se consolidaba como primera fuerza de la derecha; mientras que por otro, creció el voto de los partidos de izquierda” (Sánchez, 2008, </w:t>
      </w:r>
      <w:r>
        <w:rPr>
          <w:rFonts w:ascii="Times New Roman" w:hAnsi="Times New Roman"/>
          <w:sz w:val="24"/>
          <w:szCs w:val="24"/>
        </w:rPr>
        <w:t>p.</w:t>
      </w:r>
      <w:r w:rsidRPr="00616A87">
        <w:rPr>
          <w:rFonts w:ascii="Times New Roman" w:hAnsi="Times New Roman"/>
          <w:sz w:val="24"/>
          <w:szCs w:val="24"/>
        </w:rPr>
        <w:t xml:space="preserve">46) Este crecimiento sirvió para que la ID, en 1988, consiguiera una victoria histórica al ganar las elecciones presidenciales (Rodrigo Borja derrotaría a Abdalá Bucaram en </w:t>
      </w:r>
      <w:r w:rsidR="00A937EE">
        <w:rPr>
          <w:rFonts w:ascii="Times New Roman" w:hAnsi="Times New Roman"/>
          <w:sz w:val="24"/>
          <w:szCs w:val="24"/>
        </w:rPr>
        <w:t>la</w:t>
      </w:r>
      <w:r w:rsidRPr="00616A87">
        <w:rPr>
          <w:rFonts w:ascii="Times New Roman" w:hAnsi="Times New Roman"/>
          <w:sz w:val="24"/>
          <w:szCs w:val="24"/>
        </w:rPr>
        <w:t xml:space="preserve"> segunda vuelta) y 30 de los 71 escaños en el Congreso. Estas elecciones también vieron el crecimiento del PRE, que generaba un conflicto maniqueo en la Costa del pueblo contra la oligarquía</w:t>
      </w:r>
      <w:r w:rsidRPr="001A2C0E">
        <w:rPr>
          <w:rFonts w:ascii="Times New Roman" w:hAnsi="Times New Roman"/>
          <w:sz w:val="24"/>
          <w:szCs w:val="24"/>
        </w:rPr>
        <w:t>. Conflictos que se acentuarán y pasarán a formar parte de la constante dentro de la política ecuatoriana.</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Para 1992, la fuerza que pudo haber tenido la ID ya había desaparecido y se vio la consolidación del PRE y PSC como los partidos más fuertes dentro del sistema político nacional. El problema que encontró el PSC fue la de tener dos líderes con posibilidades reales de ganar la Presidencia de la República. Por un lado, Jaime Nebot, parte de la línea modernizadora de su partido, afianzado como la nueva derecha de la Costa; por el otro, Sixto Durán Ballén, parte de la línea más tradicionalista del partido y cuya representatividad radicaba en la sierra. Al final, Durán Ballén se impuso en las elecciones tras la adopción de un partido </w:t>
      </w:r>
      <w:r w:rsidRPr="00616A87">
        <w:rPr>
          <w:rFonts w:ascii="Times New Roman" w:hAnsi="Times New Roman"/>
          <w:sz w:val="24"/>
          <w:szCs w:val="24"/>
        </w:rPr>
        <w:lastRenderedPageBreak/>
        <w:t>“desechable”</w:t>
      </w:r>
      <w:r w:rsidRPr="00616A87">
        <w:rPr>
          <w:rStyle w:val="Refdenotaalpie"/>
          <w:rFonts w:ascii="Times New Roman" w:hAnsi="Times New Roman"/>
          <w:sz w:val="24"/>
          <w:szCs w:val="24"/>
        </w:rPr>
        <w:footnoteReference w:id="30"/>
      </w:r>
      <w:r w:rsidRPr="00616A87">
        <w:rPr>
          <w:rFonts w:ascii="Times New Roman" w:hAnsi="Times New Roman"/>
          <w:sz w:val="24"/>
          <w:szCs w:val="24"/>
        </w:rPr>
        <w:t>. Pese al fracaso electoral del PSC, obtuvo el 27% de los escaños en el Congreso. Lo que si evidenció, fue la falta de un candidato con posibilidades reales de ganar la Presidencia. Para 1994, ya se veía el declive de los partidos de izquierda, como posible consecuencia de la caída del muro de Berlín o la derrota de los sandinista</w:t>
      </w:r>
      <w:r w:rsidR="00B92FB2">
        <w:rPr>
          <w:rFonts w:ascii="Times New Roman" w:hAnsi="Times New Roman"/>
          <w:sz w:val="24"/>
          <w:szCs w:val="24"/>
        </w:rPr>
        <w:t>s</w:t>
      </w:r>
      <w:r w:rsidRPr="00616A87">
        <w:rPr>
          <w:rFonts w:ascii="Times New Roman" w:hAnsi="Times New Roman"/>
          <w:sz w:val="24"/>
          <w:szCs w:val="24"/>
        </w:rPr>
        <w:t xml:space="preserve"> nicaragüenses (Sánchez, 2008), </w:t>
      </w:r>
      <w:r w:rsidRPr="00812DA1">
        <w:rPr>
          <w:rFonts w:ascii="Times New Roman" w:hAnsi="Times New Roman"/>
          <w:sz w:val="24"/>
          <w:szCs w:val="24"/>
        </w:rPr>
        <w:t>y por la fragmentación y la imposibilidad de coalición entre los bloques de izquierda. Fragmentación que será la tónica que definirá el escenario político</w:t>
      </w:r>
      <w:r w:rsidRPr="00616A87">
        <w:rPr>
          <w:rFonts w:ascii="Times New Roman" w:hAnsi="Times New Roman"/>
          <w:sz w:val="24"/>
          <w:szCs w:val="24"/>
        </w:rPr>
        <w:t xml:space="preserve"> (ir a Sánchez, </w:t>
      </w:r>
      <w:r>
        <w:rPr>
          <w:rFonts w:ascii="Times New Roman" w:hAnsi="Times New Roman"/>
          <w:sz w:val="24"/>
          <w:szCs w:val="24"/>
        </w:rPr>
        <w:t>p.</w:t>
      </w:r>
      <w:r w:rsidRPr="00616A87">
        <w:rPr>
          <w:rFonts w:ascii="Times New Roman" w:hAnsi="Times New Roman"/>
          <w:sz w:val="24"/>
          <w:szCs w:val="24"/>
        </w:rPr>
        <w:t xml:space="preserve">51: clivaje).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En 1996 cambió el marco Constitucional, eliminando el monopolio político de los partidos, abriendo el espectro para agrupaciones independientes puedan tener un espacio dentro del Congreso. Las elecciones presidenciales enfrentaron a los dos candidatos más fuertes: Adbalá Bucaram y Jaime Nebot. El resultado demostró la aversión de Nebot en la Sierra, incluso para sacrificar el voto por el populismo y el singular estilo de Abdalá. En 1997 se iniciaron grandes movilizaciones en contra del Presidente Bucaram, que terminaron por su destitución, y dieron inicio a una época de inestabilidad política y crisis económica. Desde 1996 hasta el 2003 hubo seis Presidentes, una nueva Constitución y un golpe de Estado</w:t>
      </w:r>
      <w:r w:rsidRPr="00616A87">
        <w:rPr>
          <w:rStyle w:val="Refdenotaalpie"/>
          <w:rFonts w:ascii="Times New Roman" w:hAnsi="Times New Roman"/>
          <w:sz w:val="24"/>
          <w:szCs w:val="24"/>
        </w:rPr>
        <w:footnoteReference w:id="31"/>
      </w:r>
      <w:r w:rsidRPr="00616A87">
        <w:rPr>
          <w:rFonts w:ascii="Times New Roman" w:hAnsi="Times New Roman"/>
          <w:sz w:val="24"/>
          <w:szCs w:val="24"/>
        </w:rPr>
        <w:t xml:space="preserve">. La sociedad, impulsada por la clase política, “adoptó una actitud más flexible en el respeto a las normas y procedimientos, lo que afectó a las elecciones como mecanismo legítimo para el acceso al poder” (Sánchez, 2008, </w:t>
      </w:r>
      <w:r>
        <w:rPr>
          <w:rFonts w:ascii="Times New Roman" w:hAnsi="Times New Roman"/>
          <w:sz w:val="24"/>
          <w:szCs w:val="24"/>
        </w:rPr>
        <w:t>p.</w:t>
      </w:r>
      <w:r w:rsidRPr="00616A87">
        <w:rPr>
          <w:rFonts w:ascii="Times New Roman" w:hAnsi="Times New Roman"/>
          <w:sz w:val="24"/>
          <w:szCs w:val="24"/>
        </w:rPr>
        <w:t xml:space="preserve">48). A esto se suma el desprestigio de los partidos políticos y la deslegitimación de la política como consecuencia de la corrupción y el desdén de los mandatarios con la sociedad.     </w:t>
      </w:r>
    </w:p>
    <w:p w:rsidR="00A00E75"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Si ya los partidos políticos no respondían a una línea ideológica determinada y su visión de la arena política era un afán de dominación a través del clientelismo y las promesas de campaña, las reformas que se dieron en la Constitución de 1998</w:t>
      </w:r>
      <w:r w:rsidRPr="00616A87">
        <w:rPr>
          <w:rStyle w:val="Refdenotaalpie"/>
          <w:rFonts w:ascii="Times New Roman" w:hAnsi="Times New Roman"/>
          <w:sz w:val="24"/>
          <w:szCs w:val="24"/>
        </w:rPr>
        <w:footnoteReference w:id="32"/>
      </w:r>
      <w:r w:rsidRPr="00616A87">
        <w:rPr>
          <w:rFonts w:ascii="Times New Roman" w:hAnsi="Times New Roman"/>
          <w:sz w:val="24"/>
          <w:szCs w:val="24"/>
        </w:rPr>
        <w:t xml:space="preserve"> permitieron que ese clientelismo se produjera también a nivel parlamentario. Los diputados electos “bajo alianzas tendían a adscribirse al bloque que más ventaja </w:t>
      </w:r>
      <w:r w:rsidRPr="00616A87">
        <w:rPr>
          <w:rFonts w:ascii="Times New Roman" w:hAnsi="Times New Roman"/>
          <w:sz w:val="24"/>
          <w:szCs w:val="24"/>
        </w:rPr>
        <w:lastRenderedPageBreak/>
        <w:t xml:space="preserve">les podía ofrecer en materia de prebendas, o se declaraban independientes de cualquier bloque legislativo, ofreciendo su colaboración al mejor postor” (Sánchez, 2008, </w:t>
      </w:r>
      <w:r>
        <w:rPr>
          <w:rFonts w:ascii="Times New Roman" w:hAnsi="Times New Roman"/>
          <w:sz w:val="24"/>
          <w:szCs w:val="24"/>
        </w:rPr>
        <w:t>p.</w:t>
      </w:r>
      <w:r w:rsidRPr="00616A87">
        <w:rPr>
          <w:rFonts w:ascii="Times New Roman" w:hAnsi="Times New Roman"/>
          <w:sz w:val="24"/>
          <w:szCs w:val="24"/>
        </w:rPr>
        <w:t xml:space="preserve">49). La fidelidad del electorado se mermó en mayor medida y el </w:t>
      </w:r>
      <w:r w:rsidRPr="00616A87">
        <w:rPr>
          <w:rFonts w:ascii="Times New Roman" w:hAnsi="Times New Roman"/>
          <w:i/>
          <w:sz w:val="24"/>
          <w:szCs w:val="24"/>
        </w:rPr>
        <w:t>huasipungo</w:t>
      </w:r>
      <w:r w:rsidRPr="00616A87">
        <w:rPr>
          <w:rFonts w:ascii="Times New Roman" w:hAnsi="Times New Roman"/>
          <w:sz w:val="24"/>
          <w:szCs w:val="24"/>
        </w:rPr>
        <w:t xml:space="preserve"> político se arraigó. También se tendió el terreno para que la figura del </w:t>
      </w:r>
      <w:r w:rsidRPr="00616A87">
        <w:rPr>
          <w:rFonts w:ascii="Times New Roman" w:hAnsi="Times New Roman"/>
          <w:i/>
          <w:sz w:val="24"/>
          <w:szCs w:val="24"/>
        </w:rPr>
        <w:t>outsider</w:t>
      </w:r>
      <w:r w:rsidRPr="00616A87">
        <w:rPr>
          <w:rFonts w:ascii="Times New Roman" w:hAnsi="Times New Roman"/>
          <w:sz w:val="24"/>
          <w:szCs w:val="24"/>
        </w:rPr>
        <w:t xml:space="preserve"> pueda consolidarse dentro de la arena política y que la novedad electoral prime por encima de la madurez política. Aparecieron partidos como el Partido Sociedad patriótica 21 de Enero (PSP), liderado por el Coronel golpista Lucio Gutiérrez; y el partido Renovador Institucional Acción Nacional (PRIAN), liderado por Álvaro Noboa, ambos con considerable éxito electoral. </w:t>
      </w:r>
    </w:p>
    <w:p w:rsidR="00A00E75" w:rsidRDefault="00A00E75" w:rsidP="00616A87">
      <w:pPr>
        <w:spacing w:line="360" w:lineRule="auto"/>
        <w:jc w:val="both"/>
        <w:rPr>
          <w:rFonts w:ascii="Times New Roman" w:hAnsi="Times New Roman"/>
          <w:sz w:val="24"/>
          <w:szCs w:val="24"/>
        </w:rPr>
      </w:pPr>
      <w:r>
        <w:rPr>
          <w:rFonts w:ascii="Times New Roman" w:hAnsi="Times New Roman"/>
          <w:sz w:val="24"/>
          <w:szCs w:val="24"/>
        </w:rPr>
        <w:t>Las nociones de individualidad extinguida que nos proporciona Orwell, estàn ligadas a una conducta aglutinadora de los partidos políticos. La formación de las figuras políticas están ligadas a la imagen y al clie</w:t>
      </w:r>
      <w:r w:rsidR="004B3B2F">
        <w:rPr>
          <w:rFonts w:ascii="Times New Roman" w:hAnsi="Times New Roman"/>
          <w:sz w:val="24"/>
          <w:szCs w:val="24"/>
        </w:rPr>
        <w:t xml:space="preserve">ntelismo, no </w:t>
      </w:r>
      <w:r>
        <w:rPr>
          <w:rFonts w:ascii="Times New Roman" w:hAnsi="Times New Roman"/>
          <w:sz w:val="24"/>
          <w:szCs w:val="24"/>
        </w:rPr>
        <w:t xml:space="preserve">a las formaciones de instituciones ideológicas capaces de representar una línea política coherente. </w:t>
      </w:r>
      <w:r w:rsidRPr="00616A87">
        <w:rPr>
          <w:rFonts w:ascii="Times New Roman" w:hAnsi="Times New Roman"/>
          <w:sz w:val="24"/>
          <w:szCs w:val="24"/>
        </w:rPr>
        <w:t xml:space="preserve">Orwell </w:t>
      </w:r>
      <w:r>
        <w:rPr>
          <w:rFonts w:ascii="Times New Roman" w:hAnsi="Times New Roman"/>
          <w:sz w:val="24"/>
          <w:szCs w:val="24"/>
        </w:rPr>
        <w:t>establecía la terminación del sistema político en un partido único, no por la inexistencia de otros partidos requeridos para la “legitimación” democrática, sino por las filosofías</w:t>
      </w:r>
      <w:r w:rsidRPr="00616A87">
        <w:rPr>
          <w:rFonts w:ascii="Times New Roman" w:hAnsi="Times New Roman"/>
          <w:sz w:val="24"/>
          <w:szCs w:val="24"/>
        </w:rPr>
        <w:t xml:space="preserve"> “apenas distinguibles</w:t>
      </w:r>
      <w:r>
        <w:rPr>
          <w:rFonts w:ascii="Times New Roman" w:hAnsi="Times New Roman"/>
          <w:sz w:val="24"/>
          <w:szCs w:val="24"/>
        </w:rPr>
        <w:t xml:space="preserve"> (…)</w:t>
      </w:r>
      <w:r w:rsidRPr="00616A87">
        <w:rPr>
          <w:rFonts w:ascii="Times New Roman" w:hAnsi="Times New Roman"/>
          <w:sz w:val="24"/>
          <w:szCs w:val="24"/>
        </w:rPr>
        <w:t>. En todo lado hay la misma estructura piramidal (y) la misma alabanza al líder semi-dios” (</w:t>
      </w:r>
      <w:r>
        <w:rPr>
          <w:rFonts w:ascii="Times New Roman" w:hAnsi="Times New Roman"/>
          <w:sz w:val="24"/>
          <w:szCs w:val="24"/>
        </w:rPr>
        <w:t>Orwell, 1983</w:t>
      </w:r>
      <w:r w:rsidRPr="00616A87">
        <w:rPr>
          <w:rFonts w:ascii="Times New Roman" w:hAnsi="Times New Roman"/>
          <w:sz w:val="24"/>
          <w:szCs w:val="24"/>
        </w:rPr>
        <w:t xml:space="preserve">, </w:t>
      </w:r>
      <w:r>
        <w:rPr>
          <w:rFonts w:ascii="Times New Roman" w:hAnsi="Times New Roman"/>
          <w:sz w:val="24"/>
          <w:szCs w:val="24"/>
        </w:rPr>
        <w:t>p.</w:t>
      </w:r>
      <w:r w:rsidRPr="00616A87">
        <w:rPr>
          <w:rFonts w:ascii="Times New Roman" w:hAnsi="Times New Roman"/>
          <w:sz w:val="24"/>
          <w:szCs w:val="24"/>
        </w:rPr>
        <w:t>162). No es necesario buscar el partido único cuando la variedad de partidos que nos representan son, en su esencia, indistinguibles entre ellos.</w:t>
      </w:r>
      <w:r>
        <w:rPr>
          <w:rFonts w:ascii="Times New Roman" w:hAnsi="Times New Roman"/>
          <w:sz w:val="24"/>
          <w:szCs w:val="24"/>
        </w:rPr>
        <w:t xml:space="preserve"> Cuando los partidos buscan el mismo fin, a través de los mismos mecanismos, en actitudes prácticamente intercambiables. </w:t>
      </w:r>
      <w:r w:rsidRPr="00616A87">
        <w:rPr>
          <w:rFonts w:ascii="Times New Roman" w:hAnsi="Times New Roman"/>
          <w:sz w:val="24"/>
          <w:szCs w:val="24"/>
        </w:rPr>
        <w:t xml:space="preserve">  </w:t>
      </w:r>
    </w:p>
    <w:p w:rsidR="00A00E75" w:rsidRPr="00616A87" w:rsidRDefault="00A00E75" w:rsidP="005E218B">
      <w:pPr>
        <w:pStyle w:val="Subttulotesis"/>
      </w:pPr>
      <w:bookmarkStart w:id="35" w:name="_Toc295373159"/>
      <w:r>
        <w:t>Sistema político, multipartidismo y conflictividad constante</w:t>
      </w:r>
      <w:bookmarkEnd w:id="35"/>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La conjugación de la inestabilidad política y el rechazo por parte de la sociedad civil por legitimar a los partidos políticos es una consecuencia de la falta de representación de esta sociedad civil dentro del Estado. Y, sin embargo, el crecimiento del número de movimientos políticos determina la adopción de sentimientos colectivos, en desmedro de las necesidades individuales.  No solo que a través de esta manipulación se “(extingue) de una vez por todas las posibilidad de pensamiento independiente” (</w:t>
      </w:r>
      <w:r>
        <w:rPr>
          <w:rFonts w:ascii="Times New Roman" w:hAnsi="Times New Roman"/>
          <w:sz w:val="24"/>
          <w:szCs w:val="24"/>
        </w:rPr>
        <w:t>Orwell, 1983</w:t>
      </w:r>
      <w:r w:rsidRPr="00616A87">
        <w:rPr>
          <w:rFonts w:ascii="Times New Roman" w:hAnsi="Times New Roman"/>
          <w:sz w:val="24"/>
          <w:szCs w:val="24"/>
        </w:rPr>
        <w:t xml:space="preserve">, </w:t>
      </w:r>
      <w:r>
        <w:rPr>
          <w:rFonts w:ascii="Times New Roman" w:hAnsi="Times New Roman"/>
          <w:sz w:val="24"/>
          <w:szCs w:val="24"/>
        </w:rPr>
        <w:t>p.</w:t>
      </w:r>
      <w:r w:rsidRPr="00616A87">
        <w:rPr>
          <w:rFonts w:ascii="Times New Roman" w:hAnsi="Times New Roman"/>
          <w:sz w:val="24"/>
          <w:szCs w:val="24"/>
        </w:rPr>
        <w:t>159), sino que además se aliena el ind</w:t>
      </w:r>
      <w:r w:rsidR="00315433">
        <w:rPr>
          <w:rFonts w:ascii="Times New Roman" w:hAnsi="Times New Roman"/>
          <w:sz w:val="24"/>
          <w:szCs w:val="24"/>
        </w:rPr>
        <w:t>ividuo de la vida política y d</w:t>
      </w:r>
      <w:r w:rsidRPr="00616A87">
        <w:rPr>
          <w:rFonts w:ascii="Times New Roman" w:hAnsi="Times New Roman"/>
          <w:sz w:val="24"/>
          <w:szCs w:val="24"/>
        </w:rPr>
        <w:t xml:space="preserve">el funcionamiento del Estado. </w:t>
      </w:r>
      <w:r w:rsidRPr="00616A87">
        <w:rPr>
          <w:rFonts w:ascii="Times New Roman" w:hAnsi="Times New Roman"/>
          <w:sz w:val="24"/>
          <w:szCs w:val="24"/>
        </w:rPr>
        <w:lastRenderedPageBreak/>
        <w:t xml:space="preserve">No se buscan ni se implementan mecanismo para una participación ciudadana activa. No se refuerzan ni se abren espacios para el debate y la injerencia de organizaciones intermedias. Esto genera una indiferencia de la sociedad y abre espacios para el clientelismo y la compra de votos. Indiferencia traducida en ignorancia. “De cierta manera, </w:t>
      </w:r>
      <w:r w:rsidR="004B3B2F">
        <w:rPr>
          <w:rFonts w:ascii="Times New Roman" w:hAnsi="Times New Roman"/>
          <w:sz w:val="24"/>
          <w:szCs w:val="24"/>
        </w:rPr>
        <w:t>la</w:t>
      </w:r>
      <w:r w:rsidRPr="00616A87">
        <w:rPr>
          <w:rFonts w:ascii="Times New Roman" w:hAnsi="Times New Roman"/>
          <w:sz w:val="24"/>
          <w:szCs w:val="24"/>
        </w:rPr>
        <w:t xml:space="preserve"> visión global del Partido se ha impuesto con mayor éxito en personas incapaces de entenderla” (</w:t>
      </w:r>
      <w:r>
        <w:rPr>
          <w:rFonts w:ascii="Times New Roman" w:hAnsi="Times New Roman"/>
          <w:sz w:val="24"/>
          <w:szCs w:val="24"/>
        </w:rPr>
        <w:t>Orwell, 1983</w:t>
      </w:r>
      <w:r w:rsidRPr="00616A87">
        <w:rPr>
          <w:rFonts w:ascii="Times New Roman" w:hAnsi="Times New Roman"/>
          <w:sz w:val="24"/>
          <w:szCs w:val="24"/>
        </w:rPr>
        <w:t xml:space="preserve">, </w:t>
      </w:r>
      <w:r>
        <w:rPr>
          <w:rFonts w:ascii="Times New Roman" w:hAnsi="Times New Roman"/>
          <w:sz w:val="24"/>
          <w:szCs w:val="24"/>
        </w:rPr>
        <w:t>p.</w:t>
      </w:r>
      <w:r w:rsidRPr="00616A87">
        <w:rPr>
          <w:rFonts w:ascii="Times New Roman" w:hAnsi="Times New Roman"/>
          <w:sz w:val="24"/>
          <w:szCs w:val="24"/>
        </w:rPr>
        <w:t xml:space="preserve">129). Y esta ignorancia es lo que permite que tanto los partidos como los grupos de poder, puedan actuar libremente en sus afanes de dominación política. </w:t>
      </w:r>
      <w:r w:rsidRPr="00616A87">
        <w:rPr>
          <w:rFonts w:ascii="Times New Roman" w:hAnsi="Times New Roman"/>
          <w:i/>
          <w:sz w:val="24"/>
          <w:szCs w:val="24"/>
        </w:rPr>
        <w:t>Ergo</w:t>
      </w:r>
      <w:r w:rsidRPr="00616A87">
        <w:rPr>
          <w:rFonts w:ascii="Times New Roman" w:hAnsi="Times New Roman"/>
          <w:sz w:val="24"/>
          <w:szCs w:val="24"/>
        </w:rPr>
        <w:t xml:space="preserve">, la “ignorancia es fuerza”.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Los patrones de cada región, determinados por un bagaje histórico importante pero que no entra dentro del análisis de este estudio, generan concent</w:t>
      </w:r>
      <w:r w:rsidR="00832E3F">
        <w:rPr>
          <w:rFonts w:ascii="Times New Roman" w:hAnsi="Times New Roman"/>
          <w:sz w:val="24"/>
          <w:szCs w:val="24"/>
        </w:rPr>
        <w:t>raciones partidistas regionales</w:t>
      </w:r>
      <w:r w:rsidRPr="00616A87">
        <w:rPr>
          <w:rFonts w:ascii="Times New Roman" w:hAnsi="Times New Roman"/>
          <w:sz w:val="24"/>
          <w:szCs w:val="24"/>
        </w:rPr>
        <w:t xml:space="preserve"> y estas concentraciones permiten una manipulación del electorado para que estos puedan ser movidos por el sentimentalismo político y explotar las afinidades que cada región posee. Esta comportamiento no es único del Ecuador, pero si ha sido explotado en mayor escala en nuestro país. El regionalismo que se creyó superado con la elección homogénea de Jaime Roldós en 1979, sigue afianzado en el corazón del elector. Entonces, no importa la línea ideológica ni el plan de campaña en el momento de la votación; es más determinante el origen del candidato. Así, por ejemplo, “en la Sierra, el Estado ha tenido una presencia fundamental como empleador o redistribuidor de recursos, (…) mientras que en la Costa, que cu</w:t>
      </w:r>
      <w:r w:rsidR="004B3B2F">
        <w:rPr>
          <w:rFonts w:ascii="Times New Roman" w:hAnsi="Times New Roman"/>
          <w:sz w:val="24"/>
          <w:szCs w:val="24"/>
        </w:rPr>
        <w:t>e</w:t>
      </w:r>
      <w:r w:rsidRPr="00616A87">
        <w:rPr>
          <w:rFonts w:ascii="Times New Roman" w:hAnsi="Times New Roman"/>
          <w:sz w:val="24"/>
          <w:szCs w:val="24"/>
        </w:rPr>
        <w:t xml:space="preserve">nta con un sector privado mucho más emprendedor, el Estado se ha visto como obstáculo para el desarrollo de los intereses privados”. Y situaciones similares han sido la tónica para determinar el discurso empleado tanto por los candidatos, como los diferentes actores políticos.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Hay un estado de confrontación constante, deliberado, “entre dos combatientes que son incapaces de destruirse entre sí,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y no están divididos por ninguna diferencia ideológica” (</w:t>
      </w:r>
      <w:r>
        <w:rPr>
          <w:rFonts w:ascii="Times New Roman" w:hAnsi="Times New Roman"/>
          <w:sz w:val="24"/>
          <w:szCs w:val="24"/>
        </w:rPr>
        <w:t>Orwell, 1983</w:t>
      </w:r>
      <w:r w:rsidRPr="00616A87">
        <w:rPr>
          <w:rFonts w:ascii="Times New Roman" w:hAnsi="Times New Roman"/>
          <w:sz w:val="24"/>
          <w:szCs w:val="24"/>
        </w:rPr>
        <w:t xml:space="preserve">, </w:t>
      </w:r>
      <w:r>
        <w:rPr>
          <w:rFonts w:ascii="Times New Roman" w:hAnsi="Times New Roman"/>
          <w:sz w:val="24"/>
          <w:szCs w:val="24"/>
        </w:rPr>
        <w:t>p.</w:t>
      </w:r>
      <w:r w:rsidRPr="00616A87">
        <w:rPr>
          <w:rFonts w:ascii="Times New Roman" w:hAnsi="Times New Roman"/>
          <w:sz w:val="24"/>
          <w:szCs w:val="24"/>
        </w:rPr>
        <w:t xml:space="preserve">153) Este estado es determinado por el mismo sistema político nacional. El multipartidismo histórico y las confrontaciones que nacen de este han servido para mantener el </w:t>
      </w:r>
      <w:r w:rsidRPr="00616A87">
        <w:rPr>
          <w:rFonts w:ascii="Times New Roman" w:hAnsi="Times New Roman"/>
          <w:i/>
          <w:sz w:val="24"/>
          <w:szCs w:val="24"/>
        </w:rPr>
        <w:t>statusquo</w:t>
      </w:r>
      <w:r w:rsidRPr="00616A87">
        <w:rPr>
          <w:rFonts w:ascii="Times New Roman" w:hAnsi="Times New Roman"/>
          <w:sz w:val="24"/>
          <w:szCs w:val="24"/>
        </w:rPr>
        <w:t xml:space="preserve"> mientras la lucha se manifiesta abierta pero sin un final esperado. El “clivaje”, visto como patrones estables de polarización del conflicto, termina por configurar </w:t>
      </w:r>
      <w:r w:rsidRPr="00616A87">
        <w:rPr>
          <w:rFonts w:ascii="Times New Roman" w:hAnsi="Times New Roman"/>
          <w:sz w:val="24"/>
          <w:szCs w:val="24"/>
        </w:rPr>
        <w:lastRenderedPageBreak/>
        <w:t xml:space="preserve">un sistema donde la lucha se vuelve constante, pero esta lucha es en detrimento de otras acciones políticas o voluntades sociales para establecer cambios favorables dentro de la sociedad. Y como el “clivaje” se da entre todo los estratos de un movimiento o partido, de igual manera se conjuga dentro de la sociedad un arquetipo político polarizado y en constante lucha. En definitiva, “el sistema de partidos ecuatorianos no presentaba las condiciones más adecuadas para contribuir al proceso de consolidación de la democracia” (Sánchez, 2008, </w:t>
      </w:r>
      <w:r>
        <w:rPr>
          <w:rFonts w:ascii="Times New Roman" w:hAnsi="Times New Roman"/>
          <w:sz w:val="24"/>
          <w:szCs w:val="24"/>
        </w:rPr>
        <w:t>p.</w:t>
      </w:r>
      <w:r w:rsidRPr="00616A87">
        <w:rPr>
          <w:rFonts w:ascii="Times New Roman" w:hAnsi="Times New Roman"/>
          <w:sz w:val="24"/>
          <w:szCs w:val="24"/>
        </w:rPr>
        <w:t xml:space="preserve">65). Es por una propensión del partido a defender los intereses personales del caudillo que está al frente, que se dejan los vacios en el espacio Estatal. </w:t>
      </w:r>
    </w:p>
    <w:p w:rsidR="00A00E75" w:rsidRPr="00616A87" w:rsidRDefault="009A415D" w:rsidP="00616A87">
      <w:pPr>
        <w:spacing w:line="360" w:lineRule="auto"/>
        <w:jc w:val="both"/>
        <w:rPr>
          <w:rFonts w:ascii="Times New Roman" w:hAnsi="Times New Roman"/>
          <w:sz w:val="24"/>
          <w:szCs w:val="24"/>
        </w:rPr>
      </w:pPr>
      <w:r>
        <w:rPr>
          <w:rFonts w:ascii="Times New Roman" w:hAnsi="Times New Roman"/>
          <w:sz w:val="24"/>
          <w:szCs w:val="24"/>
        </w:rPr>
        <w:t>En la presidencia de Roldó</w:t>
      </w:r>
      <w:r w:rsidR="00A00E75" w:rsidRPr="00616A87">
        <w:rPr>
          <w:rFonts w:ascii="Times New Roman" w:hAnsi="Times New Roman"/>
          <w:sz w:val="24"/>
          <w:szCs w:val="24"/>
        </w:rPr>
        <w:t xml:space="preserve">s y Hurtado, este sistema multipartidista creo elementos para las disputas que se pudieron dar entre el Congreso y el Ejecutivo; ambos arrogándose la representación de los verdaderos intereses nacionales. El Legislativo buscó su legitimidad imponiendo su voluntad y “aprobando una serie de leyes que el Presidente se veía obligado a vetar por considerarlas inoportunas, demagógicas o por carecer de financiamiento” (Sánchez, 2008, </w:t>
      </w:r>
      <w:r w:rsidR="00A00E75">
        <w:rPr>
          <w:rFonts w:ascii="Times New Roman" w:hAnsi="Times New Roman"/>
          <w:sz w:val="24"/>
          <w:szCs w:val="24"/>
        </w:rPr>
        <w:t>p.</w:t>
      </w:r>
      <w:r w:rsidR="00A00E75" w:rsidRPr="00616A87">
        <w:rPr>
          <w:rFonts w:ascii="Times New Roman" w:hAnsi="Times New Roman"/>
          <w:sz w:val="24"/>
          <w:szCs w:val="24"/>
        </w:rPr>
        <w:t>127). Entre otros, la Cámara Nacional de Representantes aprobó subidas generales de salarios, reformó la Ley de Jubilados y fijo precios. El presidente, por su parte, buscaba determina</w:t>
      </w:r>
      <w:r w:rsidR="007E68D6">
        <w:rPr>
          <w:rFonts w:ascii="Times New Roman" w:hAnsi="Times New Roman"/>
          <w:sz w:val="24"/>
          <w:szCs w:val="24"/>
        </w:rPr>
        <w:t>r</w:t>
      </w:r>
      <w:r w:rsidR="00A00E75" w:rsidRPr="00616A87">
        <w:rPr>
          <w:rFonts w:ascii="Times New Roman" w:hAnsi="Times New Roman"/>
          <w:sz w:val="24"/>
          <w:szCs w:val="24"/>
        </w:rPr>
        <w:t xml:space="preserve"> las condiciones de la acción gubernamental, a pesar de los constantes bloqueos de la Cámara de Representantes, liderado por Assad Bucaram</w:t>
      </w:r>
      <w:r w:rsidR="00A00E75" w:rsidRPr="00616A87">
        <w:rPr>
          <w:rStyle w:val="Refdenotaalpie"/>
          <w:rFonts w:ascii="Times New Roman" w:hAnsi="Times New Roman"/>
          <w:sz w:val="24"/>
          <w:szCs w:val="24"/>
        </w:rPr>
        <w:footnoteReference w:id="33"/>
      </w:r>
      <w:r w:rsidR="00A00E75" w:rsidRPr="00616A87">
        <w:rPr>
          <w:rFonts w:ascii="Times New Roman" w:hAnsi="Times New Roman"/>
          <w:sz w:val="24"/>
          <w:szCs w:val="24"/>
        </w:rPr>
        <w:t>. Los conflictos que se presentaron entre el Legislativo y el Ejecutivo ponían en evidencia la “falta de mecanismo</w:t>
      </w:r>
      <w:r w:rsidR="00D60A73">
        <w:rPr>
          <w:rFonts w:ascii="Times New Roman" w:hAnsi="Times New Roman"/>
          <w:sz w:val="24"/>
          <w:szCs w:val="24"/>
        </w:rPr>
        <w:t>s</w:t>
      </w:r>
      <w:r w:rsidR="00A00E75" w:rsidRPr="00616A87">
        <w:rPr>
          <w:rFonts w:ascii="Times New Roman" w:hAnsi="Times New Roman"/>
          <w:sz w:val="24"/>
          <w:szCs w:val="24"/>
        </w:rPr>
        <w:t xml:space="preserve"> institucionales para destrabar los bloqueo institucionales o dotar de apoyo legislativos a los presidentes” (Sánchez, 2008, </w:t>
      </w:r>
      <w:r w:rsidR="00A00E75">
        <w:rPr>
          <w:rFonts w:ascii="Times New Roman" w:hAnsi="Times New Roman"/>
          <w:sz w:val="24"/>
          <w:szCs w:val="24"/>
        </w:rPr>
        <w:t>p.</w:t>
      </w:r>
      <w:r w:rsidR="00A00E75" w:rsidRPr="00616A87">
        <w:rPr>
          <w:rFonts w:ascii="Times New Roman" w:hAnsi="Times New Roman"/>
          <w:sz w:val="24"/>
          <w:szCs w:val="24"/>
        </w:rPr>
        <w:t xml:space="preserve">127). Una falta completa de gobernabilidad complementada por un sistema que llevaba el Presidente (y Vicepresidente) a gobernar sin el apoyo político necesario y que eventualmente se tradujo en situaciones de crisis. Pese a la capacidad del Ejecutivo de repartir incentivos selectivos entre los diputados para provecho de sus propios distritos (y provecho propio), estos se mantuvieron fieles al líder del </w:t>
      </w:r>
      <w:r w:rsidR="00A00E75" w:rsidRPr="00616A87">
        <w:rPr>
          <w:rFonts w:ascii="Times New Roman" w:hAnsi="Times New Roman"/>
          <w:sz w:val="24"/>
          <w:szCs w:val="24"/>
        </w:rPr>
        <w:lastRenderedPageBreak/>
        <w:t xml:space="preserve">Congreso. Seguramente porque Bucaram tenía la capacidad de distribuir recursos económicos y humanos del Congreso y, además, controlaba la agenda legislativa, lo que le permitía determinar los proyectos de ley que iban a ser aprobados, y que beneficiarían a un distrito o a ciertos grupos de interés.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En el gobierno de León Febres Cordero se inicio con un ambicioso plan de reformas, pero el apoyo legislativo fue escaso ante la mayoría de la ID. La fragmentación del bloque la ID después de la primera vuelta legislativa se dio, de todas maneras, a cambio del surgimiento de otros partidos de izquierda. De cualquier forma, el ámbito de conflicto que se generó desde lo político, terminó por </w:t>
      </w:r>
      <w:r w:rsidR="00747F1E">
        <w:rPr>
          <w:rFonts w:ascii="Times New Roman" w:hAnsi="Times New Roman"/>
          <w:sz w:val="24"/>
          <w:szCs w:val="24"/>
        </w:rPr>
        <w:t>concebir</w:t>
      </w:r>
      <w:r w:rsidR="00747F1E" w:rsidRPr="00616A87">
        <w:rPr>
          <w:rFonts w:ascii="Times New Roman" w:hAnsi="Times New Roman"/>
          <w:sz w:val="24"/>
          <w:szCs w:val="24"/>
        </w:rPr>
        <w:t xml:space="preserve"> </w:t>
      </w:r>
      <w:r w:rsidRPr="00616A87">
        <w:rPr>
          <w:rFonts w:ascii="Times New Roman" w:hAnsi="Times New Roman"/>
          <w:sz w:val="24"/>
          <w:szCs w:val="24"/>
        </w:rPr>
        <w:t xml:space="preserve">una lucha de fuerzas que limitó el accionar efectivo tanto del Ejecutivo como del Congreso. “La oposición instalada en el Legislativo fue bastante combativa y desde un principio declaró que ‘gobernaría desde la oposición’” (Sánchez, 2008, </w:t>
      </w:r>
      <w:r>
        <w:rPr>
          <w:rFonts w:ascii="Times New Roman" w:hAnsi="Times New Roman"/>
          <w:sz w:val="24"/>
          <w:szCs w:val="24"/>
        </w:rPr>
        <w:t>p.</w:t>
      </w:r>
      <w:r w:rsidRPr="00616A87">
        <w:rPr>
          <w:rFonts w:ascii="Times New Roman" w:hAnsi="Times New Roman"/>
          <w:sz w:val="24"/>
          <w:szCs w:val="24"/>
        </w:rPr>
        <w:t>132), a lo cual Febres Cordero no tardó en mostrar su reciprocidad. Los vetos de ley de lado y lado fueron abundantes y los mecanismos que se usaron para limitar el accionar de los procesos democráticos</w:t>
      </w:r>
      <w:r w:rsidRPr="00616A87">
        <w:rPr>
          <w:rStyle w:val="Refdenotaalpie"/>
          <w:rFonts w:ascii="Times New Roman" w:hAnsi="Times New Roman"/>
          <w:sz w:val="24"/>
          <w:szCs w:val="24"/>
        </w:rPr>
        <w:footnoteReference w:id="34"/>
      </w:r>
      <w:r w:rsidR="005B2BD1">
        <w:rPr>
          <w:rFonts w:ascii="Times New Roman" w:hAnsi="Times New Roman"/>
          <w:sz w:val="24"/>
          <w:szCs w:val="24"/>
        </w:rPr>
        <w:t xml:space="preserve"> </w:t>
      </w:r>
      <w:r w:rsidRPr="00616A87">
        <w:rPr>
          <w:rFonts w:ascii="Times New Roman" w:hAnsi="Times New Roman"/>
          <w:sz w:val="24"/>
          <w:szCs w:val="24"/>
        </w:rPr>
        <w:t>terminaron por m</w:t>
      </w:r>
      <w:r w:rsidR="005B2BD1">
        <w:rPr>
          <w:rFonts w:ascii="Times New Roman" w:hAnsi="Times New Roman"/>
          <w:sz w:val="24"/>
          <w:szCs w:val="24"/>
        </w:rPr>
        <w:t>a</w:t>
      </w:r>
      <w:r w:rsidRPr="00616A87">
        <w:rPr>
          <w:rFonts w:ascii="Times New Roman" w:hAnsi="Times New Roman"/>
          <w:sz w:val="24"/>
          <w:szCs w:val="24"/>
        </w:rPr>
        <w:t xml:space="preserve">rcar una ingobernabilidad sustentada en el mantenimiento del </w:t>
      </w:r>
      <w:r w:rsidR="005B2BD1" w:rsidRPr="005B2BD1">
        <w:rPr>
          <w:rFonts w:ascii="Times New Roman" w:hAnsi="Times New Roman"/>
          <w:i/>
          <w:sz w:val="24"/>
          <w:szCs w:val="24"/>
        </w:rPr>
        <w:t>e</w:t>
      </w:r>
      <w:r w:rsidRPr="00616A87">
        <w:rPr>
          <w:rFonts w:ascii="Times New Roman" w:hAnsi="Times New Roman"/>
          <w:i/>
          <w:sz w:val="24"/>
          <w:szCs w:val="24"/>
        </w:rPr>
        <w:t>status quo</w:t>
      </w:r>
      <w:r w:rsidRPr="00616A87">
        <w:rPr>
          <w:rFonts w:ascii="Times New Roman" w:hAnsi="Times New Roman"/>
          <w:sz w:val="24"/>
          <w:szCs w:val="24"/>
        </w:rPr>
        <w:t xml:space="preserve">.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Para Rodrigo Borja, el ascenso de la ID como fuerza nacional política, le sirvió para conquistar un amplio bloque parlamentario y evitar los problemas de gobernabilidad que enfrentó Febres Cordero. “Borja no tuvo que enfrentarse con otros órganos del Estado que también eran nombrados por el Legislativo y que en los gobiernos anteriores y posteriores </w:t>
      </w:r>
      <w:r w:rsidR="00D60A73">
        <w:rPr>
          <w:rFonts w:ascii="Times New Roman" w:hAnsi="Times New Roman"/>
          <w:sz w:val="24"/>
          <w:szCs w:val="24"/>
        </w:rPr>
        <w:t>se</w:t>
      </w:r>
      <w:r w:rsidRPr="00616A87">
        <w:rPr>
          <w:rFonts w:ascii="Times New Roman" w:hAnsi="Times New Roman"/>
          <w:sz w:val="24"/>
          <w:szCs w:val="24"/>
        </w:rPr>
        <w:t xml:space="preserve"> habían convertido en fuente de oposición” (Sánchez, 2008, </w:t>
      </w:r>
      <w:r>
        <w:rPr>
          <w:rFonts w:ascii="Times New Roman" w:hAnsi="Times New Roman"/>
          <w:sz w:val="24"/>
          <w:szCs w:val="24"/>
        </w:rPr>
        <w:t>p.</w:t>
      </w:r>
      <w:r w:rsidRPr="00616A87">
        <w:rPr>
          <w:rFonts w:ascii="Times New Roman" w:hAnsi="Times New Roman"/>
          <w:sz w:val="24"/>
          <w:szCs w:val="24"/>
        </w:rPr>
        <w:t xml:space="preserve">133). La sólida estructura de la ID, a diferencia del CFP, el PSC, y otros, fue el liderazgo único de Borja. La falta de tensiones y fricciones dentro del partido, por su calidad jerárquica indiscutible y la falta de un contrapeso interno que pueda generar separación. Su situación se vio mejorada con los acuerdos con la DP y el FADI, que le brindaron mayoría legislativa a </w:t>
      </w:r>
      <w:r w:rsidRPr="00616A87">
        <w:rPr>
          <w:rFonts w:ascii="Times New Roman" w:hAnsi="Times New Roman"/>
          <w:sz w:val="24"/>
          <w:szCs w:val="24"/>
        </w:rPr>
        <w:lastRenderedPageBreak/>
        <w:t>cambio de puestos ministeriales. Este escenario se vino abajo cuando la DP (que, a diferencia de la ID, s</w:t>
      </w:r>
      <w:r w:rsidR="005B2BD1">
        <w:rPr>
          <w:rFonts w:ascii="Times New Roman" w:hAnsi="Times New Roman"/>
          <w:sz w:val="24"/>
          <w:szCs w:val="24"/>
        </w:rPr>
        <w:t>i</w:t>
      </w:r>
      <w:r w:rsidRPr="00616A87">
        <w:rPr>
          <w:rFonts w:ascii="Times New Roman" w:hAnsi="Times New Roman"/>
          <w:sz w:val="24"/>
          <w:szCs w:val="24"/>
        </w:rPr>
        <w:t xml:space="preserve"> tenía problemas internos) decide terminar con su alianza. La estructura del sistema, la elección separada, definía el escenario político, en el que “los poderes eran controlados por distintos grupos políticos” (Sánchez, 2008, </w:t>
      </w:r>
      <w:r>
        <w:rPr>
          <w:rFonts w:ascii="Times New Roman" w:hAnsi="Times New Roman"/>
          <w:sz w:val="24"/>
          <w:szCs w:val="24"/>
        </w:rPr>
        <w:t>p.</w:t>
      </w:r>
      <w:r w:rsidRPr="00616A87">
        <w:rPr>
          <w:rFonts w:ascii="Times New Roman" w:hAnsi="Times New Roman"/>
          <w:sz w:val="24"/>
          <w:szCs w:val="24"/>
        </w:rPr>
        <w:t xml:space="preserve">134), que en su mayoría tenían posiciones encontradas. El desgaste político que se había generado en el gobierno de Borja por los malos resultados económicos, sirvieron para </w:t>
      </w:r>
      <w:r w:rsidR="006C07E3">
        <w:rPr>
          <w:rFonts w:ascii="Times New Roman" w:hAnsi="Times New Roman"/>
          <w:sz w:val="24"/>
          <w:szCs w:val="24"/>
        </w:rPr>
        <w:t xml:space="preserve">que </w:t>
      </w:r>
      <w:r w:rsidRPr="00616A87">
        <w:rPr>
          <w:rFonts w:ascii="Times New Roman" w:hAnsi="Times New Roman"/>
          <w:sz w:val="24"/>
          <w:szCs w:val="24"/>
        </w:rPr>
        <w:t xml:space="preserve">los partidos de la oposición se alzaran desde el Legislativo en contra del gobierno, teniendo en cuenta las elecciones de 1992. La privilegiada posición de los partidos dentro del Congreso, fue usada “con una actitud más de enfrentamiento al Ejecutivo que de oposición” (Sánchez, 2008, </w:t>
      </w:r>
      <w:r>
        <w:rPr>
          <w:rFonts w:ascii="Times New Roman" w:hAnsi="Times New Roman"/>
          <w:sz w:val="24"/>
          <w:szCs w:val="24"/>
        </w:rPr>
        <w:t>p.</w:t>
      </w:r>
      <w:r w:rsidRPr="00616A87">
        <w:rPr>
          <w:rFonts w:ascii="Times New Roman" w:hAnsi="Times New Roman"/>
          <w:sz w:val="24"/>
          <w:szCs w:val="24"/>
        </w:rPr>
        <w:t>134)</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La llegada de Durán Ballén a la presidencia fue una consecuencia de la ruptura que existía a la interna de su partido. Con un fuerte voto en la Sierra (por sus orígenes) y la división electoral de la Costa, Durán Ballén ganó las elecciones con un partido </w:t>
      </w:r>
      <w:r w:rsidRPr="00616A87">
        <w:rPr>
          <w:rFonts w:ascii="Times New Roman" w:hAnsi="Times New Roman"/>
          <w:i/>
          <w:sz w:val="24"/>
          <w:szCs w:val="24"/>
        </w:rPr>
        <w:t>ad hoc</w:t>
      </w:r>
      <w:r w:rsidRPr="00616A87">
        <w:rPr>
          <w:rFonts w:ascii="Times New Roman" w:hAnsi="Times New Roman"/>
          <w:sz w:val="24"/>
          <w:szCs w:val="24"/>
        </w:rPr>
        <w:t xml:space="preserve">, el PUR. El PUR estaba compuesto “mayoritariamente por políticos que veían en él un medio para llegar al poder” (Sánchez, 2008, </w:t>
      </w:r>
      <w:r>
        <w:rPr>
          <w:rFonts w:ascii="Times New Roman" w:hAnsi="Times New Roman"/>
          <w:sz w:val="24"/>
          <w:szCs w:val="24"/>
        </w:rPr>
        <w:t>p.</w:t>
      </w:r>
      <w:r w:rsidRPr="00616A87">
        <w:rPr>
          <w:rFonts w:ascii="Times New Roman" w:hAnsi="Times New Roman"/>
          <w:sz w:val="24"/>
          <w:szCs w:val="24"/>
        </w:rPr>
        <w:t>135). Un partido sin ningún tipo de estructura, solidez pragmática o proyección hacia el futuro. Como en el resto de partidos, las pugnas interna abundaban, pero en este caso se dieron incluso antes de que ganaran las elecciones. Al igual que con Febres Cordero, el Ejecutivo tuvo un ambicioso plan de transformación económica, pero careció del apoyo legislativo para ponerlo plenamente en marcha. La oposición que generaba el vicepresidente Alberto Dahik dentro del PSC</w:t>
      </w:r>
      <w:r w:rsidRPr="00616A87">
        <w:rPr>
          <w:rStyle w:val="Refdenotaalpie"/>
          <w:rFonts w:ascii="Times New Roman" w:hAnsi="Times New Roman"/>
          <w:sz w:val="24"/>
          <w:szCs w:val="24"/>
        </w:rPr>
        <w:footnoteReference w:id="35"/>
      </w:r>
      <w:r w:rsidRPr="00616A87">
        <w:rPr>
          <w:rFonts w:ascii="Times New Roman" w:hAnsi="Times New Roman"/>
          <w:sz w:val="24"/>
          <w:szCs w:val="24"/>
        </w:rPr>
        <w:t xml:space="preserve">, y la disputa “ideológica” que había con el PRE, los dos partidos con mayor representación dentro del Congreso, limitaron la capacidad de maniobra del Ejecutivo. Si bien existía una afinidad ideológica con el PSC, el apoyo esporádico que recibiría de este partido no era incondicional ni gratuito, “sino a cambio de recursos que permitieron fortalecer al partido y a sus élites” (Sánchez, 2008, </w:t>
      </w:r>
      <w:r>
        <w:rPr>
          <w:rFonts w:ascii="Times New Roman" w:hAnsi="Times New Roman"/>
          <w:sz w:val="24"/>
          <w:szCs w:val="24"/>
        </w:rPr>
        <w:t>p.</w:t>
      </w:r>
      <w:r w:rsidRPr="00616A87">
        <w:rPr>
          <w:rFonts w:ascii="Times New Roman" w:hAnsi="Times New Roman"/>
          <w:sz w:val="24"/>
          <w:szCs w:val="24"/>
        </w:rPr>
        <w:t xml:space="preserve">136). El rango de maniobra que tuvo el gobierno fue limitado, y tuvo que remitirse a los independientes y los diputados de partidos pequeños para formar coaliciones que le permitan procesar demandas en el Legislativo. Esto, a cambio </w:t>
      </w:r>
      <w:r w:rsidRPr="00616A87">
        <w:rPr>
          <w:rFonts w:ascii="Times New Roman" w:hAnsi="Times New Roman"/>
          <w:sz w:val="24"/>
          <w:szCs w:val="24"/>
        </w:rPr>
        <w:lastRenderedPageBreak/>
        <w:t xml:space="preserve">de la obtención de medios para sus provincias (o para ellos mismo). El desgate político generado por la falta de ética de estas negociaciones limitó el éxito que podían haber tenido. El Ejecutivo también inicio acciones de democracia directa (dos consultas populares) </w:t>
      </w:r>
      <w:r w:rsidR="005B2BD1">
        <w:rPr>
          <w:rFonts w:ascii="Times New Roman" w:hAnsi="Times New Roman"/>
          <w:sz w:val="24"/>
          <w:szCs w:val="24"/>
        </w:rPr>
        <w:t>s</w:t>
      </w:r>
      <w:r w:rsidRPr="00616A87">
        <w:rPr>
          <w:rFonts w:ascii="Times New Roman" w:hAnsi="Times New Roman"/>
          <w:sz w:val="24"/>
          <w:szCs w:val="24"/>
        </w:rPr>
        <w:t xml:space="preserve">in mayor éxito. Además de la confrontación con el Legislativo, el clima de enfrentamiento con la sociedad, liderado por el movimiento indígena y los sindicatos de las empresas públicas, por sus propuestas de privatización restringieron su capacidad de gobernar. La Guerra del Cenepa tendió puentes entre los partidos, pero los esfuerzos fueron dirigidos al plano internacional, en desmedro del frente interno.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El panorama político desde 1996 marca una nueva etapa en el sistema de partidos y la confrontación que este supone. Las nuevas reglas electorales quitaron el monopolio político a los partidos, situación que fragmentaría aun más al Legislativo. Este año también vio la incorporación de nuevos actores del sistema, esencialmente el Movimiento de Unidad Plurinacional Pachakutik – Nuevo País (MUPP-NP). La segundo vuelta de las elecciones enfrentó a Abdalá Bucaram con Jaime Nebot, y fue el rechazo de la Sierra hacia este último, que permitió el ascenso de Bucaram a la presidencia. Además del eminente conflicto que generaba la presencia de Bucaram con el bloque legislativo del PSC (que obtuvo 27 escaños de 82), este fue el inicio para “que los partidos representados en el Congreso buscaran “creativas” interpretaciones constitucionales o legales para intentar destituir a los presidentes, estirando las normas e instrumentalizándolas” (Sánchez, 2008, </w:t>
      </w:r>
      <w:r>
        <w:rPr>
          <w:rFonts w:ascii="Times New Roman" w:hAnsi="Times New Roman"/>
          <w:sz w:val="24"/>
          <w:szCs w:val="24"/>
        </w:rPr>
        <w:t>p.</w:t>
      </w:r>
      <w:r w:rsidRPr="00616A87">
        <w:rPr>
          <w:rFonts w:ascii="Times New Roman" w:hAnsi="Times New Roman"/>
          <w:sz w:val="24"/>
          <w:szCs w:val="24"/>
        </w:rPr>
        <w:t xml:space="preserve">139). El conflicto dentro de la presidencia vino tanto desde la oposición que tuvo del Legislativo, como de los movimientos sociales movidos por los expresos actos de corrupción que hubo en su gobierno.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Por la misma estructura del sistema electoral ecuatoriano, el escenario político tuvo más espacio para el conflicto y se acentuó lo que se dijo antes: actores políticos carentes de ideología, el poder por el poder. Jamil Mahuad llegó a la presidencia como candidato de la DP, junto con el respaldo de la primera minoría legislativa (29% de los escaños en el Congreso) y el apoyo inicial del PSC, que colaboraba con la DP desde la Asamblea Constituyente de 1998. Parte de las razones del conflicto fue la necesidad de ampliar las posibilidades electores </w:t>
      </w:r>
      <w:r w:rsidRPr="00616A87">
        <w:rPr>
          <w:rFonts w:ascii="Times New Roman" w:hAnsi="Times New Roman"/>
          <w:sz w:val="24"/>
          <w:szCs w:val="24"/>
        </w:rPr>
        <w:lastRenderedPageBreak/>
        <w:t>buscando políticos “independientes”</w:t>
      </w:r>
      <w:r w:rsidRPr="00616A87">
        <w:rPr>
          <w:rStyle w:val="Refdenotaalpie"/>
          <w:rFonts w:ascii="Times New Roman" w:hAnsi="Times New Roman"/>
          <w:sz w:val="24"/>
          <w:szCs w:val="24"/>
        </w:rPr>
        <w:footnoteReference w:id="36"/>
      </w:r>
      <w:r w:rsidRPr="00616A87">
        <w:rPr>
          <w:rFonts w:ascii="Times New Roman" w:hAnsi="Times New Roman"/>
          <w:sz w:val="24"/>
          <w:szCs w:val="24"/>
        </w:rPr>
        <w:t xml:space="preserve">. “Al interés del partido se sumó el interés de los candidatos que veían en el casi seguro triunfo de Mahuad un buen vehículo de acceso al poder” (Sánchez, 2008, </w:t>
      </w:r>
      <w:r>
        <w:rPr>
          <w:rFonts w:ascii="Times New Roman" w:hAnsi="Times New Roman"/>
          <w:sz w:val="24"/>
          <w:szCs w:val="24"/>
        </w:rPr>
        <w:t>p.</w:t>
      </w:r>
      <w:r w:rsidRPr="00616A87">
        <w:rPr>
          <w:rFonts w:ascii="Times New Roman" w:hAnsi="Times New Roman"/>
          <w:sz w:val="24"/>
          <w:szCs w:val="24"/>
        </w:rPr>
        <w:t>141). La pugna que tuvo Mahuad con el Legislativo se dio en el campo económico. Después de firmar un acuerdo de paz con el Perú, el gobierno enfocó todo su poderío político al frente interno, donde, pese a compartir una visión similar en el plano de la liberalización económica, el PSC nunca claudic</w:t>
      </w:r>
      <w:r w:rsidR="00D50E10">
        <w:rPr>
          <w:rFonts w:ascii="Times New Roman" w:hAnsi="Times New Roman"/>
          <w:sz w:val="24"/>
          <w:szCs w:val="24"/>
        </w:rPr>
        <w:t>ó</w:t>
      </w:r>
      <w:r w:rsidRPr="00616A87">
        <w:rPr>
          <w:rFonts w:ascii="Times New Roman" w:hAnsi="Times New Roman"/>
          <w:sz w:val="24"/>
          <w:szCs w:val="24"/>
        </w:rPr>
        <w:t xml:space="preserve"> en su posición sobre temas tributarios. En este sentido, nunca se pudo llegar a un acuerdo; un conflicto generado para evitar cualquier modelo de gobernanza sana y atrincherarse en su círculo de dominación. Y, tanto el resquebrajamiento de las alianzas y la férrea oposición por parte del PSC, llevaron a que el Ejecutivo tome las mismas medidas que tomaron sus predecesores, con los mismos resultados: buscar mayorías temporales para cada proyecto de Ley o proceso parlamentario. La crisis financiera que desembocó con la salida (forzosa) de Mahuad de la presidencia fue la consecuencia de las “conjeturas que ligaron estos hechos con el manejo de la situación bancaria por parte del Ejecutivo” con Fernando Aspiazu, representante legal del Banco del Progreso. Las consecuencias de uno de los mayores fraudes bancarios fueron detalladas con anterioridad. . El fin del gobierno de Mahuad llegó por un golpe de Estado, auspiciado por cierto sector de las Fuerzas Armadas y las organizaciones indígenas. Se hicieron del gobierno un triunvirato formado por el coronel L</w:t>
      </w:r>
      <w:r w:rsidR="00D50E10">
        <w:rPr>
          <w:rFonts w:ascii="Times New Roman" w:hAnsi="Times New Roman"/>
          <w:sz w:val="24"/>
          <w:szCs w:val="24"/>
        </w:rPr>
        <w:t>u</w:t>
      </w:r>
      <w:r w:rsidRPr="00616A87">
        <w:rPr>
          <w:rFonts w:ascii="Times New Roman" w:hAnsi="Times New Roman"/>
          <w:sz w:val="24"/>
          <w:szCs w:val="24"/>
        </w:rPr>
        <w:t xml:space="preserve">cio Gutiérrez, el presidente de la CONAIE Antonio Vargas, y el ex Presidente de la Corte Suprema de Justicia, Carlos Solórzano (representando a los sectores sociales de la Costa, según sus propias declaraciones). Pocas horas después el triunvirato entregó el poder a la cúpula de las Fuerzas Armadas, “cuyos miembros mostraron una actitud ambivalente entre mantener el mando o dar continuidad institucional” (Sánchez, 2008, </w:t>
      </w:r>
      <w:r>
        <w:rPr>
          <w:rFonts w:ascii="Times New Roman" w:hAnsi="Times New Roman"/>
          <w:sz w:val="24"/>
          <w:szCs w:val="24"/>
        </w:rPr>
        <w:t>p.</w:t>
      </w:r>
      <w:r w:rsidRPr="00616A87">
        <w:rPr>
          <w:rFonts w:ascii="Times New Roman" w:hAnsi="Times New Roman"/>
          <w:sz w:val="24"/>
          <w:szCs w:val="24"/>
        </w:rPr>
        <w:t>143). Eventualmente renunció el presidente Mahuad, dando paso al vicepresidente Noboa apoyado por el Congreso que para entonces estaba reunido en Guayaquil.</w:t>
      </w:r>
    </w:p>
    <w:p w:rsidR="00A00E75"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lastRenderedPageBreak/>
        <w:t xml:space="preserve">La elecciones del 2002 marcaron una nueva tendencia en el sistema electoral nacional. La inminente decadencia de los partidos políticos, solidificó la creación de movimientos </w:t>
      </w:r>
      <w:r w:rsidRPr="00616A87">
        <w:rPr>
          <w:rFonts w:ascii="Times New Roman" w:hAnsi="Times New Roman"/>
          <w:i/>
          <w:sz w:val="24"/>
          <w:szCs w:val="24"/>
        </w:rPr>
        <w:t>ad hoc</w:t>
      </w:r>
      <w:r w:rsidRPr="00616A87">
        <w:rPr>
          <w:rFonts w:ascii="Times New Roman" w:hAnsi="Times New Roman"/>
          <w:sz w:val="24"/>
          <w:szCs w:val="24"/>
        </w:rPr>
        <w:t xml:space="preserve"> de carácter provincial, así como también de otros que participan como representantes de alianzas electorales. Hubo una gran cantidad de candidatos con posibilidades reales de llegar a la segunda vuelto, a donde llegaron Álvaro Noboa y Lucio Gutiérrez. </w:t>
      </w:r>
    </w:p>
    <w:p w:rsidR="00A00E75" w:rsidRPr="00616A87" w:rsidRDefault="00A00E75" w:rsidP="00A30D72">
      <w:pPr>
        <w:spacing w:line="360" w:lineRule="auto"/>
        <w:ind w:left="720" w:right="720"/>
        <w:jc w:val="both"/>
        <w:rPr>
          <w:rFonts w:ascii="Times New Roman" w:hAnsi="Times New Roman"/>
          <w:sz w:val="24"/>
          <w:szCs w:val="24"/>
        </w:rPr>
      </w:pPr>
      <w:r w:rsidRPr="00616A87">
        <w:rPr>
          <w:rFonts w:ascii="Times New Roman" w:hAnsi="Times New Roman"/>
          <w:sz w:val="24"/>
          <w:szCs w:val="24"/>
        </w:rPr>
        <w:t>Un elemento que contribuyó a la incertidumbre fue que las postulaciones y alianzas presidenciales se definieron bastante tarde, ya que la izquierda y la centro-izquierda repitieron los rituales de acercamiento y buenas intenciones que realizaran en las fases preliminares de los comicios para buscar un candidato de consenso, pero, al igual que en elecciones anteriores</w:t>
      </w:r>
      <w:r>
        <w:rPr>
          <w:rFonts w:ascii="Times New Roman" w:hAnsi="Times New Roman"/>
          <w:sz w:val="24"/>
          <w:szCs w:val="24"/>
        </w:rPr>
        <w:t>, los intentos resultaron vanos</w:t>
      </w:r>
      <w:r w:rsidRPr="00616A87">
        <w:rPr>
          <w:rFonts w:ascii="Times New Roman" w:hAnsi="Times New Roman"/>
          <w:sz w:val="24"/>
          <w:szCs w:val="24"/>
        </w:rPr>
        <w:t xml:space="preserve"> (Sánchez, 2008, </w:t>
      </w:r>
      <w:r>
        <w:rPr>
          <w:rFonts w:ascii="Times New Roman" w:hAnsi="Times New Roman"/>
          <w:sz w:val="24"/>
          <w:szCs w:val="24"/>
        </w:rPr>
        <w:t>p.144)</w:t>
      </w:r>
    </w:p>
    <w:p w:rsidR="00A00E75"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La guerra, la confrontación, ya sea bélica o política, en la distopía orwelliana, es un “combate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entre dos combatientes que son incapaces de destruirse entre sí, </w:t>
      </w:r>
      <w:r>
        <w:rPr>
          <w:rFonts w:ascii="Times New Roman" w:hAnsi="Times New Roman"/>
          <w:sz w:val="24"/>
          <w:szCs w:val="24"/>
        </w:rPr>
        <w:t>(</w:t>
      </w:r>
      <w:r w:rsidRPr="00616A87">
        <w:rPr>
          <w:rFonts w:ascii="Times New Roman" w:hAnsi="Times New Roman"/>
          <w:sz w:val="24"/>
          <w:szCs w:val="24"/>
        </w:rPr>
        <w:t>…</w:t>
      </w:r>
      <w:r>
        <w:rPr>
          <w:rFonts w:ascii="Times New Roman" w:hAnsi="Times New Roman"/>
          <w:sz w:val="24"/>
          <w:szCs w:val="24"/>
        </w:rPr>
        <w:t>)</w:t>
      </w:r>
      <w:r w:rsidRPr="00616A87">
        <w:rPr>
          <w:rFonts w:ascii="Times New Roman" w:hAnsi="Times New Roman"/>
          <w:sz w:val="24"/>
          <w:szCs w:val="24"/>
        </w:rPr>
        <w:t xml:space="preserve"> y no están divididos por ninguna diferencia ideológica” (</w:t>
      </w:r>
      <w:r>
        <w:rPr>
          <w:rFonts w:ascii="Times New Roman" w:hAnsi="Times New Roman"/>
          <w:sz w:val="24"/>
          <w:szCs w:val="24"/>
        </w:rPr>
        <w:t>Orwell, 1983</w:t>
      </w:r>
      <w:r w:rsidRPr="00616A87">
        <w:rPr>
          <w:rFonts w:ascii="Times New Roman" w:hAnsi="Times New Roman"/>
          <w:sz w:val="24"/>
          <w:szCs w:val="24"/>
        </w:rPr>
        <w:t xml:space="preserve">, </w:t>
      </w:r>
      <w:r>
        <w:rPr>
          <w:rFonts w:ascii="Times New Roman" w:hAnsi="Times New Roman"/>
          <w:sz w:val="24"/>
          <w:szCs w:val="24"/>
        </w:rPr>
        <w:t>p.</w:t>
      </w:r>
      <w:r w:rsidRPr="00616A87">
        <w:rPr>
          <w:rFonts w:ascii="Times New Roman" w:hAnsi="Times New Roman"/>
          <w:sz w:val="24"/>
          <w:szCs w:val="24"/>
        </w:rPr>
        <w:t>153), una guerra que promueve como fin específico el poder, no una visión política o de desarrollo. En este sentido, la búsqueda de un estado de guerra constante es también un sistema económico que apoya cualquier estructura que procure una jerarquía. La búsqueda de poder, a través de la dominación política, lleva a una visión determinada de lo que debe ser el desarrollo económico. “Está claro que un incremento generalizado de la riqueza amenazaba con la destrucción, de hecho en algunos casos supuso la destrucción, de una sociedad jerarquizada” (</w:t>
      </w:r>
      <w:r>
        <w:rPr>
          <w:rFonts w:ascii="Times New Roman" w:hAnsi="Times New Roman"/>
          <w:sz w:val="24"/>
          <w:szCs w:val="24"/>
        </w:rPr>
        <w:t>Orwell, 1983</w:t>
      </w:r>
      <w:r w:rsidRPr="00616A87">
        <w:rPr>
          <w:rFonts w:ascii="Times New Roman" w:hAnsi="Times New Roman"/>
          <w:sz w:val="24"/>
          <w:szCs w:val="24"/>
        </w:rPr>
        <w:t xml:space="preserve">, </w:t>
      </w:r>
      <w:r>
        <w:rPr>
          <w:rFonts w:ascii="Times New Roman" w:hAnsi="Times New Roman"/>
          <w:sz w:val="24"/>
          <w:szCs w:val="24"/>
        </w:rPr>
        <w:t>p.</w:t>
      </w:r>
      <w:r w:rsidRPr="00616A87">
        <w:rPr>
          <w:rFonts w:ascii="Times New Roman" w:hAnsi="Times New Roman"/>
          <w:sz w:val="24"/>
          <w:szCs w:val="24"/>
        </w:rPr>
        <w:t>156). El estado de pobreza en que pueda sumirse a una sociedad no es necesariamente una decisión que busque el enriquecimi</w:t>
      </w:r>
      <w:r w:rsidR="006C07E3">
        <w:rPr>
          <w:rFonts w:ascii="Times New Roman" w:hAnsi="Times New Roman"/>
          <w:sz w:val="24"/>
          <w:szCs w:val="24"/>
        </w:rPr>
        <w:t>ento individual o puntual de un</w:t>
      </w:r>
      <w:r w:rsidRPr="00616A87">
        <w:rPr>
          <w:rFonts w:ascii="Times New Roman" w:hAnsi="Times New Roman"/>
          <w:sz w:val="24"/>
          <w:szCs w:val="24"/>
        </w:rPr>
        <w:t xml:space="preserve"> grupo político o de poder, el enfoque orwelliano explica que un “estado generalizado de escases incrementa los pequeños privilegios y, por lo tanto, magnifica las distinciones entre un grupo y otro” (</w:t>
      </w:r>
      <w:r>
        <w:rPr>
          <w:rFonts w:ascii="Times New Roman" w:hAnsi="Times New Roman"/>
          <w:sz w:val="24"/>
          <w:szCs w:val="24"/>
        </w:rPr>
        <w:t>Orwell, 1983</w:t>
      </w:r>
      <w:r w:rsidRPr="00616A87">
        <w:rPr>
          <w:rFonts w:ascii="Times New Roman" w:hAnsi="Times New Roman"/>
          <w:sz w:val="24"/>
          <w:szCs w:val="24"/>
        </w:rPr>
        <w:t xml:space="preserve">, </w:t>
      </w:r>
      <w:r>
        <w:rPr>
          <w:rFonts w:ascii="Times New Roman" w:hAnsi="Times New Roman"/>
          <w:sz w:val="24"/>
          <w:szCs w:val="24"/>
        </w:rPr>
        <w:t>p.</w:t>
      </w:r>
      <w:r w:rsidRPr="00616A87">
        <w:rPr>
          <w:rFonts w:ascii="Times New Roman" w:hAnsi="Times New Roman"/>
          <w:sz w:val="24"/>
          <w:szCs w:val="24"/>
        </w:rPr>
        <w:t xml:space="preserve">158). Concepto aplicable para la repartición de poder y los privilegios que este puede generar. El estado en que sume la guerra y la confrontación a la sociedad política tienen como consecuencia los peligros inherentes de la misma, lo que hace que “la </w:t>
      </w:r>
      <w:r w:rsidRPr="00616A87">
        <w:rPr>
          <w:rFonts w:ascii="Times New Roman" w:hAnsi="Times New Roman"/>
          <w:sz w:val="24"/>
          <w:szCs w:val="24"/>
        </w:rPr>
        <w:lastRenderedPageBreak/>
        <w:t>cesión del poder a una pequeña casta parece la natural, inevitable condición de supervivencia” (</w:t>
      </w:r>
      <w:r>
        <w:rPr>
          <w:rFonts w:ascii="Times New Roman" w:hAnsi="Times New Roman"/>
          <w:sz w:val="24"/>
          <w:szCs w:val="24"/>
        </w:rPr>
        <w:t>Orwell, 1983</w:t>
      </w:r>
      <w:r w:rsidRPr="00616A87">
        <w:rPr>
          <w:rFonts w:ascii="Times New Roman" w:hAnsi="Times New Roman"/>
          <w:sz w:val="24"/>
          <w:szCs w:val="24"/>
        </w:rPr>
        <w:t xml:space="preserve">, </w:t>
      </w:r>
      <w:r>
        <w:rPr>
          <w:rFonts w:ascii="Times New Roman" w:hAnsi="Times New Roman"/>
          <w:sz w:val="24"/>
          <w:szCs w:val="24"/>
        </w:rPr>
        <w:t>p.</w:t>
      </w:r>
      <w:r w:rsidRPr="00616A87">
        <w:rPr>
          <w:rFonts w:ascii="Times New Roman" w:hAnsi="Times New Roman"/>
          <w:sz w:val="24"/>
          <w:szCs w:val="24"/>
        </w:rPr>
        <w:t xml:space="preserve">158). Este estado constante de guerra y confrontación permite el establecimiento de </w:t>
      </w:r>
      <w:r w:rsidR="009241B3">
        <w:rPr>
          <w:rFonts w:ascii="Times New Roman" w:hAnsi="Times New Roman"/>
          <w:i/>
          <w:sz w:val="24"/>
          <w:szCs w:val="24"/>
        </w:rPr>
        <w:t>e</w:t>
      </w:r>
      <w:r w:rsidRPr="00616A87">
        <w:rPr>
          <w:rFonts w:ascii="Times New Roman" w:hAnsi="Times New Roman"/>
          <w:i/>
          <w:sz w:val="24"/>
          <w:szCs w:val="24"/>
        </w:rPr>
        <w:t>status quo</w:t>
      </w:r>
      <w:r w:rsidRPr="00616A87">
        <w:rPr>
          <w:rFonts w:ascii="Times New Roman" w:hAnsi="Times New Roman"/>
          <w:sz w:val="24"/>
          <w:szCs w:val="24"/>
        </w:rPr>
        <w:t>, el mismo que se mantendría de tener un estado de paz constante, pues en ese caso cada casta de poder sería “un universo autónomo, libre por siempre de la influencia aleccionadora de los peligros exteriores. Una paz realmente permanente será igual que una guerra permanente” (</w:t>
      </w:r>
      <w:r>
        <w:rPr>
          <w:rFonts w:ascii="Times New Roman" w:hAnsi="Times New Roman"/>
          <w:sz w:val="24"/>
          <w:szCs w:val="24"/>
        </w:rPr>
        <w:t>Orwell, 1983</w:t>
      </w:r>
      <w:r w:rsidRPr="00616A87">
        <w:rPr>
          <w:rFonts w:ascii="Times New Roman" w:hAnsi="Times New Roman"/>
          <w:sz w:val="24"/>
          <w:szCs w:val="24"/>
        </w:rPr>
        <w:t xml:space="preserve">, </w:t>
      </w:r>
      <w:r>
        <w:rPr>
          <w:rFonts w:ascii="Times New Roman" w:hAnsi="Times New Roman"/>
          <w:sz w:val="24"/>
          <w:szCs w:val="24"/>
        </w:rPr>
        <w:t>p.</w:t>
      </w:r>
      <w:r w:rsidRPr="00616A87">
        <w:rPr>
          <w:rFonts w:ascii="Times New Roman" w:hAnsi="Times New Roman"/>
          <w:sz w:val="24"/>
          <w:szCs w:val="24"/>
        </w:rPr>
        <w:t xml:space="preserve">164). </w:t>
      </w:r>
      <w:r w:rsidRPr="00616A87">
        <w:rPr>
          <w:rFonts w:ascii="Times New Roman" w:hAnsi="Times New Roman"/>
          <w:i/>
          <w:sz w:val="24"/>
          <w:szCs w:val="24"/>
        </w:rPr>
        <w:t>Ergo</w:t>
      </w:r>
      <w:r w:rsidRPr="00616A87">
        <w:rPr>
          <w:rFonts w:ascii="Times New Roman" w:hAnsi="Times New Roman"/>
          <w:sz w:val="24"/>
          <w:szCs w:val="24"/>
        </w:rPr>
        <w:t xml:space="preserve">, la “guerra es paz”.  </w:t>
      </w:r>
    </w:p>
    <w:p w:rsidR="00A00E75" w:rsidRPr="00616A87" w:rsidRDefault="00A00E75" w:rsidP="002E0094">
      <w:pPr>
        <w:pStyle w:val="Subttulotesis"/>
        <w:outlineLvl w:val="0"/>
      </w:pPr>
      <w:bookmarkStart w:id="36" w:name="_Toc295373160"/>
      <w:r>
        <w:t>Búsqueda de poder y posición de dominio</w:t>
      </w:r>
      <w:bookmarkEnd w:id="36"/>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El comportamiento de los partidos en el Ecuador desde la oposición no ha buscado un debate ideológico en miras a un consenso que permita desarrollar proceso de gobierno. La oposición que se ha formado desde el Legislativo ha sido para generar una confrontación que imposibilita cualquier iniciativa de gobernanza y obliga a buscar mecanismos al margen de la ley. Es a través de estos mecanismos que los grupos de poder han podido mantener su hegemonía dentro del terreno político. Las alianzas no tienen mayor rigor que la oportunidad que presentan para los intereses personales o regionales y terminan siempre por desvanecerse. La inestabilidad política que esto generó, llevó al derrocamiento de tres presidentes. En el caso de los vicepresidentes que asumieron los cargos, tanto Gustavo Noboa como Alfredo Palacio quienes no figuraban como miembros activos del partido y no necesariamente tenían una alineación histórica con el partido</w:t>
      </w:r>
      <w:r w:rsidRPr="00616A87">
        <w:rPr>
          <w:rStyle w:val="Refdenotaalpie"/>
          <w:rFonts w:ascii="Times New Roman" w:hAnsi="Times New Roman"/>
          <w:sz w:val="24"/>
          <w:szCs w:val="24"/>
        </w:rPr>
        <w:footnoteReference w:id="37"/>
      </w:r>
      <w:r w:rsidRPr="00616A87">
        <w:rPr>
          <w:rFonts w:ascii="Times New Roman" w:hAnsi="Times New Roman"/>
          <w:sz w:val="24"/>
          <w:szCs w:val="24"/>
        </w:rPr>
        <w:t xml:space="preserve">, llevaron su mandato sin poder gobernar. El gobierno se hizo desde las trincheras del Legislativo que utilizó este poder, como ya lo había hecho antes, para mantener su hegemonía. La dicotomía de los partidos se da entre “aprovechar su posición preponderante para transar políticas con el Ejecutivo, o recurrir al enfrentamiento, evitando de esta manera que se ponga en vigencia medidas con las que no estén de acuerdo” (Sánchez, 2008, </w:t>
      </w:r>
      <w:r>
        <w:rPr>
          <w:rFonts w:ascii="Times New Roman" w:hAnsi="Times New Roman"/>
          <w:sz w:val="24"/>
          <w:szCs w:val="24"/>
        </w:rPr>
        <w:t>p.</w:t>
      </w:r>
      <w:r w:rsidRPr="00616A87">
        <w:rPr>
          <w:rFonts w:ascii="Times New Roman" w:hAnsi="Times New Roman"/>
          <w:sz w:val="24"/>
          <w:szCs w:val="24"/>
        </w:rPr>
        <w:t xml:space="preserve">174).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La capacidad limitada de los partidos para controlar a sus diputados es evidente. Pero esto también es consecuencia de la superficialidad y facilidad con la que se </w:t>
      </w:r>
      <w:r w:rsidRPr="00616A87">
        <w:rPr>
          <w:rFonts w:ascii="Times New Roman" w:hAnsi="Times New Roman"/>
          <w:sz w:val="24"/>
          <w:szCs w:val="24"/>
        </w:rPr>
        <w:lastRenderedPageBreak/>
        <w:t>han construido los partidos políticos, por lo menos desde el regreso a la democracia. El Ejecutivo ha sabido tomar partido de esta situación, pero limitado siempre por los beneficios particulares a recibir, creando así estructuras de privilegio donde el que tiene mayor convocatoria en el Congreso es el eterno beneficiado</w:t>
      </w:r>
      <w:r w:rsidRPr="00616A87">
        <w:rPr>
          <w:rStyle w:val="Refdenotaalpie"/>
          <w:rFonts w:ascii="Times New Roman" w:hAnsi="Times New Roman"/>
          <w:sz w:val="24"/>
          <w:szCs w:val="24"/>
        </w:rPr>
        <w:footnoteReference w:id="38"/>
      </w:r>
      <w:r w:rsidRPr="00616A87">
        <w:rPr>
          <w:rFonts w:ascii="Times New Roman" w:hAnsi="Times New Roman"/>
          <w:sz w:val="24"/>
          <w:szCs w:val="24"/>
        </w:rPr>
        <w:t xml:space="preserve">. Los diputados se acostumbraron a hermetizar su posición en espera a la primera necesidad de voto del Ejecutivo. Y cuando todavía tenían acceso a las partidas presupuestarias, estas sirvieron como “un elemento de distorsión de su papel legislativo y fiscalizador, así como una fuente de corrupción” (Pachano, 1997a, </w:t>
      </w:r>
      <w:r>
        <w:rPr>
          <w:rFonts w:ascii="Times New Roman" w:hAnsi="Times New Roman"/>
          <w:sz w:val="24"/>
          <w:szCs w:val="24"/>
        </w:rPr>
        <w:t>p.</w:t>
      </w:r>
      <w:r w:rsidRPr="00616A87">
        <w:rPr>
          <w:rFonts w:ascii="Times New Roman" w:hAnsi="Times New Roman"/>
          <w:sz w:val="24"/>
          <w:szCs w:val="24"/>
        </w:rPr>
        <w:t xml:space="preserve">53)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El fin último del político o del partido político es el poder. Las formas en que se explota el poder se manifiestan más allá de lo económico. Hay una defensa al grupo de interés al que se representa y una búsqueda de la consolidación de la carrera política, y la perpetuación del sistema, a través de pequeños réditos obtenido</w:t>
      </w:r>
      <w:r w:rsidR="00876738">
        <w:rPr>
          <w:rFonts w:ascii="Times New Roman" w:hAnsi="Times New Roman"/>
          <w:sz w:val="24"/>
          <w:szCs w:val="24"/>
        </w:rPr>
        <w:t>s</w:t>
      </w:r>
      <w:r w:rsidRPr="00616A87">
        <w:rPr>
          <w:rFonts w:ascii="Times New Roman" w:hAnsi="Times New Roman"/>
          <w:sz w:val="24"/>
          <w:szCs w:val="24"/>
        </w:rPr>
        <w:t xml:space="preserve"> por el mismo sistema.  Es el incremento social, político y económico de la propia parcela, o el distrito al que representan, para poder continuar mandando en ella. Entre los intereses del partido y del distrito, primar</w:t>
      </w:r>
      <w:r w:rsidR="00876738">
        <w:rPr>
          <w:rFonts w:ascii="Times New Roman" w:hAnsi="Times New Roman"/>
          <w:sz w:val="24"/>
          <w:szCs w:val="24"/>
        </w:rPr>
        <w:t>á</w:t>
      </w:r>
      <w:r w:rsidRPr="00616A87">
        <w:rPr>
          <w:rFonts w:ascii="Times New Roman" w:hAnsi="Times New Roman"/>
          <w:sz w:val="24"/>
          <w:szCs w:val="24"/>
        </w:rPr>
        <w:t xml:space="preserve">n siempre los del distrito, aunque sea un distrito de uno. Incluso cuando se intentó eliminar las “asignaciones de interés provincial”, los diputados “encontraron varios mecanismo a través de los que podían seguir disponiendo de fondos del presupuesto para atender compromisos clientelares” (Sánchez, 2008, </w:t>
      </w:r>
      <w:r>
        <w:rPr>
          <w:rFonts w:ascii="Times New Roman" w:hAnsi="Times New Roman"/>
          <w:sz w:val="24"/>
          <w:szCs w:val="24"/>
        </w:rPr>
        <w:t>p.</w:t>
      </w:r>
      <w:r w:rsidRPr="00616A87">
        <w:rPr>
          <w:rFonts w:ascii="Times New Roman" w:hAnsi="Times New Roman"/>
          <w:sz w:val="24"/>
          <w:szCs w:val="24"/>
        </w:rPr>
        <w:t>177). Los escándalos que han salido como consecuencia de este proceso de dominación han sido varios y conocidos</w:t>
      </w:r>
      <w:r w:rsidRPr="00616A87">
        <w:rPr>
          <w:rStyle w:val="Refdenotaalpie"/>
          <w:rFonts w:ascii="Times New Roman" w:hAnsi="Times New Roman"/>
          <w:sz w:val="24"/>
          <w:szCs w:val="24"/>
        </w:rPr>
        <w:footnoteReference w:id="39"/>
      </w:r>
      <w:r w:rsidRPr="00616A87">
        <w:rPr>
          <w:rFonts w:ascii="Times New Roman" w:hAnsi="Times New Roman"/>
          <w:sz w:val="24"/>
          <w:szCs w:val="24"/>
        </w:rPr>
        <w:t xml:space="preserve">, sin embargo, esto no ha servido para amedrentar a los diputados. Por lo contrario, ha servido para que se vuelvan más creativos en sus afanes de dominación. Incluso la redacción de un Código de Ética en 1998, que preveía una serie de faltas graves que significaban la pérdida automática del </w:t>
      </w:r>
      <w:r w:rsidRPr="00616A87">
        <w:rPr>
          <w:rFonts w:ascii="Times New Roman" w:hAnsi="Times New Roman"/>
          <w:sz w:val="24"/>
          <w:szCs w:val="24"/>
        </w:rPr>
        <w:lastRenderedPageBreak/>
        <w:t xml:space="preserve">escaño para el infractor, terminó en letra muerta. Además de ratificar que el Estado de Derecho era una ilusión en el país, se determinaba el “espíritu de cuerpo” de los Legisladores. De las 109 causas que se interpusieron al Comité de Excusas y Calificaciones, ninguna sancionó a los implicados.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El Estado de confrontación tiene también una base estructural. Es el mismo sistema ineficiente e ineficaz lo que ha dado lugar a la pugna entre los diversos poderes. Cualquier reforma que se propuso para la modernización del Estado siempre fue enfocada y aplicada “de manera exclusiva el poder ejecutivo, (y) estuvo guiada únicamente hacia el logro de objetivos económicos” (Pachano, 1997, </w:t>
      </w:r>
      <w:r>
        <w:rPr>
          <w:rFonts w:ascii="Times New Roman" w:hAnsi="Times New Roman"/>
          <w:sz w:val="24"/>
          <w:szCs w:val="24"/>
        </w:rPr>
        <w:t>p.</w:t>
      </w:r>
      <w:r w:rsidRPr="00616A87">
        <w:rPr>
          <w:rFonts w:ascii="Times New Roman" w:hAnsi="Times New Roman"/>
          <w:sz w:val="24"/>
          <w:szCs w:val="24"/>
        </w:rPr>
        <w:t>11). La transformación del sistema ha sufrido retras</w:t>
      </w:r>
      <w:r>
        <w:rPr>
          <w:rFonts w:ascii="Times New Roman" w:hAnsi="Times New Roman"/>
          <w:sz w:val="24"/>
          <w:szCs w:val="24"/>
        </w:rPr>
        <w:t>os</w:t>
      </w:r>
      <w:r w:rsidRPr="00616A87">
        <w:rPr>
          <w:rFonts w:ascii="Times New Roman" w:hAnsi="Times New Roman"/>
          <w:sz w:val="24"/>
          <w:szCs w:val="24"/>
        </w:rPr>
        <w:t xml:space="preserve"> como consecuencia de intereses personales para salvaguardar su posición de dominio a través de una esfera política. </w:t>
      </w:r>
      <w:r w:rsidR="00876738">
        <w:rPr>
          <w:rFonts w:ascii="Times New Roman" w:hAnsi="Times New Roman"/>
          <w:sz w:val="24"/>
          <w:szCs w:val="24"/>
        </w:rPr>
        <w:t>El mantenimiento</w:t>
      </w:r>
      <w:r w:rsidRPr="00616A87">
        <w:rPr>
          <w:rFonts w:ascii="Times New Roman" w:hAnsi="Times New Roman"/>
          <w:sz w:val="24"/>
          <w:szCs w:val="24"/>
        </w:rPr>
        <w:t xml:space="preserve"> de un sistema que permita cierto tipo de maniobras y, además, consiga un proceso burocrático tan “avanzado” que la mayoría de faltas terminan en la impunidad. Y es que los intentos de democratización dentro del Estado, a nivel político, nunca fueron prioridad para los grupos de poder, ni para las agencias internacionales, enfocadas en las reformas económicas únicamente. Las políticas de buen gobierno</w:t>
      </w:r>
      <w:r w:rsidRPr="00616A87">
        <w:rPr>
          <w:rStyle w:val="Refdenotaalpie"/>
          <w:rFonts w:ascii="Times New Roman" w:hAnsi="Times New Roman"/>
          <w:sz w:val="24"/>
          <w:szCs w:val="24"/>
        </w:rPr>
        <w:footnoteReference w:id="40"/>
      </w:r>
      <w:r w:rsidRPr="00616A87">
        <w:rPr>
          <w:rFonts w:ascii="Times New Roman" w:hAnsi="Times New Roman"/>
          <w:sz w:val="24"/>
          <w:szCs w:val="24"/>
        </w:rPr>
        <w:t xml:space="preserve">, siempre han sido más lentas que las transformaciones profundas y rápidas de la sociedad, y estas se han vuelto inútiles al momento de llevar la planificación a la práctica. Básicamente, el Ecuador “(ha) debido enfrentar procesos de democratización con aparatos institucionales obsoletos y reacios a acoplarse a las nuevas realidad sociales, económicas y políticas” (Pachano, 1997, </w:t>
      </w:r>
      <w:r>
        <w:rPr>
          <w:rFonts w:ascii="Times New Roman" w:hAnsi="Times New Roman"/>
          <w:sz w:val="24"/>
          <w:szCs w:val="24"/>
        </w:rPr>
        <w:t>p.</w:t>
      </w:r>
      <w:r w:rsidRPr="00616A87">
        <w:rPr>
          <w:rFonts w:ascii="Times New Roman" w:hAnsi="Times New Roman"/>
          <w:sz w:val="24"/>
          <w:szCs w:val="24"/>
        </w:rPr>
        <w:t xml:space="preserve">17).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Los mecanismos del Congreso, y su relación con los otros poderes del Estado, hasta 1997 le daban facultades que servían para un efectivo control, pero que se desprestigiaron completamente con el abuso de estas atribuciones. Situación que parece ser un síndrome cultural, teniendo en cuenta que los abusos de las herramientas institucionales ha sido el </w:t>
      </w:r>
      <w:r w:rsidRPr="00616A87">
        <w:rPr>
          <w:rFonts w:ascii="Times New Roman" w:hAnsi="Times New Roman"/>
          <w:i/>
          <w:sz w:val="24"/>
          <w:szCs w:val="24"/>
        </w:rPr>
        <w:t>modus operandi</w:t>
      </w:r>
      <w:r w:rsidRPr="00616A87">
        <w:rPr>
          <w:rFonts w:ascii="Times New Roman" w:hAnsi="Times New Roman"/>
          <w:sz w:val="24"/>
          <w:szCs w:val="24"/>
        </w:rPr>
        <w:t xml:space="preserve"> de muchos funcionarios. Parte de la razón por la cual los sistemas, ya sean políticos, judiciales o económicos, han fracaso en el Ecuador es este abuso metódico y agresivo de las </w:t>
      </w:r>
      <w:r w:rsidRPr="00616A87">
        <w:rPr>
          <w:rFonts w:ascii="Times New Roman" w:hAnsi="Times New Roman"/>
          <w:sz w:val="24"/>
          <w:szCs w:val="24"/>
        </w:rPr>
        <w:lastRenderedPageBreak/>
        <w:t>instituciones públicas y sus reglamentos y mecanismo</w:t>
      </w:r>
      <w:r w:rsidR="009B098D">
        <w:rPr>
          <w:rFonts w:ascii="Times New Roman" w:hAnsi="Times New Roman"/>
          <w:sz w:val="24"/>
          <w:szCs w:val="24"/>
        </w:rPr>
        <w:t>s</w:t>
      </w:r>
      <w:r w:rsidRPr="00616A87">
        <w:rPr>
          <w:rFonts w:ascii="Times New Roman" w:hAnsi="Times New Roman"/>
          <w:sz w:val="24"/>
          <w:szCs w:val="24"/>
        </w:rPr>
        <w:t xml:space="preserve">. Las atribuciones de los legisladores hasta 1997 eran las de enjuiciar y destituir al presidente y al vicepresidente de la República, a los ministros de Estado, a los integrantes de la Corte Suprema de Justicia, del Tribunal Supremo Electoral, del Tribunal de Garantías Constitucionales, al procurados General del Estado, al Ministro Fiscal General y a los superintendentes de Bancos Y de Compañías (Constitución Política del Ecuador 1979, Art. 59 Lit. f). Esto complementado con otras atribuciones, como la de nombrar a varios funcionarios e integrantes de algunos organismos y de conocer y aprobar el presupuesto del Estado. Por ende, “(…) la relación del Congreso Nacional con otros poderes del Estado se produce en varios niveles: el legislativo, el de fiscalización y control, el de nominación de los integrantes de varios organismos y el de participación en otros organismos” (Pachano, 1997a, </w:t>
      </w:r>
      <w:r>
        <w:rPr>
          <w:rFonts w:ascii="Times New Roman" w:hAnsi="Times New Roman"/>
          <w:sz w:val="24"/>
          <w:szCs w:val="24"/>
        </w:rPr>
        <w:t>p.</w:t>
      </w:r>
      <w:r w:rsidRPr="00616A87">
        <w:rPr>
          <w:rFonts w:ascii="Times New Roman" w:hAnsi="Times New Roman"/>
          <w:sz w:val="24"/>
          <w:szCs w:val="24"/>
        </w:rPr>
        <w:t xml:space="preserve">60). </w:t>
      </w:r>
    </w:p>
    <w:p w:rsidR="00A00E75"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La pugna de poderes, como se mencionó anteriormente, acompañaría todo el proceso político analizado. Los objetivos a corto plazo primaron, y el acceso a la participación ciudadano fue cerrado o inaplicado. Se pretendió llevar el “proceso de consolidación del régimen democrático (a un) nivel puramente jurídico institucional” (Pachano, 2007a, </w:t>
      </w:r>
      <w:r>
        <w:rPr>
          <w:rFonts w:ascii="Times New Roman" w:hAnsi="Times New Roman"/>
          <w:sz w:val="24"/>
          <w:szCs w:val="24"/>
        </w:rPr>
        <w:t>p.</w:t>
      </w:r>
      <w:r w:rsidRPr="00616A87">
        <w:rPr>
          <w:rFonts w:ascii="Times New Roman" w:hAnsi="Times New Roman"/>
          <w:sz w:val="24"/>
          <w:szCs w:val="24"/>
        </w:rPr>
        <w:t xml:space="preserve">65), en un Ecuador donde no </w:t>
      </w:r>
      <w:r w:rsidR="00977B5B">
        <w:rPr>
          <w:rFonts w:ascii="Times New Roman" w:hAnsi="Times New Roman"/>
          <w:sz w:val="24"/>
          <w:szCs w:val="24"/>
        </w:rPr>
        <w:t>se</w:t>
      </w:r>
      <w:r w:rsidRPr="00616A87">
        <w:rPr>
          <w:rFonts w:ascii="Times New Roman" w:hAnsi="Times New Roman"/>
          <w:sz w:val="24"/>
          <w:szCs w:val="24"/>
        </w:rPr>
        <w:t xml:space="preserve"> ha respetado el Estado de Derecho. El propio sistema fue el encargado de frenar cualquier intento de gobernabilidad en el Ecuador. Los mayores problemas, aquellos que generaron mayor conflicto, fueron derivados de la fragmentación de los partidos, las prácticas arcaicas y caudillistas y los mecanismos clientelares entre di</w:t>
      </w:r>
      <w:r w:rsidR="00977B5B">
        <w:rPr>
          <w:rFonts w:ascii="Times New Roman" w:hAnsi="Times New Roman"/>
          <w:sz w:val="24"/>
          <w:szCs w:val="24"/>
        </w:rPr>
        <w:t>s</w:t>
      </w:r>
      <w:r w:rsidRPr="00616A87">
        <w:rPr>
          <w:rFonts w:ascii="Times New Roman" w:hAnsi="Times New Roman"/>
          <w:sz w:val="24"/>
          <w:szCs w:val="24"/>
        </w:rPr>
        <w:t xml:space="preserve">putas y hacia la sociedad. La percepción de la sociedad de los diputados, los ha convertido en heraldos del presupuesto local, no como legisladores y fiscalizadores. Y como la función real del legislador queda en segundo plano, como la ideología no es más que una declaración de formalidad, los “camisetazos” y la venta de votos han terminado por corroer el proceso democrático, y han afianzado el proceso de dominación política. Como Orwell planteaba, el conflicto perpetuo mantiene el </w:t>
      </w:r>
      <w:r w:rsidR="00977B5B">
        <w:rPr>
          <w:rFonts w:ascii="Times New Roman" w:hAnsi="Times New Roman"/>
          <w:i/>
          <w:sz w:val="24"/>
          <w:szCs w:val="24"/>
        </w:rPr>
        <w:t>e</w:t>
      </w:r>
      <w:r w:rsidRPr="00616A87">
        <w:rPr>
          <w:rFonts w:ascii="Times New Roman" w:hAnsi="Times New Roman"/>
          <w:i/>
          <w:sz w:val="24"/>
          <w:szCs w:val="24"/>
        </w:rPr>
        <w:t>statu</w:t>
      </w:r>
      <w:r w:rsidR="00977B5B">
        <w:rPr>
          <w:rFonts w:ascii="Times New Roman" w:hAnsi="Times New Roman"/>
          <w:i/>
          <w:sz w:val="24"/>
          <w:szCs w:val="24"/>
        </w:rPr>
        <w:t>s</w:t>
      </w:r>
      <w:r w:rsidRPr="00616A87">
        <w:rPr>
          <w:rFonts w:ascii="Times New Roman" w:hAnsi="Times New Roman"/>
          <w:i/>
          <w:sz w:val="24"/>
          <w:szCs w:val="24"/>
        </w:rPr>
        <w:t xml:space="preserve"> quo</w:t>
      </w:r>
      <w:r w:rsidRPr="00616A87">
        <w:rPr>
          <w:rFonts w:ascii="Times New Roman" w:hAnsi="Times New Roman"/>
          <w:sz w:val="24"/>
          <w:szCs w:val="24"/>
        </w:rPr>
        <w:t xml:space="preserve">, y los grupos de dominación histórica, abarcados en el capítulo segundo, han podido perpetuarse en su posición. </w:t>
      </w:r>
    </w:p>
    <w:p w:rsidR="00977B5B" w:rsidRDefault="00977B5B" w:rsidP="00616A87">
      <w:pPr>
        <w:spacing w:line="360" w:lineRule="auto"/>
        <w:jc w:val="both"/>
        <w:rPr>
          <w:rFonts w:ascii="Times New Roman" w:hAnsi="Times New Roman"/>
          <w:sz w:val="24"/>
          <w:szCs w:val="24"/>
        </w:rPr>
      </w:pPr>
    </w:p>
    <w:p w:rsidR="00A00E75" w:rsidRPr="00616A87" w:rsidRDefault="00A00E75" w:rsidP="002E0094">
      <w:pPr>
        <w:pStyle w:val="Subttulotesis"/>
        <w:outlineLvl w:val="0"/>
      </w:pPr>
      <w:bookmarkStart w:id="37" w:name="_Toc295373161"/>
      <w:r>
        <w:lastRenderedPageBreak/>
        <w:t>El líder semi-dios</w:t>
      </w:r>
      <w:bookmarkEnd w:id="37"/>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La “estructura piramidal (y) la misma alabanza al líder semi-dios” (</w:t>
      </w:r>
      <w:r>
        <w:rPr>
          <w:rFonts w:ascii="Times New Roman" w:hAnsi="Times New Roman"/>
          <w:sz w:val="24"/>
          <w:szCs w:val="24"/>
        </w:rPr>
        <w:t>Orwell, 1983</w:t>
      </w:r>
      <w:r w:rsidRPr="00616A87">
        <w:rPr>
          <w:rFonts w:ascii="Times New Roman" w:hAnsi="Times New Roman"/>
          <w:sz w:val="24"/>
          <w:szCs w:val="24"/>
        </w:rPr>
        <w:t xml:space="preserve">, </w:t>
      </w:r>
      <w:r>
        <w:rPr>
          <w:rFonts w:ascii="Times New Roman" w:hAnsi="Times New Roman"/>
          <w:sz w:val="24"/>
          <w:szCs w:val="24"/>
        </w:rPr>
        <w:t>p.</w:t>
      </w:r>
      <w:r w:rsidRPr="00616A87">
        <w:rPr>
          <w:rFonts w:ascii="Times New Roman" w:hAnsi="Times New Roman"/>
          <w:sz w:val="24"/>
          <w:szCs w:val="24"/>
        </w:rPr>
        <w:t>162), contextualizada en el ámbito latino americano, es el populismo imperante en la región. En este caso, “los rasgo de la organización populista se derivan de su discu</w:t>
      </w:r>
      <w:r>
        <w:rPr>
          <w:rFonts w:ascii="Times New Roman" w:hAnsi="Times New Roman"/>
          <w:sz w:val="24"/>
          <w:szCs w:val="24"/>
        </w:rPr>
        <w:t>rso maniqueo y moral que contra</w:t>
      </w:r>
      <w:r w:rsidRPr="00616A87">
        <w:rPr>
          <w:rFonts w:ascii="Times New Roman" w:hAnsi="Times New Roman"/>
          <w:sz w:val="24"/>
          <w:szCs w:val="24"/>
        </w:rPr>
        <w:t xml:space="preserve">pone al pueblo contra la oligarquía” (de la Torre, 2008, </w:t>
      </w:r>
      <w:r>
        <w:rPr>
          <w:rFonts w:ascii="Times New Roman" w:hAnsi="Times New Roman"/>
          <w:sz w:val="24"/>
          <w:szCs w:val="24"/>
        </w:rPr>
        <w:t>p.</w:t>
      </w:r>
      <w:r w:rsidRPr="00616A87">
        <w:rPr>
          <w:rFonts w:ascii="Times New Roman" w:hAnsi="Times New Roman"/>
          <w:sz w:val="24"/>
          <w:szCs w:val="24"/>
        </w:rPr>
        <w:t xml:space="preserve">16) incluso cuando son parte de la oligarquía. Pero más allá de la línea discursiva que tiene el líder populista, es la relación con los electores y con el partido lo que determina Orwell. Si bien “el populismo es anti-institucional” (de la Torre, 2008a, </w:t>
      </w:r>
      <w:r>
        <w:rPr>
          <w:rFonts w:ascii="Times New Roman" w:hAnsi="Times New Roman"/>
          <w:sz w:val="24"/>
          <w:szCs w:val="24"/>
        </w:rPr>
        <w:t>p.</w:t>
      </w:r>
      <w:r w:rsidRPr="00616A87">
        <w:rPr>
          <w:rFonts w:ascii="Times New Roman" w:hAnsi="Times New Roman"/>
          <w:sz w:val="24"/>
          <w:szCs w:val="24"/>
        </w:rPr>
        <w:t xml:space="preserve">28), las expresiones de este populismo fueron ampliamente recogidas por los líderes políticos ecuatorianos, lo que cual explica la falta de institucionalidad dentro del país. Lo que se expresa de manera real son los mecanismo que se utilizan, incluso dentro de las propias organizaciones, que determinan, como lo menciona Orwell, la estructura necesaria para mantener la dominación.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El sistema jerárquico dentro del partido y las organizaciones políticas está sujeto a la creación de círculos íntimos de relación donde se toman las decisiones y de donde salen las decisiones. Las reuniones entre los “caciques”, como los denomina De la Torre, determina los actores dentro de la participación política y se diferencia de aquellos que no entran dentro de esta red de colaboración, o lo hacen de manera esporádica. Y desde este círculo también se compone el ritual político donde el candidato se muestra a “su gente” y genera una relación de integración al proyecto. </w:t>
      </w:r>
    </w:p>
    <w:p w:rsidR="00A00E75" w:rsidRPr="00616A87" w:rsidRDefault="00A00E75" w:rsidP="009128DD">
      <w:pPr>
        <w:spacing w:line="360" w:lineRule="auto"/>
        <w:ind w:left="720" w:right="720"/>
        <w:jc w:val="both"/>
        <w:rPr>
          <w:rFonts w:ascii="Times New Roman" w:hAnsi="Times New Roman"/>
          <w:sz w:val="24"/>
          <w:szCs w:val="24"/>
        </w:rPr>
      </w:pPr>
      <w:r w:rsidRPr="00616A87">
        <w:rPr>
          <w:rFonts w:ascii="Times New Roman" w:hAnsi="Times New Roman"/>
          <w:sz w:val="24"/>
          <w:szCs w:val="24"/>
        </w:rPr>
        <w:t xml:space="preserve">La intención de los organizadores de estos eventos es que los partícipes se enfoquen en la figura del líder, lo consagren y lo deifiquen como si fueses una persona fuera de lo común. Es por esto que el momento culminante del mitin es la aparición del líder luego de que los ánimos ya están caldeados con la música y los discursos de los teloneros. (De la Torre, 2008, </w:t>
      </w:r>
      <w:r>
        <w:rPr>
          <w:rFonts w:ascii="Times New Roman" w:hAnsi="Times New Roman"/>
          <w:sz w:val="24"/>
          <w:szCs w:val="24"/>
        </w:rPr>
        <w:t>p.</w:t>
      </w:r>
      <w:r w:rsidRPr="00616A87">
        <w:rPr>
          <w:rFonts w:ascii="Times New Roman" w:hAnsi="Times New Roman"/>
          <w:sz w:val="24"/>
          <w:szCs w:val="24"/>
        </w:rPr>
        <w:t>33)</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lastRenderedPageBreak/>
        <w:t>La red de simpatía que se muestra con el candidato determinará su eficiencia. Esta red no necesariamente se ampliará por el clientelismo</w:t>
      </w:r>
      <w:r w:rsidRPr="00616A87">
        <w:rPr>
          <w:rStyle w:val="Refdenotaalpie"/>
          <w:rFonts w:ascii="Times New Roman" w:hAnsi="Times New Roman"/>
          <w:sz w:val="24"/>
          <w:szCs w:val="24"/>
        </w:rPr>
        <w:footnoteReference w:id="41"/>
      </w:r>
      <w:r w:rsidRPr="00616A87">
        <w:rPr>
          <w:rFonts w:ascii="Times New Roman" w:hAnsi="Times New Roman"/>
          <w:sz w:val="24"/>
          <w:szCs w:val="24"/>
        </w:rPr>
        <w:t xml:space="preserve">; lo que si se verá más efectivo en la conjugación de estas relaciones será la capacidad de mostrarse Dios y pueblo, El Salvador y el compadre, todo en uno, animado por las barras. Lo que han buscado, históricamente, los candidatos ecuatorianos.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Orwell sostenía la visión de un líder El líder como el centro del amor, la reverencia y el temor. Un líder que no necesariamente lidera, pero si a quien se dirigen siempre todas las emociones. “Es por esto que se invierten tanto recursos para construir la personalidad como el evento central de la política” (De la Torre, 2008, </w:t>
      </w:r>
      <w:r>
        <w:rPr>
          <w:rFonts w:ascii="Times New Roman" w:hAnsi="Times New Roman"/>
          <w:sz w:val="24"/>
          <w:szCs w:val="24"/>
        </w:rPr>
        <w:t>p.</w:t>
      </w:r>
      <w:r w:rsidRPr="00616A87">
        <w:rPr>
          <w:rFonts w:ascii="Times New Roman" w:hAnsi="Times New Roman"/>
          <w:sz w:val="24"/>
          <w:szCs w:val="24"/>
        </w:rPr>
        <w:t>44). Recursos que no siempre son económicos; recursos que pueden ser traducidos como confrontaciones generadas y que no responden completamente a la ideología del líder. La construcción de esta imagen ha determinado que el partido se</w:t>
      </w:r>
      <w:r>
        <w:rPr>
          <w:rFonts w:ascii="Times New Roman" w:hAnsi="Times New Roman"/>
          <w:sz w:val="24"/>
          <w:szCs w:val="24"/>
        </w:rPr>
        <w:t>a identificado con una persona.</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124"/>
        <w:gridCol w:w="3245"/>
      </w:tblGrid>
      <w:tr w:rsidR="00A00E75" w:rsidRPr="00616A87" w:rsidTr="00A30D72">
        <w:trPr>
          <w:trHeight w:val="983"/>
          <w:jc w:val="center"/>
        </w:trPr>
        <w:tc>
          <w:tcPr>
            <w:tcW w:w="3124" w:type="dxa"/>
            <w:vAlign w:val="center"/>
          </w:tcPr>
          <w:p w:rsidR="00A00E75" w:rsidRPr="00616A87" w:rsidRDefault="00A00E75" w:rsidP="009128DD">
            <w:pPr>
              <w:jc w:val="center"/>
              <w:rPr>
                <w:rFonts w:ascii="Times New Roman" w:hAnsi="Times New Roman"/>
                <w:b/>
                <w:sz w:val="24"/>
                <w:szCs w:val="24"/>
              </w:rPr>
            </w:pPr>
            <w:r w:rsidRPr="00616A87">
              <w:rPr>
                <w:rFonts w:ascii="Times New Roman" w:hAnsi="Times New Roman"/>
                <w:b/>
                <w:sz w:val="24"/>
                <w:szCs w:val="24"/>
              </w:rPr>
              <w:t>Partido</w:t>
            </w:r>
          </w:p>
        </w:tc>
        <w:tc>
          <w:tcPr>
            <w:tcW w:w="3245" w:type="dxa"/>
            <w:vAlign w:val="center"/>
          </w:tcPr>
          <w:p w:rsidR="00A00E75" w:rsidRPr="00616A87" w:rsidRDefault="00A00E75" w:rsidP="009128DD">
            <w:pPr>
              <w:jc w:val="center"/>
              <w:rPr>
                <w:rFonts w:ascii="Times New Roman" w:hAnsi="Times New Roman"/>
                <w:b/>
                <w:sz w:val="24"/>
                <w:szCs w:val="24"/>
              </w:rPr>
            </w:pPr>
            <w:r w:rsidRPr="00616A87">
              <w:rPr>
                <w:rFonts w:ascii="Times New Roman" w:hAnsi="Times New Roman"/>
                <w:b/>
                <w:sz w:val="24"/>
                <w:szCs w:val="24"/>
              </w:rPr>
              <w:t>Figura con la que se lo identifica</w:t>
            </w:r>
          </w:p>
        </w:tc>
      </w:tr>
      <w:tr w:rsidR="00A00E75" w:rsidRPr="00616A87" w:rsidTr="00A30D72">
        <w:trPr>
          <w:trHeight w:val="596"/>
          <w:jc w:val="center"/>
        </w:trPr>
        <w:tc>
          <w:tcPr>
            <w:tcW w:w="3124" w:type="dxa"/>
            <w:vAlign w:val="center"/>
          </w:tcPr>
          <w:p w:rsidR="00A00E75" w:rsidRPr="00616A87" w:rsidRDefault="00A00E75" w:rsidP="009128DD">
            <w:pPr>
              <w:jc w:val="center"/>
              <w:rPr>
                <w:rFonts w:ascii="Times New Roman" w:hAnsi="Times New Roman"/>
                <w:sz w:val="24"/>
                <w:szCs w:val="24"/>
              </w:rPr>
            </w:pPr>
            <w:r w:rsidRPr="00616A87">
              <w:rPr>
                <w:rFonts w:ascii="Times New Roman" w:hAnsi="Times New Roman"/>
                <w:sz w:val="24"/>
                <w:szCs w:val="24"/>
              </w:rPr>
              <w:t>Partido Social Cristiano</w:t>
            </w:r>
          </w:p>
        </w:tc>
        <w:tc>
          <w:tcPr>
            <w:tcW w:w="3245" w:type="dxa"/>
            <w:vAlign w:val="center"/>
          </w:tcPr>
          <w:p w:rsidR="00A00E75" w:rsidRPr="00616A87" w:rsidRDefault="00A00E75" w:rsidP="009128DD">
            <w:pPr>
              <w:jc w:val="center"/>
              <w:rPr>
                <w:rFonts w:ascii="Times New Roman" w:hAnsi="Times New Roman"/>
                <w:sz w:val="24"/>
                <w:szCs w:val="24"/>
              </w:rPr>
            </w:pPr>
            <w:r w:rsidRPr="00616A87">
              <w:rPr>
                <w:rFonts w:ascii="Times New Roman" w:hAnsi="Times New Roman"/>
                <w:sz w:val="24"/>
                <w:szCs w:val="24"/>
              </w:rPr>
              <w:t>León Febres Cordero</w:t>
            </w:r>
          </w:p>
        </w:tc>
      </w:tr>
      <w:tr w:rsidR="00A00E75" w:rsidRPr="00616A87" w:rsidTr="00A30D72">
        <w:trPr>
          <w:trHeight w:val="596"/>
          <w:jc w:val="center"/>
        </w:trPr>
        <w:tc>
          <w:tcPr>
            <w:tcW w:w="3124" w:type="dxa"/>
            <w:vAlign w:val="center"/>
          </w:tcPr>
          <w:p w:rsidR="00A00E75" w:rsidRPr="00616A87" w:rsidRDefault="00A00E75" w:rsidP="009128DD">
            <w:pPr>
              <w:jc w:val="center"/>
              <w:rPr>
                <w:rFonts w:ascii="Times New Roman" w:hAnsi="Times New Roman"/>
                <w:sz w:val="24"/>
                <w:szCs w:val="24"/>
              </w:rPr>
            </w:pPr>
            <w:r w:rsidRPr="00616A87">
              <w:rPr>
                <w:rFonts w:ascii="Times New Roman" w:hAnsi="Times New Roman"/>
                <w:sz w:val="24"/>
                <w:szCs w:val="24"/>
              </w:rPr>
              <w:t>Izquierda Democrática</w:t>
            </w:r>
          </w:p>
        </w:tc>
        <w:tc>
          <w:tcPr>
            <w:tcW w:w="3245" w:type="dxa"/>
            <w:vAlign w:val="center"/>
          </w:tcPr>
          <w:p w:rsidR="00A00E75" w:rsidRPr="00616A87" w:rsidRDefault="00A00E75" w:rsidP="009128DD">
            <w:pPr>
              <w:jc w:val="center"/>
              <w:rPr>
                <w:rFonts w:ascii="Times New Roman" w:hAnsi="Times New Roman"/>
                <w:sz w:val="24"/>
                <w:szCs w:val="24"/>
              </w:rPr>
            </w:pPr>
            <w:r w:rsidRPr="00616A87">
              <w:rPr>
                <w:rFonts w:ascii="Times New Roman" w:hAnsi="Times New Roman"/>
                <w:sz w:val="24"/>
                <w:szCs w:val="24"/>
              </w:rPr>
              <w:t>Rodrigo Borja</w:t>
            </w:r>
          </w:p>
        </w:tc>
      </w:tr>
      <w:tr w:rsidR="00A00E75" w:rsidRPr="00616A87" w:rsidTr="00A30D72">
        <w:trPr>
          <w:trHeight w:val="596"/>
          <w:jc w:val="center"/>
        </w:trPr>
        <w:tc>
          <w:tcPr>
            <w:tcW w:w="3124" w:type="dxa"/>
            <w:vAlign w:val="center"/>
          </w:tcPr>
          <w:p w:rsidR="00A00E75" w:rsidRPr="00616A87" w:rsidRDefault="00A00E75" w:rsidP="009128DD">
            <w:pPr>
              <w:jc w:val="center"/>
              <w:rPr>
                <w:rFonts w:ascii="Times New Roman" w:hAnsi="Times New Roman"/>
                <w:sz w:val="24"/>
                <w:szCs w:val="24"/>
              </w:rPr>
            </w:pPr>
            <w:r w:rsidRPr="00616A87">
              <w:rPr>
                <w:rFonts w:ascii="Times New Roman" w:hAnsi="Times New Roman"/>
                <w:sz w:val="24"/>
                <w:szCs w:val="24"/>
              </w:rPr>
              <w:t>PRIAN</w:t>
            </w:r>
          </w:p>
        </w:tc>
        <w:tc>
          <w:tcPr>
            <w:tcW w:w="3245" w:type="dxa"/>
            <w:vAlign w:val="center"/>
          </w:tcPr>
          <w:p w:rsidR="00A00E75" w:rsidRPr="00616A87" w:rsidRDefault="00A00E75" w:rsidP="009128DD">
            <w:pPr>
              <w:jc w:val="center"/>
              <w:rPr>
                <w:rFonts w:ascii="Times New Roman" w:hAnsi="Times New Roman"/>
                <w:sz w:val="24"/>
                <w:szCs w:val="24"/>
              </w:rPr>
            </w:pPr>
            <w:r w:rsidRPr="00616A87">
              <w:rPr>
                <w:rFonts w:ascii="Times New Roman" w:hAnsi="Times New Roman"/>
                <w:sz w:val="24"/>
                <w:szCs w:val="24"/>
              </w:rPr>
              <w:t>Álvaro Noboa</w:t>
            </w:r>
          </w:p>
        </w:tc>
      </w:tr>
      <w:tr w:rsidR="00A00E75" w:rsidRPr="00616A87" w:rsidTr="00A30D72">
        <w:trPr>
          <w:trHeight w:val="983"/>
          <w:jc w:val="center"/>
        </w:trPr>
        <w:tc>
          <w:tcPr>
            <w:tcW w:w="3124" w:type="dxa"/>
            <w:vAlign w:val="center"/>
          </w:tcPr>
          <w:p w:rsidR="00A00E75" w:rsidRPr="00616A87" w:rsidRDefault="00A00E75" w:rsidP="009128DD">
            <w:pPr>
              <w:jc w:val="center"/>
              <w:rPr>
                <w:rFonts w:ascii="Times New Roman" w:hAnsi="Times New Roman"/>
                <w:sz w:val="24"/>
                <w:szCs w:val="24"/>
              </w:rPr>
            </w:pPr>
            <w:r w:rsidRPr="00616A87">
              <w:rPr>
                <w:rFonts w:ascii="Times New Roman" w:hAnsi="Times New Roman"/>
                <w:sz w:val="24"/>
                <w:szCs w:val="24"/>
              </w:rPr>
              <w:t>Partido Roldosista Ecuatoriano</w:t>
            </w:r>
          </w:p>
        </w:tc>
        <w:tc>
          <w:tcPr>
            <w:tcW w:w="3245" w:type="dxa"/>
            <w:vAlign w:val="center"/>
          </w:tcPr>
          <w:p w:rsidR="00A00E75" w:rsidRPr="00616A87" w:rsidRDefault="00A00E75" w:rsidP="009128DD">
            <w:pPr>
              <w:jc w:val="center"/>
              <w:rPr>
                <w:rFonts w:ascii="Times New Roman" w:hAnsi="Times New Roman"/>
                <w:sz w:val="24"/>
                <w:szCs w:val="24"/>
              </w:rPr>
            </w:pPr>
            <w:r w:rsidRPr="00616A87">
              <w:rPr>
                <w:rFonts w:ascii="Times New Roman" w:hAnsi="Times New Roman"/>
                <w:sz w:val="24"/>
                <w:szCs w:val="24"/>
              </w:rPr>
              <w:t>Abadalá Bucaram</w:t>
            </w:r>
          </w:p>
        </w:tc>
      </w:tr>
      <w:tr w:rsidR="00A00E75" w:rsidRPr="00616A87" w:rsidTr="00A30D72">
        <w:trPr>
          <w:trHeight w:val="596"/>
          <w:jc w:val="center"/>
        </w:trPr>
        <w:tc>
          <w:tcPr>
            <w:tcW w:w="3124" w:type="dxa"/>
            <w:vAlign w:val="center"/>
          </w:tcPr>
          <w:p w:rsidR="00A00E75" w:rsidRPr="00616A87" w:rsidRDefault="00A00E75" w:rsidP="009128DD">
            <w:pPr>
              <w:jc w:val="center"/>
              <w:rPr>
                <w:rFonts w:ascii="Times New Roman" w:hAnsi="Times New Roman"/>
                <w:sz w:val="24"/>
                <w:szCs w:val="24"/>
              </w:rPr>
            </w:pPr>
            <w:r w:rsidRPr="00616A87">
              <w:rPr>
                <w:rFonts w:ascii="Times New Roman" w:hAnsi="Times New Roman"/>
                <w:sz w:val="24"/>
                <w:szCs w:val="24"/>
              </w:rPr>
              <w:t>Partido Sociedad Patriótica</w:t>
            </w:r>
          </w:p>
        </w:tc>
        <w:tc>
          <w:tcPr>
            <w:tcW w:w="3245" w:type="dxa"/>
            <w:vAlign w:val="center"/>
          </w:tcPr>
          <w:p w:rsidR="00A00E75" w:rsidRPr="00616A87" w:rsidRDefault="00A00E75" w:rsidP="009128DD">
            <w:pPr>
              <w:jc w:val="center"/>
              <w:rPr>
                <w:rFonts w:ascii="Times New Roman" w:hAnsi="Times New Roman"/>
                <w:sz w:val="24"/>
                <w:szCs w:val="24"/>
              </w:rPr>
            </w:pPr>
            <w:r w:rsidRPr="00616A87">
              <w:rPr>
                <w:rFonts w:ascii="Times New Roman" w:hAnsi="Times New Roman"/>
                <w:sz w:val="24"/>
                <w:szCs w:val="24"/>
              </w:rPr>
              <w:t>Lucio Gutiérrez</w:t>
            </w:r>
          </w:p>
        </w:tc>
      </w:tr>
    </w:tbl>
    <w:p w:rsidR="00A00E75" w:rsidRPr="00A30D72" w:rsidRDefault="00A00E75" w:rsidP="00616A87">
      <w:pPr>
        <w:spacing w:line="360" w:lineRule="auto"/>
        <w:jc w:val="both"/>
        <w:rPr>
          <w:rFonts w:ascii="Times New Roman" w:hAnsi="Times New Roman"/>
          <w:i/>
          <w:sz w:val="24"/>
          <w:szCs w:val="24"/>
        </w:rPr>
      </w:pPr>
      <w:r w:rsidRPr="00A30D72">
        <w:rPr>
          <w:rFonts w:ascii="Times New Roman" w:hAnsi="Times New Roman"/>
          <w:i/>
          <w:sz w:val="24"/>
          <w:szCs w:val="24"/>
        </w:rPr>
        <w:t>Fuente: Encuesta realizada</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 xml:space="preserve">Fenómeno que no sucede en los países cuya institucionalidad es mayor a la personalidad. Es, sin duda, un mal adicional al multipartidismo, pero no es una consecuencia ineludible del mismo. No por esto podemos afirmar que todos los </w:t>
      </w:r>
      <w:r w:rsidRPr="00616A87">
        <w:rPr>
          <w:rFonts w:ascii="Times New Roman" w:hAnsi="Times New Roman"/>
          <w:sz w:val="24"/>
          <w:szCs w:val="24"/>
        </w:rPr>
        <w:lastRenderedPageBreak/>
        <w:t xml:space="preserve">políticos en el Ecuador han formado su personalidad política alrededor de la figura populista. Lo que si podemos afirmar, es que eventualmente estas figuras se han convertido en caudillos de sus partidos, y su imagen ha servido para identificar a esos partidos (y la </w:t>
      </w:r>
      <w:r w:rsidR="009B098D">
        <w:rPr>
          <w:rFonts w:ascii="Times New Roman" w:hAnsi="Times New Roman"/>
          <w:sz w:val="24"/>
          <w:szCs w:val="24"/>
        </w:rPr>
        <w:t>in</w:t>
      </w:r>
      <w:r w:rsidRPr="00616A87">
        <w:rPr>
          <w:rFonts w:ascii="Times New Roman" w:hAnsi="Times New Roman"/>
          <w:sz w:val="24"/>
          <w:szCs w:val="24"/>
        </w:rPr>
        <w:t xml:space="preserve">stancia que están manejando) por más de que ellos no sean los que están efectivamente gobernando. Y cuando sí están gobernando, ese gobierno se vuelve excesivamente centralizado y los círculos de poder y toma de decisiones, reducidos. </w:t>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Entonces, esta ingeniería institucional nos obliga a escoger a nuestros representantes basados en las imágenes construidas a partir de las necesidades electorales. Poco son los legisladores conocidos y los miembros representativos de los partidos. Cuando la elección se reduce a la persona, entonces no es necesario un proyecto, no es necesario un plan de políticas públicas, ni tampoco es necesario un cronograma de fiscalización. Hay una manipulación del electorado por, lo que se termina convirtiendo, una clase dominante. Y el humo que se vende en las tarimas rara vez es manifestado en obras y acciones políticas reales. Este cacique es la imagen que da vida al Partido y justifica la estructura social. Es la personificación del sistema y es el eje que mueve al Partido. “La función del Gran Hermano es actuar como un punto de foco de amor, temor y reverencia, emociones que son sentidas más fácilmente hacia un individuo que hacia una organización” (</w:t>
      </w:r>
      <w:r>
        <w:rPr>
          <w:rFonts w:ascii="Times New Roman" w:hAnsi="Times New Roman"/>
          <w:sz w:val="24"/>
          <w:szCs w:val="24"/>
        </w:rPr>
        <w:t>Orwell, 1983</w:t>
      </w:r>
      <w:r w:rsidRPr="00616A87">
        <w:rPr>
          <w:rFonts w:ascii="Times New Roman" w:hAnsi="Times New Roman"/>
          <w:sz w:val="24"/>
          <w:szCs w:val="24"/>
        </w:rPr>
        <w:t xml:space="preserve">, </w:t>
      </w:r>
      <w:r>
        <w:rPr>
          <w:rFonts w:ascii="Times New Roman" w:hAnsi="Times New Roman"/>
          <w:sz w:val="24"/>
          <w:szCs w:val="24"/>
        </w:rPr>
        <w:t>p.</w:t>
      </w:r>
      <w:r w:rsidRPr="00616A87">
        <w:rPr>
          <w:rFonts w:ascii="Times New Roman" w:hAnsi="Times New Roman"/>
          <w:sz w:val="24"/>
          <w:szCs w:val="24"/>
        </w:rPr>
        <w:t xml:space="preserve">171). </w:t>
      </w:r>
    </w:p>
    <w:p w:rsidR="00A00E75" w:rsidRPr="00826A50" w:rsidRDefault="00A00E75" w:rsidP="00336C06">
      <w:pPr>
        <w:pStyle w:val="TtuloTesis"/>
      </w:pPr>
      <w:r w:rsidRPr="00616A87">
        <w:br w:type="page"/>
      </w:r>
      <w:bookmarkStart w:id="38" w:name="_Toc295373162"/>
      <w:r w:rsidRPr="00336C06">
        <w:lastRenderedPageBreak/>
        <w:t>CONCLUSIONES</w:t>
      </w:r>
      <w:bookmarkEnd w:id="38"/>
    </w:p>
    <w:p w:rsidR="00A00E75" w:rsidRPr="00336C06" w:rsidRDefault="00A00E75" w:rsidP="007D74F0">
      <w:pPr>
        <w:spacing w:line="360" w:lineRule="auto"/>
        <w:jc w:val="both"/>
        <w:rPr>
          <w:rFonts w:ascii="Times New Roman" w:hAnsi="Times New Roman"/>
          <w:sz w:val="24"/>
          <w:szCs w:val="24"/>
        </w:rPr>
      </w:pPr>
      <w:r w:rsidRPr="00336C06">
        <w:rPr>
          <w:rFonts w:ascii="Times New Roman" w:hAnsi="Times New Roman"/>
          <w:sz w:val="24"/>
          <w:szCs w:val="24"/>
        </w:rPr>
        <w:t xml:space="preserve">Es determinante entender  la visión de dominación de George Orwell como una advertencia, y no como una premonición. Nos da las pautas para esgrimir cuales son los comportamientos de los grupos de dominación, voluntarios o involuntarios, que permiten que se perpetúen en el poder, y se aprovechen de él para satisfacer sus intereses. No se busca la aplicación efectiva del proceso textual; se busca una mirada simbólica de las consecuencias de los actos y la motivación detrás de los actos.  La Oceanía de </w:t>
      </w:r>
      <w:r w:rsidRPr="00336C06">
        <w:rPr>
          <w:rFonts w:ascii="Times New Roman" w:hAnsi="Times New Roman"/>
          <w:i/>
          <w:sz w:val="24"/>
          <w:szCs w:val="24"/>
        </w:rPr>
        <w:t>1984</w:t>
      </w:r>
      <w:r w:rsidRPr="00336C06">
        <w:rPr>
          <w:rFonts w:ascii="Times New Roman" w:hAnsi="Times New Roman"/>
          <w:sz w:val="24"/>
          <w:szCs w:val="24"/>
        </w:rPr>
        <w:t xml:space="preserve"> es el resultado final de todas estas prácticas que se evidencian en el comportamiento político de nuestra sociedad.</w:t>
      </w:r>
    </w:p>
    <w:p w:rsidR="00A00E75" w:rsidRPr="00336C06" w:rsidRDefault="00A00E75" w:rsidP="007D74F0">
      <w:pPr>
        <w:spacing w:line="360" w:lineRule="auto"/>
        <w:jc w:val="both"/>
        <w:rPr>
          <w:rFonts w:ascii="Times New Roman" w:hAnsi="Times New Roman"/>
          <w:sz w:val="24"/>
          <w:szCs w:val="24"/>
        </w:rPr>
      </w:pPr>
      <w:r w:rsidRPr="00336C06">
        <w:rPr>
          <w:rFonts w:ascii="Times New Roman" w:hAnsi="Times New Roman"/>
          <w:sz w:val="24"/>
          <w:szCs w:val="24"/>
        </w:rPr>
        <w:t>Una vez entendido este proceso como mecanismos concretos y las consecuencias que se ramifican de estos comportamientos, es posible determinar los focos de dominación y las prácticas dentro de la historia política en el Ecuador y las afectaciones materializadas e</w:t>
      </w:r>
      <w:bookmarkStart w:id="39" w:name="_GoBack"/>
      <w:bookmarkEnd w:id="39"/>
      <w:r w:rsidRPr="00336C06">
        <w:rPr>
          <w:rFonts w:ascii="Times New Roman" w:hAnsi="Times New Roman"/>
          <w:sz w:val="24"/>
          <w:szCs w:val="24"/>
        </w:rPr>
        <w:t>n el presente.</w:t>
      </w:r>
    </w:p>
    <w:p w:rsidR="00A00E75" w:rsidRPr="00336C06" w:rsidRDefault="00A00E75" w:rsidP="007D74F0">
      <w:pPr>
        <w:spacing w:line="360" w:lineRule="auto"/>
        <w:jc w:val="both"/>
        <w:rPr>
          <w:rFonts w:ascii="Times New Roman" w:hAnsi="Times New Roman"/>
          <w:sz w:val="24"/>
          <w:szCs w:val="24"/>
        </w:rPr>
      </w:pPr>
      <w:r w:rsidRPr="00336C06">
        <w:rPr>
          <w:rFonts w:ascii="Times New Roman" w:hAnsi="Times New Roman"/>
          <w:sz w:val="24"/>
          <w:szCs w:val="24"/>
        </w:rPr>
        <w:t>Es importante, sin embargo, entender a la dominación como un procesos natural dentro de la vida social. El proceso democrático contempla los mecanismos para una dominación “controlada”, una dominación determin</w:t>
      </w:r>
      <w:r w:rsidR="00C16FD0">
        <w:rPr>
          <w:rFonts w:ascii="Times New Roman" w:hAnsi="Times New Roman"/>
          <w:sz w:val="24"/>
          <w:szCs w:val="24"/>
        </w:rPr>
        <w:t>ada por un ejercicio de soberanía</w:t>
      </w:r>
      <w:r w:rsidRPr="00336C06">
        <w:rPr>
          <w:rFonts w:ascii="Times New Roman" w:hAnsi="Times New Roman"/>
          <w:sz w:val="24"/>
          <w:szCs w:val="24"/>
        </w:rPr>
        <w:t xml:space="preserve">. Y el ideal capitalista se basa en una dominación, remunerada y legalmente controlada. Dominación que eventualmente puede escaparse de la esfera de la industria y el mercado, para posicionarse en los gobiernos. Son intereses de la sociedad civil, las organizaciones intermedias y los grupos sociales los que terminan controlando e injiriendo en los proceso de dominación. </w:t>
      </w:r>
    </w:p>
    <w:p w:rsidR="00A00E75" w:rsidRPr="00336C06" w:rsidRDefault="00A00E75" w:rsidP="007D74F0">
      <w:pPr>
        <w:spacing w:line="360" w:lineRule="auto"/>
        <w:jc w:val="both"/>
        <w:rPr>
          <w:rFonts w:ascii="Times New Roman" w:hAnsi="Times New Roman"/>
          <w:sz w:val="24"/>
          <w:szCs w:val="24"/>
        </w:rPr>
      </w:pPr>
      <w:r w:rsidRPr="00336C06">
        <w:rPr>
          <w:rFonts w:ascii="Times New Roman" w:hAnsi="Times New Roman"/>
          <w:sz w:val="24"/>
          <w:szCs w:val="24"/>
        </w:rPr>
        <w:t xml:space="preserve">La dominación se vuelve una fuente de conflicto el momento en que estos grupos naturales de dominación abusan de su calidad y concentran la injerencia dentro del aparato político. Grupos de dominación que también se crean y consolidan dentro del aparato político. Estas élites buscan la eliminación de los mecanismos de participación de los grupos dominados y generan condiciones para perpetuarse en su situación de privilegio. </w:t>
      </w:r>
    </w:p>
    <w:p w:rsidR="00A00E75" w:rsidRPr="00336C06" w:rsidRDefault="00A00E75" w:rsidP="007D74F0">
      <w:pPr>
        <w:spacing w:line="360" w:lineRule="auto"/>
        <w:jc w:val="both"/>
        <w:rPr>
          <w:rFonts w:ascii="Times New Roman" w:hAnsi="Times New Roman"/>
          <w:sz w:val="24"/>
          <w:szCs w:val="24"/>
        </w:rPr>
      </w:pPr>
      <w:r w:rsidRPr="00336C06">
        <w:rPr>
          <w:rFonts w:ascii="Times New Roman" w:hAnsi="Times New Roman"/>
          <w:sz w:val="24"/>
          <w:szCs w:val="24"/>
        </w:rPr>
        <w:t xml:space="preserve">El motivo de este estudio es determinar los mecanismos que crean estos modelos de dominación., y su aplicación dentro del sistema político ecuatoriano. El estudio </w:t>
      </w:r>
      <w:r w:rsidRPr="00336C06">
        <w:rPr>
          <w:rFonts w:ascii="Times New Roman" w:hAnsi="Times New Roman"/>
          <w:sz w:val="24"/>
          <w:szCs w:val="24"/>
        </w:rPr>
        <w:lastRenderedPageBreak/>
        <w:t xml:space="preserve">también permite dilucidar la motivación detrás de estos actos  y las consecuencias que se han generado dentro de la sociedad: desigualdad, conflicto, ingobernabilidad, abuso de poder, </w:t>
      </w:r>
      <w:r w:rsidRPr="00336C06">
        <w:rPr>
          <w:rFonts w:ascii="Times New Roman" w:hAnsi="Times New Roman"/>
          <w:i/>
          <w:sz w:val="24"/>
          <w:szCs w:val="24"/>
        </w:rPr>
        <w:t>desdemocratización</w:t>
      </w:r>
      <w:r w:rsidRPr="00336C06">
        <w:rPr>
          <w:rFonts w:ascii="Times New Roman" w:hAnsi="Times New Roman"/>
          <w:sz w:val="24"/>
          <w:szCs w:val="24"/>
        </w:rPr>
        <w:t xml:space="preserve"> de la acción política, autoritarismo y un desprestigio total de los procesos democráticos. </w:t>
      </w:r>
    </w:p>
    <w:p w:rsidR="00A00E75" w:rsidRPr="00336C06" w:rsidRDefault="00A00E75" w:rsidP="007D74F0">
      <w:pPr>
        <w:spacing w:line="360" w:lineRule="auto"/>
        <w:jc w:val="both"/>
        <w:rPr>
          <w:rFonts w:ascii="Times New Roman" w:hAnsi="Times New Roman"/>
          <w:sz w:val="24"/>
          <w:szCs w:val="24"/>
        </w:rPr>
      </w:pPr>
      <w:r w:rsidRPr="00336C06">
        <w:rPr>
          <w:rFonts w:ascii="Times New Roman" w:hAnsi="Times New Roman"/>
          <w:sz w:val="24"/>
          <w:szCs w:val="24"/>
        </w:rPr>
        <w:t xml:space="preserve">El estudio analiza la manera en que los grupos de dominación, a través de la acción política, crean conflictividad dentro de la sociedad. La conflictividad necesaria para que exista un estado de “guerra perpetua”, ocupando a los actores políticos en esa batalla política mientras se mantiene el </w:t>
      </w:r>
      <w:r w:rsidR="00C16FD0">
        <w:rPr>
          <w:rFonts w:ascii="Times New Roman" w:hAnsi="Times New Roman"/>
          <w:i/>
          <w:sz w:val="24"/>
          <w:szCs w:val="24"/>
        </w:rPr>
        <w:t>e</w:t>
      </w:r>
      <w:r w:rsidRPr="00336C06">
        <w:rPr>
          <w:rFonts w:ascii="Times New Roman" w:hAnsi="Times New Roman"/>
          <w:i/>
          <w:sz w:val="24"/>
          <w:szCs w:val="24"/>
        </w:rPr>
        <w:t>statu</w:t>
      </w:r>
      <w:r w:rsidR="00191996">
        <w:rPr>
          <w:rFonts w:ascii="Times New Roman" w:hAnsi="Times New Roman"/>
          <w:i/>
          <w:sz w:val="24"/>
          <w:szCs w:val="24"/>
        </w:rPr>
        <w:t>s</w:t>
      </w:r>
      <w:r w:rsidRPr="00336C06">
        <w:rPr>
          <w:rFonts w:ascii="Times New Roman" w:hAnsi="Times New Roman"/>
          <w:sz w:val="24"/>
          <w:szCs w:val="24"/>
        </w:rPr>
        <w:t xml:space="preserve"> </w:t>
      </w:r>
      <w:r w:rsidRPr="00336C06">
        <w:rPr>
          <w:rFonts w:ascii="Times New Roman" w:hAnsi="Times New Roman"/>
          <w:i/>
          <w:sz w:val="24"/>
          <w:szCs w:val="24"/>
        </w:rPr>
        <w:t>quo</w:t>
      </w:r>
      <w:r w:rsidRPr="00336C06">
        <w:rPr>
          <w:rFonts w:ascii="Times New Roman" w:hAnsi="Times New Roman"/>
          <w:sz w:val="24"/>
          <w:szCs w:val="24"/>
        </w:rPr>
        <w:t xml:space="preserve">. Entonces, el conflicto continuo y superficial, materializado socialmente en forma de paros y movilizaciones, se caracteriza por su falta de consensos     </w:t>
      </w:r>
    </w:p>
    <w:p w:rsidR="00A00E75" w:rsidRPr="00336C06" w:rsidRDefault="00A00E75" w:rsidP="000B2C8A">
      <w:pPr>
        <w:spacing w:line="360" w:lineRule="auto"/>
        <w:jc w:val="both"/>
        <w:rPr>
          <w:rFonts w:ascii="Times New Roman" w:hAnsi="Times New Roman"/>
          <w:sz w:val="24"/>
          <w:szCs w:val="24"/>
        </w:rPr>
      </w:pPr>
      <w:r w:rsidRPr="00336C06">
        <w:rPr>
          <w:rFonts w:ascii="Times New Roman" w:hAnsi="Times New Roman"/>
          <w:sz w:val="24"/>
          <w:szCs w:val="24"/>
        </w:rPr>
        <w:t xml:space="preserve">Las características de los conflictos, dentro de la sociedad ecuatoriana, están determinados por su baja intensidad y la falta de “un conflicto central estructural y estructurante del resto de la conflictividad” (Sánchez-Parga, 2010, p.15). No ha existido la profundidad necesaria dentro de los conflictos para que las propuestas de estos, cuando las hay, puedan ser expresadas y consolidadas en el Estado. El fraccionamiento de los grupos sociales, su heterogeneidad y la falta de consensos para crear propuestas viables dentro la estructura social, económica o política de un gobierno terminan por restarle validez a estas expresiones colectivas. </w:t>
      </w:r>
    </w:p>
    <w:p w:rsidR="00A00E75" w:rsidRPr="00336C06" w:rsidRDefault="00A00E75" w:rsidP="000B2C8A">
      <w:pPr>
        <w:spacing w:line="360" w:lineRule="auto"/>
        <w:jc w:val="both"/>
        <w:rPr>
          <w:rFonts w:ascii="Times New Roman" w:hAnsi="Times New Roman"/>
          <w:sz w:val="24"/>
          <w:szCs w:val="24"/>
        </w:rPr>
      </w:pPr>
      <w:r w:rsidRPr="00336C06">
        <w:rPr>
          <w:rFonts w:ascii="Times New Roman" w:hAnsi="Times New Roman"/>
          <w:sz w:val="24"/>
          <w:szCs w:val="24"/>
        </w:rPr>
        <w:t xml:space="preserve">El resultante es una gran cantidad de paros y movilizaciones pero una muy baja efectividad de cada uno de ellos. Es precisamente por esa ligereza con la que los movimientos sociales han tomado estos conflictos, que las reacciones del colectivo social hacia ellos son de cotidianidad, más que de la efectiva necesidad de institucionalizar estas manifestaciones. Ante esta realidad, los sectores dominantes no ven la necesidad de resolver el conflicto, basta con aplazarlos, “y por ellos se vuelven reincidentes y acumulativos” (Sánchez-Parga, 2010, p.16). No por eso los conflictos dejan de suceder. Únicamente pierden su efectividad, y sin esa efectividad, no son más que expresiones violentas de una sociedad, que pueden ser manejados de la misma manera por los gobiernos y los grupos de poder.  </w:t>
      </w:r>
    </w:p>
    <w:p w:rsidR="00A00E75" w:rsidRPr="00336C06" w:rsidRDefault="00A00E75" w:rsidP="000B2C8A">
      <w:pPr>
        <w:spacing w:line="360" w:lineRule="auto"/>
        <w:jc w:val="both"/>
        <w:rPr>
          <w:rFonts w:ascii="Times New Roman" w:hAnsi="Times New Roman"/>
          <w:sz w:val="24"/>
          <w:szCs w:val="24"/>
        </w:rPr>
      </w:pPr>
      <w:r w:rsidRPr="00336C06">
        <w:rPr>
          <w:rFonts w:ascii="Times New Roman" w:hAnsi="Times New Roman"/>
          <w:sz w:val="24"/>
          <w:szCs w:val="24"/>
        </w:rPr>
        <w:lastRenderedPageBreak/>
        <w:t xml:space="preserve">Orwell propone la dominación para llegar al fin último del poder. El poder como esencia de los mecanismos de dominación. Pero también entiende la función de la participación activa de las élites dentro de la economía como uno de los caminos que sirven para limitar el poder de la sociedad civil. La clase media, como eje de resistencia intelectual y activa, es atropellada por las diferentes propuestas económicas, mientras que las clases más bajas, eventualmente, verán un cambio de dominador, nunca un cambio de situación. La función de dominación económica se extiende a los organismos internacionales y la manipulación de leyes que benefician, en última instancia, a los grupos de dominación.  </w:t>
      </w:r>
    </w:p>
    <w:p w:rsidR="00A00E75" w:rsidRPr="00336C06" w:rsidRDefault="00A00E75" w:rsidP="00826A50">
      <w:pPr>
        <w:spacing w:line="360" w:lineRule="auto"/>
        <w:jc w:val="both"/>
        <w:rPr>
          <w:rFonts w:ascii="Times New Roman" w:hAnsi="Times New Roman"/>
          <w:sz w:val="24"/>
          <w:szCs w:val="24"/>
        </w:rPr>
      </w:pPr>
      <w:r w:rsidRPr="00336C06">
        <w:rPr>
          <w:rFonts w:ascii="Times New Roman" w:hAnsi="Times New Roman"/>
          <w:sz w:val="24"/>
          <w:szCs w:val="24"/>
        </w:rPr>
        <w:t xml:space="preserve">La concentración económica ha sido una constante, independiente de los factores de crecimiento económico. Las desigualdades generan un deterioro de la clase media, mediadora del conflicto democrático Sin este mediador, el resultado es un estado de violencia y confrontación perpetua, un estado propicio para la perpetuación del </w:t>
      </w:r>
      <w:r w:rsidRPr="00336C06">
        <w:rPr>
          <w:rFonts w:ascii="Times New Roman" w:hAnsi="Times New Roman"/>
          <w:i/>
          <w:sz w:val="24"/>
          <w:szCs w:val="24"/>
        </w:rPr>
        <w:t>estatus quo</w:t>
      </w:r>
      <w:r w:rsidRPr="00336C06">
        <w:rPr>
          <w:rFonts w:ascii="Times New Roman" w:hAnsi="Times New Roman"/>
          <w:sz w:val="24"/>
          <w:szCs w:val="24"/>
        </w:rPr>
        <w:t xml:space="preserve">. Voluntaria o involuntariamente, históricamente, las acciones adoptadas por </w:t>
      </w:r>
      <w:r w:rsidR="009B098D" w:rsidRPr="00336C06">
        <w:rPr>
          <w:rFonts w:ascii="Times New Roman" w:hAnsi="Times New Roman"/>
          <w:sz w:val="24"/>
          <w:szCs w:val="24"/>
        </w:rPr>
        <w:t>los</w:t>
      </w:r>
      <w:r w:rsidRPr="00336C06">
        <w:rPr>
          <w:rFonts w:ascii="Times New Roman" w:hAnsi="Times New Roman"/>
          <w:sz w:val="24"/>
          <w:szCs w:val="24"/>
        </w:rPr>
        <w:t xml:space="preserve"> gobiernos, influenciados por los intereses de grupos de poder, han servido para la consolidación y perpetuación de estos. Estos escenario</w:t>
      </w:r>
      <w:r w:rsidR="00191996">
        <w:rPr>
          <w:rFonts w:ascii="Times New Roman" w:hAnsi="Times New Roman"/>
          <w:sz w:val="24"/>
          <w:szCs w:val="24"/>
        </w:rPr>
        <w:t>s</w:t>
      </w:r>
      <w:r w:rsidRPr="00336C06">
        <w:rPr>
          <w:rFonts w:ascii="Times New Roman" w:hAnsi="Times New Roman"/>
          <w:sz w:val="24"/>
          <w:szCs w:val="24"/>
        </w:rPr>
        <w:t>, de pobreza extrema y situaciones precarias, elimina</w:t>
      </w:r>
      <w:r w:rsidR="00191996">
        <w:rPr>
          <w:rFonts w:ascii="Times New Roman" w:hAnsi="Times New Roman"/>
          <w:sz w:val="24"/>
          <w:szCs w:val="24"/>
        </w:rPr>
        <w:t>n</w:t>
      </w:r>
      <w:r w:rsidRPr="00336C06">
        <w:rPr>
          <w:rFonts w:ascii="Times New Roman" w:hAnsi="Times New Roman"/>
          <w:sz w:val="24"/>
          <w:szCs w:val="24"/>
        </w:rPr>
        <w:t xml:space="preserve"> el punto de comparación, elemento que Orwell considera necesario para evitar un descontento que eventualmente lleve a una sublevación. Es precisamente cuando estos parámetros son abusados, que la violencia se convierte en acción política efectiva. Ruptura que se presenta después de la caída de Gutiérrez y que ya se convierte en parte de un análisis diferente.  </w:t>
      </w:r>
    </w:p>
    <w:p w:rsidR="00A00E75" w:rsidRPr="00336C06" w:rsidRDefault="00A00E75" w:rsidP="00826A50">
      <w:pPr>
        <w:spacing w:line="360" w:lineRule="auto"/>
        <w:jc w:val="both"/>
        <w:rPr>
          <w:rFonts w:ascii="Times New Roman" w:hAnsi="Times New Roman"/>
          <w:sz w:val="24"/>
          <w:szCs w:val="24"/>
        </w:rPr>
      </w:pPr>
      <w:r w:rsidRPr="00336C06">
        <w:rPr>
          <w:rFonts w:ascii="Times New Roman" w:hAnsi="Times New Roman"/>
          <w:sz w:val="24"/>
          <w:szCs w:val="24"/>
        </w:rPr>
        <w:t>La carencia de un grupo social políticamente fuerte y organizado, obliga a que las masas busquen los cambios que responden a una coyuntura. Cambios que son fáciles de resolver y afianzan el clientelismo. Desde el alza salarial (una respuesta que no responde a los problemas institucionales y estructurales de la sociedad) hasta la represión (la violencia sirve para deslegitimizar las causas</w:t>
      </w:r>
      <w:r w:rsidR="00641069">
        <w:rPr>
          <w:rFonts w:ascii="Times New Roman" w:hAnsi="Times New Roman"/>
          <w:sz w:val="24"/>
          <w:szCs w:val="24"/>
        </w:rPr>
        <w:t xml:space="preserve"> de</w:t>
      </w:r>
      <w:r w:rsidRPr="00336C06">
        <w:rPr>
          <w:rFonts w:ascii="Times New Roman" w:hAnsi="Times New Roman"/>
          <w:sz w:val="24"/>
          <w:szCs w:val="24"/>
        </w:rPr>
        <w:t xml:space="preserve"> los movimientos sociales), nunca hubo una respuesta oportuna a las necesidad sociales. La inestabilidad política solo sirve para perpetuar esta condición, y el cambio prematuro de presidentes no cambia la fragilidad institucional, escenario propicio para la dominación.  </w:t>
      </w:r>
    </w:p>
    <w:p w:rsidR="00A00E75" w:rsidRPr="00336C06" w:rsidRDefault="00A00E75" w:rsidP="00826A50">
      <w:pPr>
        <w:spacing w:line="360" w:lineRule="auto"/>
        <w:jc w:val="both"/>
        <w:rPr>
          <w:rFonts w:ascii="Times New Roman" w:hAnsi="Times New Roman"/>
          <w:sz w:val="24"/>
          <w:szCs w:val="24"/>
        </w:rPr>
      </w:pPr>
      <w:r w:rsidRPr="00336C06">
        <w:rPr>
          <w:rFonts w:ascii="Times New Roman" w:hAnsi="Times New Roman"/>
          <w:sz w:val="24"/>
          <w:szCs w:val="24"/>
        </w:rPr>
        <w:lastRenderedPageBreak/>
        <w:t>Desde el regreso a la democracia, las clases dominadas han tenido la posibilidad de ir a las urnas siete veces para la elección de presidente. La capacidad de elegir a tu dominador no te exonera de su dominación. El auspicio tácito de ciertos sectores de dominación a grupos sociales ha sido siempre velando por sus intereses. Toma mayor fuerza la máxima orwelliana: “Ignorancia es fuerza”.</w:t>
      </w:r>
    </w:p>
    <w:p w:rsidR="00A00E75" w:rsidRPr="00336C06" w:rsidRDefault="00A00E75" w:rsidP="00590710">
      <w:pPr>
        <w:spacing w:line="360" w:lineRule="auto"/>
        <w:jc w:val="both"/>
        <w:rPr>
          <w:rFonts w:ascii="Times New Roman" w:hAnsi="Times New Roman"/>
          <w:sz w:val="24"/>
          <w:szCs w:val="24"/>
        </w:rPr>
      </w:pPr>
      <w:r w:rsidRPr="00336C06">
        <w:rPr>
          <w:rFonts w:ascii="Times New Roman" w:hAnsi="Times New Roman"/>
          <w:sz w:val="24"/>
          <w:szCs w:val="24"/>
        </w:rPr>
        <w:t xml:space="preserve">La salida que encuentran los grupos sociales no identificados con el aparato político, son </w:t>
      </w:r>
      <w:r w:rsidR="00191996">
        <w:rPr>
          <w:rFonts w:ascii="Times New Roman" w:hAnsi="Times New Roman"/>
          <w:sz w:val="24"/>
          <w:szCs w:val="24"/>
        </w:rPr>
        <w:t>los</w:t>
      </w:r>
      <w:r w:rsidRPr="00336C06">
        <w:rPr>
          <w:rFonts w:ascii="Times New Roman" w:hAnsi="Times New Roman"/>
          <w:sz w:val="24"/>
          <w:szCs w:val="24"/>
        </w:rPr>
        <w:t xml:space="preserve"> partidos. El partido toma esta representatividad y eleva el conflicto a un plano institucional. El conflicto, sin embargo, continúa en este nuevo plano y se consolida, olvidando la representatividad y la posibilidad de una reivindicación efectiva. Sumado a esto, es</w:t>
      </w:r>
      <w:r w:rsidR="00191996">
        <w:rPr>
          <w:rFonts w:ascii="Times New Roman" w:hAnsi="Times New Roman"/>
          <w:sz w:val="24"/>
          <w:szCs w:val="24"/>
        </w:rPr>
        <w:t>ta</w:t>
      </w:r>
      <w:r w:rsidRPr="00336C06">
        <w:rPr>
          <w:rFonts w:ascii="Times New Roman" w:hAnsi="Times New Roman"/>
          <w:sz w:val="24"/>
          <w:szCs w:val="24"/>
        </w:rPr>
        <w:t xml:space="preserve"> la capacidad que tienen los partidos políticos </w:t>
      </w:r>
      <w:r w:rsidR="00191996">
        <w:rPr>
          <w:rFonts w:ascii="Times New Roman" w:hAnsi="Times New Roman"/>
          <w:sz w:val="24"/>
          <w:szCs w:val="24"/>
        </w:rPr>
        <w:t>de</w:t>
      </w:r>
      <w:r w:rsidRPr="00336C06">
        <w:rPr>
          <w:rFonts w:ascii="Times New Roman" w:hAnsi="Times New Roman"/>
          <w:sz w:val="24"/>
          <w:szCs w:val="24"/>
        </w:rPr>
        <w:t xml:space="preserve"> utilizar su mecanismo de representatividad, para eliminar el individualismo político. Los partidos utilizan los mismos mecanismos para alcanzar el mismo fin. Orwell hablaba del partido único, pero manifestaba esta representación única bajo la formación de asociaciones política manifestadas a través de filosofías que son “apenas distinguibles, y los sistemas sociales que apoyan son absolutamente indistinguibles. En todo lado hay la misma estructura piramidal (y) la misma alabanza al líder semi-dios” (Orwell, 1983, p.162). No es necesario buscar el partido único cuando la variedad de partidos que nos representan son, en su esencia, indistinguibles entre ellos.  </w:t>
      </w:r>
    </w:p>
    <w:p w:rsidR="00A00E75" w:rsidRPr="00336C06" w:rsidRDefault="00A00E75" w:rsidP="00590710">
      <w:pPr>
        <w:spacing w:line="360" w:lineRule="auto"/>
        <w:jc w:val="both"/>
        <w:rPr>
          <w:rFonts w:ascii="Times New Roman" w:hAnsi="Times New Roman"/>
          <w:sz w:val="24"/>
          <w:szCs w:val="24"/>
        </w:rPr>
      </w:pPr>
      <w:r w:rsidRPr="00336C06">
        <w:rPr>
          <w:rFonts w:ascii="Times New Roman" w:hAnsi="Times New Roman"/>
          <w:sz w:val="24"/>
          <w:szCs w:val="24"/>
        </w:rPr>
        <w:t xml:space="preserve">La práctica populista y el caudillismo político complementan esta visión orwelliana de dominación. La necesidad de un líder, un mesías, que rescate y represente a las masas, convirtiéndose en la imagen del partido: en el Gran Hermano. Esa figura que aglutina todos los sentimientos de reverencia e ira, mientras la maquinaria partidista y gubernamental ejerce el control sobre la política. Es crear un ícono, independiente del gobernador real, que sirva para representar todas aquellas virtudes que busca el pueblo y la sociedad en un líder. Es una estrategia que desnaturaliza al ser humano, </w:t>
      </w:r>
      <w:r w:rsidR="00191996">
        <w:rPr>
          <w:rFonts w:ascii="Times New Roman" w:hAnsi="Times New Roman"/>
          <w:sz w:val="24"/>
          <w:szCs w:val="24"/>
        </w:rPr>
        <w:t>lo</w:t>
      </w:r>
      <w:r w:rsidRPr="00336C06">
        <w:rPr>
          <w:rFonts w:ascii="Times New Roman" w:hAnsi="Times New Roman"/>
          <w:sz w:val="24"/>
          <w:szCs w:val="24"/>
        </w:rPr>
        <w:t xml:space="preserve"> vuelve dios, para poder utilizarlo como una herramienta más para complementar el proceso de dominación política. </w:t>
      </w:r>
    </w:p>
    <w:p w:rsidR="00A00E75" w:rsidRPr="00336C06" w:rsidRDefault="00A00E75" w:rsidP="00590710">
      <w:pPr>
        <w:spacing w:line="360" w:lineRule="auto"/>
        <w:jc w:val="both"/>
        <w:rPr>
          <w:rFonts w:ascii="Times New Roman" w:hAnsi="Times New Roman"/>
          <w:sz w:val="24"/>
          <w:szCs w:val="24"/>
        </w:rPr>
      </w:pPr>
      <w:r w:rsidRPr="00336C06">
        <w:rPr>
          <w:rFonts w:ascii="Times New Roman" w:hAnsi="Times New Roman"/>
          <w:sz w:val="24"/>
          <w:szCs w:val="24"/>
        </w:rPr>
        <w:t xml:space="preserve">Orwell no buscaba crear un manual de dominación. Orwell delineó un proceso repetido en varios escenarios políticos.  Es un proceso legal, dentro de una </w:t>
      </w:r>
      <w:r w:rsidRPr="00336C06">
        <w:rPr>
          <w:rFonts w:ascii="Times New Roman" w:hAnsi="Times New Roman"/>
          <w:sz w:val="24"/>
          <w:szCs w:val="24"/>
        </w:rPr>
        <w:lastRenderedPageBreak/>
        <w:t xml:space="preserve">democracia representativa, que no representa ni se siente completamente legitimada. Los grupos de dominación han sabido crear los espacios para perpetuar su dominio, estableciendo un patrón de gobernabilidad dentro de la ingobernabilidad. Han podido comprender una institución que responde a sus intereses y un sistema que se ha adaptado a las necesidades de grupos elitista. </w:t>
      </w:r>
    </w:p>
    <w:p w:rsidR="00A00E75" w:rsidRPr="00336C06" w:rsidRDefault="00A00E75" w:rsidP="000132DD">
      <w:pPr>
        <w:spacing w:after="0" w:line="360" w:lineRule="auto"/>
        <w:jc w:val="center"/>
        <w:outlineLvl w:val="0"/>
        <w:rPr>
          <w:rFonts w:ascii="Times New Roman" w:hAnsi="Times New Roman"/>
          <w:sz w:val="24"/>
          <w:szCs w:val="24"/>
        </w:rPr>
      </w:pPr>
      <w:r w:rsidRPr="00336C06">
        <w:rPr>
          <w:rFonts w:ascii="Times New Roman" w:hAnsi="Times New Roman"/>
          <w:sz w:val="24"/>
          <w:szCs w:val="24"/>
        </w:rPr>
        <w:t>GUERRA ES PAZ</w:t>
      </w:r>
    </w:p>
    <w:p w:rsidR="00A00E75" w:rsidRPr="00336C06" w:rsidRDefault="00A00E75" w:rsidP="000132DD">
      <w:pPr>
        <w:spacing w:after="0" w:line="360" w:lineRule="auto"/>
        <w:jc w:val="center"/>
        <w:rPr>
          <w:rFonts w:ascii="Times New Roman" w:hAnsi="Times New Roman"/>
          <w:sz w:val="24"/>
          <w:szCs w:val="24"/>
        </w:rPr>
      </w:pPr>
      <w:r w:rsidRPr="00336C06">
        <w:rPr>
          <w:rFonts w:ascii="Times New Roman" w:hAnsi="Times New Roman"/>
          <w:sz w:val="24"/>
          <w:szCs w:val="24"/>
        </w:rPr>
        <w:t>LIBERTAD ES ESCLAVITUD</w:t>
      </w:r>
    </w:p>
    <w:p w:rsidR="00A00E75" w:rsidRPr="00336C06" w:rsidRDefault="00A00E75" w:rsidP="000132DD">
      <w:pPr>
        <w:spacing w:line="360" w:lineRule="auto"/>
        <w:jc w:val="center"/>
        <w:rPr>
          <w:rFonts w:ascii="Times New Roman" w:hAnsi="Times New Roman"/>
          <w:sz w:val="24"/>
          <w:szCs w:val="24"/>
        </w:rPr>
      </w:pPr>
      <w:r w:rsidRPr="00336C06">
        <w:rPr>
          <w:rFonts w:ascii="Times New Roman" w:hAnsi="Times New Roman"/>
          <w:sz w:val="24"/>
          <w:szCs w:val="24"/>
        </w:rPr>
        <w:t>IGNORANCIA ES FUERZA</w:t>
      </w:r>
    </w:p>
    <w:p w:rsidR="00A00E75" w:rsidRPr="00336C06" w:rsidRDefault="00A00E75" w:rsidP="00590710">
      <w:pPr>
        <w:spacing w:line="360" w:lineRule="auto"/>
        <w:jc w:val="both"/>
        <w:rPr>
          <w:rFonts w:ascii="Times New Roman" w:hAnsi="Times New Roman"/>
          <w:sz w:val="24"/>
          <w:szCs w:val="24"/>
        </w:rPr>
      </w:pPr>
      <w:r w:rsidRPr="00336C06">
        <w:rPr>
          <w:rFonts w:ascii="Times New Roman" w:hAnsi="Times New Roman"/>
          <w:sz w:val="24"/>
          <w:szCs w:val="24"/>
        </w:rPr>
        <w:t xml:space="preserve">Una guerra, un conflicto perpetuo que protege al </w:t>
      </w:r>
      <w:r w:rsidRPr="00191996">
        <w:rPr>
          <w:rFonts w:ascii="Times New Roman" w:hAnsi="Times New Roman"/>
          <w:i/>
          <w:sz w:val="24"/>
          <w:szCs w:val="24"/>
        </w:rPr>
        <w:t>estatus quo</w:t>
      </w:r>
      <w:r w:rsidRPr="00336C06">
        <w:rPr>
          <w:rFonts w:ascii="Times New Roman" w:hAnsi="Times New Roman"/>
          <w:sz w:val="24"/>
          <w:szCs w:val="24"/>
        </w:rPr>
        <w:t>, como lo hace la paz. La libertad de aquellos que no tienen representatividad ni poder dentro del aparato político, como los esclavos.  La ignorancia que sirve como fuerza política. Estos elementos determina</w:t>
      </w:r>
      <w:r w:rsidR="00191996">
        <w:rPr>
          <w:rFonts w:ascii="Times New Roman" w:hAnsi="Times New Roman"/>
          <w:sz w:val="24"/>
          <w:szCs w:val="24"/>
        </w:rPr>
        <w:t>n</w:t>
      </w:r>
      <w:r w:rsidRPr="00336C06">
        <w:rPr>
          <w:rFonts w:ascii="Times New Roman" w:hAnsi="Times New Roman"/>
          <w:sz w:val="24"/>
          <w:szCs w:val="24"/>
        </w:rPr>
        <w:t xml:space="preserve"> el andamiaje de dominación en el Ecuador. Conocer el funcionamiento es ganar la primera batalla. Entender las manipulaciones políticas no</w:t>
      </w:r>
      <w:r w:rsidR="00191996">
        <w:rPr>
          <w:rFonts w:ascii="Times New Roman" w:hAnsi="Times New Roman"/>
          <w:sz w:val="24"/>
          <w:szCs w:val="24"/>
        </w:rPr>
        <w:t>s</w:t>
      </w:r>
      <w:r w:rsidRPr="00336C06">
        <w:rPr>
          <w:rFonts w:ascii="Times New Roman" w:hAnsi="Times New Roman"/>
          <w:sz w:val="24"/>
          <w:szCs w:val="24"/>
        </w:rPr>
        <w:t xml:space="preserve"> ayuda a dilucidar y predecir las motivaciones detrás de cada acción. Nos ayuda a elegir. Es necesario un cambio estructural. Un cambio que  limit</w:t>
      </w:r>
      <w:r w:rsidR="00191996">
        <w:rPr>
          <w:rFonts w:ascii="Times New Roman" w:hAnsi="Times New Roman"/>
          <w:sz w:val="24"/>
          <w:szCs w:val="24"/>
        </w:rPr>
        <w:t>e</w:t>
      </w:r>
      <w:r w:rsidRPr="00336C06">
        <w:rPr>
          <w:rFonts w:ascii="Times New Roman" w:hAnsi="Times New Roman"/>
          <w:sz w:val="24"/>
          <w:szCs w:val="24"/>
        </w:rPr>
        <w:t xml:space="preserve"> la dominación y la encamine hacia una aplicación positiva. Y, sin embargo, cualquier modificación al escenario político será en vano, si la respuesta hacia el poder es siempre la misma. Si nos dejamos manchar por esa naturaleza agresiva y egoísta de la que hablaba Hobbes. Es necesaria la voluntad política, complementada por una sociedad civil participativa y activa. George Orwell, en </w:t>
      </w:r>
      <w:r w:rsidRPr="00336C06">
        <w:rPr>
          <w:rFonts w:ascii="Times New Roman" w:hAnsi="Times New Roman"/>
          <w:i/>
          <w:sz w:val="24"/>
          <w:szCs w:val="24"/>
        </w:rPr>
        <w:t>1984</w:t>
      </w:r>
      <w:r w:rsidRPr="00336C06">
        <w:rPr>
          <w:rFonts w:ascii="Times New Roman" w:hAnsi="Times New Roman"/>
          <w:sz w:val="24"/>
          <w:szCs w:val="24"/>
        </w:rPr>
        <w:t xml:space="preserve">, presagia: “Si quieres ver una retrato del futuro, imagínate una bota pisando un rostro humano… por siempre”. </w:t>
      </w:r>
      <w:r w:rsidR="00191996">
        <w:rPr>
          <w:rFonts w:ascii="Times New Roman" w:hAnsi="Times New Roman"/>
          <w:sz w:val="24"/>
          <w:szCs w:val="24"/>
        </w:rPr>
        <w:t>Solo a través de la acción podremos detener a la bota</w:t>
      </w:r>
      <w:r w:rsidRPr="00336C06">
        <w:rPr>
          <w:rFonts w:ascii="Times New Roman" w:hAnsi="Times New Roman"/>
          <w:sz w:val="24"/>
          <w:szCs w:val="24"/>
        </w:rPr>
        <w:t>.</w:t>
      </w:r>
    </w:p>
    <w:p w:rsidR="00A00E75" w:rsidRPr="000132DD" w:rsidRDefault="00A00E75" w:rsidP="00590710">
      <w:pPr>
        <w:spacing w:line="360" w:lineRule="auto"/>
        <w:jc w:val="both"/>
      </w:pPr>
      <w:r>
        <w:t xml:space="preserve"> </w:t>
      </w:r>
      <w:r w:rsidRPr="00616A87">
        <w:br w:type="page"/>
      </w:r>
    </w:p>
    <w:p w:rsidR="00A00E75" w:rsidRPr="00616A87" w:rsidRDefault="00A00E75" w:rsidP="002E0094">
      <w:pPr>
        <w:pStyle w:val="TtuloTesis"/>
        <w:outlineLvl w:val="0"/>
      </w:pPr>
      <w:bookmarkStart w:id="40" w:name="_Toc295373163"/>
      <w:r w:rsidRPr="00616A87">
        <w:lastRenderedPageBreak/>
        <w:t>BIBLIOGRAFÍA</w:t>
      </w:r>
      <w:bookmarkEnd w:id="40"/>
    </w:p>
    <w:p w:rsidR="00A00E75" w:rsidRPr="00F21AFE" w:rsidRDefault="00A00E75" w:rsidP="00616A87">
      <w:pPr>
        <w:spacing w:line="360" w:lineRule="auto"/>
        <w:jc w:val="both"/>
        <w:rPr>
          <w:rFonts w:ascii="Times New Roman" w:hAnsi="Times New Roman"/>
          <w:sz w:val="24"/>
          <w:szCs w:val="24"/>
        </w:rPr>
      </w:pPr>
      <w:r w:rsidRPr="00F21AFE">
        <w:rPr>
          <w:rFonts w:ascii="Times New Roman" w:hAnsi="Times New Roman"/>
          <w:sz w:val="24"/>
          <w:szCs w:val="24"/>
        </w:rPr>
        <w:t xml:space="preserve">Acosta, Alberto (2002). </w:t>
      </w:r>
      <w:r w:rsidRPr="00F21AFE">
        <w:rPr>
          <w:rFonts w:ascii="Times New Roman" w:hAnsi="Times New Roman"/>
          <w:i/>
          <w:sz w:val="24"/>
          <w:szCs w:val="24"/>
        </w:rPr>
        <w:t>Breve historia económica del Ecuador</w:t>
      </w:r>
      <w:r w:rsidRPr="00F21AFE">
        <w:rPr>
          <w:rFonts w:ascii="Times New Roman" w:hAnsi="Times New Roman"/>
          <w:sz w:val="24"/>
          <w:szCs w:val="24"/>
        </w:rPr>
        <w:t xml:space="preserve">. Quito: Corporación Editora Nacional. </w:t>
      </w:r>
    </w:p>
    <w:p w:rsidR="00A00E75" w:rsidRPr="00F21AFE" w:rsidRDefault="00A00E75" w:rsidP="00616A87">
      <w:pPr>
        <w:spacing w:line="360" w:lineRule="auto"/>
        <w:jc w:val="both"/>
        <w:rPr>
          <w:rFonts w:ascii="Times New Roman" w:hAnsi="Times New Roman"/>
          <w:sz w:val="24"/>
          <w:szCs w:val="24"/>
        </w:rPr>
      </w:pPr>
      <w:r w:rsidRPr="00F21AFE">
        <w:rPr>
          <w:rFonts w:ascii="Times New Roman" w:hAnsi="Times New Roman"/>
          <w:sz w:val="24"/>
          <w:szCs w:val="24"/>
        </w:rPr>
        <w:t xml:space="preserve">Andrade, Pablo (2009). </w:t>
      </w:r>
      <w:r w:rsidRPr="00F21AFE">
        <w:rPr>
          <w:rFonts w:ascii="Times New Roman" w:hAnsi="Times New Roman"/>
          <w:i/>
          <w:sz w:val="24"/>
          <w:szCs w:val="24"/>
        </w:rPr>
        <w:t>Democracia y cambio político en el Ecuador: liberalismo, política de la cultura y reforma institucional</w:t>
      </w:r>
      <w:r w:rsidRPr="00F21AFE">
        <w:rPr>
          <w:rFonts w:ascii="Times New Roman" w:hAnsi="Times New Roman"/>
          <w:sz w:val="24"/>
          <w:szCs w:val="24"/>
        </w:rPr>
        <w:t xml:space="preserve">. Quito: Corporación Editora Nacional. </w:t>
      </w:r>
    </w:p>
    <w:p w:rsidR="00A00E75" w:rsidRPr="00F21AFE" w:rsidRDefault="00A00E75" w:rsidP="00616A87">
      <w:pPr>
        <w:spacing w:line="360" w:lineRule="auto"/>
        <w:jc w:val="both"/>
        <w:rPr>
          <w:rFonts w:ascii="Times New Roman" w:hAnsi="Times New Roman"/>
          <w:sz w:val="24"/>
          <w:szCs w:val="24"/>
        </w:rPr>
      </w:pPr>
      <w:r w:rsidRPr="00F21AFE">
        <w:rPr>
          <w:rFonts w:ascii="Times New Roman" w:hAnsi="Times New Roman"/>
          <w:sz w:val="24"/>
          <w:szCs w:val="24"/>
        </w:rPr>
        <w:t xml:space="preserve">Argones, Nelson (1991). </w:t>
      </w:r>
      <w:r w:rsidRPr="00F21AFE">
        <w:rPr>
          <w:rFonts w:ascii="Times New Roman" w:hAnsi="Times New Roman"/>
          <w:i/>
          <w:sz w:val="24"/>
          <w:szCs w:val="24"/>
        </w:rPr>
        <w:t>Modernización y poder político</w:t>
      </w:r>
      <w:r w:rsidRPr="00F21AFE">
        <w:rPr>
          <w:rFonts w:ascii="Times New Roman" w:hAnsi="Times New Roman"/>
          <w:sz w:val="24"/>
          <w:szCs w:val="24"/>
        </w:rPr>
        <w:t xml:space="preserve"> en Enrique Ayala Ed., </w:t>
      </w:r>
      <w:r w:rsidRPr="00F21AFE">
        <w:rPr>
          <w:rFonts w:ascii="Times New Roman" w:hAnsi="Times New Roman"/>
          <w:i/>
          <w:sz w:val="24"/>
          <w:szCs w:val="24"/>
        </w:rPr>
        <w:t>Nueva historia del Ecuador, Vol. 11</w:t>
      </w:r>
      <w:r w:rsidRPr="00F21AFE">
        <w:rPr>
          <w:rFonts w:ascii="Times New Roman" w:hAnsi="Times New Roman"/>
          <w:sz w:val="24"/>
          <w:szCs w:val="24"/>
        </w:rPr>
        <w:t>. Quito: Corporación Editora Nacional.</w:t>
      </w:r>
    </w:p>
    <w:p w:rsidR="00A00E75" w:rsidRPr="00F21AFE" w:rsidRDefault="00A00E75" w:rsidP="00616A87">
      <w:pPr>
        <w:pStyle w:val="Textonotapie"/>
        <w:spacing w:line="360" w:lineRule="auto"/>
        <w:jc w:val="both"/>
        <w:rPr>
          <w:rFonts w:ascii="Times New Roman" w:hAnsi="Times New Roman"/>
          <w:sz w:val="24"/>
          <w:szCs w:val="24"/>
        </w:rPr>
      </w:pPr>
      <w:r w:rsidRPr="00F21AFE">
        <w:rPr>
          <w:rFonts w:ascii="Times New Roman" w:hAnsi="Times New Roman"/>
          <w:sz w:val="24"/>
          <w:szCs w:val="24"/>
        </w:rPr>
        <w:t xml:space="preserve">Arboleda, María y Raúl Borja (1985). </w:t>
      </w:r>
      <w:r w:rsidRPr="00F21AFE">
        <w:rPr>
          <w:rFonts w:ascii="Times New Roman" w:hAnsi="Times New Roman"/>
          <w:i/>
          <w:sz w:val="24"/>
          <w:szCs w:val="24"/>
        </w:rPr>
        <w:t>Mi poder en la oposición</w:t>
      </w:r>
      <w:r w:rsidRPr="00F21AFE">
        <w:rPr>
          <w:rFonts w:ascii="Times New Roman" w:hAnsi="Times New Roman"/>
          <w:sz w:val="24"/>
          <w:szCs w:val="24"/>
        </w:rPr>
        <w:t>, Quito: Editorial El Conejo.</w:t>
      </w:r>
    </w:p>
    <w:p w:rsidR="00A00E75" w:rsidRPr="00F21AFE" w:rsidRDefault="00A00E75" w:rsidP="00616A87">
      <w:pPr>
        <w:spacing w:line="360" w:lineRule="auto"/>
        <w:jc w:val="both"/>
        <w:rPr>
          <w:rFonts w:ascii="Times New Roman" w:hAnsi="Times New Roman"/>
          <w:sz w:val="24"/>
          <w:szCs w:val="24"/>
        </w:rPr>
      </w:pPr>
      <w:r w:rsidRPr="00F21AFE">
        <w:rPr>
          <w:rFonts w:ascii="Times New Roman" w:hAnsi="Times New Roman"/>
          <w:sz w:val="24"/>
          <w:szCs w:val="24"/>
        </w:rPr>
        <w:t xml:space="preserve">Borja, Diego (1988). </w:t>
      </w:r>
      <w:r w:rsidRPr="00F21AFE">
        <w:rPr>
          <w:rFonts w:ascii="Times New Roman" w:hAnsi="Times New Roman"/>
          <w:i/>
          <w:sz w:val="24"/>
          <w:szCs w:val="24"/>
        </w:rPr>
        <w:t>Los placeres del poder</w:t>
      </w:r>
      <w:r w:rsidRPr="00F21AFE">
        <w:rPr>
          <w:rFonts w:ascii="Times New Roman" w:hAnsi="Times New Roman"/>
          <w:sz w:val="24"/>
          <w:szCs w:val="24"/>
        </w:rPr>
        <w:t>. Quito: Editorial El Conejo.</w:t>
      </w:r>
    </w:p>
    <w:p w:rsidR="00A00E75" w:rsidRPr="00FF278C" w:rsidRDefault="00A00E75" w:rsidP="00616A87">
      <w:pPr>
        <w:spacing w:line="360" w:lineRule="auto"/>
        <w:jc w:val="both"/>
        <w:rPr>
          <w:rFonts w:ascii="Times New Roman" w:hAnsi="Times New Roman"/>
          <w:sz w:val="24"/>
          <w:szCs w:val="24"/>
          <w:lang w:val="es-EC"/>
        </w:rPr>
      </w:pPr>
      <w:r w:rsidRPr="00F21AFE">
        <w:rPr>
          <w:rFonts w:ascii="Times New Roman" w:hAnsi="Times New Roman"/>
          <w:sz w:val="24"/>
          <w:szCs w:val="24"/>
        </w:rPr>
        <w:t xml:space="preserve">Correa, Rafael (2009). </w:t>
      </w:r>
      <w:r w:rsidRPr="00F21AFE">
        <w:rPr>
          <w:rFonts w:ascii="Times New Roman" w:hAnsi="Times New Roman"/>
          <w:i/>
          <w:sz w:val="24"/>
          <w:szCs w:val="24"/>
        </w:rPr>
        <w:t>Ecuador: de Banana Republic a la No República</w:t>
      </w:r>
      <w:r w:rsidRPr="00F21AFE">
        <w:rPr>
          <w:rFonts w:ascii="Times New Roman" w:hAnsi="Times New Roman"/>
          <w:sz w:val="24"/>
          <w:szCs w:val="24"/>
        </w:rPr>
        <w:t>.</w:t>
      </w:r>
      <w:r w:rsidRPr="00FF278C">
        <w:rPr>
          <w:rFonts w:ascii="Times New Roman" w:hAnsi="Times New Roman"/>
          <w:sz w:val="24"/>
          <w:szCs w:val="24"/>
          <w:lang w:val="es-EC"/>
        </w:rPr>
        <w:t>Bogotá: Random</w:t>
      </w:r>
      <w:r>
        <w:rPr>
          <w:rFonts w:ascii="Times New Roman" w:hAnsi="Times New Roman"/>
          <w:sz w:val="24"/>
          <w:szCs w:val="24"/>
          <w:lang w:val="es-EC"/>
        </w:rPr>
        <w:t xml:space="preserve"> </w:t>
      </w:r>
      <w:r w:rsidRPr="00FF278C">
        <w:rPr>
          <w:rFonts w:ascii="Times New Roman" w:hAnsi="Times New Roman"/>
          <w:sz w:val="24"/>
          <w:szCs w:val="24"/>
          <w:lang w:val="es-EC"/>
        </w:rPr>
        <w:t>House</w:t>
      </w:r>
      <w:r>
        <w:rPr>
          <w:rFonts w:ascii="Times New Roman" w:hAnsi="Times New Roman"/>
          <w:sz w:val="24"/>
          <w:szCs w:val="24"/>
          <w:lang w:val="es-EC"/>
        </w:rPr>
        <w:t xml:space="preserve"> </w:t>
      </w:r>
      <w:r w:rsidRPr="00FF278C">
        <w:rPr>
          <w:rFonts w:ascii="Times New Roman" w:hAnsi="Times New Roman"/>
          <w:sz w:val="24"/>
          <w:szCs w:val="24"/>
          <w:lang w:val="es-EC"/>
        </w:rPr>
        <w:t xml:space="preserve">Modadori. </w:t>
      </w:r>
    </w:p>
    <w:p w:rsidR="00A00E75" w:rsidRPr="00F21AFE" w:rsidRDefault="00A00E75" w:rsidP="00616A87">
      <w:pPr>
        <w:spacing w:line="360" w:lineRule="auto"/>
        <w:jc w:val="both"/>
        <w:rPr>
          <w:rFonts w:ascii="Times New Roman" w:hAnsi="Times New Roman"/>
          <w:sz w:val="24"/>
          <w:szCs w:val="24"/>
          <w:lang w:val="en-US"/>
        </w:rPr>
      </w:pPr>
      <w:r w:rsidRPr="00F21AFE">
        <w:rPr>
          <w:rFonts w:ascii="Times New Roman" w:hAnsi="Times New Roman"/>
          <w:sz w:val="24"/>
          <w:szCs w:val="24"/>
          <w:lang w:val="en-GB"/>
        </w:rPr>
        <w:t>Cronkite, Walter (1983). “</w:t>
      </w:r>
      <w:r w:rsidRPr="00F21AFE">
        <w:rPr>
          <w:rFonts w:ascii="Times New Roman" w:hAnsi="Times New Roman"/>
          <w:sz w:val="24"/>
          <w:szCs w:val="24"/>
          <w:lang w:val="en-US"/>
        </w:rPr>
        <w:t xml:space="preserve">Prefacio” en George Orwell, </w:t>
      </w:r>
      <w:r w:rsidRPr="00F21AFE">
        <w:rPr>
          <w:rFonts w:ascii="Times New Roman" w:hAnsi="Times New Roman"/>
          <w:i/>
          <w:sz w:val="24"/>
          <w:szCs w:val="24"/>
          <w:lang w:val="en-US"/>
        </w:rPr>
        <w:t>1984</w:t>
      </w:r>
      <w:r w:rsidRPr="00F21AFE">
        <w:rPr>
          <w:rFonts w:ascii="Times New Roman" w:hAnsi="Times New Roman"/>
          <w:sz w:val="24"/>
          <w:szCs w:val="24"/>
          <w:lang w:val="en-US"/>
        </w:rPr>
        <w:t>. New York: Signet Classics.</w:t>
      </w:r>
    </w:p>
    <w:p w:rsidR="00A00E75" w:rsidRPr="00F21AFE" w:rsidRDefault="00A00E75" w:rsidP="00616A87">
      <w:pPr>
        <w:spacing w:line="360" w:lineRule="auto"/>
        <w:jc w:val="both"/>
        <w:rPr>
          <w:rFonts w:ascii="Times New Roman" w:hAnsi="Times New Roman"/>
          <w:sz w:val="24"/>
          <w:szCs w:val="24"/>
        </w:rPr>
      </w:pPr>
      <w:r w:rsidRPr="00F21AFE">
        <w:rPr>
          <w:rFonts w:ascii="Times New Roman" w:hAnsi="Times New Roman"/>
          <w:sz w:val="24"/>
          <w:szCs w:val="24"/>
          <w:lang w:val="en-GB"/>
        </w:rPr>
        <w:t xml:space="preserve">Cueva, Agustín (1988). </w:t>
      </w:r>
      <w:r w:rsidRPr="00F21AFE">
        <w:rPr>
          <w:rFonts w:ascii="Times New Roman" w:hAnsi="Times New Roman"/>
          <w:i/>
          <w:sz w:val="24"/>
          <w:szCs w:val="24"/>
        </w:rPr>
        <w:t>El proceso de dominación política en el Ecuador</w:t>
      </w:r>
      <w:r w:rsidRPr="00F21AFE">
        <w:rPr>
          <w:rFonts w:ascii="Times New Roman" w:hAnsi="Times New Roman"/>
          <w:sz w:val="24"/>
          <w:szCs w:val="24"/>
        </w:rPr>
        <w:t>. Quito: Editorial Planeta.</w:t>
      </w:r>
    </w:p>
    <w:p w:rsidR="00A00E75" w:rsidRPr="00F21AFE" w:rsidRDefault="00A00E75" w:rsidP="00616A87">
      <w:pPr>
        <w:spacing w:line="360" w:lineRule="auto"/>
        <w:jc w:val="both"/>
        <w:rPr>
          <w:rFonts w:ascii="Times New Roman" w:hAnsi="Times New Roman"/>
          <w:sz w:val="24"/>
          <w:szCs w:val="24"/>
        </w:rPr>
      </w:pPr>
      <w:r w:rsidRPr="00F21AFE">
        <w:rPr>
          <w:rFonts w:ascii="Times New Roman" w:hAnsi="Times New Roman"/>
          <w:sz w:val="24"/>
          <w:szCs w:val="24"/>
        </w:rPr>
        <w:t xml:space="preserve">Cueva, Agustín (1991). </w:t>
      </w:r>
      <w:r>
        <w:rPr>
          <w:rFonts w:ascii="Times New Roman" w:hAnsi="Times New Roman"/>
          <w:sz w:val="24"/>
          <w:szCs w:val="24"/>
        </w:rPr>
        <w:t>“</w:t>
      </w:r>
      <w:r w:rsidRPr="00BA755B">
        <w:rPr>
          <w:rFonts w:ascii="Times New Roman" w:hAnsi="Times New Roman"/>
          <w:sz w:val="24"/>
          <w:szCs w:val="24"/>
        </w:rPr>
        <w:t>El Ecuador de 1925 a 1960</w:t>
      </w:r>
      <w:r>
        <w:rPr>
          <w:rFonts w:ascii="Times New Roman" w:hAnsi="Times New Roman"/>
          <w:sz w:val="24"/>
          <w:szCs w:val="24"/>
        </w:rPr>
        <w:t>”</w:t>
      </w:r>
      <w:r w:rsidRPr="00F21AFE">
        <w:rPr>
          <w:rFonts w:ascii="Times New Roman" w:hAnsi="Times New Roman"/>
          <w:sz w:val="24"/>
          <w:szCs w:val="24"/>
        </w:rPr>
        <w:t xml:space="preserve"> en Enrique Ayala Ed., </w:t>
      </w:r>
      <w:r w:rsidRPr="00F21AFE">
        <w:rPr>
          <w:rFonts w:ascii="Times New Roman" w:hAnsi="Times New Roman"/>
          <w:i/>
          <w:sz w:val="24"/>
          <w:szCs w:val="24"/>
        </w:rPr>
        <w:t>Nueva historia del Ecuador, Vol. 11</w:t>
      </w:r>
      <w:r w:rsidRPr="00F21AFE">
        <w:rPr>
          <w:rFonts w:ascii="Times New Roman" w:hAnsi="Times New Roman"/>
          <w:sz w:val="24"/>
          <w:szCs w:val="24"/>
        </w:rPr>
        <w:t>. Quito: Corporación Editora Nacional.</w:t>
      </w:r>
    </w:p>
    <w:p w:rsidR="00A00E75" w:rsidRPr="00F21AFE" w:rsidRDefault="00A00E75" w:rsidP="00616A87">
      <w:pPr>
        <w:spacing w:line="360" w:lineRule="auto"/>
        <w:jc w:val="both"/>
        <w:rPr>
          <w:rFonts w:ascii="Times New Roman" w:hAnsi="Times New Roman"/>
          <w:sz w:val="24"/>
          <w:szCs w:val="24"/>
        </w:rPr>
      </w:pPr>
      <w:r w:rsidRPr="00F21AFE">
        <w:rPr>
          <w:rFonts w:ascii="Times New Roman" w:hAnsi="Times New Roman"/>
          <w:sz w:val="24"/>
          <w:szCs w:val="24"/>
        </w:rPr>
        <w:t xml:space="preserve">De la Torre, Carlos (2008). “Populismo, ciudadanía y Estado de derecho”, en Carlos de la Torre y Enrique Peruzzotti, ed., </w:t>
      </w:r>
      <w:r w:rsidRPr="00F21AFE">
        <w:rPr>
          <w:rFonts w:ascii="Times New Roman" w:hAnsi="Times New Roman"/>
          <w:i/>
          <w:sz w:val="24"/>
          <w:szCs w:val="24"/>
        </w:rPr>
        <w:t>El retorno del pueblo: populismo y nuevas democracias en América Latina</w:t>
      </w:r>
      <w:r w:rsidRPr="00F21AFE">
        <w:rPr>
          <w:rFonts w:ascii="Times New Roman" w:hAnsi="Times New Roman"/>
          <w:sz w:val="24"/>
          <w:szCs w:val="24"/>
        </w:rPr>
        <w:t xml:space="preserve">. Quito: FLACSO. </w:t>
      </w:r>
    </w:p>
    <w:p w:rsidR="00A00E75" w:rsidRPr="00F21AFE" w:rsidRDefault="00A00E75" w:rsidP="00616A87">
      <w:pPr>
        <w:spacing w:line="360" w:lineRule="auto"/>
        <w:jc w:val="both"/>
        <w:rPr>
          <w:rFonts w:ascii="Times New Roman" w:hAnsi="Times New Roman"/>
          <w:sz w:val="24"/>
          <w:szCs w:val="24"/>
        </w:rPr>
      </w:pPr>
      <w:r w:rsidRPr="00F21AFE">
        <w:rPr>
          <w:rFonts w:ascii="Times New Roman" w:hAnsi="Times New Roman"/>
          <w:sz w:val="24"/>
          <w:szCs w:val="24"/>
        </w:rPr>
        <w:t xml:space="preserve">De la Torre, Carlos y Enrique Peruzzotti (2008). “El regreso del populismo” en Carlos de la Torre y Enrique Peruzzotti, ed., </w:t>
      </w:r>
      <w:r w:rsidRPr="00F21AFE">
        <w:rPr>
          <w:rFonts w:ascii="Times New Roman" w:hAnsi="Times New Roman"/>
          <w:i/>
          <w:sz w:val="24"/>
          <w:szCs w:val="24"/>
        </w:rPr>
        <w:t>El retorno del pueblo: populismo y nuevas democracias en América Latina</w:t>
      </w:r>
      <w:r w:rsidRPr="00F21AFE">
        <w:rPr>
          <w:rFonts w:ascii="Times New Roman" w:hAnsi="Times New Roman"/>
          <w:sz w:val="24"/>
          <w:szCs w:val="24"/>
        </w:rPr>
        <w:t xml:space="preserve">. Quito: FLACSO. </w:t>
      </w:r>
    </w:p>
    <w:p w:rsidR="00A00E75" w:rsidRPr="00F21AFE" w:rsidRDefault="00A00E75" w:rsidP="00616A87">
      <w:pPr>
        <w:spacing w:line="360" w:lineRule="auto"/>
        <w:jc w:val="both"/>
        <w:rPr>
          <w:rFonts w:ascii="Times New Roman" w:hAnsi="Times New Roman"/>
          <w:sz w:val="24"/>
          <w:szCs w:val="24"/>
        </w:rPr>
      </w:pPr>
      <w:r w:rsidRPr="00F21AFE">
        <w:rPr>
          <w:rFonts w:ascii="Times New Roman" w:hAnsi="Times New Roman"/>
          <w:sz w:val="24"/>
          <w:szCs w:val="24"/>
        </w:rPr>
        <w:t xml:space="preserve">Hurtado, Osvaldo (2007). </w:t>
      </w:r>
      <w:r w:rsidRPr="00F21AFE">
        <w:rPr>
          <w:rFonts w:ascii="Times New Roman" w:hAnsi="Times New Roman"/>
          <w:i/>
          <w:sz w:val="24"/>
          <w:szCs w:val="24"/>
        </w:rPr>
        <w:t>El poder político en el Ecuador.</w:t>
      </w:r>
      <w:r w:rsidRPr="00F21AFE">
        <w:rPr>
          <w:rFonts w:ascii="Times New Roman" w:hAnsi="Times New Roman"/>
          <w:sz w:val="24"/>
          <w:szCs w:val="24"/>
        </w:rPr>
        <w:t xml:space="preserve"> Quito: Editorial Planeta. </w:t>
      </w:r>
    </w:p>
    <w:p w:rsidR="00A00E75" w:rsidRPr="00F21AFE" w:rsidRDefault="00A00E75" w:rsidP="00616A87">
      <w:pPr>
        <w:spacing w:line="360" w:lineRule="auto"/>
        <w:jc w:val="both"/>
        <w:rPr>
          <w:rFonts w:ascii="Times New Roman" w:hAnsi="Times New Roman"/>
          <w:sz w:val="24"/>
          <w:szCs w:val="24"/>
        </w:rPr>
      </w:pPr>
      <w:r w:rsidRPr="00F21AFE">
        <w:rPr>
          <w:rFonts w:ascii="Times New Roman" w:hAnsi="Times New Roman"/>
          <w:sz w:val="24"/>
          <w:szCs w:val="24"/>
        </w:rPr>
        <w:lastRenderedPageBreak/>
        <w:t xml:space="preserve">Konstantinov, F. V., B. Kedrov y I. Kon (1973). </w:t>
      </w:r>
      <w:r w:rsidRPr="00F21AFE">
        <w:rPr>
          <w:rFonts w:ascii="Times New Roman" w:hAnsi="Times New Roman"/>
          <w:i/>
          <w:sz w:val="24"/>
          <w:szCs w:val="24"/>
        </w:rPr>
        <w:t>Introducción al materialismo histórico</w:t>
      </w:r>
      <w:r>
        <w:rPr>
          <w:rFonts w:ascii="Times New Roman" w:hAnsi="Times New Roman"/>
          <w:sz w:val="24"/>
          <w:szCs w:val="24"/>
        </w:rPr>
        <w:t>. Méjico:</w:t>
      </w:r>
      <w:r w:rsidRPr="00F21AFE">
        <w:rPr>
          <w:rFonts w:ascii="Times New Roman" w:hAnsi="Times New Roman"/>
          <w:sz w:val="24"/>
          <w:szCs w:val="24"/>
        </w:rPr>
        <w:t xml:space="preserve"> Editorial Grijalbo.</w:t>
      </w:r>
    </w:p>
    <w:p w:rsidR="00A00E75" w:rsidRPr="004F57C4" w:rsidRDefault="00A00E75" w:rsidP="00616A87">
      <w:pPr>
        <w:spacing w:line="360" w:lineRule="auto"/>
        <w:jc w:val="both"/>
        <w:rPr>
          <w:rFonts w:ascii="Times New Roman" w:hAnsi="Times New Roman"/>
          <w:sz w:val="24"/>
          <w:szCs w:val="24"/>
          <w:lang w:val="es-EC"/>
        </w:rPr>
      </w:pPr>
      <w:r w:rsidRPr="00F21AFE">
        <w:rPr>
          <w:rFonts w:ascii="Times New Roman" w:hAnsi="Times New Roman"/>
          <w:sz w:val="24"/>
          <w:szCs w:val="24"/>
        </w:rPr>
        <w:t xml:space="preserve">Marcuse, Herbert (1968). </w:t>
      </w:r>
      <w:r w:rsidRPr="00F21AFE">
        <w:rPr>
          <w:rFonts w:ascii="Times New Roman" w:hAnsi="Times New Roman"/>
          <w:i/>
          <w:sz w:val="24"/>
          <w:szCs w:val="24"/>
        </w:rPr>
        <w:t>El hombre unidimensional: ensayo sobre la ideología de la sociedad industrial avanzada</w:t>
      </w:r>
      <w:r w:rsidRPr="00F21AFE">
        <w:rPr>
          <w:rFonts w:ascii="Times New Roman" w:hAnsi="Times New Roman"/>
          <w:sz w:val="24"/>
          <w:szCs w:val="24"/>
        </w:rPr>
        <w:t xml:space="preserve">. </w:t>
      </w:r>
      <w:r w:rsidRPr="004F57C4">
        <w:rPr>
          <w:rFonts w:ascii="Times New Roman" w:hAnsi="Times New Roman"/>
          <w:sz w:val="24"/>
          <w:szCs w:val="24"/>
          <w:lang w:val="es-EC"/>
        </w:rPr>
        <w:t>Méjico: Editorial Joaquín Mortiz.</w:t>
      </w:r>
    </w:p>
    <w:p w:rsidR="00A00E75" w:rsidRPr="00F21AFE" w:rsidRDefault="00A00E75" w:rsidP="00616A87">
      <w:pPr>
        <w:spacing w:line="360" w:lineRule="auto"/>
        <w:jc w:val="both"/>
        <w:rPr>
          <w:rFonts w:ascii="Times New Roman" w:hAnsi="Times New Roman"/>
          <w:sz w:val="24"/>
          <w:szCs w:val="24"/>
        </w:rPr>
      </w:pPr>
      <w:r w:rsidRPr="00F21AFE">
        <w:rPr>
          <w:rFonts w:ascii="Times New Roman" w:hAnsi="Times New Roman"/>
          <w:sz w:val="24"/>
          <w:szCs w:val="24"/>
        </w:rPr>
        <w:t xml:space="preserve">Moreano, Alejandro (1983). </w:t>
      </w:r>
      <w:r>
        <w:rPr>
          <w:rFonts w:ascii="Times New Roman" w:hAnsi="Times New Roman"/>
          <w:sz w:val="24"/>
          <w:szCs w:val="24"/>
        </w:rPr>
        <w:t>“</w:t>
      </w:r>
      <w:r w:rsidRPr="006D1134">
        <w:rPr>
          <w:rFonts w:ascii="Times New Roman" w:hAnsi="Times New Roman"/>
          <w:sz w:val="24"/>
          <w:szCs w:val="24"/>
        </w:rPr>
        <w:t>Tautología del poder y el lenguaje del pueblo</w:t>
      </w:r>
      <w:r>
        <w:rPr>
          <w:rFonts w:ascii="Times New Roman" w:hAnsi="Times New Roman"/>
          <w:sz w:val="24"/>
          <w:szCs w:val="24"/>
        </w:rPr>
        <w:t>”</w:t>
      </w:r>
      <w:r w:rsidRPr="00F21AFE">
        <w:rPr>
          <w:rFonts w:ascii="Times New Roman" w:hAnsi="Times New Roman"/>
          <w:sz w:val="24"/>
          <w:szCs w:val="24"/>
        </w:rPr>
        <w:t xml:space="preserve"> en Varios</w:t>
      </w:r>
      <w:r w:rsidRPr="00F21AFE">
        <w:rPr>
          <w:rFonts w:ascii="Times New Roman" w:hAnsi="Times New Roman"/>
          <w:i/>
          <w:sz w:val="24"/>
          <w:szCs w:val="24"/>
        </w:rPr>
        <w:t>, Ecuador: pasado y futuro</w:t>
      </w:r>
      <w:r w:rsidRPr="00F21AFE">
        <w:rPr>
          <w:rFonts w:ascii="Times New Roman" w:hAnsi="Times New Roman"/>
          <w:sz w:val="24"/>
          <w:szCs w:val="24"/>
        </w:rPr>
        <w:t>. Quito: Ed. El Conejo.</w:t>
      </w:r>
    </w:p>
    <w:p w:rsidR="00A00E75" w:rsidRDefault="00A00E75" w:rsidP="00616A87">
      <w:pPr>
        <w:spacing w:line="360" w:lineRule="auto"/>
        <w:jc w:val="both"/>
        <w:rPr>
          <w:rFonts w:ascii="Times New Roman" w:hAnsi="Times New Roman"/>
          <w:sz w:val="24"/>
          <w:szCs w:val="24"/>
          <w:lang w:val="en-US"/>
        </w:rPr>
      </w:pPr>
      <w:r w:rsidRPr="00F21AFE">
        <w:rPr>
          <w:rFonts w:ascii="Times New Roman" w:hAnsi="Times New Roman"/>
          <w:sz w:val="24"/>
          <w:szCs w:val="24"/>
        </w:rPr>
        <w:t xml:space="preserve">Moreano, Alejandro (1991). </w:t>
      </w:r>
      <w:r>
        <w:rPr>
          <w:rFonts w:ascii="Times New Roman" w:hAnsi="Times New Roman"/>
          <w:sz w:val="24"/>
          <w:szCs w:val="24"/>
        </w:rPr>
        <w:t>“</w:t>
      </w:r>
      <w:r w:rsidRPr="006D1134">
        <w:rPr>
          <w:rFonts w:ascii="Times New Roman" w:hAnsi="Times New Roman"/>
          <w:sz w:val="24"/>
          <w:szCs w:val="24"/>
        </w:rPr>
        <w:t>El sistema político en el Ecuador contemporáneo</w:t>
      </w:r>
      <w:r>
        <w:rPr>
          <w:rFonts w:ascii="Times New Roman" w:hAnsi="Times New Roman"/>
          <w:sz w:val="24"/>
          <w:szCs w:val="24"/>
        </w:rPr>
        <w:t>”</w:t>
      </w:r>
      <w:r w:rsidRPr="00F21AFE">
        <w:rPr>
          <w:rFonts w:ascii="Times New Roman" w:hAnsi="Times New Roman"/>
          <w:sz w:val="24"/>
          <w:szCs w:val="24"/>
        </w:rPr>
        <w:t xml:space="preserve"> en Enrique Ayala Ed., </w:t>
      </w:r>
      <w:r w:rsidRPr="00F21AFE">
        <w:rPr>
          <w:rFonts w:ascii="Times New Roman" w:hAnsi="Times New Roman"/>
          <w:i/>
          <w:sz w:val="24"/>
          <w:szCs w:val="24"/>
        </w:rPr>
        <w:t>Nueva historia del Ecuador, Vol. 11</w:t>
      </w:r>
      <w:r w:rsidRPr="00F21AFE">
        <w:rPr>
          <w:rFonts w:ascii="Times New Roman" w:hAnsi="Times New Roman"/>
          <w:sz w:val="24"/>
          <w:szCs w:val="24"/>
        </w:rPr>
        <w:t xml:space="preserve">. </w:t>
      </w:r>
      <w:r w:rsidRPr="004F57C4">
        <w:rPr>
          <w:rFonts w:ascii="Times New Roman" w:hAnsi="Times New Roman"/>
          <w:sz w:val="24"/>
          <w:szCs w:val="24"/>
          <w:lang w:val="en-US"/>
        </w:rPr>
        <w:t>Quito: Corporación</w:t>
      </w:r>
      <w:r>
        <w:rPr>
          <w:rFonts w:ascii="Times New Roman" w:hAnsi="Times New Roman"/>
          <w:sz w:val="24"/>
          <w:szCs w:val="24"/>
          <w:lang w:val="en-US"/>
        </w:rPr>
        <w:t xml:space="preserve"> </w:t>
      </w:r>
      <w:r w:rsidRPr="004F57C4">
        <w:rPr>
          <w:rFonts w:ascii="Times New Roman" w:hAnsi="Times New Roman"/>
          <w:sz w:val="24"/>
          <w:szCs w:val="24"/>
          <w:lang w:val="en-US"/>
        </w:rPr>
        <w:t>Editora</w:t>
      </w:r>
      <w:r>
        <w:rPr>
          <w:rFonts w:ascii="Times New Roman" w:hAnsi="Times New Roman"/>
          <w:sz w:val="24"/>
          <w:szCs w:val="24"/>
          <w:lang w:val="en-US"/>
        </w:rPr>
        <w:t xml:space="preserve"> </w:t>
      </w:r>
      <w:r w:rsidRPr="004F57C4">
        <w:rPr>
          <w:rFonts w:ascii="Times New Roman" w:hAnsi="Times New Roman"/>
          <w:sz w:val="24"/>
          <w:szCs w:val="24"/>
          <w:lang w:val="en-US"/>
        </w:rPr>
        <w:t>Nacional.</w:t>
      </w:r>
    </w:p>
    <w:p w:rsidR="00A00E75" w:rsidRPr="00F21AFE" w:rsidRDefault="00A00E75" w:rsidP="00616A87">
      <w:pPr>
        <w:spacing w:line="360" w:lineRule="auto"/>
        <w:jc w:val="both"/>
        <w:rPr>
          <w:rFonts w:ascii="Times New Roman" w:hAnsi="Times New Roman"/>
          <w:sz w:val="24"/>
          <w:szCs w:val="24"/>
          <w:lang w:val="en-GB"/>
        </w:rPr>
      </w:pPr>
      <w:r w:rsidRPr="00FF278C">
        <w:rPr>
          <w:rFonts w:ascii="Times New Roman" w:hAnsi="Times New Roman"/>
          <w:sz w:val="24"/>
          <w:szCs w:val="24"/>
          <w:lang w:val="en-US"/>
        </w:rPr>
        <w:t xml:space="preserve">Orwell, </w:t>
      </w:r>
      <w:r w:rsidRPr="004F57C4">
        <w:rPr>
          <w:rFonts w:ascii="Times New Roman" w:hAnsi="Times New Roman"/>
          <w:sz w:val="24"/>
          <w:szCs w:val="24"/>
          <w:lang w:val="en-US"/>
        </w:rPr>
        <w:t xml:space="preserve">George (1983). </w:t>
      </w:r>
      <w:r w:rsidRPr="00F21AFE">
        <w:rPr>
          <w:rFonts w:ascii="Times New Roman" w:hAnsi="Times New Roman"/>
          <w:i/>
          <w:sz w:val="24"/>
          <w:szCs w:val="24"/>
          <w:lang w:val="en-GB"/>
        </w:rPr>
        <w:t>1984</w:t>
      </w:r>
      <w:r w:rsidRPr="00F21AFE">
        <w:rPr>
          <w:rFonts w:ascii="Times New Roman" w:hAnsi="Times New Roman"/>
          <w:sz w:val="24"/>
          <w:szCs w:val="24"/>
          <w:lang w:val="en-GB"/>
        </w:rPr>
        <w:t>. New York: Signet Classics.</w:t>
      </w:r>
    </w:p>
    <w:p w:rsidR="00A00E75" w:rsidRPr="006D1134" w:rsidRDefault="00A00E75" w:rsidP="00616A87">
      <w:pPr>
        <w:spacing w:line="360" w:lineRule="auto"/>
        <w:jc w:val="both"/>
        <w:rPr>
          <w:rFonts w:ascii="Times New Roman" w:hAnsi="Times New Roman"/>
          <w:sz w:val="24"/>
          <w:szCs w:val="24"/>
        </w:rPr>
      </w:pPr>
      <w:r w:rsidRPr="00F21AFE">
        <w:rPr>
          <w:rFonts w:ascii="Times New Roman" w:hAnsi="Times New Roman"/>
          <w:sz w:val="24"/>
          <w:szCs w:val="24"/>
          <w:lang w:val="en-GB"/>
        </w:rPr>
        <w:t xml:space="preserve">Orwell, George (1948). “Rudyard Kipling”, en George Orwell, </w:t>
      </w:r>
      <w:r w:rsidRPr="00F21AFE">
        <w:rPr>
          <w:rFonts w:ascii="Times New Roman" w:hAnsi="Times New Roman"/>
          <w:i/>
          <w:sz w:val="24"/>
          <w:szCs w:val="24"/>
          <w:lang w:val="en-GB"/>
        </w:rPr>
        <w:t>Ensayos</w:t>
      </w:r>
      <w:r>
        <w:rPr>
          <w:rFonts w:ascii="Times New Roman" w:hAnsi="Times New Roman"/>
          <w:i/>
          <w:sz w:val="24"/>
          <w:szCs w:val="24"/>
          <w:lang w:val="en-GB"/>
        </w:rPr>
        <w:t xml:space="preserve"> </w:t>
      </w:r>
      <w:r w:rsidRPr="00F21AFE">
        <w:rPr>
          <w:rFonts w:ascii="Times New Roman" w:hAnsi="Times New Roman"/>
          <w:i/>
          <w:sz w:val="24"/>
          <w:szCs w:val="24"/>
          <w:lang w:val="en-GB"/>
        </w:rPr>
        <w:t>críticos</w:t>
      </w:r>
      <w:r w:rsidRPr="00F21AFE">
        <w:rPr>
          <w:rFonts w:ascii="Times New Roman" w:hAnsi="Times New Roman"/>
          <w:sz w:val="24"/>
          <w:szCs w:val="24"/>
          <w:lang w:val="en-GB"/>
        </w:rPr>
        <w:t xml:space="preserve">. </w:t>
      </w:r>
      <w:r w:rsidRPr="006D1134">
        <w:rPr>
          <w:rFonts w:ascii="Times New Roman" w:hAnsi="Times New Roman"/>
          <w:sz w:val="24"/>
          <w:szCs w:val="24"/>
        </w:rPr>
        <w:t>Buenos Aires: Editorial Nova.</w:t>
      </w:r>
    </w:p>
    <w:p w:rsidR="00A00E75" w:rsidRPr="006D1134" w:rsidRDefault="00A00E75" w:rsidP="00616A87">
      <w:pPr>
        <w:spacing w:line="360" w:lineRule="auto"/>
        <w:jc w:val="both"/>
        <w:rPr>
          <w:rFonts w:ascii="Times New Roman" w:hAnsi="Times New Roman"/>
          <w:sz w:val="24"/>
          <w:szCs w:val="24"/>
        </w:rPr>
      </w:pPr>
      <w:r w:rsidRPr="006D1134">
        <w:rPr>
          <w:rFonts w:ascii="Times New Roman" w:hAnsi="Times New Roman"/>
          <w:sz w:val="24"/>
          <w:szCs w:val="24"/>
        </w:rPr>
        <w:t>Orwell</w:t>
      </w:r>
      <w:r w:rsidR="00567B31">
        <w:rPr>
          <w:rFonts w:ascii="Times New Roman" w:hAnsi="Times New Roman"/>
          <w:sz w:val="24"/>
          <w:szCs w:val="24"/>
        </w:rPr>
        <w:t>, George</w:t>
      </w:r>
      <w:r w:rsidRPr="006D1134">
        <w:rPr>
          <w:rFonts w:ascii="Times New Roman" w:hAnsi="Times New Roman"/>
          <w:sz w:val="24"/>
          <w:szCs w:val="24"/>
        </w:rPr>
        <w:t xml:space="preserve"> (1948a). “Wells, Hitler y el estado mundial”, en George Orwell,  </w:t>
      </w:r>
      <w:r w:rsidRPr="006D1134">
        <w:rPr>
          <w:rFonts w:ascii="Times New Roman" w:hAnsi="Times New Roman"/>
          <w:i/>
          <w:sz w:val="24"/>
          <w:szCs w:val="24"/>
        </w:rPr>
        <w:t>Ensayos críticos</w:t>
      </w:r>
      <w:r w:rsidRPr="006D1134">
        <w:rPr>
          <w:rFonts w:ascii="Times New Roman" w:hAnsi="Times New Roman"/>
          <w:sz w:val="24"/>
          <w:szCs w:val="24"/>
        </w:rPr>
        <w:t xml:space="preserve">. Bueno Aires: </w:t>
      </w:r>
      <w:r w:rsidRPr="006D1134">
        <w:rPr>
          <w:rFonts w:ascii="Times New Roman" w:hAnsi="Times New Roman"/>
          <w:sz w:val="24"/>
          <w:szCs w:val="24"/>
          <w:lang w:val="es-EC"/>
        </w:rPr>
        <w:t>Editorial Nova.</w:t>
      </w:r>
    </w:p>
    <w:p w:rsidR="00A00E75" w:rsidRPr="00F21AFE" w:rsidRDefault="00A00E75" w:rsidP="00616A87">
      <w:pPr>
        <w:spacing w:line="360" w:lineRule="auto"/>
        <w:jc w:val="both"/>
        <w:rPr>
          <w:rFonts w:ascii="Times New Roman" w:hAnsi="Times New Roman"/>
          <w:sz w:val="24"/>
          <w:szCs w:val="24"/>
        </w:rPr>
      </w:pPr>
      <w:r w:rsidRPr="00F21AFE">
        <w:rPr>
          <w:rFonts w:ascii="Times New Roman" w:hAnsi="Times New Roman"/>
          <w:sz w:val="24"/>
          <w:szCs w:val="24"/>
        </w:rPr>
        <w:t xml:space="preserve">Pachano, Simón (1997). </w:t>
      </w:r>
      <w:r w:rsidRPr="00F21AFE">
        <w:rPr>
          <w:rFonts w:ascii="Times New Roman" w:hAnsi="Times New Roman"/>
          <w:i/>
          <w:sz w:val="24"/>
          <w:szCs w:val="24"/>
        </w:rPr>
        <w:t>Modernización de la instituciones democráticas: el Congreso</w:t>
      </w:r>
      <w:r w:rsidRPr="00F21AFE">
        <w:rPr>
          <w:rFonts w:ascii="Times New Roman" w:hAnsi="Times New Roman"/>
          <w:sz w:val="24"/>
          <w:szCs w:val="24"/>
        </w:rPr>
        <w:t>. Quito: FLACSO.</w:t>
      </w:r>
    </w:p>
    <w:p w:rsidR="00A00E75" w:rsidRDefault="00A00E75" w:rsidP="00616A87">
      <w:pPr>
        <w:spacing w:line="360" w:lineRule="auto"/>
        <w:jc w:val="both"/>
        <w:rPr>
          <w:rFonts w:ascii="Times New Roman" w:hAnsi="Times New Roman"/>
          <w:sz w:val="24"/>
          <w:szCs w:val="24"/>
        </w:rPr>
      </w:pPr>
      <w:r w:rsidRPr="00F21AFE">
        <w:rPr>
          <w:rFonts w:ascii="Times New Roman" w:hAnsi="Times New Roman"/>
          <w:sz w:val="24"/>
          <w:szCs w:val="24"/>
        </w:rPr>
        <w:t xml:space="preserve">Pareja Diezcanseco, Alfredo (2009). </w:t>
      </w:r>
      <w:r w:rsidRPr="00F21AFE">
        <w:rPr>
          <w:rFonts w:ascii="Times New Roman" w:hAnsi="Times New Roman"/>
          <w:i/>
          <w:sz w:val="24"/>
          <w:szCs w:val="24"/>
        </w:rPr>
        <w:t>Ecuador: historia de la república</w:t>
      </w:r>
      <w:r>
        <w:rPr>
          <w:rFonts w:ascii="Times New Roman" w:hAnsi="Times New Roman"/>
          <w:i/>
          <w:sz w:val="24"/>
          <w:szCs w:val="24"/>
        </w:rPr>
        <w:t>, Tomo I</w:t>
      </w:r>
      <w:r w:rsidRPr="00F21AFE">
        <w:rPr>
          <w:rFonts w:ascii="Times New Roman" w:hAnsi="Times New Roman"/>
          <w:i/>
          <w:sz w:val="24"/>
          <w:szCs w:val="24"/>
        </w:rPr>
        <w:t>.</w:t>
      </w:r>
      <w:r w:rsidRPr="00F21AFE">
        <w:rPr>
          <w:rFonts w:ascii="Times New Roman" w:hAnsi="Times New Roman"/>
          <w:sz w:val="24"/>
          <w:szCs w:val="24"/>
        </w:rPr>
        <w:t xml:space="preserve"> Quito: CNEELL. </w:t>
      </w:r>
    </w:p>
    <w:p w:rsidR="00A00E75" w:rsidRPr="00F21AFE" w:rsidRDefault="00A00E75" w:rsidP="00B26238">
      <w:pPr>
        <w:spacing w:line="360" w:lineRule="auto"/>
        <w:jc w:val="both"/>
        <w:rPr>
          <w:rFonts w:ascii="Times New Roman" w:hAnsi="Times New Roman"/>
          <w:sz w:val="24"/>
          <w:szCs w:val="24"/>
        </w:rPr>
      </w:pPr>
      <w:r w:rsidRPr="00F21AFE">
        <w:rPr>
          <w:rFonts w:ascii="Times New Roman" w:hAnsi="Times New Roman"/>
          <w:sz w:val="24"/>
          <w:szCs w:val="24"/>
        </w:rPr>
        <w:t>Pareja Diezcanseco, Alfredo (2009</w:t>
      </w:r>
      <w:r>
        <w:rPr>
          <w:rFonts w:ascii="Times New Roman" w:hAnsi="Times New Roman"/>
          <w:sz w:val="24"/>
          <w:szCs w:val="24"/>
        </w:rPr>
        <w:t>a</w:t>
      </w:r>
      <w:r w:rsidRPr="00F21AFE">
        <w:rPr>
          <w:rFonts w:ascii="Times New Roman" w:hAnsi="Times New Roman"/>
          <w:sz w:val="24"/>
          <w:szCs w:val="24"/>
        </w:rPr>
        <w:t xml:space="preserve">). </w:t>
      </w:r>
      <w:r w:rsidRPr="00F21AFE">
        <w:rPr>
          <w:rFonts w:ascii="Times New Roman" w:hAnsi="Times New Roman"/>
          <w:i/>
          <w:sz w:val="24"/>
          <w:szCs w:val="24"/>
        </w:rPr>
        <w:t>Ecuador: historia de la república</w:t>
      </w:r>
      <w:r>
        <w:rPr>
          <w:rFonts w:ascii="Times New Roman" w:hAnsi="Times New Roman"/>
          <w:i/>
          <w:sz w:val="24"/>
          <w:szCs w:val="24"/>
        </w:rPr>
        <w:t>, Tomo III</w:t>
      </w:r>
      <w:r w:rsidRPr="00F21AFE">
        <w:rPr>
          <w:rFonts w:ascii="Times New Roman" w:hAnsi="Times New Roman"/>
          <w:i/>
          <w:sz w:val="24"/>
          <w:szCs w:val="24"/>
        </w:rPr>
        <w:t>.</w:t>
      </w:r>
      <w:r w:rsidRPr="00F21AFE">
        <w:rPr>
          <w:rFonts w:ascii="Times New Roman" w:hAnsi="Times New Roman"/>
          <w:sz w:val="24"/>
          <w:szCs w:val="24"/>
        </w:rPr>
        <w:t xml:space="preserve"> Quito: CNEELL. </w:t>
      </w:r>
    </w:p>
    <w:p w:rsidR="00A00E75" w:rsidRPr="00F21AFE" w:rsidRDefault="00A00E75" w:rsidP="00616A87">
      <w:pPr>
        <w:spacing w:line="360" w:lineRule="auto"/>
        <w:jc w:val="both"/>
        <w:rPr>
          <w:rFonts w:ascii="Times New Roman" w:hAnsi="Times New Roman"/>
          <w:sz w:val="24"/>
          <w:szCs w:val="24"/>
        </w:rPr>
      </w:pPr>
      <w:r w:rsidRPr="00F21AFE">
        <w:rPr>
          <w:rFonts w:ascii="Times New Roman" w:hAnsi="Times New Roman"/>
          <w:sz w:val="24"/>
          <w:szCs w:val="24"/>
        </w:rPr>
        <w:t>Pareja Diezcanseco, Alfredo (2009</w:t>
      </w:r>
      <w:r>
        <w:rPr>
          <w:rFonts w:ascii="Times New Roman" w:hAnsi="Times New Roman"/>
          <w:sz w:val="24"/>
          <w:szCs w:val="24"/>
        </w:rPr>
        <w:t>b</w:t>
      </w:r>
      <w:r w:rsidRPr="00F21AFE">
        <w:rPr>
          <w:rFonts w:ascii="Times New Roman" w:hAnsi="Times New Roman"/>
          <w:sz w:val="24"/>
          <w:szCs w:val="24"/>
        </w:rPr>
        <w:t xml:space="preserve">). </w:t>
      </w:r>
      <w:r w:rsidRPr="00F21AFE">
        <w:rPr>
          <w:rFonts w:ascii="Times New Roman" w:hAnsi="Times New Roman"/>
          <w:i/>
          <w:sz w:val="24"/>
          <w:szCs w:val="24"/>
        </w:rPr>
        <w:t>Ecuador: historia de la república</w:t>
      </w:r>
      <w:r>
        <w:rPr>
          <w:rFonts w:ascii="Times New Roman" w:hAnsi="Times New Roman"/>
          <w:i/>
          <w:sz w:val="24"/>
          <w:szCs w:val="24"/>
        </w:rPr>
        <w:t>, Tomo IV</w:t>
      </w:r>
      <w:r w:rsidRPr="00F21AFE">
        <w:rPr>
          <w:rFonts w:ascii="Times New Roman" w:hAnsi="Times New Roman"/>
          <w:i/>
          <w:sz w:val="24"/>
          <w:szCs w:val="24"/>
        </w:rPr>
        <w:t>.</w:t>
      </w:r>
      <w:r w:rsidRPr="00F21AFE">
        <w:rPr>
          <w:rFonts w:ascii="Times New Roman" w:hAnsi="Times New Roman"/>
          <w:sz w:val="24"/>
          <w:szCs w:val="24"/>
        </w:rPr>
        <w:t xml:space="preserve"> Quito: CNEELL. </w:t>
      </w:r>
    </w:p>
    <w:p w:rsidR="00A00E75" w:rsidRDefault="00A00E75" w:rsidP="00616A87">
      <w:pPr>
        <w:spacing w:line="360" w:lineRule="auto"/>
        <w:jc w:val="both"/>
        <w:rPr>
          <w:rFonts w:ascii="Times New Roman" w:hAnsi="Times New Roman"/>
          <w:sz w:val="24"/>
          <w:szCs w:val="24"/>
        </w:rPr>
      </w:pPr>
      <w:r w:rsidRPr="00F21AFE">
        <w:rPr>
          <w:rFonts w:ascii="Times New Roman" w:hAnsi="Times New Roman"/>
          <w:sz w:val="24"/>
          <w:szCs w:val="24"/>
        </w:rPr>
        <w:t xml:space="preserve">Quintero, Rafeal (2005). </w:t>
      </w:r>
      <w:r w:rsidRPr="00F21AFE">
        <w:rPr>
          <w:rFonts w:ascii="Times New Roman" w:hAnsi="Times New Roman"/>
          <w:i/>
          <w:sz w:val="24"/>
          <w:szCs w:val="24"/>
        </w:rPr>
        <w:t>Electores contra partidos: en un sistema político de mandos</w:t>
      </w:r>
      <w:r w:rsidRPr="00F21AFE">
        <w:rPr>
          <w:rFonts w:ascii="Times New Roman" w:hAnsi="Times New Roman"/>
          <w:sz w:val="24"/>
          <w:szCs w:val="24"/>
        </w:rPr>
        <w:t>. Quito: Ediciones Abya-Yala.</w:t>
      </w:r>
    </w:p>
    <w:p w:rsidR="00941EC2" w:rsidRPr="00941EC2" w:rsidRDefault="00941EC2" w:rsidP="00616A87">
      <w:pPr>
        <w:spacing w:line="360" w:lineRule="auto"/>
        <w:jc w:val="both"/>
        <w:rPr>
          <w:rFonts w:ascii="Times New Roman" w:hAnsi="Times New Roman"/>
          <w:sz w:val="24"/>
          <w:szCs w:val="24"/>
        </w:rPr>
      </w:pPr>
      <w:r>
        <w:rPr>
          <w:rFonts w:ascii="Times New Roman" w:hAnsi="Times New Roman"/>
          <w:sz w:val="24"/>
          <w:szCs w:val="24"/>
        </w:rPr>
        <w:t xml:space="preserve">Rousseau, Jean-Jaques (2005). </w:t>
      </w:r>
      <w:r>
        <w:rPr>
          <w:rFonts w:ascii="Times New Roman" w:hAnsi="Times New Roman"/>
          <w:i/>
          <w:sz w:val="24"/>
          <w:szCs w:val="24"/>
        </w:rPr>
        <w:t>El Contrato Social</w:t>
      </w:r>
      <w:r>
        <w:rPr>
          <w:rFonts w:ascii="Times New Roman" w:hAnsi="Times New Roman"/>
          <w:sz w:val="24"/>
          <w:szCs w:val="24"/>
        </w:rPr>
        <w:t>. España: Editorial EDAF, S.A.</w:t>
      </w:r>
    </w:p>
    <w:p w:rsidR="00A00E75" w:rsidRPr="00F21AFE" w:rsidRDefault="00A00E75" w:rsidP="00616A87">
      <w:pPr>
        <w:spacing w:line="360" w:lineRule="auto"/>
        <w:jc w:val="both"/>
        <w:rPr>
          <w:rFonts w:ascii="Times New Roman" w:hAnsi="Times New Roman"/>
          <w:sz w:val="24"/>
          <w:szCs w:val="24"/>
        </w:rPr>
      </w:pPr>
      <w:r w:rsidRPr="00F21AFE">
        <w:rPr>
          <w:rFonts w:ascii="Times New Roman" w:hAnsi="Times New Roman"/>
          <w:sz w:val="24"/>
          <w:szCs w:val="24"/>
        </w:rPr>
        <w:lastRenderedPageBreak/>
        <w:t xml:space="preserve">Sánchez, Francisco (2008). </w:t>
      </w:r>
      <w:r w:rsidRPr="00F21AFE">
        <w:rPr>
          <w:rFonts w:ascii="Times New Roman" w:hAnsi="Times New Roman"/>
          <w:i/>
          <w:sz w:val="24"/>
          <w:szCs w:val="24"/>
        </w:rPr>
        <w:t>¿Democracia no lograda o democracia malograda? Un análisis del sistema político del Ecuador: 1979-2002</w:t>
      </w:r>
      <w:r w:rsidRPr="00F21AFE">
        <w:rPr>
          <w:rFonts w:ascii="Times New Roman" w:hAnsi="Times New Roman"/>
          <w:sz w:val="24"/>
          <w:szCs w:val="24"/>
        </w:rPr>
        <w:t xml:space="preserve">. Quito: FLACSO. </w:t>
      </w:r>
    </w:p>
    <w:p w:rsidR="00A00E75" w:rsidRPr="00F21AFE" w:rsidRDefault="00A00E75" w:rsidP="00616A87">
      <w:pPr>
        <w:spacing w:line="360" w:lineRule="auto"/>
        <w:jc w:val="both"/>
        <w:rPr>
          <w:rFonts w:ascii="Times New Roman" w:hAnsi="Times New Roman"/>
          <w:sz w:val="24"/>
          <w:szCs w:val="24"/>
        </w:rPr>
      </w:pPr>
      <w:r w:rsidRPr="00F21AFE">
        <w:rPr>
          <w:rFonts w:ascii="Times New Roman" w:hAnsi="Times New Roman"/>
          <w:sz w:val="24"/>
          <w:szCs w:val="24"/>
        </w:rPr>
        <w:t xml:space="preserve">Sánchez-Parga, José (2010). </w:t>
      </w:r>
      <w:r w:rsidRPr="00F21AFE">
        <w:rPr>
          <w:rFonts w:ascii="Times New Roman" w:hAnsi="Times New Roman"/>
          <w:i/>
          <w:sz w:val="24"/>
          <w:szCs w:val="24"/>
        </w:rPr>
        <w:t>Decline de los conflictos y auge de las violencias: Ecuador 1998-2008</w:t>
      </w:r>
      <w:r w:rsidRPr="00F21AFE">
        <w:rPr>
          <w:rFonts w:ascii="Times New Roman" w:hAnsi="Times New Roman"/>
          <w:sz w:val="24"/>
          <w:szCs w:val="24"/>
        </w:rPr>
        <w:t>. Quito: Caap.</w:t>
      </w:r>
    </w:p>
    <w:p w:rsidR="00A00E75" w:rsidRPr="00F21AFE" w:rsidRDefault="00A00E75" w:rsidP="00616A87">
      <w:pPr>
        <w:spacing w:line="360" w:lineRule="auto"/>
        <w:jc w:val="both"/>
        <w:rPr>
          <w:rFonts w:ascii="Times New Roman" w:hAnsi="Times New Roman"/>
          <w:sz w:val="24"/>
          <w:szCs w:val="24"/>
        </w:rPr>
      </w:pPr>
      <w:r w:rsidRPr="00F21AFE">
        <w:rPr>
          <w:rFonts w:ascii="Times New Roman" w:hAnsi="Times New Roman"/>
          <w:sz w:val="24"/>
          <w:szCs w:val="24"/>
        </w:rPr>
        <w:t xml:space="preserve">s/f (2005). </w:t>
      </w:r>
      <w:r w:rsidRPr="00F21AFE">
        <w:rPr>
          <w:rFonts w:ascii="Times New Roman" w:hAnsi="Times New Roman"/>
          <w:i/>
          <w:sz w:val="24"/>
          <w:szCs w:val="24"/>
        </w:rPr>
        <w:t>FEIREP: polémico trasteo de recursos fiscales</w:t>
      </w:r>
      <w:r w:rsidRPr="00F21AFE">
        <w:rPr>
          <w:rFonts w:ascii="Times New Roman" w:hAnsi="Times New Roman"/>
          <w:sz w:val="24"/>
          <w:szCs w:val="24"/>
        </w:rPr>
        <w:t xml:space="preserve"> en Diario Hoy (Ecuador): 16 de junio de 2005. </w:t>
      </w:r>
    </w:p>
    <w:p w:rsidR="00A00E75" w:rsidRPr="00F21AFE" w:rsidRDefault="00A00E75" w:rsidP="00616A87">
      <w:pPr>
        <w:spacing w:line="360" w:lineRule="auto"/>
        <w:jc w:val="both"/>
        <w:rPr>
          <w:rFonts w:ascii="Times New Roman" w:hAnsi="Times New Roman"/>
          <w:sz w:val="24"/>
          <w:szCs w:val="24"/>
        </w:rPr>
      </w:pPr>
      <w:r w:rsidRPr="00F21AFE">
        <w:rPr>
          <w:rFonts w:ascii="Times New Roman" w:hAnsi="Times New Roman"/>
          <w:sz w:val="24"/>
          <w:szCs w:val="24"/>
        </w:rPr>
        <w:t xml:space="preserve">Thomas, Sari (1998). </w:t>
      </w:r>
      <w:r w:rsidRPr="00F21AFE">
        <w:rPr>
          <w:rFonts w:ascii="Times New Roman" w:hAnsi="Times New Roman"/>
          <w:i/>
          <w:sz w:val="24"/>
          <w:szCs w:val="24"/>
        </w:rPr>
        <w:t>Dominación e ideología en la cultura y en los estudios culturales</w:t>
      </w:r>
      <w:r w:rsidRPr="00F21AFE">
        <w:rPr>
          <w:rFonts w:ascii="Times New Roman" w:hAnsi="Times New Roman"/>
          <w:sz w:val="24"/>
          <w:szCs w:val="24"/>
        </w:rPr>
        <w:t xml:space="preserve">. En </w:t>
      </w:r>
      <w:r w:rsidRPr="00F21AFE">
        <w:rPr>
          <w:rFonts w:ascii="Times New Roman" w:hAnsi="Times New Roman"/>
          <w:i/>
          <w:sz w:val="24"/>
          <w:szCs w:val="24"/>
        </w:rPr>
        <w:t>Economía política y estudios culturales</w:t>
      </w:r>
      <w:r w:rsidRPr="00F21AFE">
        <w:rPr>
          <w:rFonts w:ascii="Times New Roman" w:hAnsi="Times New Roman"/>
          <w:sz w:val="24"/>
          <w:szCs w:val="24"/>
        </w:rPr>
        <w:t>. España: Bosch Casa Editorial.</w:t>
      </w:r>
    </w:p>
    <w:p w:rsidR="00A00E75" w:rsidRPr="00F21AFE" w:rsidRDefault="00A00E75" w:rsidP="00616A87">
      <w:pPr>
        <w:spacing w:line="360" w:lineRule="auto"/>
        <w:jc w:val="both"/>
        <w:rPr>
          <w:rFonts w:ascii="Times New Roman" w:hAnsi="Times New Roman"/>
          <w:sz w:val="24"/>
          <w:szCs w:val="24"/>
        </w:rPr>
      </w:pPr>
      <w:r w:rsidRPr="00F21AFE">
        <w:rPr>
          <w:rFonts w:ascii="Times New Roman" w:hAnsi="Times New Roman"/>
          <w:sz w:val="24"/>
          <w:szCs w:val="24"/>
        </w:rPr>
        <w:t xml:space="preserve">Williams, Raymond (2001). </w:t>
      </w:r>
      <w:r w:rsidRPr="00F21AFE">
        <w:rPr>
          <w:rFonts w:ascii="Times New Roman" w:hAnsi="Times New Roman"/>
          <w:i/>
          <w:sz w:val="24"/>
          <w:szCs w:val="24"/>
        </w:rPr>
        <w:t>Cultura y sociedad: 1780 – 1950, de Coleridge a Orwell.</w:t>
      </w:r>
      <w:r w:rsidRPr="00F21AFE">
        <w:rPr>
          <w:rFonts w:ascii="Times New Roman" w:hAnsi="Times New Roman"/>
          <w:sz w:val="24"/>
          <w:szCs w:val="24"/>
        </w:rPr>
        <w:t xml:space="preserve"> Buenos Aires: Nueva Visión.</w:t>
      </w:r>
    </w:p>
    <w:p w:rsidR="00A00E75" w:rsidRPr="00F21AFE" w:rsidRDefault="00A00E75" w:rsidP="00616A87">
      <w:pPr>
        <w:spacing w:line="360" w:lineRule="auto"/>
        <w:jc w:val="both"/>
        <w:rPr>
          <w:rFonts w:ascii="Times New Roman" w:hAnsi="Times New Roman"/>
          <w:sz w:val="24"/>
          <w:szCs w:val="24"/>
        </w:rPr>
      </w:pPr>
    </w:p>
    <w:p w:rsidR="00A00E75" w:rsidRPr="00616A87" w:rsidRDefault="00A00E75" w:rsidP="002E0094">
      <w:pPr>
        <w:pStyle w:val="TtuloTesis"/>
        <w:outlineLvl w:val="0"/>
      </w:pPr>
      <w:r w:rsidRPr="00F21AFE">
        <w:br w:type="page"/>
      </w:r>
      <w:bookmarkStart w:id="41" w:name="_Toc295373164"/>
      <w:r>
        <w:lastRenderedPageBreak/>
        <w:t>ANEXOS</w:t>
      </w:r>
      <w:bookmarkEnd w:id="41"/>
    </w:p>
    <w:p w:rsidR="00A00E75" w:rsidRPr="00616A87" w:rsidRDefault="00A00E75" w:rsidP="002E0094">
      <w:pPr>
        <w:spacing w:line="360" w:lineRule="auto"/>
        <w:jc w:val="both"/>
        <w:outlineLvl w:val="0"/>
        <w:rPr>
          <w:rFonts w:ascii="Times New Roman" w:hAnsi="Times New Roman"/>
          <w:b/>
          <w:sz w:val="24"/>
          <w:szCs w:val="24"/>
        </w:rPr>
      </w:pPr>
      <w:r w:rsidRPr="00616A87">
        <w:rPr>
          <w:rFonts w:ascii="Times New Roman" w:hAnsi="Times New Roman"/>
          <w:b/>
          <w:sz w:val="24"/>
          <w:szCs w:val="24"/>
        </w:rPr>
        <w:t>Cuadro 1. Incremento del PIB (per capita) del Ecuador y América Latina.</w:t>
      </w:r>
    </w:p>
    <w:p w:rsidR="00A00E75" w:rsidRPr="00616A87" w:rsidRDefault="00453510" w:rsidP="00616A87">
      <w:pPr>
        <w:spacing w:line="360" w:lineRule="auto"/>
        <w:jc w:val="both"/>
        <w:rPr>
          <w:rFonts w:ascii="Times New Roman" w:hAnsi="Times New Roman"/>
          <w:b/>
          <w:sz w:val="24"/>
          <w:szCs w:val="24"/>
        </w:rPr>
      </w:pPr>
      <w:r>
        <w:rPr>
          <w:rFonts w:ascii="Times New Roman" w:hAnsi="Times New Roman"/>
          <w:b/>
          <w:noProof/>
          <w:sz w:val="24"/>
          <w:szCs w:val="24"/>
          <w:lang w:val="es-EC" w:eastAsia="es-EC"/>
        </w:rPr>
        <w:drawing>
          <wp:inline distT="0" distB="0" distL="0" distR="0">
            <wp:extent cx="5372100" cy="2371725"/>
            <wp:effectExtent l="19050" t="0" r="0" b="0"/>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a:srcRect/>
                    <a:stretch>
                      <a:fillRect/>
                    </a:stretch>
                  </pic:blipFill>
                  <pic:spPr bwMode="auto">
                    <a:xfrm>
                      <a:off x="0" y="0"/>
                      <a:ext cx="5372100" cy="2371725"/>
                    </a:xfrm>
                    <a:prstGeom prst="rect">
                      <a:avLst/>
                    </a:prstGeom>
                    <a:noFill/>
                    <a:ln w="9525">
                      <a:noFill/>
                      <a:miter lim="800000"/>
                      <a:headEnd/>
                      <a:tailEnd/>
                    </a:ln>
                  </pic:spPr>
                </pic:pic>
              </a:graphicData>
            </a:graphic>
          </wp:inline>
        </w:drawing>
      </w:r>
    </w:p>
    <w:p w:rsidR="00A00E75" w:rsidRPr="00616A87" w:rsidRDefault="00A00E75" w:rsidP="002E0094">
      <w:pPr>
        <w:spacing w:line="360" w:lineRule="auto"/>
        <w:jc w:val="both"/>
        <w:outlineLvl w:val="0"/>
        <w:rPr>
          <w:rFonts w:ascii="Times New Roman" w:hAnsi="Times New Roman"/>
          <w:sz w:val="24"/>
          <w:szCs w:val="24"/>
          <w:lang w:val="en-GB"/>
        </w:rPr>
      </w:pPr>
      <w:r w:rsidRPr="00616A87">
        <w:rPr>
          <w:rFonts w:ascii="Times New Roman" w:hAnsi="Times New Roman"/>
          <w:sz w:val="24"/>
          <w:szCs w:val="24"/>
          <w:lang w:val="en-GB"/>
        </w:rPr>
        <w:t>Fuente: World Bank Data (</w:t>
      </w:r>
      <w:hyperlink r:id="rId9" w:history="1">
        <w:r w:rsidRPr="00616A87">
          <w:rPr>
            <w:rStyle w:val="Hipervnculo"/>
            <w:rFonts w:ascii="Times New Roman" w:hAnsi="Times New Roman"/>
            <w:sz w:val="24"/>
            <w:szCs w:val="24"/>
            <w:lang w:val="en-GB"/>
          </w:rPr>
          <w:t>http://data.worldbank.org/</w:t>
        </w:r>
      </w:hyperlink>
      <w:r w:rsidRPr="00616A87">
        <w:rPr>
          <w:rFonts w:ascii="Times New Roman" w:hAnsi="Times New Roman"/>
          <w:sz w:val="24"/>
          <w:szCs w:val="24"/>
          <w:lang w:val="en-GB"/>
        </w:rPr>
        <w:t>)</w:t>
      </w:r>
    </w:p>
    <w:p w:rsidR="00A00E75" w:rsidRPr="00616A87" w:rsidRDefault="00A00E75" w:rsidP="00616A87">
      <w:pPr>
        <w:spacing w:line="360" w:lineRule="auto"/>
        <w:jc w:val="both"/>
        <w:rPr>
          <w:rFonts w:ascii="Times New Roman" w:hAnsi="Times New Roman"/>
          <w:sz w:val="24"/>
          <w:szCs w:val="24"/>
          <w:lang w:val="en-GB"/>
        </w:rPr>
      </w:pPr>
    </w:p>
    <w:p w:rsidR="00A00E75" w:rsidRPr="00616A87" w:rsidRDefault="00A00E75" w:rsidP="002E0094">
      <w:pPr>
        <w:spacing w:line="360" w:lineRule="auto"/>
        <w:jc w:val="both"/>
        <w:outlineLvl w:val="0"/>
        <w:rPr>
          <w:rFonts w:ascii="Times New Roman" w:hAnsi="Times New Roman"/>
          <w:b/>
          <w:sz w:val="24"/>
          <w:szCs w:val="24"/>
        </w:rPr>
      </w:pPr>
      <w:r w:rsidRPr="00616A87">
        <w:rPr>
          <w:rFonts w:ascii="Times New Roman" w:hAnsi="Times New Roman"/>
          <w:b/>
          <w:sz w:val="24"/>
          <w:szCs w:val="24"/>
        </w:rPr>
        <w:t>Cuadro 2. Evolución del Coeficiente de GINI.</w:t>
      </w:r>
    </w:p>
    <w:p w:rsidR="00A00E75" w:rsidRPr="00616A87" w:rsidRDefault="00A00E75" w:rsidP="00616A87">
      <w:pPr>
        <w:spacing w:line="360" w:lineRule="auto"/>
        <w:jc w:val="both"/>
        <w:rPr>
          <w:rFonts w:ascii="Times New Roman" w:hAnsi="Times New Roman"/>
          <w:b/>
          <w:sz w:val="24"/>
          <w:szCs w:val="24"/>
        </w:rPr>
      </w:pPr>
    </w:p>
    <w:tbl>
      <w:tblPr>
        <w:tblW w:w="3000" w:type="dxa"/>
        <w:jc w:val="center"/>
        <w:tblInd w:w="60" w:type="dxa"/>
        <w:tblCellMar>
          <w:left w:w="70" w:type="dxa"/>
          <w:right w:w="70" w:type="dxa"/>
        </w:tblCellMar>
        <w:tblLook w:val="0000"/>
      </w:tblPr>
      <w:tblGrid>
        <w:gridCol w:w="724"/>
        <w:gridCol w:w="2276"/>
      </w:tblGrid>
      <w:tr w:rsidR="00A00E75" w:rsidRPr="00616A87" w:rsidTr="00701C83">
        <w:trPr>
          <w:trHeight w:val="765"/>
          <w:jc w:val="center"/>
        </w:trPr>
        <w:tc>
          <w:tcPr>
            <w:tcW w:w="3000" w:type="dxa"/>
            <w:gridSpan w:val="2"/>
            <w:tcBorders>
              <w:top w:val="single" w:sz="8" w:space="0" w:color="auto"/>
              <w:left w:val="single" w:sz="8" w:space="0" w:color="auto"/>
              <w:bottom w:val="nil"/>
              <w:right w:val="single" w:sz="8" w:space="0" w:color="000000"/>
            </w:tcBorders>
            <w:vAlign w:val="center"/>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COEFICIENTE GINI (1995 - 2005)</w:t>
            </w:r>
          </w:p>
        </w:tc>
      </w:tr>
      <w:tr w:rsidR="00A00E75" w:rsidRPr="00616A87" w:rsidTr="00701C83">
        <w:trPr>
          <w:trHeight w:val="315"/>
          <w:jc w:val="center"/>
        </w:trPr>
        <w:tc>
          <w:tcPr>
            <w:tcW w:w="724" w:type="dxa"/>
            <w:tcBorders>
              <w:top w:val="single" w:sz="4" w:space="0" w:color="auto"/>
              <w:left w:val="single" w:sz="8" w:space="0" w:color="auto"/>
              <w:bottom w:val="nil"/>
              <w:right w:val="nil"/>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 </w:t>
            </w:r>
          </w:p>
        </w:tc>
        <w:tc>
          <w:tcPr>
            <w:tcW w:w="2276" w:type="dxa"/>
            <w:tcBorders>
              <w:top w:val="single" w:sz="8" w:space="0" w:color="auto"/>
              <w:left w:val="single" w:sz="8" w:space="0" w:color="auto"/>
              <w:bottom w:val="single" w:sz="8"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Coeficiente Gini</w:t>
            </w:r>
          </w:p>
        </w:tc>
      </w:tr>
      <w:tr w:rsidR="00A00E75" w:rsidRPr="00616A87" w:rsidTr="00701C83">
        <w:trPr>
          <w:trHeight w:val="300"/>
          <w:jc w:val="center"/>
        </w:trPr>
        <w:tc>
          <w:tcPr>
            <w:tcW w:w="724" w:type="dxa"/>
            <w:tcBorders>
              <w:top w:val="single" w:sz="8" w:space="0" w:color="auto"/>
              <w:left w:val="single" w:sz="8" w:space="0" w:color="auto"/>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95</w:t>
            </w:r>
          </w:p>
        </w:tc>
        <w:tc>
          <w:tcPr>
            <w:tcW w:w="2276" w:type="dxa"/>
            <w:tcBorders>
              <w:top w:val="nil"/>
              <w:left w:val="nil"/>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0,539</w:t>
            </w:r>
          </w:p>
        </w:tc>
      </w:tr>
      <w:tr w:rsidR="00A00E75" w:rsidRPr="00616A87" w:rsidTr="00701C83">
        <w:trPr>
          <w:trHeight w:val="300"/>
          <w:jc w:val="center"/>
        </w:trPr>
        <w:tc>
          <w:tcPr>
            <w:tcW w:w="724" w:type="dxa"/>
            <w:tcBorders>
              <w:top w:val="nil"/>
              <w:left w:val="single" w:sz="8" w:space="0" w:color="auto"/>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96</w:t>
            </w:r>
          </w:p>
        </w:tc>
        <w:tc>
          <w:tcPr>
            <w:tcW w:w="2276" w:type="dxa"/>
            <w:tcBorders>
              <w:top w:val="nil"/>
              <w:left w:val="nil"/>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0</w:t>
            </w:r>
          </w:p>
        </w:tc>
      </w:tr>
      <w:tr w:rsidR="00A00E75" w:rsidRPr="00616A87" w:rsidTr="00701C83">
        <w:trPr>
          <w:trHeight w:val="300"/>
          <w:jc w:val="center"/>
        </w:trPr>
        <w:tc>
          <w:tcPr>
            <w:tcW w:w="724" w:type="dxa"/>
            <w:tcBorders>
              <w:top w:val="nil"/>
              <w:left w:val="single" w:sz="8" w:space="0" w:color="auto"/>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97</w:t>
            </w:r>
          </w:p>
        </w:tc>
        <w:tc>
          <w:tcPr>
            <w:tcW w:w="2276" w:type="dxa"/>
            <w:tcBorders>
              <w:top w:val="nil"/>
              <w:left w:val="nil"/>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0</w:t>
            </w:r>
          </w:p>
        </w:tc>
      </w:tr>
      <w:tr w:rsidR="00A00E75" w:rsidRPr="00616A87" w:rsidTr="00701C83">
        <w:trPr>
          <w:trHeight w:val="300"/>
          <w:jc w:val="center"/>
        </w:trPr>
        <w:tc>
          <w:tcPr>
            <w:tcW w:w="724" w:type="dxa"/>
            <w:tcBorders>
              <w:top w:val="nil"/>
              <w:left w:val="single" w:sz="8" w:space="0" w:color="auto"/>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98</w:t>
            </w:r>
          </w:p>
        </w:tc>
        <w:tc>
          <w:tcPr>
            <w:tcW w:w="2276" w:type="dxa"/>
            <w:tcBorders>
              <w:top w:val="nil"/>
              <w:left w:val="nil"/>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0,57</w:t>
            </w:r>
          </w:p>
        </w:tc>
      </w:tr>
      <w:tr w:rsidR="00A00E75" w:rsidRPr="00616A87" w:rsidTr="00701C83">
        <w:trPr>
          <w:trHeight w:val="300"/>
          <w:jc w:val="center"/>
        </w:trPr>
        <w:tc>
          <w:tcPr>
            <w:tcW w:w="724" w:type="dxa"/>
            <w:tcBorders>
              <w:top w:val="nil"/>
              <w:left w:val="single" w:sz="8" w:space="0" w:color="auto"/>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99</w:t>
            </w:r>
          </w:p>
        </w:tc>
        <w:tc>
          <w:tcPr>
            <w:tcW w:w="2276" w:type="dxa"/>
            <w:tcBorders>
              <w:top w:val="nil"/>
              <w:left w:val="nil"/>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0,58</w:t>
            </w:r>
          </w:p>
        </w:tc>
      </w:tr>
      <w:tr w:rsidR="00A00E75" w:rsidRPr="00616A87" w:rsidTr="00701C83">
        <w:trPr>
          <w:trHeight w:val="300"/>
          <w:jc w:val="center"/>
        </w:trPr>
        <w:tc>
          <w:tcPr>
            <w:tcW w:w="724" w:type="dxa"/>
            <w:tcBorders>
              <w:top w:val="nil"/>
              <w:left w:val="single" w:sz="8" w:space="0" w:color="auto"/>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2000</w:t>
            </w:r>
          </w:p>
        </w:tc>
        <w:tc>
          <w:tcPr>
            <w:tcW w:w="2276" w:type="dxa"/>
            <w:tcBorders>
              <w:top w:val="nil"/>
              <w:left w:val="nil"/>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0,56</w:t>
            </w:r>
          </w:p>
        </w:tc>
      </w:tr>
      <w:tr w:rsidR="00A00E75" w:rsidRPr="00616A87" w:rsidTr="00701C83">
        <w:trPr>
          <w:trHeight w:val="300"/>
          <w:jc w:val="center"/>
        </w:trPr>
        <w:tc>
          <w:tcPr>
            <w:tcW w:w="724" w:type="dxa"/>
            <w:tcBorders>
              <w:top w:val="nil"/>
              <w:left w:val="single" w:sz="8" w:space="0" w:color="auto"/>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2001</w:t>
            </w:r>
          </w:p>
        </w:tc>
        <w:tc>
          <w:tcPr>
            <w:tcW w:w="2276" w:type="dxa"/>
            <w:tcBorders>
              <w:top w:val="nil"/>
              <w:left w:val="nil"/>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0,59</w:t>
            </w:r>
          </w:p>
        </w:tc>
      </w:tr>
      <w:tr w:rsidR="00A00E75" w:rsidRPr="00616A87" w:rsidTr="00701C83">
        <w:trPr>
          <w:trHeight w:val="300"/>
          <w:jc w:val="center"/>
        </w:trPr>
        <w:tc>
          <w:tcPr>
            <w:tcW w:w="724" w:type="dxa"/>
            <w:tcBorders>
              <w:top w:val="nil"/>
              <w:left w:val="single" w:sz="8" w:space="0" w:color="auto"/>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2002</w:t>
            </w:r>
          </w:p>
        </w:tc>
        <w:tc>
          <w:tcPr>
            <w:tcW w:w="2276" w:type="dxa"/>
            <w:tcBorders>
              <w:top w:val="nil"/>
              <w:left w:val="nil"/>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0</w:t>
            </w:r>
          </w:p>
        </w:tc>
      </w:tr>
      <w:tr w:rsidR="00A00E75" w:rsidRPr="00616A87" w:rsidTr="00701C83">
        <w:trPr>
          <w:trHeight w:val="300"/>
          <w:jc w:val="center"/>
        </w:trPr>
        <w:tc>
          <w:tcPr>
            <w:tcW w:w="724" w:type="dxa"/>
            <w:tcBorders>
              <w:top w:val="nil"/>
              <w:left w:val="single" w:sz="8" w:space="0" w:color="auto"/>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2003</w:t>
            </w:r>
          </w:p>
        </w:tc>
        <w:tc>
          <w:tcPr>
            <w:tcW w:w="2276" w:type="dxa"/>
            <w:tcBorders>
              <w:top w:val="nil"/>
              <w:left w:val="nil"/>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0,56</w:t>
            </w:r>
          </w:p>
        </w:tc>
      </w:tr>
      <w:tr w:rsidR="00A00E75" w:rsidRPr="00616A87" w:rsidTr="00701C83">
        <w:trPr>
          <w:trHeight w:val="300"/>
          <w:jc w:val="center"/>
        </w:trPr>
        <w:tc>
          <w:tcPr>
            <w:tcW w:w="724" w:type="dxa"/>
            <w:tcBorders>
              <w:top w:val="nil"/>
              <w:left w:val="single" w:sz="8" w:space="0" w:color="auto"/>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2004</w:t>
            </w:r>
          </w:p>
        </w:tc>
        <w:tc>
          <w:tcPr>
            <w:tcW w:w="2276" w:type="dxa"/>
            <w:tcBorders>
              <w:top w:val="nil"/>
              <w:left w:val="nil"/>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0,56</w:t>
            </w:r>
          </w:p>
        </w:tc>
      </w:tr>
      <w:tr w:rsidR="00A00E75" w:rsidRPr="00616A87" w:rsidTr="00701C83">
        <w:trPr>
          <w:trHeight w:val="315"/>
          <w:jc w:val="center"/>
        </w:trPr>
        <w:tc>
          <w:tcPr>
            <w:tcW w:w="724" w:type="dxa"/>
            <w:tcBorders>
              <w:top w:val="nil"/>
              <w:left w:val="single" w:sz="8" w:space="0" w:color="auto"/>
              <w:bottom w:val="single" w:sz="8"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2005</w:t>
            </w:r>
          </w:p>
        </w:tc>
        <w:tc>
          <w:tcPr>
            <w:tcW w:w="2276" w:type="dxa"/>
            <w:tcBorders>
              <w:top w:val="nil"/>
              <w:left w:val="nil"/>
              <w:bottom w:val="single" w:sz="8"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0,55</w:t>
            </w:r>
          </w:p>
        </w:tc>
      </w:tr>
    </w:tbl>
    <w:p w:rsidR="00A00E75" w:rsidRPr="00616A87" w:rsidRDefault="00A00E75" w:rsidP="00616A87">
      <w:pPr>
        <w:spacing w:line="360" w:lineRule="auto"/>
        <w:jc w:val="both"/>
        <w:rPr>
          <w:rFonts w:ascii="Times New Roman" w:hAnsi="Times New Roman"/>
          <w:sz w:val="24"/>
          <w:szCs w:val="24"/>
        </w:rPr>
      </w:pPr>
    </w:p>
    <w:p w:rsidR="00A00E75" w:rsidRPr="00616A87" w:rsidRDefault="00453510" w:rsidP="00616A87">
      <w:pPr>
        <w:spacing w:line="360" w:lineRule="auto"/>
        <w:jc w:val="both"/>
        <w:rPr>
          <w:rFonts w:ascii="Times New Roman" w:hAnsi="Times New Roman"/>
          <w:sz w:val="24"/>
          <w:szCs w:val="24"/>
        </w:rPr>
      </w:pPr>
      <w:r>
        <w:rPr>
          <w:rFonts w:ascii="Times New Roman" w:hAnsi="Times New Roman"/>
          <w:noProof/>
          <w:sz w:val="24"/>
          <w:szCs w:val="24"/>
          <w:lang w:val="es-EC" w:eastAsia="es-EC"/>
        </w:rPr>
        <w:lastRenderedPageBreak/>
        <w:drawing>
          <wp:inline distT="0" distB="0" distL="0" distR="0">
            <wp:extent cx="5362575" cy="2714625"/>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10"/>
                    <a:srcRect/>
                    <a:stretch>
                      <a:fillRect/>
                    </a:stretch>
                  </pic:blipFill>
                  <pic:spPr bwMode="auto">
                    <a:xfrm>
                      <a:off x="0" y="0"/>
                      <a:ext cx="5362575" cy="2714625"/>
                    </a:xfrm>
                    <a:prstGeom prst="rect">
                      <a:avLst/>
                    </a:prstGeom>
                    <a:noFill/>
                    <a:ln w="9525">
                      <a:noFill/>
                      <a:miter lim="800000"/>
                      <a:headEnd/>
                      <a:tailEnd/>
                    </a:ln>
                  </pic:spPr>
                </pic:pic>
              </a:graphicData>
            </a:graphic>
          </wp:inline>
        </w:drawing>
      </w:r>
    </w:p>
    <w:p w:rsidR="00A00E75" w:rsidRPr="00616A87" w:rsidRDefault="00A00E75" w:rsidP="002E0094">
      <w:pPr>
        <w:spacing w:line="360" w:lineRule="auto"/>
        <w:jc w:val="both"/>
        <w:outlineLvl w:val="0"/>
        <w:rPr>
          <w:rFonts w:ascii="Times New Roman" w:hAnsi="Times New Roman"/>
          <w:sz w:val="24"/>
          <w:szCs w:val="24"/>
        </w:rPr>
      </w:pPr>
      <w:r w:rsidRPr="00616A87">
        <w:rPr>
          <w:rFonts w:ascii="Times New Roman" w:hAnsi="Times New Roman"/>
          <w:sz w:val="24"/>
          <w:szCs w:val="24"/>
        </w:rPr>
        <w:t xml:space="preserve">Fuente: elaboración propia con datos tomados de Informe de la CAN y SIISE. </w:t>
      </w:r>
    </w:p>
    <w:p w:rsidR="00A00E75" w:rsidRPr="00616A87" w:rsidRDefault="00A00E75" w:rsidP="00616A87">
      <w:pPr>
        <w:spacing w:line="360" w:lineRule="auto"/>
        <w:jc w:val="both"/>
        <w:rPr>
          <w:rFonts w:ascii="Times New Roman" w:hAnsi="Times New Roman"/>
          <w:sz w:val="24"/>
          <w:szCs w:val="24"/>
        </w:rPr>
      </w:pPr>
    </w:p>
    <w:p w:rsidR="00A00E75" w:rsidRPr="00616A87" w:rsidRDefault="00A00E75" w:rsidP="002E0094">
      <w:pPr>
        <w:spacing w:line="360" w:lineRule="auto"/>
        <w:jc w:val="both"/>
        <w:outlineLvl w:val="0"/>
        <w:rPr>
          <w:rFonts w:ascii="Times New Roman" w:hAnsi="Times New Roman"/>
          <w:b/>
          <w:sz w:val="24"/>
          <w:szCs w:val="24"/>
        </w:rPr>
      </w:pPr>
      <w:r w:rsidRPr="00616A87">
        <w:rPr>
          <w:rFonts w:ascii="Times New Roman" w:hAnsi="Times New Roman"/>
          <w:b/>
          <w:sz w:val="24"/>
          <w:szCs w:val="24"/>
        </w:rPr>
        <w:t>Cuadro 3. Inversión del PIB en función de servicios básicos y deuda externa</w:t>
      </w:r>
    </w:p>
    <w:tbl>
      <w:tblPr>
        <w:tblW w:w="5660" w:type="dxa"/>
        <w:jc w:val="center"/>
        <w:tblInd w:w="60" w:type="dxa"/>
        <w:tblCellMar>
          <w:left w:w="70" w:type="dxa"/>
          <w:right w:w="70" w:type="dxa"/>
        </w:tblCellMar>
        <w:tblLook w:val="0000"/>
      </w:tblPr>
      <w:tblGrid>
        <w:gridCol w:w="620"/>
        <w:gridCol w:w="1266"/>
        <w:gridCol w:w="1266"/>
        <w:gridCol w:w="1500"/>
        <w:gridCol w:w="1266"/>
      </w:tblGrid>
      <w:tr w:rsidR="00A00E75" w:rsidRPr="00616A87" w:rsidTr="005E25BB">
        <w:trPr>
          <w:trHeight w:val="675"/>
          <w:jc w:val="center"/>
        </w:trPr>
        <w:tc>
          <w:tcPr>
            <w:tcW w:w="5660" w:type="dxa"/>
            <w:gridSpan w:val="5"/>
            <w:tcBorders>
              <w:top w:val="single" w:sz="8" w:space="0" w:color="auto"/>
              <w:left w:val="single" w:sz="8" w:space="0" w:color="auto"/>
              <w:bottom w:val="single" w:sz="8" w:space="0" w:color="auto"/>
              <w:right w:val="single" w:sz="8" w:space="0" w:color="000000"/>
            </w:tcBorders>
            <w:vAlign w:val="center"/>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EGRESO DEL GOBIERNO CENTRAL, SERVICIO DE LA DEUDA Y OTROS SECTORES (en porcentaje del PIB)</w:t>
            </w:r>
          </w:p>
        </w:tc>
      </w:tr>
      <w:tr w:rsidR="00A00E75" w:rsidRPr="00616A87" w:rsidTr="005E25BB">
        <w:trPr>
          <w:trHeight w:val="915"/>
          <w:jc w:val="center"/>
        </w:trPr>
        <w:tc>
          <w:tcPr>
            <w:tcW w:w="491" w:type="dxa"/>
            <w:tcBorders>
              <w:top w:val="nil"/>
              <w:left w:val="nil"/>
              <w:bottom w:val="nil"/>
              <w:right w:val="nil"/>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p>
        </w:tc>
        <w:tc>
          <w:tcPr>
            <w:tcW w:w="1266" w:type="dxa"/>
            <w:tcBorders>
              <w:top w:val="nil"/>
              <w:left w:val="single" w:sz="8" w:space="0" w:color="auto"/>
              <w:bottom w:val="nil"/>
              <w:right w:val="single" w:sz="8" w:space="0" w:color="auto"/>
            </w:tcBorders>
            <w:vAlign w:val="center"/>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Educación y cultura</w:t>
            </w:r>
          </w:p>
        </w:tc>
        <w:tc>
          <w:tcPr>
            <w:tcW w:w="1266" w:type="dxa"/>
            <w:tcBorders>
              <w:top w:val="nil"/>
              <w:left w:val="nil"/>
              <w:bottom w:val="nil"/>
              <w:right w:val="single" w:sz="8" w:space="0" w:color="auto"/>
            </w:tcBorders>
            <w:vAlign w:val="center"/>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Salud y desarrollo comunal</w:t>
            </w:r>
          </w:p>
        </w:tc>
        <w:tc>
          <w:tcPr>
            <w:tcW w:w="1371" w:type="dxa"/>
            <w:tcBorders>
              <w:top w:val="nil"/>
              <w:left w:val="nil"/>
              <w:bottom w:val="nil"/>
              <w:right w:val="single" w:sz="8" w:space="0" w:color="auto"/>
            </w:tcBorders>
            <w:vAlign w:val="center"/>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Desarrollo agropecuario</w:t>
            </w:r>
          </w:p>
        </w:tc>
        <w:tc>
          <w:tcPr>
            <w:tcW w:w="1266" w:type="dxa"/>
            <w:tcBorders>
              <w:top w:val="nil"/>
              <w:left w:val="nil"/>
              <w:bottom w:val="nil"/>
              <w:right w:val="single" w:sz="8" w:space="0" w:color="auto"/>
            </w:tcBorders>
            <w:vAlign w:val="center"/>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Servicio de la deuda</w:t>
            </w:r>
          </w:p>
        </w:tc>
      </w:tr>
      <w:tr w:rsidR="00A00E75" w:rsidRPr="00616A87" w:rsidTr="005E25BB">
        <w:trPr>
          <w:trHeight w:val="300"/>
          <w:jc w:val="center"/>
        </w:trPr>
        <w:tc>
          <w:tcPr>
            <w:tcW w:w="491" w:type="dxa"/>
            <w:tcBorders>
              <w:top w:val="single" w:sz="8" w:space="0" w:color="auto"/>
              <w:left w:val="single" w:sz="8" w:space="0" w:color="auto"/>
              <w:bottom w:val="nil"/>
              <w:right w:val="nil"/>
            </w:tcBorders>
            <w:noWrap/>
            <w:vAlign w:val="bottom"/>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1986</w:t>
            </w:r>
          </w:p>
        </w:tc>
        <w:tc>
          <w:tcPr>
            <w:tcW w:w="1266" w:type="dxa"/>
            <w:tcBorders>
              <w:top w:val="single" w:sz="8" w:space="0" w:color="auto"/>
              <w:left w:val="single" w:sz="8" w:space="0" w:color="auto"/>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4</w:t>
            </w:r>
          </w:p>
        </w:tc>
        <w:tc>
          <w:tcPr>
            <w:tcW w:w="1266" w:type="dxa"/>
            <w:tcBorders>
              <w:top w:val="single" w:sz="8" w:space="0" w:color="auto"/>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1,1</w:t>
            </w:r>
          </w:p>
        </w:tc>
        <w:tc>
          <w:tcPr>
            <w:tcW w:w="1371" w:type="dxa"/>
            <w:tcBorders>
              <w:top w:val="single" w:sz="8" w:space="0" w:color="auto"/>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0,5</w:t>
            </w:r>
          </w:p>
        </w:tc>
        <w:tc>
          <w:tcPr>
            <w:tcW w:w="1266" w:type="dxa"/>
            <w:tcBorders>
              <w:top w:val="single" w:sz="8" w:space="0" w:color="auto"/>
              <w:left w:val="nil"/>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4,1</w:t>
            </w:r>
          </w:p>
        </w:tc>
      </w:tr>
      <w:tr w:rsidR="00A00E75" w:rsidRPr="00616A87" w:rsidTr="005E25BB">
        <w:trPr>
          <w:trHeight w:val="300"/>
          <w:jc w:val="center"/>
        </w:trPr>
        <w:tc>
          <w:tcPr>
            <w:tcW w:w="491" w:type="dxa"/>
            <w:tcBorders>
              <w:top w:val="nil"/>
              <w:left w:val="single" w:sz="8" w:space="0" w:color="auto"/>
              <w:bottom w:val="nil"/>
              <w:right w:val="nil"/>
            </w:tcBorders>
            <w:noWrap/>
            <w:vAlign w:val="bottom"/>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1987</w:t>
            </w:r>
          </w:p>
        </w:tc>
        <w:tc>
          <w:tcPr>
            <w:tcW w:w="1266" w:type="dxa"/>
            <w:tcBorders>
              <w:top w:val="nil"/>
              <w:left w:val="single" w:sz="8" w:space="0" w:color="auto"/>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3,9</w:t>
            </w:r>
          </w:p>
        </w:tc>
        <w:tc>
          <w:tcPr>
            <w:tcW w:w="1266" w:type="dxa"/>
            <w:tcBorders>
              <w:top w:val="nil"/>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1,4</w:t>
            </w:r>
          </w:p>
        </w:tc>
        <w:tc>
          <w:tcPr>
            <w:tcW w:w="1371" w:type="dxa"/>
            <w:tcBorders>
              <w:top w:val="nil"/>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0,5</w:t>
            </w:r>
          </w:p>
        </w:tc>
        <w:tc>
          <w:tcPr>
            <w:tcW w:w="1266" w:type="dxa"/>
            <w:tcBorders>
              <w:top w:val="nil"/>
              <w:left w:val="nil"/>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7,1</w:t>
            </w:r>
          </w:p>
        </w:tc>
      </w:tr>
      <w:tr w:rsidR="00A00E75" w:rsidRPr="00616A87" w:rsidTr="005E25BB">
        <w:trPr>
          <w:trHeight w:val="300"/>
          <w:jc w:val="center"/>
        </w:trPr>
        <w:tc>
          <w:tcPr>
            <w:tcW w:w="491" w:type="dxa"/>
            <w:tcBorders>
              <w:top w:val="nil"/>
              <w:left w:val="single" w:sz="8" w:space="0" w:color="auto"/>
              <w:bottom w:val="nil"/>
              <w:right w:val="nil"/>
            </w:tcBorders>
            <w:noWrap/>
            <w:vAlign w:val="bottom"/>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1988</w:t>
            </w:r>
          </w:p>
        </w:tc>
        <w:tc>
          <w:tcPr>
            <w:tcW w:w="1266" w:type="dxa"/>
            <w:tcBorders>
              <w:top w:val="nil"/>
              <w:left w:val="single" w:sz="8" w:space="0" w:color="auto"/>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3,3</w:t>
            </w:r>
          </w:p>
        </w:tc>
        <w:tc>
          <w:tcPr>
            <w:tcW w:w="1266" w:type="dxa"/>
            <w:tcBorders>
              <w:top w:val="nil"/>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1,3</w:t>
            </w:r>
          </w:p>
        </w:tc>
        <w:tc>
          <w:tcPr>
            <w:tcW w:w="1371" w:type="dxa"/>
            <w:tcBorders>
              <w:top w:val="nil"/>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0,5</w:t>
            </w:r>
          </w:p>
        </w:tc>
        <w:tc>
          <w:tcPr>
            <w:tcW w:w="1266" w:type="dxa"/>
            <w:tcBorders>
              <w:top w:val="nil"/>
              <w:left w:val="nil"/>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4,5</w:t>
            </w:r>
          </w:p>
        </w:tc>
      </w:tr>
      <w:tr w:rsidR="00A00E75" w:rsidRPr="00616A87" w:rsidTr="005E25BB">
        <w:trPr>
          <w:trHeight w:val="300"/>
          <w:jc w:val="center"/>
        </w:trPr>
        <w:tc>
          <w:tcPr>
            <w:tcW w:w="491" w:type="dxa"/>
            <w:tcBorders>
              <w:top w:val="nil"/>
              <w:left w:val="single" w:sz="8" w:space="0" w:color="auto"/>
              <w:bottom w:val="nil"/>
              <w:right w:val="nil"/>
            </w:tcBorders>
            <w:noWrap/>
            <w:vAlign w:val="bottom"/>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1989</w:t>
            </w:r>
          </w:p>
        </w:tc>
        <w:tc>
          <w:tcPr>
            <w:tcW w:w="1266" w:type="dxa"/>
            <w:tcBorders>
              <w:top w:val="nil"/>
              <w:left w:val="single" w:sz="8" w:space="0" w:color="auto"/>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3</w:t>
            </w:r>
          </w:p>
        </w:tc>
        <w:tc>
          <w:tcPr>
            <w:tcW w:w="1266" w:type="dxa"/>
            <w:tcBorders>
              <w:top w:val="nil"/>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1,2</w:t>
            </w:r>
          </w:p>
        </w:tc>
        <w:tc>
          <w:tcPr>
            <w:tcW w:w="1371" w:type="dxa"/>
            <w:tcBorders>
              <w:top w:val="nil"/>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0,5</w:t>
            </w:r>
          </w:p>
        </w:tc>
        <w:tc>
          <w:tcPr>
            <w:tcW w:w="1266" w:type="dxa"/>
            <w:tcBorders>
              <w:top w:val="nil"/>
              <w:left w:val="nil"/>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5,7</w:t>
            </w:r>
          </w:p>
        </w:tc>
      </w:tr>
      <w:tr w:rsidR="00A00E75" w:rsidRPr="00616A87" w:rsidTr="005E25BB">
        <w:trPr>
          <w:trHeight w:val="300"/>
          <w:jc w:val="center"/>
        </w:trPr>
        <w:tc>
          <w:tcPr>
            <w:tcW w:w="491" w:type="dxa"/>
            <w:tcBorders>
              <w:top w:val="nil"/>
              <w:left w:val="single" w:sz="8" w:space="0" w:color="auto"/>
              <w:bottom w:val="nil"/>
              <w:right w:val="nil"/>
            </w:tcBorders>
            <w:noWrap/>
            <w:vAlign w:val="bottom"/>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1990</w:t>
            </w:r>
          </w:p>
        </w:tc>
        <w:tc>
          <w:tcPr>
            <w:tcW w:w="1266" w:type="dxa"/>
            <w:tcBorders>
              <w:top w:val="nil"/>
              <w:left w:val="single" w:sz="8" w:space="0" w:color="auto"/>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2,7</w:t>
            </w:r>
          </w:p>
        </w:tc>
        <w:tc>
          <w:tcPr>
            <w:tcW w:w="1266" w:type="dxa"/>
            <w:tcBorders>
              <w:top w:val="nil"/>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1,2</w:t>
            </w:r>
          </w:p>
        </w:tc>
        <w:tc>
          <w:tcPr>
            <w:tcW w:w="1371" w:type="dxa"/>
            <w:tcBorders>
              <w:top w:val="nil"/>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0,6</w:t>
            </w:r>
          </w:p>
        </w:tc>
        <w:tc>
          <w:tcPr>
            <w:tcW w:w="1266" w:type="dxa"/>
            <w:tcBorders>
              <w:top w:val="nil"/>
              <w:left w:val="nil"/>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6,3</w:t>
            </w:r>
          </w:p>
        </w:tc>
      </w:tr>
      <w:tr w:rsidR="00A00E75" w:rsidRPr="00616A87" w:rsidTr="005E25BB">
        <w:trPr>
          <w:trHeight w:val="300"/>
          <w:jc w:val="center"/>
        </w:trPr>
        <w:tc>
          <w:tcPr>
            <w:tcW w:w="491" w:type="dxa"/>
            <w:tcBorders>
              <w:top w:val="nil"/>
              <w:left w:val="single" w:sz="8" w:space="0" w:color="auto"/>
              <w:bottom w:val="nil"/>
              <w:right w:val="nil"/>
            </w:tcBorders>
            <w:noWrap/>
            <w:vAlign w:val="bottom"/>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1991</w:t>
            </w:r>
          </w:p>
        </w:tc>
        <w:tc>
          <w:tcPr>
            <w:tcW w:w="1266" w:type="dxa"/>
            <w:tcBorders>
              <w:top w:val="nil"/>
              <w:left w:val="single" w:sz="8" w:space="0" w:color="auto"/>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2,9</w:t>
            </w:r>
          </w:p>
        </w:tc>
        <w:tc>
          <w:tcPr>
            <w:tcW w:w="1266" w:type="dxa"/>
            <w:tcBorders>
              <w:top w:val="nil"/>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0,9</w:t>
            </w:r>
          </w:p>
        </w:tc>
        <w:tc>
          <w:tcPr>
            <w:tcW w:w="1371" w:type="dxa"/>
            <w:tcBorders>
              <w:top w:val="nil"/>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0,6</w:t>
            </w:r>
          </w:p>
        </w:tc>
        <w:tc>
          <w:tcPr>
            <w:tcW w:w="1266" w:type="dxa"/>
            <w:tcBorders>
              <w:top w:val="nil"/>
              <w:left w:val="nil"/>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5,2</w:t>
            </w:r>
          </w:p>
        </w:tc>
      </w:tr>
      <w:tr w:rsidR="00A00E75" w:rsidRPr="00616A87" w:rsidTr="005E25BB">
        <w:trPr>
          <w:trHeight w:val="300"/>
          <w:jc w:val="center"/>
        </w:trPr>
        <w:tc>
          <w:tcPr>
            <w:tcW w:w="491" w:type="dxa"/>
            <w:tcBorders>
              <w:top w:val="nil"/>
              <w:left w:val="single" w:sz="8" w:space="0" w:color="auto"/>
              <w:bottom w:val="nil"/>
              <w:right w:val="nil"/>
            </w:tcBorders>
            <w:noWrap/>
            <w:vAlign w:val="bottom"/>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1992</w:t>
            </w:r>
          </w:p>
        </w:tc>
        <w:tc>
          <w:tcPr>
            <w:tcW w:w="1266" w:type="dxa"/>
            <w:tcBorders>
              <w:top w:val="nil"/>
              <w:left w:val="single" w:sz="8" w:space="0" w:color="auto"/>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3,1</w:t>
            </w:r>
          </w:p>
        </w:tc>
        <w:tc>
          <w:tcPr>
            <w:tcW w:w="1266" w:type="dxa"/>
            <w:tcBorders>
              <w:top w:val="nil"/>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1</w:t>
            </w:r>
          </w:p>
        </w:tc>
        <w:tc>
          <w:tcPr>
            <w:tcW w:w="1371" w:type="dxa"/>
            <w:tcBorders>
              <w:top w:val="nil"/>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0,5</w:t>
            </w:r>
          </w:p>
        </w:tc>
        <w:tc>
          <w:tcPr>
            <w:tcW w:w="1266" w:type="dxa"/>
            <w:tcBorders>
              <w:top w:val="nil"/>
              <w:left w:val="nil"/>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5,2</w:t>
            </w:r>
          </w:p>
        </w:tc>
      </w:tr>
      <w:tr w:rsidR="00A00E75" w:rsidRPr="00616A87" w:rsidTr="005E25BB">
        <w:trPr>
          <w:trHeight w:val="300"/>
          <w:jc w:val="center"/>
        </w:trPr>
        <w:tc>
          <w:tcPr>
            <w:tcW w:w="491" w:type="dxa"/>
            <w:tcBorders>
              <w:top w:val="nil"/>
              <w:left w:val="single" w:sz="8" w:space="0" w:color="auto"/>
              <w:bottom w:val="nil"/>
              <w:right w:val="nil"/>
            </w:tcBorders>
            <w:noWrap/>
            <w:vAlign w:val="bottom"/>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1993</w:t>
            </w:r>
          </w:p>
        </w:tc>
        <w:tc>
          <w:tcPr>
            <w:tcW w:w="1266" w:type="dxa"/>
            <w:tcBorders>
              <w:top w:val="nil"/>
              <w:left w:val="single" w:sz="8" w:space="0" w:color="auto"/>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2,6</w:t>
            </w:r>
          </w:p>
        </w:tc>
        <w:tc>
          <w:tcPr>
            <w:tcW w:w="1266" w:type="dxa"/>
            <w:tcBorders>
              <w:top w:val="nil"/>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0,7</w:t>
            </w:r>
          </w:p>
        </w:tc>
        <w:tc>
          <w:tcPr>
            <w:tcW w:w="1371" w:type="dxa"/>
            <w:tcBorders>
              <w:top w:val="nil"/>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0,5</w:t>
            </w:r>
          </w:p>
        </w:tc>
        <w:tc>
          <w:tcPr>
            <w:tcW w:w="1266" w:type="dxa"/>
            <w:tcBorders>
              <w:top w:val="nil"/>
              <w:left w:val="nil"/>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3,7</w:t>
            </w:r>
          </w:p>
        </w:tc>
      </w:tr>
      <w:tr w:rsidR="00A00E75" w:rsidRPr="00616A87" w:rsidTr="005E25BB">
        <w:trPr>
          <w:trHeight w:val="300"/>
          <w:jc w:val="center"/>
        </w:trPr>
        <w:tc>
          <w:tcPr>
            <w:tcW w:w="491" w:type="dxa"/>
            <w:tcBorders>
              <w:top w:val="nil"/>
              <w:left w:val="single" w:sz="8" w:space="0" w:color="auto"/>
              <w:bottom w:val="nil"/>
              <w:right w:val="nil"/>
            </w:tcBorders>
            <w:noWrap/>
            <w:vAlign w:val="bottom"/>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1994</w:t>
            </w:r>
          </w:p>
        </w:tc>
        <w:tc>
          <w:tcPr>
            <w:tcW w:w="1266" w:type="dxa"/>
            <w:tcBorders>
              <w:top w:val="nil"/>
              <w:left w:val="single" w:sz="8" w:space="0" w:color="auto"/>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2,9</w:t>
            </w:r>
          </w:p>
        </w:tc>
        <w:tc>
          <w:tcPr>
            <w:tcW w:w="1266" w:type="dxa"/>
            <w:tcBorders>
              <w:top w:val="nil"/>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0,9</w:t>
            </w:r>
          </w:p>
        </w:tc>
        <w:tc>
          <w:tcPr>
            <w:tcW w:w="1371" w:type="dxa"/>
            <w:tcBorders>
              <w:top w:val="nil"/>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0,6</w:t>
            </w:r>
          </w:p>
        </w:tc>
        <w:tc>
          <w:tcPr>
            <w:tcW w:w="1266" w:type="dxa"/>
            <w:tcBorders>
              <w:top w:val="nil"/>
              <w:left w:val="nil"/>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4,6</w:t>
            </w:r>
          </w:p>
        </w:tc>
      </w:tr>
      <w:tr w:rsidR="00A00E75" w:rsidRPr="00616A87" w:rsidTr="005E25BB">
        <w:trPr>
          <w:trHeight w:val="300"/>
          <w:jc w:val="center"/>
        </w:trPr>
        <w:tc>
          <w:tcPr>
            <w:tcW w:w="491" w:type="dxa"/>
            <w:tcBorders>
              <w:top w:val="nil"/>
              <w:left w:val="single" w:sz="8" w:space="0" w:color="auto"/>
              <w:bottom w:val="nil"/>
              <w:right w:val="nil"/>
            </w:tcBorders>
            <w:noWrap/>
            <w:vAlign w:val="bottom"/>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1995</w:t>
            </w:r>
          </w:p>
        </w:tc>
        <w:tc>
          <w:tcPr>
            <w:tcW w:w="1266" w:type="dxa"/>
            <w:tcBorders>
              <w:top w:val="nil"/>
              <w:left w:val="single" w:sz="8" w:space="0" w:color="auto"/>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3,3</w:t>
            </w:r>
          </w:p>
        </w:tc>
        <w:tc>
          <w:tcPr>
            <w:tcW w:w="1266" w:type="dxa"/>
            <w:tcBorders>
              <w:top w:val="nil"/>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1,1</w:t>
            </w:r>
          </w:p>
        </w:tc>
        <w:tc>
          <w:tcPr>
            <w:tcW w:w="1371" w:type="dxa"/>
            <w:tcBorders>
              <w:top w:val="nil"/>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1,4</w:t>
            </w:r>
          </w:p>
        </w:tc>
        <w:tc>
          <w:tcPr>
            <w:tcW w:w="1266" w:type="dxa"/>
            <w:tcBorders>
              <w:top w:val="nil"/>
              <w:left w:val="nil"/>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10</w:t>
            </w:r>
          </w:p>
        </w:tc>
      </w:tr>
      <w:tr w:rsidR="00A00E75" w:rsidRPr="00616A87" w:rsidTr="005E25BB">
        <w:trPr>
          <w:trHeight w:val="300"/>
          <w:jc w:val="center"/>
        </w:trPr>
        <w:tc>
          <w:tcPr>
            <w:tcW w:w="491" w:type="dxa"/>
            <w:tcBorders>
              <w:top w:val="nil"/>
              <w:left w:val="single" w:sz="8" w:space="0" w:color="auto"/>
              <w:bottom w:val="nil"/>
              <w:right w:val="nil"/>
            </w:tcBorders>
            <w:noWrap/>
            <w:vAlign w:val="bottom"/>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1996</w:t>
            </w:r>
          </w:p>
        </w:tc>
        <w:tc>
          <w:tcPr>
            <w:tcW w:w="1266" w:type="dxa"/>
            <w:tcBorders>
              <w:top w:val="nil"/>
              <w:left w:val="single" w:sz="8" w:space="0" w:color="auto"/>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3,2</w:t>
            </w:r>
          </w:p>
        </w:tc>
        <w:tc>
          <w:tcPr>
            <w:tcW w:w="1266" w:type="dxa"/>
            <w:tcBorders>
              <w:top w:val="nil"/>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1,2</w:t>
            </w:r>
          </w:p>
        </w:tc>
        <w:tc>
          <w:tcPr>
            <w:tcW w:w="1371" w:type="dxa"/>
            <w:tcBorders>
              <w:top w:val="nil"/>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1,3</w:t>
            </w:r>
          </w:p>
        </w:tc>
        <w:tc>
          <w:tcPr>
            <w:tcW w:w="1266" w:type="dxa"/>
            <w:tcBorders>
              <w:top w:val="nil"/>
              <w:left w:val="nil"/>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8,5</w:t>
            </w:r>
          </w:p>
        </w:tc>
      </w:tr>
      <w:tr w:rsidR="00A00E75" w:rsidRPr="00616A87" w:rsidTr="005E25BB">
        <w:trPr>
          <w:trHeight w:val="300"/>
          <w:jc w:val="center"/>
        </w:trPr>
        <w:tc>
          <w:tcPr>
            <w:tcW w:w="491" w:type="dxa"/>
            <w:tcBorders>
              <w:top w:val="nil"/>
              <w:left w:val="single" w:sz="8" w:space="0" w:color="auto"/>
              <w:bottom w:val="nil"/>
              <w:right w:val="nil"/>
            </w:tcBorders>
            <w:noWrap/>
            <w:vAlign w:val="bottom"/>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1997</w:t>
            </w:r>
          </w:p>
        </w:tc>
        <w:tc>
          <w:tcPr>
            <w:tcW w:w="1266" w:type="dxa"/>
            <w:tcBorders>
              <w:top w:val="nil"/>
              <w:left w:val="single" w:sz="8" w:space="0" w:color="auto"/>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3,5</w:t>
            </w:r>
          </w:p>
        </w:tc>
        <w:tc>
          <w:tcPr>
            <w:tcW w:w="1266" w:type="dxa"/>
            <w:tcBorders>
              <w:top w:val="nil"/>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1</w:t>
            </w:r>
          </w:p>
        </w:tc>
        <w:tc>
          <w:tcPr>
            <w:tcW w:w="1371" w:type="dxa"/>
            <w:tcBorders>
              <w:top w:val="nil"/>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1,5</w:t>
            </w:r>
          </w:p>
        </w:tc>
        <w:tc>
          <w:tcPr>
            <w:tcW w:w="1266" w:type="dxa"/>
            <w:tcBorders>
              <w:top w:val="nil"/>
              <w:left w:val="nil"/>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12,1</w:t>
            </w:r>
          </w:p>
        </w:tc>
      </w:tr>
      <w:tr w:rsidR="00A00E75" w:rsidRPr="00616A87" w:rsidTr="005E25BB">
        <w:trPr>
          <w:trHeight w:val="300"/>
          <w:jc w:val="center"/>
        </w:trPr>
        <w:tc>
          <w:tcPr>
            <w:tcW w:w="491" w:type="dxa"/>
            <w:tcBorders>
              <w:top w:val="nil"/>
              <w:left w:val="single" w:sz="8" w:space="0" w:color="auto"/>
              <w:bottom w:val="nil"/>
              <w:right w:val="nil"/>
            </w:tcBorders>
            <w:noWrap/>
            <w:vAlign w:val="bottom"/>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1998</w:t>
            </w:r>
          </w:p>
        </w:tc>
        <w:tc>
          <w:tcPr>
            <w:tcW w:w="1266" w:type="dxa"/>
            <w:tcBorders>
              <w:top w:val="nil"/>
              <w:left w:val="single" w:sz="8" w:space="0" w:color="auto"/>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3,2</w:t>
            </w:r>
          </w:p>
        </w:tc>
        <w:tc>
          <w:tcPr>
            <w:tcW w:w="1266" w:type="dxa"/>
            <w:tcBorders>
              <w:top w:val="nil"/>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1</w:t>
            </w:r>
          </w:p>
        </w:tc>
        <w:tc>
          <w:tcPr>
            <w:tcW w:w="1371" w:type="dxa"/>
            <w:tcBorders>
              <w:top w:val="nil"/>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1</w:t>
            </w:r>
          </w:p>
        </w:tc>
        <w:tc>
          <w:tcPr>
            <w:tcW w:w="1266" w:type="dxa"/>
            <w:tcBorders>
              <w:top w:val="nil"/>
              <w:left w:val="nil"/>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8,8</w:t>
            </w:r>
          </w:p>
        </w:tc>
      </w:tr>
      <w:tr w:rsidR="00A00E75" w:rsidRPr="00616A87" w:rsidTr="005E25BB">
        <w:trPr>
          <w:trHeight w:val="300"/>
          <w:jc w:val="center"/>
        </w:trPr>
        <w:tc>
          <w:tcPr>
            <w:tcW w:w="491" w:type="dxa"/>
            <w:tcBorders>
              <w:top w:val="nil"/>
              <w:left w:val="single" w:sz="8" w:space="0" w:color="auto"/>
              <w:bottom w:val="nil"/>
              <w:right w:val="nil"/>
            </w:tcBorders>
            <w:noWrap/>
            <w:vAlign w:val="bottom"/>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1999</w:t>
            </w:r>
          </w:p>
        </w:tc>
        <w:tc>
          <w:tcPr>
            <w:tcW w:w="1266" w:type="dxa"/>
            <w:tcBorders>
              <w:top w:val="nil"/>
              <w:left w:val="single" w:sz="8" w:space="0" w:color="auto"/>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3,8</w:t>
            </w:r>
          </w:p>
        </w:tc>
        <w:tc>
          <w:tcPr>
            <w:tcW w:w="1266" w:type="dxa"/>
            <w:tcBorders>
              <w:top w:val="nil"/>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1,2</w:t>
            </w:r>
          </w:p>
        </w:tc>
        <w:tc>
          <w:tcPr>
            <w:tcW w:w="1371" w:type="dxa"/>
            <w:tcBorders>
              <w:top w:val="nil"/>
              <w:left w:val="nil"/>
              <w:bottom w:val="single" w:sz="4"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1,2</w:t>
            </w:r>
          </w:p>
        </w:tc>
        <w:tc>
          <w:tcPr>
            <w:tcW w:w="1266" w:type="dxa"/>
            <w:tcBorders>
              <w:top w:val="nil"/>
              <w:left w:val="nil"/>
              <w:bottom w:val="single" w:sz="4"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13,8</w:t>
            </w:r>
          </w:p>
        </w:tc>
      </w:tr>
      <w:tr w:rsidR="00A00E75" w:rsidRPr="00616A87" w:rsidTr="005E25BB">
        <w:trPr>
          <w:trHeight w:val="315"/>
          <w:jc w:val="center"/>
        </w:trPr>
        <w:tc>
          <w:tcPr>
            <w:tcW w:w="491" w:type="dxa"/>
            <w:tcBorders>
              <w:top w:val="nil"/>
              <w:left w:val="single" w:sz="8" w:space="0" w:color="auto"/>
              <w:bottom w:val="single" w:sz="8" w:space="0" w:color="auto"/>
              <w:right w:val="nil"/>
            </w:tcBorders>
            <w:noWrap/>
            <w:vAlign w:val="bottom"/>
          </w:tcPr>
          <w:p w:rsidR="00A00E75" w:rsidRPr="00616A87" w:rsidRDefault="00A00E75" w:rsidP="00D96830">
            <w:pPr>
              <w:spacing w:after="0" w:line="240" w:lineRule="auto"/>
              <w:jc w:val="both"/>
              <w:rPr>
                <w:rFonts w:ascii="Times New Roman" w:hAnsi="Times New Roman"/>
                <w:b/>
                <w:bCs/>
                <w:color w:val="000000"/>
                <w:sz w:val="24"/>
                <w:szCs w:val="24"/>
                <w:lang w:eastAsia="es-ES"/>
              </w:rPr>
            </w:pPr>
            <w:r w:rsidRPr="00616A87">
              <w:rPr>
                <w:rFonts w:ascii="Times New Roman" w:hAnsi="Times New Roman"/>
                <w:b/>
                <w:bCs/>
                <w:color w:val="000000"/>
                <w:sz w:val="24"/>
                <w:szCs w:val="24"/>
                <w:lang w:eastAsia="es-ES"/>
              </w:rPr>
              <w:t>2000</w:t>
            </w:r>
          </w:p>
        </w:tc>
        <w:tc>
          <w:tcPr>
            <w:tcW w:w="1266" w:type="dxa"/>
            <w:tcBorders>
              <w:top w:val="nil"/>
              <w:left w:val="single" w:sz="8" w:space="0" w:color="auto"/>
              <w:bottom w:val="single" w:sz="8"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2,9</w:t>
            </w:r>
          </w:p>
        </w:tc>
        <w:tc>
          <w:tcPr>
            <w:tcW w:w="1266" w:type="dxa"/>
            <w:tcBorders>
              <w:top w:val="nil"/>
              <w:left w:val="nil"/>
              <w:bottom w:val="single" w:sz="8"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1</w:t>
            </w:r>
          </w:p>
        </w:tc>
        <w:tc>
          <w:tcPr>
            <w:tcW w:w="1371" w:type="dxa"/>
            <w:tcBorders>
              <w:top w:val="nil"/>
              <w:left w:val="nil"/>
              <w:bottom w:val="single" w:sz="8" w:space="0" w:color="auto"/>
              <w:right w:val="single" w:sz="4"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1,1</w:t>
            </w:r>
          </w:p>
        </w:tc>
        <w:tc>
          <w:tcPr>
            <w:tcW w:w="1266" w:type="dxa"/>
            <w:tcBorders>
              <w:top w:val="nil"/>
              <w:left w:val="nil"/>
              <w:bottom w:val="single" w:sz="8" w:space="0" w:color="auto"/>
              <w:right w:val="single" w:sz="8" w:space="0" w:color="auto"/>
            </w:tcBorders>
            <w:noWrap/>
            <w:vAlign w:val="bottom"/>
          </w:tcPr>
          <w:p w:rsidR="00A00E75" w:rsidRPr="00616A87" w:rsidRDefault="00A00E75" w:rsidP="00D96830">
            <w:pPr>
              <w:spacing w:after="0" w:line="240" w:lineRule="auto"/>
              <w:jc w:val="both"/>
              <w:rPr>
                <w:rFonts w:ascii="Times New Roman" w:hAnsi="Times New Roman"/>
                <w:color w:val="000000"/>
                <w:sz w:val="24"/>
                <w:szCs w:val="24"/>
                <w:lang w:eastAsia="es-ES"/>
              </w:rPr>
            </w:pPr>
            <w:r w:rsidRPr="00616A87">
              <w:rPr>
                <w:rFonts w:ascii="Times New Roman" w:hAnsi="Times New Roman"/>
                <w:color w:val="000000"/>
                <w:sz w:val="24"/>
                <w:szCs w:val="24"/>
                <w:lang w:eastAsia="es-ES"/>
              </w:rPr>
              <w:t>12,5</w:t>
            </w:r>
          </w:p>
        </w:tc>
      </w:tr>
    </w:tbl>
    <w:p w:rsidR="00A00E75" w:rsidRPr="00616A87" w:rsidRDefault="00A00E75" w:rsidP="00616A87">
      <w:pPr>
        <w:spacing w:line="360" w:lineRule="auto"/>
        <w:jc w:val="both"/>
        <w:rPr>
          <w:rFonts w:ascii="Times New Roman" w:hAnsi="Times New Roman"/>
          <w:b/>
          <w:sz w:val="24"/>
          <w:szCs w:val="24"/>
        </w:rPr>
      </w:pPr>
    </w:p>
    <w:p w:rsidR="00A00E75" w:rsidRPr="00616A87" w:rsidRDefault="00453510" w:rsidP="00616A87">
      <w:pPr>
        <w:spacing w:line="360" w:lineRule="auto"/>
        <w:jc w:val="both"/>
        <w:rPr>
          <w:rFonts w:ascii="Times New Roman" w:hAnsi="Times New Roman"/>
          <w:b/>
          <w:sz w:val="24"/>
          <w:szCs w:val="24"/>
        </w:rPr>
      </w:pPr>
      <w:r>
        <w:rPr>
          <w:rFonts w:ascii="Times New Roman" w:hAnsi="Times New Roman"/>
          <w:noProof/>
          <w:sz w:val="24"/>
          <w:szCs w:val="24"/>
          <w:lang w:val="es-EC" w:eastAsia="es-EC"/>
        </w:rPr>
        <w:lastRenderedPageBreak/>
        <w:drawing>
          <wp:inline distT="0" distB="0" distL="0" distR="0">
            <wp:extent cx="4581525" cy="2752725"/>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11"/>
                    <a:srcRect/>
                    <a:stretch>
                      <a:fillRect/>
                    </a:stretch>
                  </pic:blipFill>
                  <pic:spPr bwMode="auto">
                    <a:xfrm>
                      <a:off x="0" y="0"/>
                      <a:ext cx="4581525" cy="2752725"/>
                    </a:xfrm>
                    <a:prstGeom prst="rect">
                      <a:avLst/>
                    </a:prstGeom>
                    <a:noFill/>
                    <a:ln w="9525">
                      <a:noFill/>
                      <a:miter lim="800000"/>
                      <a:headEnd/>
                      <a:tailEnd/>
                    </a:ln>
                  </pic:spPr>
                </pic:pic>
              </a:graphicData>
            </a:graphic>
          </wp:inline>
        </w:drawing>
      </w:r>
    </w:p>
    <w:p w:rsidR="00A00E75" w:rsidRPr="00616A87" w:rsidRDefault="00A00E75" w:rsidP="002E0094">
      <w:pPr>
        <w:spacing w:line="360" w:lineRule="auto"/>
        <w:jc w:val="both"/>
        <w:outlineLvl w:val="0"/>
        <w:rPr>
          <w:rFonts w:ascii="Times New Roman" w:hAnsi="Times New Roman"/>
          <w:sz w:val="24"/>
          <w:szCs w:val="24"/>
        </w:rPr>
      </w:pPr>
      <w:r w:rsidRPr="00616A87">
        <w:rPr>
          <w:rFonts w:ascii="Times New Roman" w:hAnsi="Times New Roman"/>
          <w:sz w:val="24"/>
          <w:szCs w:val="24"/>
        </w:rPr>
        <w:t>Fuente: Banco Central del Ecuador.</w:t>
      </w:r>
    </w:p>
    <w:p w:rsidR="00A00E75" w:rsidRPr="00616A87" w:rsidRDefault="00A00E75" w:rsidP="00616A87">
      <w:pPr>
        <w:spacing w:line="360" w:lineRule="auto"/>
        <w:jc w:val="both"/>
        <w:rPr>
          <w:rFonts w:ascii="Times New Roman" w:hAnsi="Times New Roman"/>
          <w:sz w:val="24"/>
          <w:szCs w:val="24"/>
        </w:rPr>
      </w:pPr>
    </w:p>
    <w:p w:rsidR="00A00E75" w:rsidRPr="00616A87" w:rsidRDefault="00A00E75" w:rsidP="002E0094">
      <w:pPr>
        <w:spacing w:line="360" w:lineRule="auto"/>
        <w:jc w:val="both"/>
        <w:outlineLvl w:val="0"/>
        <w:rPr>
          <w:rFonts w:ascii="Times New Roman" w:hAnsi="Times New Roman"/>
          <w:b/>
          <w:sz w:val="24"/>
          <w:szCs w:val="24"/>
        </w:rPr>
      </w:pPr>
      <w:r w:rsidRPr="00616A87">
        <w:rPr>
          <w:rFonts w:ascii="Times New Roman" w:hAnsi="Times New Roman"/>
          <w:b/>
          <w:sz w:val="24"/>
          <w:szCs w:val="24"/>
        </w:rPr>
        <w:t>Cuadro 4. Índices de pobreza en Ecuador y América Latina</w:t>
      </w:r>
    </w:p>
    <w:p w:rsidR="00A00E75" w:rsidRPr="00616A87" w:rsidRDefault="00453510" w:rsidP="00616A87">
      <w:pPr>
        <w:spacing w:line="360" w:lineRule="auto"/>
        <w:jc w:val="both"/>
        <w:rPr>
          <w:rFonts w:ascii="Times New Roman" w:hAnsi="Times New Roman"/>
          <w:b/>
          <w:sz w:val="24"/>
          <w:szCs w:val="24"/>
        </w:rPr>
      </w:pPr>
      <w:r>
        <w:rPr>
          <w:rFonts w:ascii="Times New Roman" w:hAnsi="Times New Roman"/>
          <w:b/>
          <w:noProof/>
          <w:sz w:val="24"/>
          <w:szCs w:val="24"/>
          <w:lang w:val="es-EC" w:eastAsia="es-EC"/>
        </w:rPr>
        <w:drawing>
          <wp:inline distT="0" distB="0" distL="0" distR="0">
            <wp:extent cx="5372100" cy="3562350"/>
            <wp:effectExtent l="19050" t="0" r="0" b="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12"/>
                    <a:srcRect/>
                    <a:stretch>
                      <a:fillRect/>
                    </a:stretch>
                  </pic:blipFill>
                  <pic:spPr bwMode="auto">
                    <a:xfrm>
                      <a:off x="0" y="0"/>
                      <a:ext cx="5372100" cy="3562350"/>
                    </a:xfrm>
                    <a:prstGeom prst="rect">
                      <a:avLst/>
                    </a:prstGeom>
                    <a:noFill/>
                    <a:ln w="9525">
                      <a:noFill/>
                      <a:miter lim="800000"/>
                      <a:headEnd/>
                      <a:tailEnd/>
                    </a:ln>
                  </pic:spPr>
                </pic:pic>
              </a:graphicData>
            </a:graphic>
          </wp:inline>
        </w:drawing>
      </w:r>
    </w:p>
    <w:p w:rsidR="00A00E75" w:rsidRPr="00616A87" w:rsidRDefault="00A00E75" w:rsidP="002E0094">
      <w:pPr>
        <w:spacing w:line="360" w:lineRule="auto"/>
        <w:jc w:val="both"/>
        <w:outlineLvl w:val="0"/>
        <w:rPr>
          <w:rFonts w:ascii="Times New Roman" w:hAnsi="Times New Roman"/>
          <w:sz w:val="24"/>
          <w:szCs w:val="24"/>
        </w:rPr>
      </w:pPr>
      <w:r w:rsidRPr="00616A87">
        <w:rPr>
          <w:rFonts w:ascii="Times New Roman" w:hAnsi="Times New Roman"/>
          <w:sz w:val="24"/>
          <w:szCs w:val="24"/>
        </w:rPr>
        <w:t>Fuente: Informe de la CAN</w:t>
      </w:r>
    </w:p>
    <w:p w:rsidR="00A00E75" w:rsidRPr="00616A87" w:rsidRDefault="00A00E75" w:rsidP="00616A87">
      <w:pPr>
        <w:spacing w:line="360" w:lineRule="auto"/>
        <w:jc w:val="both"/>
        <w:rPr>
          <w:rFonts w:ascii="Times New Roman" w:hAnsi="Times New Roman"/>
          <w:sz w:val="24"/>
          <w:szCs w:val="24"/>
        </w:rPr>
      </w:pPr>
    </w:p>
    <w:p w:rsidR="00A00E75" w:rsidRPr="00616A87" w:rsidRDefault="00A00E75" w:rsidP="00616A87">
      <w:pPr>
        <w:spacing w:line="360" w:lineRule="auto"/>
        <w:jc w:val="both"/>
        <w:rPr>
          <w:rFonts w:ascii="Times New Roman" w:hAnsi="Times New Roman"/>
          <w:b/>
          <w:sz w:val="24"/>
          <w:szCs w:val="24"/>
        </w:rPr>
      </w:pPr>
      <w:r w:rsidRPr="00616A87">
        <w:rPr>
          <w:rFonts w:ascii="Times New Roman" w:hAnsi="Times New Roman"/>
          <w:b/>
          <w:sz w:val="24"/>
          <w:szCs w:val="24"/>
        </w:rPr>
        <w:lastRenderedPageBreak/>
        <w:t>Cuadro 5. Estabilidad política y ausencia de violencia en Ecuador y América Latina (2000-01)</w:t>
      </w:r>
    </w:p>
    <w:p w:rsidR="00A00E75" w:rsidRPr="00616A87" w:rsidRDefault="00453510" w:rsidP="00616A87">
      <w:pPr>
        <w:spacing w:line="360" w:lineRule="auto"/>
        <w:jc w:val="both"/>
        <w:rPr>
          <w:rFonts w:ascii="Times New Roman" w:hAnsi="Times New Roman"/>
          <w:sz w:val="24"/>
          <w:szCs w:val="24"/>
        </w:rPr>
      </w:pPr>
      <w:r>
        <w:rPr>
          <w:rFonts w:ascii="Times New Roman" w:hAnsi="Times New Roman"/>
          <w:noProof/>
          <w:sz w:val="24"/>
          <w:szCs w:val="24"/>
          <w:lang w:val="es-EC" w:eastAsia="es-EC"/>
        </w:rPr>
        <w:drawing>
          <wp:inline distT="0" distB="0" distL="0" distR="0">
            <wp:extent cx="5343525" cy="2686050"/>
            <wp:effectExtent l="19050" t="0" r="952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13"/>
                    <a:srcRect/>
                    <a:stretch>
                      <a:fillRect/>
                    </a:stretch>
                  </pic:blipFill>
                  <pic:spPr bwMode="auto">
                    <a:xfrm>
                      <a:off x="0" y="0"/>
                      <a:ext cx="5343525" cy="2686050"/>
                    </a:xfrm>
                    <a:prstGeom prst="rect">
                      <a:avLst/>
                    </a:prstGeom>
                    <a:noFill/>
                    <a:ln w="9525">
                      <a:noFill/>
                      <a:miter lim="800000"/>
                      <a:headEnd/>
                      <a:tailEnd/>
                    </a:ln>
                  </pic:spPr>
                </pic:pic>
              </a:graphicData>
            </a:graphic>
          </wp:inline>
        </w:drawing>
      </w:r>
    </w:p>
    <w:p w:rsidR="00A00E75" w:rsidRPr="00616A87" w:rsidRDefault="00A00E75" w:rsidP="00616A87">
      <w:pPr>
        <w:spacing w:line="360" w:lineRule="auto"/>
        <w:jc w:val="both"/>
        <w:rPr>
          <w:rFonts w:ascii="Times New Roman" w:hAnsi="Times New Roman"/>
          <w:sz w:val="24"/>
          <w:szCs w:val="24"/>
        </w:rPr>
      </w:pPr>
      <w:r w:rsidRPr="00616A87">
        <w:rPr>
          <w:rFonts w:ascii="Times New Roman" w:hAnsi="Times New Roman"/>
          <w:sz w:val="24"/>
          <w:szCs w:val="24"/>
        </w:rPr>
        <w:t>Fuente: Informe de la CAN</w:t>
      </w:r>
    </w:p>
    <w:sectPr w:rsidR="00A00E75" w:rsidRPr="00616A87" w:rsidSect="00214339">
      <w:footerReference w:type="default" r:id="rId14"/>
      <w:pgSz w:w="11906" w:h="16838"/>
      <w:pgMar w:top="1701" w:right="1701" w:bottom="1701" w:left="2268" w:header="709" w:footer="709"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06A9F" w:rsidRDefault="00A06A9F">
      <w:r>
        <w:separator/>
      </w:r>
    </w:p>
  </w:endnote>
  <w:endnote w:type="continuationSeparator" w:id="1">
    <w:p w:rsidR="00A06A9F" w:rsidRDefault="00A06A9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366C7" w:rsidRDefault="00C366C7">
    <w:pPr>
      <w:pStyle w:val="Piedepgina"/>
      <w:jc w:val="center"/>
    </w:pPr>
  </w:p>
  <w:p w:rsidR="00C366C7" w:rsidRDefault="002C66D8">
    <w:pPr>
      <w:pStyle w:val="Piedepgina"/>
      <w:jc w:val="center"/>
    </w:pPr>
    <w:fldSimple w:instr=" PAGE   \* MERGEFORMAT ">
      <w:r w:rsidR="00567B31">
        <w:rPr>
          <w:noProof/>
        </w:rPr>
        <w:t>92</w:t>
      </w:r>
    </w:fldSimple>
  </w:p>
  <w:p w:rsidR="00C366C7" w:rsidRDefault="00C366C7">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06A9F" w:rsidRDefault="00A06A9F">
      <w:r>
        <w:separator/>
      </w:r>
    </w:p>
  </w:footnote>
  <w:footnote w:type="continuationSeparator" w:id="1">
    <w:p w:rsidR="00A06A9F" w:rsidRDefault="00A06A9F">
      <w:r>
        <w:continuationSeparator/>
      </w:r>
    </w:p>
  </w:footnote>
  <w:footnote w:id="2">
    <w:p w:rsidR="00C366C7" w:rsidRPr="00732C35" w:rsidRDefault="00C366C7" w:rsidP="00D5475A">
      <w:pPr>
        <w:pStyle w:val="Textonotapie"/>
        <w:rPr>
          <w:rFonts w:ascii="Times New Roman" w:hAnsi="Times New Roman"/>
          <w:sz w:val="18"/>
          <w:szCs w:val="18"/>
        </w:rPr>
      </w:pPr>
      <w:r w:rsidRPr="00732C35">
        <w:rPr>
          <w:rStyle w:val="Refdenotaalpie"/>
          <w:rFonts w:ascii="Times New Roman" w:hAnsi="Times New Roman"/>
          <w:sz w:val="18"/>
          <w:szCs w:val="18"/>
        </w:rPr>
        <w:footnoteRef/>
      </w:r>
      <w:r w:rsidRPr="00732C35">
        <w:rPr>
          <w:rFonts w:ascii="Times New Roman" w:hAnsi="Times New Roman"/>
          <w:sz w:val="18"/>
          <w:szCs w:val="18"/>
        </w:rPr>
        <w:t xml:space="preserve"> Abreviación para </w:t>
      </w:r>
      <w:r w:rsidRPr="00732C35">
        <w:rPr>
          <w:rFonts w:ascii="Times New Roman" w:hAnsi="Times New Roman"/>
          <w:i/>
          <w:sz w:val="18"/>
          <w:szCs w:val="18"/>
        </w:rPr>
        <w:t>English Socialism</w:t>
      </w:r>
      <w:r w:rsidRPr="00732C35">
        <w:rPr>
          <w:rFonts w:ascii="Times New Roman" w:hAnsi="Times New Roman"/>
          <w:sz w:val="18"/>
          <w:szCs w:val="18"/>
        </w:rPr>
        <w:t>, evolución gubernamental ficticia del marxismo, opuesta al capitalismo agresivo que se presentaba en Inglaterra antes de la I Guerra Mundial.</w:t>
      </w:r>
    </w:p>
  </w:footnote>
  <w:footnote w:id="3">
    <w:p w:rsidR="00C366C7" w:rsidRPr="00732C35" w:rsidRDefault="00C366C7" w:rsidP="00D5475A">
      <w:pPr>
        <w:pStyle w:val="Textonotapie"/>
        <w:rPr>
          <w:rFonts w:ascii="Times New Roman" w:hAnsi="Times New Roman"/>
          <w:sz w:val="18"/>
          <w:szCs w:val="18"/>
        </w:rPr>
      </w:pPr>
      <w:r w:rsidRPr="00732C35">
        <w:rPr>
          <w:rStyle w:val="Refdenotaalpie"/>
          <w:rFonts w:ascii="Times New Roman" w:hAnsi="Times New Roman"/>
          <w:sz w:val="18"/>
          <w:szCs w:val="18"/>
        </w:rPr>
        <w:footnoteRef/>
      </w:r>
      <w:r w:rsidRPr="00732C35">
        <w:rPr>
          <w:rFonts w:ascii="Times New Roman" w:hAnsi="Times New Roman"/>
          <w:sz w:val="18"/>
          <w:szCs w:val="18"/>
        </w:rPr>
        <w:t xml:space="preserve"> “La lucha de clases es la fuerza motriz de la historia. Pero esto significa la lucha de los esclavos contra sus amos, de los campesinos contra los terratenientes, de los obreros contra los capitalistas. En todas las grandes revoluciones sociales y políticas la fuerza motriz principal, y en todo caso la fuerza de choque, la fuerza más decidida y audaz, fueron las masas trabajadoras”. (Konstantinov, et al., 1973, p.27). </w:t>
      </w:r>
    </w:p>
  </w:footnote>
  <w:footnote w:id="4">
    <w:p w:rsidR="00C366C7" w:rsidRPr="00732C35" w:rsidRDefault="00C366C7" w:rsidP="00D5475A">
      <w:pPr>
        <w:pStyle w:val="Textonotapie"/>
        <w:rPr>
          <w:rFonts w:ascii="Times New Roman" w:hAnsi="Times New Roman"/>
          <w:sz w:val="18"/>
          <w:szCs w:val="18"/>
        </w:rPr>
      </w:pPr>
      <w:r w:rsidRPr="00732C35">
        <w:rPr>
          <w:rStyle w:val="Refdenotaalpie"/>
          <w:rFonts w:ascii="Times New Roman" w:hAnsi="Times New Roman"/>
          <w:sz w:val="18"/>
          <w:szCs w:val="18"/>
        </w:rPr>
        <w:footnoteRef/>
      </w:r>
      <w:r w:rsidRPr="00732C35">
        <w:rPr>
          <w:rFonts w:ascii="Times New Roman" w:hAnsi="Times New Roman"/>
          <w:sz w:val="18"/>
          <w:szCs w:val="18"/>
        </w:rPr>
        <w:t xml:space="preserve"> “Las necesidades políticas de la sociedad se convierten en necesidades y aspiraciones individuales, su satisfacción promueve los negocios y el bienestar general, y la totalidad parece tener el aspecto mismo de la Razón.[…] Y sin embargo, esta sociedad es irracional como totalidad. Su productividad destruye el libre desarrollo de las necesidades y facultades humanas, su paz se mantiene la constante amenaza de guerra, su crecimiento depende de la represión de las verdaderas posibilidades de pacificar la lucha por la existencia en el campo individual, nacional e internacional”. (Marcuse, 1968, p.12).</w:t>
      </w:r>
    </w:p>
  </w:footnote>
  <w:footnote w:id="5">
    <w:p w:rsidR="00C366C7" w:rsidRPr="00C621EF" w:rsidRDefault="00C366C7" w:rsidP="00D5475A">
      <w:pPr>
        <w:pStyle w:val="Textonotapie"/>
        <w:rPr>
          <w:rFonts w:ascii="Times New Roman" w:hAnsi="Times New Roman"/>
          <w:sz w:val="18"/>
          <w:szCs w:val="18"/>
        </w:rPr>
      </w:pPr>
      <w:r w:rsidRPr="00C621EF">
        <w:rPr>
          <w:rStyle w:val="Refdenotaalpie"/>
          <w:rFonts w:ascii="Times New Roman" w:hAnsi="Times New Roman"/>
          <w:sz w:val="18"/>
          <w:szCs w:val="18"/>
        </w:rPr>
        <w:footnoteRef/>
      </w:r>
      <w:r w:rsidRPr="00C621EF">
        <w:rPr>
          <w:rFonts w:ascii="Times New Roman" w:hAnsi="Times New Roman"/>
          <w:sz w:val="18"/>
          <w:szCs w:val="18"/>
        </w:rPr>
        <w:t xml:space="preserve"> Prisión por deudas utilizados por los terratenientes de la Sierra como medio de coacción extraeconómica.</w:t>
      </w:r>
    </w:p>
  </w:footnote>
  <w:footnote w:id="6">
    <w:p w:rsidR="00C366C7" w:rsidRPr="00736AE4" w:rsidRDefault="00C366C7" w:rsidP="00D5475A">
      <w:pPr>
        <w:pStyle w:val="Textonotapie"/>
        <w:rPr>
          <w:rFonts w:ascii="Times New Roman" w:hAnsi="Times New Roman"/>
          <w:sz w:val="18"/>
          <w:szCs w:val="18"/>
        </w:rPr>
      </w:pPr>
      <w:r w:rsidRPr="00736AE4">
        <w:rPr>
          <w:rStyle w:val="Refdenotaalpie"/>
          <w:rFonts w:ascii="Times New Roman" w:hAnsi="Times New Roman"/>
          <w:sz w:val="18"/>
          <w:szCs w:val="18"/>
        </w:rPr>
        <w:footnoteRef/>
      </w:r>
      <w:r w:rsidRPr="00736AE4">
        <w:rPr>
          <w:rFonts w:ascii="Times New Roman" w:hAnsi="Times New Roman"/>
          <w:sz w:val="18"/>
          <w:szCs w:val="18"/>
        </w:rPr>
        <w:t xml:space="preserve"> “Fraudes escandalosos se cometieron a favor de Leonidas Plaza, Alfredo Baquerizo, José Luis Tamayo y Gonzalo Córdova, quienes fueron elegidos con 99, 94 y 93 por ciento de la votación total respectivamente”. (Cueva, 1988, p.22).</w:t>
      </w:r>
    </w:p>
  </w:footnote>
  <w:footnote w:id="7">
    <w:p w:rsidR="00C366C7" w:rsidRPr="009F5407" w:rsidRDefault="00C366C7" w:rsidP="00D5475A">
      <w:pPr>
        <w:pStyle w:val="Textonotapie"/>
        <w:rPr>
          <w:rFonts w:ascii="Times New Roman" w:hAnsi="Times New Roman"/>
          <w:sz w:val="18"/>
          <w:szCs w:val="18"/>
        </w:rPr>
      </w:pPr>
      <w:r w:rsidRPr="009F5407">
        <w:rPr>
          <w:rStyle w:val="Refdenotaalpie"/>
          <w:rFonts w:ascii="Times New Roman" w:hAnsi="Times New Roman"/>
          <w:sz w:val="18"/>
          <w:szCs w:val="18"/>
        </w:rPr>
        <w:footnoteRef/>
      </w:r>
      <w:r w:rsidRPr="009F5407">
        <w:rPr>
          <w:rFonts w:ascii="Times New Roman" w:hAnsi="Times New Roman"/>
          <w:sz w:val="18"/>
          <w:szCs w:val="18"/>
        </w:rPr>
        <w:t xml:space="preserve"> Sobre este hecho Joaquín Gallegos Lara escribiría “Las cruces sobre el agua”. </w:t>
      </w:r>
    </w:p>
  </w:footnote>
  <w:footnote w:id="8">
    <w:p w:rsidR="00C366C7" w:rsidRPr="009F5407" w:rsidRDefault="00C366C7" w:rsidP="00D5475A">
      <w:pPr>
        <w:pStyle w:val="Textonotapie"/>
        <w:rPr>
          <w:rFonts w:ascii="Times New Roman" w:hAnsi="Times New Roman"/>
          <w:sz w:val="18"/>
          <w:szCs w:val="18"/>
        </w:rPr>
      </w:pPr>
      <w:r w:rsidRPr="009F5407">
        <w:rPr>
          <w:rStyle w:val="Refdenotaalpie"/>
          <w:rFonts w:ascii="Times New Roman" w:hAnsi="Times New Roman"/>
          <w:sz w:val="18"/>
          <w:szCs w:val="18"/>
        </w:rPr>
        <w:footnoteRef/>
      </w:r>
      <w:r w:rsidRPr="009F5407">
        <w:rPr>
          <w:rFonts w:ascii="Times New Roman" w:hAnsi="Times New Roman"/>
          <w:sz w:val="18"/>
          <w:szCs w:val="18"/>
        </w:rPr>
        <w:t xml:space="preserve"> Función social de la propiedad, representación de las minorías, </w:t>
      </w:r>
      <w:r w:rsidRPr="009F5407">
        <w:rPr>
          <w:rFonts w:ascii="Times New Roman" w:hAnsi="Times New Roman"/>
          <w:i/>
          <w:sz w:val="18"/>
          <w:szCs w:val="18"/>
        </w:rPr>
        <w:t>habeas corpus</w:t>
      </w:r>
      <w:r w:rsidRPr="009F5407">
        <w:rPr>
          <w:rFonts w:ascii="Times New Roman" w:hAnsi="Times New Roman"/>
          <w:sz w:val="18"/>
          <w:szCs w:val="18"/>
        </w:rPr>
        <w:t xml:space="preserve">, etc. </w:t>
      </w:r>
    </w:p>
  </w:footnote>
  <w:footnote w:id="9">
    <w:p w:rsidR="00C366C7" w:rsidRPr="00C668BF" w:rsidRDefault="00C366C7" w:rsidP="00D5475A">
      <w:pPr>
        <w:pStyle w:val="Textonotapie"/>
        <w:rPr>
          <w:rFonts w:ascii="Times New Roman" w:hAnsi="Times New Roman"/>
          <w:sz w:val="18"/>
          <w:szCs w:val="18"/>
        </w:rPr>
      </w:pPr>
      <w:r w:rsidRPr="00C668BF">
        <w:rPr>
          <w:rStyle w:val="Refdenotaalpie"/>
          <w:rFonts w:ascii="Times New Roman" w:hAnsi="Times New Roman"/>
          <w:sz w:val="18"/>
          <w:szCs w:val="18"/>
        </w:rPr>
        <w:footnoteRef/>
      </w:r>
      <w:r w:rsidRPr="00C668BF">
        <w:rPr>
          <w:rFonts w:ascii="Times New Roman" w:hAnsi="Times New Roman"/>
          <w:sz w:val="18"/>
          <w:szCs w:val="18"/>
        </w:rPr>
        <w:t xml:space="preserve"> Según Pareja Diezcanseco, la guerra entre Colombia y Perú, de darse, “Colombia habría ocupado el norte del Ecuador (y) el Perú habría invadido la Costa y el Sur”. Las negociaciones de Martínez Mera y su canciller, Antonio Quevedo, sirvieron para que evitar la inminente desaparición del Ecuador. Pese a su postura y conducir las negociaciones internacionales con “sagacidad, entereza y discreción”, los ataques del Congreso hacia el Ejecutivo terminaron por “destituir” a Martínez Mera. </w:t>
      </w:r>
    </w:p>
  </w:footnote>
  <w:footnote w:id="10">
    <w:p w:rsidR="00C366C7" w:rsidRPr="00C668BF" w:rsidRDefault="00C366C7" w:rsidP="00D5475A">
      <w:pPr>
        <w:pStyle w:val="Textonotapie"/>
        <w:rPr>
          <w:rFonts w:ascii="Times New Roman" w:hAnsi="Times New Roman"/>
          <w:sz w:val="18"/>
          <w:szCs w:val="18"/>
        </w:rPr>
      </w:pPr>
      <w:r w:rsidRPr="00C668BF">
        <w:rPr>
          <w:rStyle w:val="Refdenotaalpie"/>
          <w:rFonts w:ascii="Times New Roman" w:hAnsi="Times New Roman"/>
          <w:sz w:val="18"/>
          <w:szCs w:val="18"/>
        </w:rPr>
        <w:footnoteRef/>
      </w:r>
      <w:r w:rsidRPr="00C668BF">
        <w:rPr>
          <w:rFonts w:ascii="Times New Roman" w:hAnsi="Times New Roman"/>
          <w:sz w:val="18"/>
          <w:szCs w:val="18"/>
        </w:rPr>
        <w:t xml:space="preserve"> Como lo hizo con el propio Martínez Mera. </w:t>
      </w:r>
    </w:p>
  </w:footnote>
  <w:footnote w:id="11">
    <w:p w:rsidR="00C366C7" w:rsidRPr="00C668BF" w:rsidRDefault="00C366C7" w:rsidP="00D5475A">
      <w:pPr>
        <w:pStyle w:val="Textonotapie"/>
        <w:rPr>
          <w:rFonts w:ascii="Times New Roman" w:hAnsi="Times New Roman"/>
          <w:sz w:val="18"/>
          <w:szCs w:val="18"/>
        </w:rPr>
      </w:pPr>
      <w:r w:rsidRPr="00C668BF">
        <w:rPr>
          <w:rStyle w:val="Refdenotaalpie"/>
          <w:rFonts w:ascii="Times New Roman" w:hAnsi="Times New Roman"/>
          <w:sz w:val="18"/>
          <w:szCs w:val="18"/>
        </w:rPr>
        <w:footnoteRef/>
      </w:r>
      <w:r w:rsidRPr="00C668BF">
        <w:rPr>
          <w:rFonts w:ascii="Times New Roman" w:hAnsi="Times New Roman"/>
          <w:sz w:val="18"/>
          <w:szCs w:val="18"/>
        </w:rPr>
        <w:t xml:space="preserve"> Según Pareja Diezcanseco, “la formación espiritual de Velasco Ibarra fue conservadora. Pero sus discursos revelan a un liberal, con cierto espíritu romántico. En su polémicas declaraciones –toda declaración de Velasco Ibarra era polémica—defendía la enseñanza laica”. </w:t>
      </w:r>
    </w:p>
  </w:footnote>
  <w:footnote w:id="12">
    <w:p w:rsidR="00C366C7" w:rsidRPr="00C668BF" w:rsidRDefault="00C366C7" w:rsidP="00D5475A">
      <w:pPr>
        <w:pStyle w:val="Textonotapie"/>
        <w:rPr>
          <w:rFonts w:ascii="Times New Roman" w:hAnsi="Times New Roman"/>
          <w:sz w:val="18"/>
          <w:szCs w:val="18"/>
        </w:rPr>
      </w:pPr>
      <w:r w:rsidRPr="00C668BF">
        <w:rPr>
          <w:rStyle w:val="Refdenotaalpie"/>
          <w:rFonts w:ascii="Times New Roman" w:hAnsi="Times New Roman"/>
          <w:sz w:val="18"/>
          <w:szCs w:val="18"/>
        </w:rPr>
        <w:footnoteRef/>
      </w:r>
      <w:r w:rsidRPr="00C668BF">
        <w:rPr>
          <w:rFonts w:ascii="Times New Roman" w:hAnsi="Times New Roman"/>
          <w:sz w:val="18"/>
          <w:szCs w:val="18"/>
        </w:rPr>
        <w:t xml:space="preserve"> En las elecciones de 1933 los únicos contendores de Valasco Ibarra fueron Carlos Zambrano Orejuela, candidato de los liberales de izquierda y de los socialistas; y Ricardo Paredes, postulado por el Partido Comunista. </w:t>
      </w:r>
    </w:p>
  </w:footnote>
  <w:footnote w:id="13">
    <w:p w:rsidR="00C366C7" w:rsidRPr="00C668BF" w:rsidRDefault="00C366C7" w:rsidP="00D5475A">
      <w:pPr>
        <w:pStyle w:val="Textonotapie"/>
        <w:rPr>
          <w:rFonts w:ascii="Times New Roman" w:hAnsi="Times New Roman"/>
          <w:sz w:val="18"/>
          <w:szCs w:val="18"/>
        </w:rPr>
      </w:pPr>
      <w:r w:rsidRPr="00C668BF">
        <w:rPr>
          <w:rStyle w:val="Refdenotaalpie"/>
          <w:rFonts w:ascii="Times New Roman" w:hAnsi="Times New Roman"/>
          <w:sz w:val="18"/>
          <w:szCs w:val="18"/>
        </w:rPr>
        <w:footnoteRef/>
      </w:r>
      <w:r w:rsidRPr="00C668BF">
        <w:rPr>
          <w:rFonts w:ascii="Times New Roman" w:hAnsi="Times New Roman"/>
          <w:sz w:val="18"/>
          <w:szCs w:val="18"/>
        </w:rPr>
        <w:t xml:space="preserve"> “Faltas de garantías” que se dieron cuando fue negado el auxilio del Ministerio de Defensa. </w:t>
      </w:r>
    </w:p>
  </w:footnote>
  <w:footnote w:id="14">
    <w:p w:rsidR="00C366C7" w:rsidRPr="007A0D0B" w:rsidRDefault="00C366C7" w:rsidP="00D5475A">
      <w:pPr>
        <w:pStyle w:val="Textonotapie"/>
        <w:rPr>
          <w:rFonts w:ascii="Times New Roman" w:hAnsi="Times New Roman"/>
          <w:sz w:val="18"/>
          <w:szCs w:val="18"/>
        </w:rPr>
      </w:pPr>
      <w:r w:rsidRPr="007A0D0B">
        <w:rPr>
          <w:rStyle w:val="Refdenotaalpie"/>
          <w:rFonts w:ascii="Times New Roman" w:hAnsi="Times New Roman"/>
          <w:sz w:val="18"/>
          <w:szCs w:val="18"/>
        </w:rPr>
        <w:footnoteRef/>
      </w:r>
      <w:r w:rsidRPr="007A0D0B">
        <w:rPr>
          <w:rFonts w:ascii="Times New Roman" w:hAnsi="Times New Roman"/>
          <w:sz w:val="18"/>
          <w:szCs w:val="18"/>
        </w:rPr>
        <w:t xml:space="preserve"> Después de dos años de gobierno, Páez fue derrocado por el mismo ejército quien pudo un oficial progresista, el general Albertos Enríquez. </w:t>
      </w:r>
    </w:p>
  </w:footnote>
  <w:footnote w:id="15">
    <w:p w:rsidR="00C366C7" w:rsidRPr="007A0D0B" w:rsidRDefault="00C366C7" w:rsidP="00D5475A">
      <w:pPr>
        <w:pStyle w:val="Textonotapie"/>
        <w:rPr>
          <w:rFonts w:ascii="Times New Roman" w:hAnsi="Times New Roman"/>
          <w:sz w:val="18"/>
        </w:rPr>
      </w:pPr>
      <w:r w:rsidRPr="007A0D0B">
        <w:rPr>
          <w:rStyle w:val="Refdenotaalpie"/>
          <w:rFonts w:ascii="Times New Roman" w:hAnsi="Times New Roman"/>
          <w:sz w:val="18"/>
        </w:rPr>
        <w:footnoteRef/>
      </w:r>
      <w:r w:rsidRPr="007A0D0B">
        <w:rPr>
          <w:rFonts w:ascii="Times New Roman" w:hAnsi="Times New Roman"/>
          <w:sz w:val="18"/>
        </w:rPr>
        <w:t xml:space="preserve"> Sirvió, sin embargo, para, según Pareja, “atribuciones desmedidas en las asignaciones de altos empleos, reparto de cargos entre diputados y cosas por el estilo”. </w:t>
      </w:r>
    </w:p>
  </w:footnote>
  <w:footnote w:id="16">
    <w:p w:rsidR="00C366C7" w:rsidRPr="007A0D0B" w:rsidRDefault="00C366C7" w:rsidP="00D5475A">
      <w:pPr>
        <w:pStyle w:val="Textonotapie"/>
        <w:rPr>
          <w:rFonts w:ascii="Times New Roman" w:hAnsi="Times New Roman"/>
          <w:sz w:val="18"/>
        </w:rPr>
      </w:pPr>
      <w:r w:rsidRPr="007A0D0B">
        <w:rPr>
          <w:rStyle w:val="Refdenotaalpie"/>
          <w:rFonts w:ascii="Times New Roman" w:hAnsi="Times New Roman"/>
          <w:sz w:val="18"/>
        </w:rPr>
        <w:footnoteRef/>
      </w:r>
      <w:r w:rsidRPr="007A0D0B">
        <w:rPr>
          <w:rFonts w:ascii="Times New Roman" w:hAnsi="Times New Roman"/>
          <w:sz w:val="18"/>
        </w:rPr>
        <w:t xml:space="preserve"> Entre los miembros de este gabinete estaban Galo Plaza, José María Ayora (abogado de compañías extranjeras) y Julio Tobar Donoso (conservador que demostraba la presencia de los terratenientes de la sierra.  </w:t>
      </w:r>
    </w:p>
  </w:footnote>
  <w:footnote w:id="17">
    <w:p w:rsidR="00C366C7" w:rsidRDefault="00C366C7" w:rsidP="00D5475A">
      <w:pPr>
        <w:pStyle w:val="Textonotapie"/>
      </w:pPr>
      <w:r w:rsidRPr="007A0D0B">
        <w:rPr>
          <w:rStyle w:val="Refdenotaalpie"/>
          <w:rFonts w:ascii="Times New Roman" w:hAnsi="Times New Roman"/>
          <w:sz w:val="18"/>
        </w:rPr>
        <w:footnoteRef/>
      </w:r>
      <w:r w:rsidRPr="007A0D0B">
        <w:rPr>
          <w:rFonts w:ascii="Times New Roman" w:hAnsi="Times New Roman"/>
          <w:sz w:val="18"/>
        </w:rPr>
        <w:t xml:space="preserve"> Velasco Ibarra, cuyo apoyo popular era evidente, pierde las elecciones ante Arroyo del Río quien había ganado en provincias como Manabí donde obtuvo un número fantástico de votos pero a donde no pudo entrar por el rechazo popular. Arroyo tuvo que volcarse contra sectores amplios de la población dejando varios heridos. Hubo un intento golpista que fue descubierto a tiempo, y Velasco Ibarra fue deportado a Colombia.</w:t>
      </w:r>
      <w:r w:rsidRPr="007A0D0B">
        <w:rPr>
          <w:sz w:val="18"/>
        </w:rPr>
        <w:t xml:space="preserve"> </w:t>
      </w:r>
    </w:p>
  </w:footnote>
  <w:footnote w:id="18">
    <w:p w:rsidR="00C366C7" w:rsidRPr="007A0D0B" w:rsidRDefault="00C366C7" w:rsidP="00D5475A">
      <w:pPr>
        <w:pStyle w:val="Textonotapie"/>
        <w:rPr>
          <w:rFonts w:ascii="Times New Roman" w:hAnsi="Times New Roman"/>
          <w:sz w:val="18"/>
        </w:rPr>
      </w:pPr>
      <w:r w:rsidRPr="007A0D0B">
        <w:rPr>
          <w:rStyle w:val="Refdenotaalpie"/>
          <w:rFonts w:ascii="Times New Roman" w:hAnsi="Times New Roman"/>
          <w:sz w:val="18"/>
        </w:rPr>
        <w:footnoteRef/>
      </w:r>
      <w:r w:rsidRPr="007A0D0B">
        <w:rPr>
          <w:rFonts w:ascii="Times New Roman" w:hAnsi="Times New Roman"/>
          <w:sz w:val="18"/>
        </w:rPr>
        <w:t xml:space="preserve"> Velasco Ibarra hizo muchas declaraciones públicas y decisiones oficiales a favor de Ponce Enríquez.  </w:t>
      </w:r>
    </w:p>
  </w:footnote>
  <w:footnote w:id="19">
    <w:p w:rsidR="00C366C7" w:rsidRPr="007A0D0B" w:rsidRDefault="00C366C7" w:rsidP="00D5475A">
      <w:pPr>
        <w:pStyle w:val="Textonotapie"/>
        <w:rPr>
          <w:rFonts w:ascii="Times New Roman" w:hAnsi="Times New Roman"/>
          <w:sz w:val="18"/>
        </w:rPr>
      </w:pPr>
      <w:r w:rsidRPr="007A0D0B">
        <w:rPr>
          <w:rStyle w:val="Refdenotaalpie"/>
          <w:rFonts w:ascii="Times New Roman" w:hAnsi="Times New Roman"/>
          <w:sz w:val="18"/>
        </w:rPr>
        <w:footnoteRef/>
      </w:r>
      <w:r w:rsidRPr="007A0D0B">
        <w:rPr>
          <w:rFonts w:ascii="Times New Roman" w:hAnsi="Times New Roman"/>
          <w:sz w:val="18"/>
        </w:rPr>
        <w:t xml:space="preserve">La Junta Militar fue compuesta por el capitán de navío Ramón Castro Jijón, los coroneles de Ejército Luis Cabrera y Marcos Gándara, y el teniente coronel de Aviación Guillermo Freile. </w:t>
      </w:r>
    </w:p>
  </w:footnote>
  <w:footnote w:id="20">
    <w:p w:rsidR="00C366C7" w:rsidRDefault="00C366C7" w:rsidP="00D5475A">
      <w:pPr>
        <w:pStyle w:val="Textonotapie"/>
      </w:pPr>
      <w:r w:rsidRPr="007A0D0B">
        <w:rPr>
          <w:rStyle w:val="Refdenotaalpie"/>
          <w:rFonts w:ascii="Times New Roman" w:hAnsi="Times New Roman"/>
          <w:sz w:val="18"/>
        </w:rPr>
        <w:footnoteRef/>
      </w:r>
      <w:r w:rsidRPr="007A0D0B">
        <w:rPr>
          <w:rFonts w:ascii="Times New Roman" w:hAnsi="Times New Roman"/>
          <w:sz w:val="18"/>
        </w:rPr>
        <w:t xml:space="preserve"> Ley que eliminó, entre otras cosas, el huasipungo. Con esta ley, cerca de un año después, se había beneficiado a más de 23 mil familias. (Pareja, 2009b, p.142)</w:t>
      </w:r>
    </w:p>
  </w:footnote>
  <w:footnote w:id="21">
    <w:p w:rsidR="00C366C7" w:rsidRDefault="00C366C7" w:rsidP="00D5475A">
      <w:pPr>
        <w:pStyle w:val="Textonotapie"/>
      </w:pPr>
      <w:r w:rsidRPr="00F21AFE">
        <w:rPr>
          <w:rStyle w:val="Refdenotaalpie"/>
          <w:rFonts w:ascii="Times New Roman" w:hAnsi="Times New Roman"/>
          <w:sz w:val="18"/>
          <w:szCs w:val="18"/>
        </w:rPr>
        <w:footnoteRef/>
      </w:r>
      <w:r w:rsidRPr="00F21AFE">
        <w:rPr>
          <w:rFonts w:ascii="Times New Roman" w:hAnsi="Times New Roman"/>
          <w:sz w:val="18"/>
          <w:szCs w:val="18"/>
        </w:rPr>
        <w:t xml:space="preserve"> El Ecuador redujo las concesiones de 40 a 20 años de las petroleras, adquirió el 25% de los derechos y acciones de la Texaco Gulf, rescató todas las explotaciones de gas, construyó la refinería estatal en la provincia de Esmeraldas, impulsó la creación de la OLADE (Organización Latinoamericana de Energía), entre otros.  </w:t>
      </w:r>
    </w:p>
  </w:footnote>
  <w:footnote w:id="22">
    <w:p w:rsidR="00C366C7" w:rsidRDefault="00C366C7" w:rsidP="00D5475A">
      <w:pPr>
        <w:pStyle w:val="Textonotapie"/>
      </w:pPr>
      <w:r w:rsidRPr="00F21AFE">
        <w:rPr>
          <w:rStyle w:val="Refdenotaalpie"/>
          <w:rFonts w:ascii="Times New Roman" w:hAnsi="Times New Roman"/>
          <w:sz w:val="18"/>
          <w:szCs w:val="18"/>
        </w:rPr>
        <w:footnoteRef/>
      </w:r>
      <w:r w:rsidRPr="00F21AFE">
        <w:rPr>
          <w:rFonts w:ascii="Times New Roman" w:hAnsi="Times New Roman"/>
          <w:sz w:val="18"/>
          <w:szCs w:val="18"/>
        </w:rPr>
        <w:t xml:space="preserve"> Entre 1972 y 1974 se distribuyeron 50.425 hectáreas a favor de 5.927 familias; es decir, únicamente el 0,73% del total de tierras cultivables del país. (Cueva,</w:t>
      </w:r>
      <w:r>
        <w:rPr>
          <w:rFonts w:ascii="Times New Roman" w:hAnsi="Times New Roman"/>
          <w:sz w:val="18"/>
          <w:szCs w:val="18"/>
        </w:rPr>
        <w:t xml:space="preserve"> 1988, p.</w:t>
      </w:r>
      <w:r w:rsidRPr="00F21AFE">
        <w:rPr>
          <w:rFonts w:ascii="Times New Roman" w:hAnsi="Times New Roman"/>
          <w:sz w:val="18"/>
          <w:szCs w:val="18"/>
        </w:rPr>
        <w:t xml:space="preserve">87) </w:t>
      </w:r>
    </w:p>
  </w:footnote>
  <w:footnote w:id="23">
    <w:p w:rsidR="00C366C7" w:rsidRPr="00C013A8" w:rsidRDefault="00C366C7">
      <w:pPr>
        <w:pStyle w:val="Textonotapie"/>
        <w:rPr>
          <w:rFonts w:ascii="Times New Roman" w:hAnsi="Times New Roman"/>
          <w:sz w:val="18"/>
        </w:rPr>
      </w:pPr>
      <w:r w:rsidRPr="00C013A8">
        <w:rPr>
          <w:rStyle w:val="Refdenotaalpie"/>
          <w:rFonts w:ascii="Times New Roman" w:hAnsi="Times New Roman"/>
          <w:sz w:val="18"/>
        </w:rPr>
        <w:footnoteRef/>
      </w:r>
      <w:r w:rsidRPr="00C013A8">
        <w:rPr>
          <w:rFonts w:ascii="Times New Roman" w:hAnsi="Times New Roman"/>
          <w:sz w:val="18"/>
        </w:rPr>
        <w:t xml:space="preserve"> Rafael Quintero ha hecho más de una crítica a la tesis de Cueva. Quintero sostiene al populismo como un mito, a Velasco Ibarra como una consecuencia de ese mito; contrario a la postura de Cueva. Tampoco entiende el proceso de dominación política desde una visión materialista de la historia, ni tampoco le da tanta importancia al rol de ciertos grupos de poder. </w:t>
      </w:r>
    </w:p>
  </w:footnote>
  <w:footnote w:id="24">
    <w:p w:rsidR="00C366C7" w:rsidRDefault="00C366C7" w:rsidP="00D5475A">
      <w:pPr>
        <w:pStyle w:val="Textonotapie"/>
      </w:pPr>
      <w:r w:rsidRPr="00F21AFE">
        <w:rPr>
          <w:rStyle w:val="Refdenotaalpie"/>
          <w:rFonts w:ascii="Times New Roman" w:hAnsi="Times New Roman"/>
          <w:sz w:val="18"/>
          <w:szCs w:val="18"/>
        </w:rPr>
        <w:footnoteRef/>
      </w:r>
      <w:r w:rsidRPr="00F21AFE">
        <w:rPr>
          <w:rFonts w:ascii="Times New Roman" w:hAnsi="Times New Roman"/>
          <w:sz w:val="18"/>
          <w:szCs w:val="18"/>
        </w:rPr>
        <w:t xml:space="preserve"> No se establecieron mecanismos para saber si la deuda declarada estaba realmente pagada, puesto que el Banco Central solo registraba</w:t>
      </w:r>
      <w:r>
        <w:rPr>
          <w:rFonts w:ascii="Times New Roman" w:hAnsi="Times New Roman"/>
          <w:sz w:val="18"/>
          <w:szCs w:val="18"/>
        </w:rPr>
        <w:t xml:space="preserve"> los ingresos y no los pagos. “N</w:t>
      </w:r>
      <w:r w:rsidRPr="00F21AFE">
        <w:rPr>
          <w:rFonts w:ascii="Times New Roman" w:hAnsi="Times New Roman"/>
          <w:sz w:val="18"/>
          <w:szCs w:val="18"/>
        </w:rPr>
        <w:t>o debería sorprender pues, que pueda haberse</w:t>
      </w:r>
      <w:r>
        <w:rPr>
          <w:rFonts w:ascii="Times New Roman" w:hAnsi="Times New Roman"/>
          <w:sz w:val="18"/>
          <w:szCs w:val="18"/>
        </w:rPr>
        <w:t xml:space="preserve"> </w:t>
      </w:r>
      <w:r w:rsidRPr="00F21AFE">
        <w:rPr>
          <w:rFonts w:ascii="Times New Roman" w:hAnsi="Times New Roman"/>
          <w:sz w:val="18"/>
          <w:szCs w:val="18"/>
        </w:rPr>
        <w:t>“sucretizado” más de un crédito ficticio y también créditos de otra manera irrecuperables” (Acosta, 2002, pg.: 170)</w:t>
      </w:r>
    </w:p>
  </w:footnote>
  <w:footnote w:id="25">
    <w:p w:rsidR="00C366C7" w:rsidRDefault="00C366C7" w:rsidP="00D5475A">
      <w:pPr>
        <w:pStyle w:val="Textonotapie"/>
      </w:pPr>
      <w:r w:rsidRPr="00F21AFE">
        <w:rPr>
          <w:rStyle w:val="Refdenotaalpie"/>
          <w:rFonts w:ascii="Times New Roman" w:hAnsi="Times New Roman"/>
          <w:sz w:val="18"/>
          <w:szCs w:val="18"/>
        </w:rPr>
        <w:footnoteRef/>
      </w:r>
      <w:r w:rsidRPr="00F21AFE">
        <w:rPr>
          <w:rFonts w:ascii="Times New Roman" w:hAnsi="Times New Roman"/>
          <w:sz w:val="18"/>
          <w:szCs w:val="18"/>
        </w:rPr>
        <w:t xml:space="preserve"> Pese a pregonar la liberalización de la economía, el gobierno de Sixto Durán Ballén no tardó en intervenir en el Banco Continental.  </w:t>
      </w:r>
    </w:p>
  </w:footnote>
  <w:footnote w:id="26">
    <w:p w:rsidR="00C366C7" w:rsidRDefault="00C366C7" w:rsidP="00D5475A">
      <w:pPr>
        <w:pStyle w:val="Textonotapie"/>
      </w:pPr>
      <w:r w:rsidRPr="00F21AFE">
        <w:rPr>
          <w:rStyle w:val="Refdenotaalpie"/>
          <w:rFonts w:ascii="Times New Roman" w:hAnsi="Times New Roman"/>
          <w:sz w:val="18"/>
          <w:szCs w:val="18"/>
        </w:rPr>
        <w:footnoteRef/>
      </w:r>
      <w:r w:rsidRPr="00F21AFE">
        <w:rPr>
          <w:rFonts w:ascii="Times New Roman" w:hAnsi="Times New Roman"/>
          <w:sz w:val="18"/>
          <w:szCs w:val="18"/>
        </w:rPr>
        <w:t xml:space="preserve"> Estamos obligados a pagar más deuda si el precio del petróleo superaba lo presupuestado y debíamos reducir el gasto público si los precios estaban por debajo. </w:t>
      </w:r>
    </w:p>
  </w:footnote>
  <w:footnote w:id="27">
    <w:p w:rsidR="00C366C7" w:rsidRDefault="00C366C7" w:rsidP="00D5475A">
      <w:pPr>
        <w:pStyle w:val="Textonotapie"/>
      </w:pPr>
      <w:r w:rsidRPr="00F21AFE">
        <w:rPr>
          <w:rStyle w:val="Refdenotaalpie"/>
          <w:rFonts w:ascii="Times New Roman" w:hAnsi="Times New Roman"/>
          <w:sz w:val="18"/>
          <w:szCs w:val="18"/>
        </w:rPr>
        <w:footnoteRef/>
      </w:r>
      <w:r w:rsidRPr="00F21AFE">
        <w:rPr>
          <w:rFonts w:ascii="Times New Roman" w:hAnsi="Times New Roman"/>
          <w:sz w:val="18"/>
          <w:szCs w:val="18"/>
        </w:rPr>
        <w:t xml:space="preserve"> “Con Pozo comienza a funcionar el OCP y el FEIREP, lo que hace que los bonos glotal 12 de la deuda ecuatoriana pasen de un valor de mercado de cerca del 60% en 2003, a venderse al año siguiente incluso más allá de su valor nominal, (…) mientras que uno de los bancos tenedores de la deuda era precisamente Produbanco” (Correa, 2009, pg.: 105).</w:t>
      </w:r>
    </w:p>
  </w:footnote>
  <w:footnote w:id="28">
    <w:p w:rsidR="00C366C7" w:rsidRDefault="00C366C7" w:rsidP="00D5475A">
      <w:pPr>
        <w:pStyle w:val="Textonotapie"/>
      </w:pPr>
      <w:r w:rsidRPr="00F21AFE">
        <w:rPr>
          <w:rStyle w:val="Refdenotaalpie"/>
          <w:rFonts w:ascii="Times New Roman" w:hAnsi="Times New Roman"/>
          <w:sz w:val="18"/>
          <w:szCs w:val="18"/>
        </w:rPr>
        <w:footnoteRef/>
      </w:r>
      <w:r w:rsidRPr="00F21AFE">
        <w:rPr>
          <w:rFonts w:ascii="Times New Roman" w:hAnsi="Times New Roman"/>
          <w:sz w:val="18"/>
          <w:szCs w:val="18"/>
          <w:lang w:val="es-ES"/>
        </w:rPr>
        <w:t>El FEIREP es una cuenta de ahorro petrolero que se nutría de los ingresos que el Estado percibía por la exportación del petróleo pesado de su propiedad, que se transporta por el privado Oleoducto de Crudos Pesados (OCP). Originalmente, el 70% de los recursos ahorrados en este fondo (que en el 2005 sumaron unos $700 millones) debía destinarse a la recompra de los papeles (bonos) de la deuda pública interna y externa. Mientras las operaciones de inversión y recompra de deuda tienen lugar, la ley establecía que el dinero que va entrando al FEIREP debe ser invertido bajo los mismos criterios técnicos con que se invierten las Reservas Internacionales de Libre Disponibilidad (RILD) del país. Esto es, los fondos solo podían ser enviados a bancos internacionales con calificación de riesgo AAA (la más alta). En el mundo hay apenas 34 bancos que cumplen con los requisitos fijados por el Banco Central y, por ley, solo pueden recibir cada uno un 5% de los fondos del FEIRE</w:t>
      </w:r>
      <w:r>
        <w:rPr>
          <w:rFonts w:ascii="Times New Roman" w:hAnsi="Times New Roman"/>
          <w:sz w:val="18"/>
          <w:szCs w:val="18"/>
          <w:lang w:val="es-ES"/>
        </w:rPr>
        <w:t>P.</w:t>
      </w:r>
      <w:r w:rsidRPr="00F21AFE">
        <w:rPr>
          <w:rFonts w:ascii="Times New Roman" w:hAnsi="Times New Roman"/>
          <w:sz w:val="18"/>
          <w:szCs w:val="18"/>
          <w:lang w:val="es-ES"/>
        </w:rPr>
        <w:t>Invertido en los bancos del exterior, el dinero del FEIREP ganaba intereses de entre 2% y 3% anual. El objetivo del FEIREP, según un estudio presentado por el Banco Central al Congreso, era que el país pudiera contar con un fondo de estabilización que le permitiera hacer frente a los choques externos, como una baja pronunciada en los precios del petróleo, que podría erosionar las finanzas públicas. Hasta el 2005, con el dinero ahorrado en el FEIREP el Ecuador no había comprado ni un solo bono Global de la deuda externa, los fondos fueron utilizados para estabilizar el Presupuesto (30%) y para la recompra de la deuda pública interna, la mayor parte de ella en manos del Instituto Ecuatoriano de Seguridad Social (IESS).</w:t>
      </w:r>
      <w:r w:rsidRPr="00F21AFE">
        <w:rPr>
          <w:rFonts w:ascii="Times New Roman" w:hAnsi="Times New Roman"/>
          <w:sz w:val="18"/>
          <w:szCs w:val="18"/>
        </w:rPr>
        <w:t xml:space="preserve"> (Diario Hoy, 2005)</w:t>
      </w:r>
    </w:p>
  </w:footnote>
  <w:footnote w:id="29">
    <w:p w:rsidR="00C366C7" w:rsidRDefault="00C366C7" w:rsidP="00D5475A">
      <w:pPr>
        <w:pStyle w:val="Textonotapie"/>
      </w:pPr>
      <w:r w:rsidRPr="00B93323">
        <w:rPr>
          <w:rStyle w:val="Refdenotaalpie"/>
          <w:rFonts w:ascii="Times New Roman" w:hAnsi="Times New Roman"/>
          <w:sz w:val="18"/>
          <w:szCs w:val="18"/>
        </w:rPr>
        <w:footnoteRef/>
      </w:r>
      <w:r w:rsidRPr="00B93323">
        <w:rPr>
          <w:rFonts w:ascii="Times New Roman" w:hAnsi="Times New Roman"/>
          <w:sz w:val="18"/>
          <w:szCs w:val="18"/>
        </w:rPr>
        <w:t>“Un caso muy reciente lo constaté en las elecciones ecuatorianas de mayo 2000, cuando frente a la necesidad legal de presentar un programa doctrinario, algunos grupos y movimientos de acción electoral recurrieron, en Guayas y otras provincias, a profesionales para que ‘les escriban los programas y planes de trabajo’. En las cercanías de algunos Tribunales Electorales funcionaban estas selladoras de partidos y movimientos electorales”. (Quintero, 2005, pg.: 42)</w:t>
      </w:r>
    </w:p>
  </w:footnote>
  <w:footnote w:id="30">
    <w:p w:rsidR="00C366C7" w:rsidRDefault="00C366C7" w:rsidP="00D5475A">
      <w:pPr>
        <w:pStyle w:val="Textonotapie"/>
      </w:pPr>
      <w:r w:rsidRPr="009128DD">
        <w:rPr>
          <w:rStyle w:val="Refdenotaalpie"/>
          <w:rFonts w:ascii="Times New Roman" w:hAnsi="Times New Roman"/>
          <w:sz w:val="18"/>
          <w:szCs w:val="18"/>
        </w:rPr>
        <w:footnoteRef/>
      </w:r>
      <w:r w:rsidRPr="009128DD">
        <w:rPr>
          <w:rFonts w:ascii="Times New Roman" w:hAnsi="Times New Roman"/>
          <w:sz w:val="18"/>
          <w:szCs w:val="18"/>
        </w:rPr>
        <w:t xml:space="preserve"> El Partido Unidad Republicana, partido fundado </w:t>
      </w:r>
      <w:r w:rsidRPr="009128DD">
        <w:rPr>
          <w:rFonts w:ascii="Times New Roman" w:hAnsi="Times New Roman"/>
          <w:i/>
          <w:sz w:val="18"/>
          <w:szCs w:val="18"/>
        </w:rPr>
        <w:t>ad hoc</w:t>
      </w:r>
      <w:r w:rsidRPr="009128DD">
        <w:rPr>
          <w:rFonts w:ascii="Times New Roman" w:hAnsi="Times New Roman"/>
          <w:sz w:val="18"/>
          <w:szCs w:val="18"/>
        </w:rPr>
        <w:t xml:space="preserve">, obtuvo 16% de los escaños en el bloque parlamentario en 1992. En las elecciones de 1994 el PUR había prácticamente desapareado.  </w:t>
      </w:r>
    </w:p>
  </w:footnote>
  <w:footnote w:id="31">
    <w:p w:rsidR="00C366C7" w:rsidRDefault="00C366C7" w:rsidP="00D5475A">
      <w:pPr>
        <w:pStyle w:val="Textonotapie"/>
      </w:pPr>
      <w:r w:rsidRPr="009128DD">
        <w:rPr>
          <w:rStyle w:val="Refdenotaalpie"/>
          <w:rFonts w:ascii="Times New Roman" w:hAnsi="Times New Roman"/>
          <w:sz w:val="18"/>
          <w:szCs w:val="18"/>
        </w:rPr>
        <w:footnoteRef/>
      </w:r>
      <w:r w:rsidRPr="009128DD">
        <w:rPr>
          <w:rFonts w:ascii="Times New Roman" w:hAnsi="Times New Roman"/>
          <w:sz w:val="18"/>
          <w:szCs w:val="18"/>
        </w:rPr>
        <w:t xml:space="preserve"> 21 de enero del 2000.</w:t>
      </w:r>
    </w:p>
  </w:footnote>
  <w:footnote w:id="32">
    <w:p w:rsidR="00C366C7" w:rsidRDefault="00C366C7" w:rsidP="00D5475A">
      <w:pPr>
        <w:pStyle w:val="Textonotapie"/>
      </w:pPr>
      <w:r w:rsidRPr="009128DD">
        <w:rPr>
          <w:rStyle w:val="Refdenotaalpie"/>
          <w:rFonts w:ascii="Times New Roman" w:hAnsi="Times New Roman"/>
          <w:sz w:val="18"/>
          <w:szCs w:val="18"/>
        </w:rPr>
        <w:footnoteRef/>
      </w:r>
      <w:r w:rsidRPr="009128DD">
        <w:rPr>
          <w:rFonts w:ascii="Times New Roman" w:hAnsi="Times New Roman"/>
          <w:sz w:val="18"/>
          <w:szCs w:val="18"/>
        </w:rPr>
        <w:t xml:space="preserve"> El nuevo modelo electoral tenía las siguientes características: elección de los candidatos en listas abiertas y entre listas: participación de alianzas a nivel provincial; y la participación de no afiliados auspiciados por los partidos.  </w:t>
      </w:r>
    </w:p>
  </w:footnote>
  <w:footnote w:id="33">
    <w:p w:rsidR="00C366C7" w:rsidRDefault="00C366C7" w:rsidP="00D5475A">
      <w:pPr>
        <w:pStyle w:val="Textonotapie"/>
      </w:pPr>
      <w:r w:rsidRPr="009128DD">
        <w:rPr>
          <w:rStyle w:val="Refdenotaalpie"/>
          <w:rFonts w:ascii="Times New Roman" w:hAnsi="Times New Roman"/>
          <w:sz w:val="18"/>
          <w:szCs w:val="18"/>
        </w:rPr>
        <w:footnoteRef/>
      </w:r>
      <w:r w:rsidRPr="009128DD">
        <w:rPr>
          <w:rFonts w:ascii="Times New Roman" w:hAnsi="Times New Roman"/>
          <w:sz w:val="18"/>
          <w:szCs w:val="18"/>
        </w:rPr>
        <w:t xml:space="preserve"> Es importante recordar que Assad Bucaram era el candidato a ganar las elecciones e</w:t>
      </w:r>
      <w:r>
        <w:rPr>
          <w:rFonts w:ascii="Times New Roman" w:hAnsi="Times New Roman"/>
          <w:sz w:val="18"/>
          <w:szCs w:val="18"/>
        </w:rPr>
        <w:t>n</w:t>
      </w:r>
      <w:r w:rsidRPr="009128DD">
        <w:rPr>
          <w:rFonts w:ascii="Times New Roman" w:hAnsi="Times New Roman"/>
          <w:sz w:val="18"/>
          <w:szCs w:val="18"/>
        </w:rPr>
        <w:t xml:space="preserve"> 1979 como cabeza del CF</w:t>
      </w:r>
      <w:r>
        <w:rPr>
          <w:rFonts w:ascii="Times New Roman" w:hAnsi="Times New Roman"/>
          <w:sz w:val="18"/>
          <w:szCs w:val="18"/>
        </w:rPr>
        <w:t xml:space="preserve">P. </w:t>
      </w:r>
      <w:r w:rsidRPr="009128DD">
        <w:rPr>
          <w:rFonts w:ascii="Times New Roman" w:hAnsi="Times New Roman"/>
          <w:sz w:val="18"/>
          <w:szCs w:val="18"/>
        </w:rPr>
        <w:t xml:space="preserve">Sin embargo, la ley de elecciones “dedicada” vigente para esa época, expresaba la necesidad de madre y padre ecuatoriano para poder ser Presidente o Vicepresidente. Requisito que no era cumplido por Bucaram. Es así como Jaime Roldós Aguilera es postulado por el CFP y gana las elecciones. “Aparentemente se trataba de un triunfo de Bucaram entre los bastidores, puesto que Roldós había sido nominado candidato gracias al apoyo de (Assad Bucaram), a quien además estaba ligado por nexos de cercano parentesco” (Cueva, 1988, pg.: 96). La realidad fue la completa autonomía del Ejecutivo y Assad Bucaram, quien fue elegido diputado y presidente de la Cámara de Representantes, inicio una guerra abierta contra el Presidente.  </w:t>
      </w:r>
    </w:p>
  </w:footnote>
  <w:footnote w:id="34">
    <w:p w:rsidR="00C366C7" w:rsidRDefault="00C366C7" w:rsidP="00D5475A">
      <w:pPr>
        <w:pStyle w:val="Textonotapie"/>
      </w:pPr>
      <w:r w:rsidRPr="009128DD">
        <w:rPr>
          <w:rStyle w:val="Refdenotaalpie"/>
          <w:rFonts w:ascii="Times New Roman" w:hAnsi="Times New Roman"/>
          <w:sz w:val="18"/>
          <w:szCs w:val="18"/>
        </w:rPr>
        <w:footnoteRef/>
      </w:r>
      <w:r w:rsidRPr="009128DD">
        <w:rPr>
          <w:rFonts w:ascii="Times New Roman" w:hAnsi="Times New Roman"/>
          <w:sz w:val="18"/>
          <w:szCs w:val="18"/>
        </w:rPr>
        <w:t xml:space="preserve"> El Ejecutivo mandaba proyectos de Ley económicos urgentes que, de no ser tratados en un determinado periodo, entraban en vigor. Febres Cordero enviaba una elevada cantidad de proyectos que imposibilitaban el trabajo del Legislativo. Como respuesta, el Congreso rechazaba los proyectos de Ley, generando más conflicto. Se llegó al extremo de no respetar los reglamentos, no publicar las leyes en el Registro Oficial e intervenir militar y policialmente para no permitir el posicionamiento de magistrados nombrados por la oposición (El bloqueo a la Corte Suprema de Justica duró dos meses).    </w:t>
      </w:r>
    </w:p>
  </w:footnote>
  <w:footnote w:id="35">
    <w:p w:rsidR="00C366C7" w:rsidRDefault="00C366C7" w:rsidP="00D5475A">
      <w:pPr>
        <w:pStyle w:val="Textonotapie"/>
      </w:pPr>
      <w:r w:rsidRPr="009128DD">
        <w:rPr>
          <w:rStyle w:val="Refdenotaalpie"/>
          <w:rFonts w:ascii="Times New Roman" w:hAnsi="Times New Roman"/>
          <w:sz w:val="18"/>
          <w:szCs w:val="18"/>
        </w:rPr>
        <w:footnoteRef/>
      </w:r>
      <w:r w:rsidRPr="009128DD">
        <w:rPr>
          <w:rFonts w:ascii="Times New Roman" w:hAnsi="Times New Roman"/>
          <w:sz w:val="18"/>
          <w:szCs w:val="18"/>
        </w:rPr>
        <w:t xml:space="preserve"> Si bien Dahik fue Ministro y asesor de asuntos económicos en el gobierno de Febres Cordero, la confrontación entre ambos se transformó en disputa. Tal fue el odio, que el Congreso (dominado por el PSC) siguió un juicio político a Dahik bajo la acusación de malversación de fondos reservados. El juicio fue llevado a la Corte Suprema de Justicia, cuyos jueces eran afines al PSC. (Sánchez, 2008)</w:t>
      </w:r>
    </w:p>
  </w:footnote>
  <w:footnote w:id="36">
    <w:p w:rsidR="00C366C7" w:rsidRDefault="00C366C7" w:rsidP="00D5475A">
      <w:pPr>
        <w:pStyle w:val="Textonotapie"/>
      </w:pPr>
      <w:r w:rsidRPr="009128DD">
        <w:rPr>
          <w:rStyle w:val="Refdenotaalpie"/>
          <w:rFonts w:ascii="Times New Roman" w:hAnsi="Times New Roman"/>
          <w:sz w:val="18"/>
          <w:szCs w:val="18"/>
        </w:rPr>
        <w:footnoteRef/>
      </w:r>
      <w:r w:rsidRPr="009128DD">
        <w:rPr>
          <w:rFonts w:ascii="Times New Roman" w:hAnsi="Times New Roman"/>
          <w:sz w:val="18"/>
          <w:szCs w:val="18"/>
        </w:rPr>
        <w:t xml:space="preserve"> Cabe recordar que la nueva Constitución de 1998 estipulaba un sistema de listas abiertas, participación de alianzas a nivel provincial y participación de no afiliados auspiciados por los partidos. Con esta medida se argumentó que se aminoraría el fenómeno de los diputados independientes, que desde 1996 llegaron a ser más del 30% del bloque legislativo. La realidad mostró a los diputados independientes, listos a romper las relaciones con los partidos a la menor tensión entre sus ideas o intereses y los de la organización.  </w:t>
      </w:r>
    </w:p>
  </w:footnote>
  <w:footnote w:id="37">
    <w:p w:rsidR="00C366C7" w:rsidRDefault="00C366C7" w:rsidP="00D5475A">
      <w:pPr>
        <w:pStyle w:val="Textonotapie"/>
      </w:pPr>
      <w:r w:rsidRPr="009128DD">
        <w:rPr>
          <w:rStyle w:val="Refdenotaalpie"/>
          <w:rFonts w:ascii="Times New Roman" w:hAnsi="Times New Roman"/>
          <w:sz w:val="18"/>
          <w:szCs w:val="18"/>
        </w:rPr>
        <w:footnoteRef/>
      </w:r>
      <w:r w:rsidRPr="009128DD">
        <w:rPr>
          <w:rFonts w:ascii="Times New Roman" w:hAnsi="Times New Roman"/>
          <w:sz w:val="18"/>
          <w:szCs w:val="18"/>
        </w:rPr>
        <w:t xml:space="preserve"> Alfredo Palacios fue Ministro de Salud en la presidencia de Sixto Durán Ballén, neoliberal a ultranza. En la declaración ideológica, el Partido Sociedad Patriótica se autodenominaba como socialista y progresista. </w:t>
      </w:r>
    </w:p>
  </w:footnote>
  <w:footnote w:id="38">
    <w:p w:rsidR="00C366C7" w:rsidRDefault="00C366C7" w:rsidP="00D5475A">
      <w:pPr>
        <w:pStyle w:val="Textonotapie"/>
      </w:pPr>
      <w:r w:rsidRPr="009128DD">
        <w:rPr>
          <w:rStyle w:val="Refdenotaalpie"/>
          <w:rFonts w:ascii="Times New Roman" w:hAnsi="Times New Roman"/>
          <w:sz w:val="18"/>
          <w:szCs w:val="18"/>
        </w:rPr>
        <w:footnoteRef/>
      </w:r>
      <w:r w:rsidRPr="009128DD">
        <w:rPr>
          <w:rFonts w:ascii="Times New Roman" w:hAnsi="Times New Roman"/>
          <w:sz w:val="18"/>
          <w:szCs w:val="18"/>
        </w:rPr>
        <w:t xml:space="preserve"> “En </w:t>
      </w:r>
      <w:r w:rsidRPr="009128DD">
        <w:rPr>
          <w:rFonts w:ascii="Times New Roman" w:hAnsi="Times New Roman"/>
          <w:i/>
          <w:sz w:val="18"/>
          <w:szCs w:val="18"/>
        </w:rPr>
        <w:t>El Comercio</w:t>
      </w:r>
      <w:r w:rsidRPr="009128DD">
        <w:rPr>
          <w:rFonts w:ascii="Times New Roman" w:hAnsi="Times New Roman"/>
          <w:sz w:val="18"/>
          <w:szCs w:val="18"/>
        </w:rPr>
        <w:t xml:space="preserve"> de 12.8.93 aparecen unas declaraciones de Xavier Ledesma, diputado gubernamental y posterior Ministro de Gobierno, en la que dice que no puede haber ‘oposiciones mamonas’ que, por un lado, se declaren enemigos del gobierno y no apoyen a sus candidatos y que, por otro, recurran al régimen para beneficiarse con partidas presupuestarias y cargos públicos. Otro ex diputado, Manuel Alvear, dice en el mismo periódico: ‘para obtener esos recursos los social-cristianos quieren continuar con el mismo chantaje y extorsión al gobierno y han manifestado que con la mayoría legislativa al presidente Durán le pondrán de rodillas para sacarle plata. No creemos que el Congreso sirva para ese chantaje y nosotros vamos a actuar de manera frontal’ (…) ‘los socialcristianos no van a tener un sucre más del gobierno, que tengan esos recursos cuando ellos sean gobierno pero no extorsionando al régimen. Ellos se han llevado hasta treinta mil millones para que la obras aparezcan como de Nebot, cuando en realidad son del Presidente, pero eso se acabó y no tendrán medio más’” (Sánchez, 2008, pg.: 173)     </w:t>
      </w:r>
    </w:p>
  </w:footnote>
  <w:footnote w:id="39">
    <w:p w:rsidR="00C366C7" w:rsidRDefault="00C366C7" w:rsidP="00D5475A">
      <w:pPr>
        <w:pStyle w:val="Textonotapie"/>
      </w:pPr>
      <w:r w:rsidRPr="009128DD">
        <w:rPr>
          <w:rStyle w:val="Refdenotaalpie"/>
          <w:rFonts w:ascii="Times New Roman" w:hAnsi="Times New Roman"/>
          <w:sz w:val="18"/>
          <w:szCs w:val="18"/>
        </w:rPr>
        <w:footnoteRef/>
      </w:r>
      <w:r w:rsidRPr="009128DD">
        <w:rPr>
          <w:rFonts w:ascii="Times New Roman" w:hAnsi="Times New Roman"/>
          <w:sz w:val="18"/>
          <w:szCs w:val="18"/>
        </w:rPr>
        <w:t xml:space="preserve"> El caso Emanuel, por ejemplo.</w:t>
      </w:r>
    </w:p>
  </w:footnote>
  <w:footnote w:id="40">
    <w:p w:rsidR="00C366C7" w:rsidRDefault="00C366C7" w:rsidP="00D5475A">
      <w:pPr>
        <w:pStyle w:val="Textonotapie"/>
      </w:pPr>
      <w:r w:rsidRPr="009128DD">
        <w:rPr>
          <w:rStyle w:val="Refdenotaalpie"/>
          <w:rFonts w:ascii="Times New Roman" w:hAnsi="Times New Roman"/>
          <w:sz w:val="18"/>
          <w:szCs w:val="18"/>
        </w:rPr>
        <w:footnoteRef/>
      </w:r>
      <w:r w:rsidRPr="009128DD">
        <w:rPr>
          <w:rFonts w:ascii="Times New Roman" w:hAnsi="Times New Roman"/>
          <w:sz w:val="18"/>
          <w:szCs w:val="18"/>
        </w:rPr>
        <w:t xml:space="preserve"> “Este concepto alude a la capacidad del sistema democrático para dar respuesta a las necesidades y demandas de la sociedad” (Pachano, 1997, pg.: 16)</w:t>
      </w:r>
    </w:p>
  </w:footnote>
  <w:footnote w:id="41">
    <w:p w:rsidR="00C366C7" w:rsidRDefault="00C366C7" w:rsidP="00D5475A">
      <w:pPr>
        <w:pStyle w:val="Textonotapie"/>
      </w:pPr>
      <w:r w:rsidRPr="009128DD">
        <w:rPr>
          <w:rStyle w:val="Refdenotaalpie"/>
          <w:rFonts w:ascii="Times New Roman" w:hAnsi="Times New Roman"/>
          <w:sz w:val="18"/>
          <w:szCs w:val="18"/>
        </w:rPr>
        <w:footnoteRef/>
      </w:r>
      <w:r w:rsidRPr="009128DD">
        <w:rPr>
          <w:rFonts w:ascii="Times New Roman" w:hAnsi="Times New Roman"/>
          <w:sz w:val="18"/>
          <w:szCs w:val="18"/>
        </w:rPr>
        <w:t xml:space="preserve"> Mientras Abdalá Bucaram tuvo mucho éxito en sus presentaciones populares, Álvaro Noboa, imitando su estilo (pero sin su carisma) y volcándose al regalo sistemático de camisetas, sillas de ruedas, microcréditos, etc., no pudo consolidar una red tan grande como Bucaram. Aquellos que estaban alejados del líder no se sentían acogidos de igual manera.  </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0236403"/>
    <w:multiLevelType w:val="hybridMultilevel"/>
    <w:tmpl w:val="D102DD36"/>
    <w:lvl w:ilvl="0" w:tplc="F964FFD6">
      <w:start w:val="1"/>
      <w:numFmt w:val="decimal"/>
      <w:lvlText w:val="%1."/>
      <w:lvlJc w:val="left"/>
      <w:pPr>
        <w:ind w:left="720" w:hanging="360"/>
      </w:pPr>
      <w:rPr>
        <w:rFonts w:cs="Times New Roman" w:hint="default"/>
        <w:b/>
      </w:rPr>
    </w:lvl>
    <w:lvl w:ilvl="1" w:tplc="300A0019" w:tentative="1">
      <w:start w:val="1"/>
      <w:numFmt w:val="lowerLetter"/>
      <w:lvlText w:val="%2."/>
      <w:lvlJc w:val="left"/>
      <w:pPr>
        <w:ind w:left="1440" w:hanging="360"/>
      </w:pPr>
      <w:rPr>
        <w:rFonts w:cs="Times New Roman"/>
      </w:rPr>
    </w:lvl>
    <w:lvl w:ilvl="2" w:tplc="300A001B" w:tentative="1">
      <w:start w:val="1"/>
      <w:numFmt w:val="lowerRoman"/>
      <w:lvlText w:val="%3."/>
      <w:lvlJc w:val="right"/>
      <w:pPr>
        <w:ind w:left="2160" w:hanging="180"/>
      </w:pPr>
      <w:rPr>
        <w:rFonts w:cs="Times New Roman"/>
      </w:rPr>
    </w:lvl>
    <w:lvl w:ilvl="3" w:tplc="300A000F" w:tentative="1">
      <w:start w:val="1"/>
      <w:numFmt w:val="decimal"/>
      <w:lvlText w:val="%4."/>
      <w:lvlJc w:val="left"/>
      <w:pPr>
        <w:ind w:left="2880" w:hanging="360"/>
      </w:pPr>
      <w:rPr>
        <w:rFonts w:cs="Times New Roman"/>
      </w:rPr>
    </w:lvl>
    <w:lvl w:ilvl="4" w:tplc="300A0019" w:tentative="1">
      <w:start w:val="1"/>
      <w:numFmt w:val="lowerLetter"/>
      <w:lvlText w:val="%5."/>
      <w:lvlJc w:val="left"/>
      <w:pPr>
        <w:ind w:left="3600" w:hanging="360"/>
      </w:pPr>
      <w:rPr>
        <w:rFonts w:cs="Times New Roman"/>
      </w:rPr>
    </w:lvl>
    <w:lvl w:ilvl="5" w:tplc="300A001B" w:tentative="1">
      <w:start w:val="1"/>
      <w:numFmt w:val="lowerRoman"/>
      <w:lvlText w:val="%6."/>
      <w:lvlJc w:val="right"/>
      <w:pPr>
        <w:ind w:left="4320" w:hanging="180"/>
      </w:pPr>
      <w:rPr>
        <w:rFonts w:cs="Times New Roman"/>
      </w:rPr>
    </w:lvl>
    <w:lvl w:ilvl="6" w:tplc="300A000F" w:tentative="1">
      <w:start w:val="1"/>
      <w:numFmt w:val="decimal"/>
      <w:lvlText w:val="%7."/>
      <w:lvlJc w:val="left"/>
      <w:pPr>
        <w:ind w:left="5040" w:hanging="360"/>
      </w:pPr>
      <w:rPr>
        <w:rFonts w:cs="Times New Roman"/>
      </w:rPr>
    </w:lvl>
    <w:lvl w:ilvl="7" w:tplc="300A0019" w:tentative="1">
      <w:start w:val="1"/>
      <w:numFmt w:val="lowerLetter"/>
      <w:lvlText w:val="%8."/>
      <w:lvlJc w:val="left"/>
      <w:pPr>
        <w:ind w:left="5760" w:hanging="360"/>
      </w:pPr>
      <w:rPr>
        <w:rFonts w:cs="Times New Roman"/>
      </w:rPr>
    </w:lvl>
    <w:lvl w:ilvl="8" w:tplc="300A001B" w:tentative="1">
      <w:start w:val="1"/>
      <w:numFmt w:val="lowerRoman"/>
      <w:lvlText w:val="%9."/>
      <w:lvlJc w:val="right"/>
      <w:pPr>
        <w:ind w:left="6480" w:hanging="180"/>
      </w:pPr>
      <w:rPr>
        <w:rFonts w:cs="Times New Roman"/>
      </w:rPr>
    </w:lvl>
  </w:abstractNum>
  <w:abstractNum w:abstractNumId="1">
    <w:nsid w:val="66D375AC"/>
    <w:multiLevelType w:val="hybridMultilevel"/>
    <w:tmpl w:val="E19A4C40"/>
    <w:lvl w:ilvl="0" w:tplc="13D401FE">
      <w:start w:val="1"/>
      <w:numFmt w:val="decimal"/>
      <w:lvlText w:val="%1."/>
      <w:lvlJc w:val="left"/>
      <w:pPr>
        <w:ind w:left="1065" w:hanging="360"/>
      </w:pPr>
      <w:rPr>
        <w:rFonts w:cs="Times New Roman" w:hint="default"/>
      </w:rPr>
    </w:lvl>
    <w:lvl w:ilvl="1" w:tplc="300A0019" w:tentative="1">
      <w:start w:val="1"/>
      <w:numFmt w:val="lowerLetter"/>
      <w:lvlText w:val="%2."/>
      <w:lvlJc w:val="left"/>
      <w:pPr>
        <w:ind w:left="1785" w:hanging="360"/>
      </w:pPr>
      <w:rPr>
        <w:rFonts w:cs="Times New Roman"/>
      </w:rPr>
    </w:lvl>
    <w:lvl w:ilvl="2" w:tplc="300A001B" w:tentative="1">
      <w:start w:val="1"/>
      <w:numFmt w:val="lowerRoman"/>
      <w:lvlText w:val="%3."/>
      <w:lvlJc w:val="right"/>
      <w:pPr>
        <w:ind w:left="2505" w:hanging="180"/>
      </w:pPr>
      <w:rPr>
        <w:rFonts w:cs="Times New Roman"/>
      </w:rPr>
    </w:lvl>
    <w:lvl w:ilvl="3" w:tplc="300A000F" w:tentative="1">
      <w:start w:val="1"/>
      <w:numFmt w:val="decimal"/>
      <w:lvlText w:val="%4."/>
      <w:lvlJc w:val="left"/>
      <w:pPr>
        <w:ind w:left="3225" w:hanging="360"/>
      </w:pPr>
      <w:rPr>
        <w:rFonts w:cs="Times New Roman"/>
      </w:rPr>
    </w:lvl>
    <w:lvl w:ilvl="4" w:tplc="300A0019" w:tentative="1">
      <w:start w:val="1"/>
      <w:numFmt w:val="lowerLetter"/>
      <w:lvlText w:val="%5."/>
      <w:lvlJc w:val="left"/>
      <w:pPr>
        <w:ind w:left="3945" w:hanging="360"/>
      </w:pPr>
      <w:rPr>
        <w:rFonts w:cs="Times New Roman"/>
      </w:rPr>
    </w:lvl>
    <w:lvl w:ilvl="5" w:tplc="300A001B" w:tentative="1">
      <w:start w:val="1"/>
      <w:numFmt w:val="lowerRoman"/>
      <w:lvlText w:val="%6."/>
      <w:lvlJc w:val="right"/>
      <w:pPr>
        <w:ind w:left="4665" w:hanging="180"/>
      </w:pPr>
      <w:rPr>
        <w:rFonts w:cs="Times New Roman"/>
      </w:rPr>
    </w:lvl>
    <w:lvl w:ilvl="6" w:tplc="300A000F" w:tentative="1">
      <w:start w:val="1"/>
      <w:numFmt w:val="decimal"/>
      <w:lvlText w:val="%7."/>
      <w:lvlJc w:val="left"/>
      <w:pPr>
        <w:ind w:left="5385" w:hanging="360"/>
      </w:pPr>
      <w:rPr>
        <w:rFonts w:cs="Times New Roman"/>
      </w:rPr>
    </w:lvl>
    <w:lvl w:ilvl="7" w:tplc="300A0019" w:tentative="1">
      <w:start w:val="1"/>
      <w:numFmt w:val="lowerLetter"/>
      <w:lvlText w:val="%8."/>
      <w:lvlJc w:val="left"/>
      <w:pPr>
        <w:ind w:left="6105" w:hanging="360"/>
      </w:pPr>
      <w:rPr>
        <w:rFonts w:cs="Times New Roman"/>
      </w:rPr>
    </w:lvl>
    <w:lvl w:ilvl="8" w:tplc="300A001B" w:tentative="1">
      <w:start w:val="1"/>
      <w:numFmt w:val="lowerRoman"/>
      <w:lvlText w:val="%9."/>
      <w:lvlJc w:val="right"/>
      <w:pPr>
        <w:ind w:left="6825" w:hanging="180"/>
      </w:pPr>
      <w:rPr>
        <w:rFonts w:cs="Times New Roman"/>
      </w:rPr>
    </w:lvl>
  </w:abstractNum>
  <w:abstractNum w:abstractNumId="2">
    <w:nsid w:val="6F2768E5"/>
    <w:multiLevelType w:val="hybridMultilevel"/>
    <w:tmpl w:val="A3D0F858"/>
    <w:lvl w:ilvl="0" w:tplc="300A000F">
      <w:start w:val="1"/>
      <w:numFmt w:val="decimal"/>
      <w:lvlText w:val="%1."/>
      <w:lvlJc w:val="left"/>
      <w:pPr>
        <w:ind w:left="720" w:hanging="360"/>
      </w:pPr>
      <w:rPr>
        <w:rFonts w:cs="Times New Roman" w:hint="default"/>
      </w:rPr>
    </w:lvl>
    <w:lvl w:ilvl="1" w:tplc="300A0019" w:tentative="1">
      <w:start w:val="1"/>
      <w:numFmt w:val="lowerLetter"/>
      <w:lvlText w:val="%2."/>
      <w:lvlJc w:val="left"/>
      <w:pPr>
        <w:ind w:left="1440" w:hanging="360"/>
      </w:pPr>
      <w:rPr>
        <w:rFonts w:cs="Times New Roman"/>
      </w:rPr>
    </w:lvl>
    <w:lvl w:ilvl="2" w:tplc="300A001B" w:tentative="1">
      <w:start w:val="1"/>
      <w:numFmt w:val="lowerRoman"/>
      <w:lvlText w:val="%3."/>
      <w:lvlJc w:val="right"/>
      <w:pPr>
        <w:ind w:left="2160" w:hanging="180"/>
      </w:pPr>
      <w:rPr>
        <w:rFonts w:cs="Times New Roman"/>
      </w:rPr>
    </w:lvl>
    <w:lvl w:ilvl="3" w:tplc="300A000F" w:tentative="1">
      <w:start w:val="1"/>
      <w:numFmt w:val="decimal"/>
      <w:lvlText w:val="%4."/>
      <w:lvlJc w:val="left"/>
      <w:pPr>
        <w:ind w:left="2880" w:hanging="360"/>
      </w:pPr>
      <w:rPr>
        <w:rFonts w:cs="Times New Roman"/>
      </w:rPr>
    </w:lvl>
    <w:lvl w:ilvl="4" w:tplc="300A0019" w:tentative="1">
      <w:start w:val="1"/>
      <w:numFmt w:val="lowerLetter"/>
      <w:lvlText w:val="%5."/>
      <w:lvlJc w:val="left"/>
      <w:pPr>
        <w:ind w:left="3600" w:hanging="360"/>
      </w:pPr>
      <w:rPr>
        <w:rFonts w:cs="Times New Roman"/>
      </w:rPr>
    </w:lvl>
    <w:lvl w:ilvl="5" w:tplc="300A001B" w:tentative="1">
      <w:start w:val="1"/>
      <w:numFmt w:val="lowerRoman"/>
      <w:lvlText w:val="%6."/>
      <w:lvlJc w:val="right"/>
      <w:pPr>
        <w:ind w:left="4320" w:hanging="180"/>
      </w:pPr>
      <w:rPr>
        <w:rFonts w:cs="Times New Roman"/>
      </w:rPr>
    </w:lvl>
    <w:lvl w:ilvl="6" w:tplc="300A000F" w:tentative="1">
      <w:start w:val="1"/>
      <w:numFmt w:val="decimal"/>
      <w:lvlText w:val="%7."/>
      <w:lvlJc w:val="left"/>
      <w:pPr>
        <w:ind w:left="5040" w:hanging="360"/>
      </w:pPr>
      <w:rPr>
        <w:rFonts w:cs="Times New Roman"/>
      </w:rPr>
    </w:lvl>
    <w:lvl w:ilvl="7" w:tplc="300A0019" w:tentative="1">
      <w:start w:val="1"/>
      <w:numFmt w:val="lowerLetter"/>
      <w:lvlText w:val="%8."/>
      <w:lvlJc w:val="left"/>
      <w:pPr>
        <w:ind w:left="5760" w:hanging="360"/>
      </w:pPr>
      <w:rPr>
        <w:rFonts w:cs="Times New Roman"/>
      </w:rPr>
    </w:lvl>
    <w:lvl w:ilvl="8" w:tplc="300A001B" w:tentative="1">
      <w:start w:val="1"/>
      <w:numFmt w:val="lowerRoman"/>
      <w:lvlText w:val="%9."/>
      <w:lvlJc w:val="right"/>
      <w:pPr>
        <w:ind w:left="6480" w:hanging="180"/>
      </w:pPr>
      <w:rPr>
        <w:rFonts w:cs="Times New Roman"/>
      </w:rPr>
    </w:lvl>
  </w:abstractNum>
  <w:num w:numId="1">
    <w:abstractNumId w:val="0"/>
  </w:num>
  <w:num w:numId="2">
    <w:abstractNumId w:val="1"/>
  </w:num>
  <w:num w:numId="3">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08"/>
  <w:hyphenationZone w:val="425"/>
  <w:drawingGridHorizontalSpacing w:val="110"/>
  <w:displayHorizontalDrawingGridEvery w:val="2"/>
  <w:characterSpacingControl w:val="doNotCompress"/>
  <w:footnotePr>
    <w:footnote w:id="0"/>
    <w:footnote w:id="1"/>
  </w:footnotePr>
  <w:endnotePr>
    <w:endnote w:id="0"/>
    <w:endnote w:id="1"/>
  </w:endnotePr>
  <w:compat/>
  <w:rsids>
    <w:rsidRoot w:val="00FB3C13"/>
    <w:rsid w:val="000132DD"/>
    <w:rsid w:val="00015F55"/>
    <w:rsid w:val="000520C3"/>
    <w:rsid w:val="000662A3"/>
    <w:rsid w:val="00070665"/>
    <w:rsid w:val="000B2C8A"/>
    <w:rsid w:val="000F4047"/>
    <w:rsid w:val="00101696"/>
    <w:rsid w:val="00127665"/>
    <w:rsid w:val="0013024A"/>
    <w:rsid w:val="00134990"/>
    <w:rsid w:val="001446FF"/>
    <w:rsid w:val="00174138"/>
    <w:rsid w:val="00181960"/>
    <w:rsid w:val="00191996"/>
    <w:rsid w:val="001A0949"/>
    <w:rsid w:val="001A2C0E"/>
    <w:rsid w:val="001B71A3"/>
    <w:rsid w:val="001C70D9"/>
    <w:rsid w:val="001E29FD"/>
    <w:rsid w:val="001F6CFA"/>
    <w:rsid w:val="001F6E33"/>
    <w:rsid w:val="00200173"/>
    <w:rsid w:val="0020042C"/>
    <w:rsid w:val="00214339"/>
    <w:rsid w:val="002516C6"/>
    <w:rsid w:val="0025336B"/>
    <w:rsid w:val="00262AD2"/>
    <w:rsid w:val="00263CC9"/>
    <w:rsid w:val="00265AE0"/>
    <w:rsid w:val="002719AD"/>
    <w:rsid w:val="002843E0"/>
    <w:rsid w:val="00291C4E"/>
    <w:rsid w:val="00293BB6"/>
    <w:rsid w:val="0029649B"/>
    <w:rsid w:val="002A7F9E"/>
    <w:rsid w:val="002C303B"/>
    <w:rsid w:val="002C66D8"/>
    <w:rsid w:val="002E0094"/>
    <w:rsid w:val="00315433"/>
    <w:rsid w:val="00332B90"/>
    <w:rsid w:val="00336C06"/>
    <w:rsid w:val="00372B32"/>
    <w:rsid w:val="00385627"/>
    <w:rsid w:val="003C7224"/>
    <w:rsid w:val="003E217D"/>
    <w:rsid w:val="003F1A65"/>
    <w:rsid w:val="00453510"/>
    <w:rsid w:val="00467674"/>
    <w:rsid w:val="00484603"/>
    <w:rsid w:val="004928B1"/>
    <w:rsid w:val="00493F47"/>
    <w:rsid w:val="004B3B2F"/>
    <w:rsid w:val="004C6283"/>
    <w:rsid w:val="004E738B"/>
    <w:rsid w:val="004F57C4"/>
    <w:rsid w:val="00526EA6"/>
    <w:rsid w:val="00537A99"/>
    <w:rsid w:val="00547639"/>
    <w:rsid w:val="005630E6"/>
    <w:rsid w:val="0056609A"/>
    <w:rsid w:val="0056610D"/>
    <w:rsid w:val="00567B31"/>
    <w:rsid w:val="00571F57"/>
    <w:rsid w:val="00590710"/>
    <w:rsid w:val="0059585D"/>
    <w:rsid w:val="005964ED"/>
    <w:rsid w:val="005B2BD1"/>
    <w:rsid w:val="005B631A"/>
    <w:rsid w:val="005C4159"/>
    <w:rsid w:val="005D2D5A"/>
    <w:rsid w:val="005E218B"/>
    <w:rsid w:val="005E25BB"/>
    <w:rsid w:val="00610FE6"/>
    <w:rsid w:val="00611949"/>
    <w:rsid w:val="006153D2"/>
    <w:rsid w:val="006163FD"/>
    <w:rsid w:val="00616A87"/>
    <w:rsid w:val="00641069"/>
    <w:rsid w:val="00674641"/>
    <w:rsid w:val="006755F0"/>
    <w:rsid w:val="00693A0F"/>
    <w:rsid w:val="006B19DC"/>
    <w:rsid w:val="006C07E3"/>
    <w:rsid w:val="006C408F"/>
    <w:rsid w:val="006D1134"/>
    <w:rsid w:val="006D78EF"/>
    <w:rsid w:val="006E4126"/>
    <w:rsid w:val="006F61DE"/>
    <w:rsid w:val="00701C83"/>
    <w:rsid w:val="00722253"/>
    <w:rsid w:val="00732C35"/>
    <w:rsid w:val="00733976"/>
    <w:rsid w:val="00736AE4"/>
    <w:rsid w:val="0074427B"/>
    <w:rsid w:val="00747F1E"/>
    <w:rsid w:val="0076141D"/>
    <w:rsid w:val="00773365"/>
    <w:rsid w:val="007861E2"/>
    <w:rsid w:val="007A0D0B"/>
    <w:rsid w:val="007B557B"/>
    <w:rsid w:val="007D66CA"/>
    <w:rsid w:val="007D74F0"/>
    <w:rsid w:val="007E68D6"/>
    <w:rsid w:val="00807D63"/>
    <w:rsid w:val="00812DA1"/>
    <w:rsid w:val="00820995"/>
    <w:rsid w:val="00826A50"/>
    <w:rsid w:val="00827F5B"/>
    <w:rsid w:val="00832E3F"/>
    <w:rsid w:val="00837068"/>
    <w:rsid w:val="008460B2"/>
    <w:rsid w:val="00861EF2"/>
    <w:rsid w:val="00867E3D"/>
    <w:rsid w:val="0087123A"/>
    <w:rsid w:val="00876738"/>
    <w:rsid w:val="008A6A7C"/>
    <w:rsid w:val="008C0DE0"/>
    <w:rsid w:val="008F5509"/>
    <w:rsid w:val="008F6A59"/>
    <w:rsid w:val="00903FFC"/>
    <w:rsid w:val="009063B2"/>
    <w:rsid w:val="009128DD"/>
    <w:rsid w:val="009229E9"/>
    <w:rsid w:val="009241B3"/>
    <w:rsid w:val="00941EC2"/>
    <w:rsid w:val="00963347"/>
    <w:rsid w:val="00964833"/>
    <w:rsid w:val="00964D6C"/>
    <w:rsid w:val="00977B5B"/>
    <w:rsid w:val="00987E3C"/>
    <w:rsid w:val="00993967"/>
    <w:rsid w:val="009A247A"/>
    <w:rsid w:val="009A415D"/>
    <w:rsid w:val="009B098D"/>
    <w:rsid w:val="009C27E9"/>
    <w:rsid w:val="009D020D"/>
    <w:rsid w:val="009E6D2C"/>
    <w:rsid w:val="009F5407"/>
    <w:rsid w:val="00A00E75"/>
    <w:rsid w:val="00A06A9F"/>
    <w:rsid w:val="00A27935"/>
    <w:rsid w:val="00A30D72"/>
    <w:rsid w:val="00A45EA5"/>
    <w:rsid w:val="00A6370C"/>
    <w:rsid w:val="00A8101F"/>
    <w:rsid w:val="00A937EE"/>
    <w:rsid w:val="00AA5630"/>
    <w:rsid w:val="00AD356A"/>
    <w:rsid w:val="00AD673B"/>
    <w:rsid w:val="00AE7FA0"/>
    <w:rsid w:val="00AF03AD"/>
    <w:rsid w:val="00AF0A23"/>
    <w:rsid w:val="00AF4698"/>
    <w:rsid w:val="00B26238"/>
    <w:rsid w:val="00B35641"/>
    <w:rsid w:val="00B35687"/>
    <w:rsid w:val="00B43617"/>
    <w:rsid w:val="00B5350A"/>
    <w:rsid w:val="00B77A24"/>
    <w:rsid w:val="00B811F4"/>
    <w:rsid w:val="00B92FB2"/>
    <w:rsid w:val="00B93323"/>
    <w:rsid w:val="00B949CE"/>
    <w:rsid w:val="00BA4DCB"/>
    <w:rsid w:val="00BA755B"/>
    <w:rsid w:val="00BC3B80"/>
    <w:rsid w:val="00BC6601"/>
    <w:rsid w:val="00BD4C9F"/>
    <w:rsid w:val="00C013A8"/>
    <w:rsid w:val="00C164DA"/>
    <w:rsid w:val="00C16FD0"/>
    <w:rsid w:val="00C327B7"/>
    <w:rsid w:val="00C366C7"/>
    <w:rsid w:val="00C621EF"/>
    <w:rsid w:val="00C668BF"/>
    <w:rsid w:val="00C83383"/>
    <w:rsid w:val="00CD7F2A"/>
    <w:rsid w:val="00CE3759"/>
    <w:rsid w:val="00CF1FAF"/>
    <w:rsid w:val="00D00627"/>
    <w:rsid w:val="00D07FB5"/>
    <w:rsid w:val="00D26841"/>
    <w:rsid w:val="00D3221D"/>
    <w:rsid w:val="00D33346"/>
    <w:rsid w:val="00D47A20"/>
    <w:rsid w:val="00D50E10"/>
    <w:rsid w:val="00D5475A"/>
    <w:rsid w:val="00D60A73"/>
    <w:rsid w:val="00D71B86"/>
    <w:rsid w:val="00D81ED4"/>
    <w:rsid w:val="00D90358"/>
    <w:rsid w:val="00D96830"/>
    <w:rsid w:val="00D97E94"/>
    <w:rsid w:val="00DD73E9"/>
    <w:rsid w:val="00DE2382"/>
    <w:rsid w:val="00DF7CC2"/>
    <w:rsid w:val="00E071AD"/>
    <w:rsid w:val="00E32733"/>
    <w:rsid w:val="00E40439"/>
    <w:rsid w:val="00E44C4A"/>
    <w:rsid w:val="00EA58B7"/>
    <w:rsid w:val="00EA64D8"/>
    <w:rsid w:val="00EC7A6C"/>
    <w:rsid w:val="00ED2F19"/>
    <w:rsid w:val="00EF0B9A"/>
    <w:rsid w:val="00EF1634"/>
    <w:rsid w:val="00EF2F74"/>
    <w:rsid w:val="00F163B9"/>
    <w:rsid w:val="00F21AFE"/>
    <w:rsid w:val="00F44F95"/>
    <w:rsid w:val="00F52430"/>
    <w:rsid w:val="00F6056C"/>
    <w:rsid w:val="00FA0194"/>
    <w:rsid w:val="00FA40DA"/>
    <w:rsid w:val="00FB3C13"/>
    <w:rsid w:val="00FC63BE"/>
    <w:rsid w:val="00FE2B4F"/>
    <w:rsid w:val="00FE2D27"/>
    <w:rsid w:val="00FF278C"/>
    <w:rsid w:val="00FF5E9F"/>
  </w:rsids>
  <m:mathPr>
    <m:mathFont m:val="Cambria Math"/>
    <m:brkBin m:val="before"/>
    <m:brkBinSub m:val="--"/>
    <m:smallFrac m:val="off"/>
    <m:dispDef/>
    <m:lMargin m:val="0"/>
    <m:rMargin m:val="0"/>
    <m:defJc m:val="centerGroup"/>
    <m:wrapIndent m:val="1440"/>
    <m:intLim m:val="subSup"/>
    <m:naryLim m:val="undOvr"/>
  </m:mathPr>
  <w:themeFontLang w:val="es-EC"/>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metricconverter"/>
  <w:smartTagType w:namespaceuri="urn:schemas-microsoft-com:office:smarttags" w:name="PersonName"/>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s-EC" w:eastAsia="es-EC"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semiHidden="0" w:uiPriority="0" w:unhideWhenUsed="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39" w:unhideWhenUsed="0"/>
    <w:lsdException w:name="toc 2" w:locked="1" w:semiHidden="0" w:uiPriority="39" w:unhideWhenUsed="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locked="1" w:semiHidden="0" w:uiPriority="0" w:unhideWhenUsed="0"/>
    <w:lsdException w:name="caption" w:locked="1" w:uiPriority="0" w:qFormat="1"/>
    <w:lsdException w:name="Title" w:locked="1" w:semiHidden="0" w:uiPriority="0" w:unhideWhenUsed="0" w:qFormat="1"/>
    <w:lsdException w:name="Default Paragraph Font" w:uiPriority="1"/>
    <w:lsdException w:name="Subtitle" w:locked="1" w:semiHidden="0" w:uiPriority="0" w:unhideWhenUsed="0" w:qFormat="1"/>
    <w:lsdException w:name="Hyperlink" w:locked="1" w:semiHidden="0" w:unhideWhenUsed="0"/>
    <w:lsdException w:name="Strong" w:locked="1" w:semiHidden="0" w:uiPriority="0" w:unhideWhenUsed="0" w:qFormat="1"/>
    <w:lsdException w:name="Emphasis" w:locked="1" w:semiHidden="0" w:uiPriority="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CF1FAF"/>
    <w:pPr>
      <w:spacing w:after="200" w:line="276" w:lineRule="auto"/>
    </w:pPr>
    <w:rPr>
      <w:rFonts w:ascii="Cambria" w:hAnsi="Cambria"/>
      <w:sz w:val="22"/>
      <w:szCs w:val="22"/>
      <w:lang w:val="es-ES" w:eastAsia="en-US"/>
    </w:rPr>
  </w:style>
  <w:style w:type="paragraph" w:styleId="Ttulo1">
    <w:name w:val="heading 1"/>
    <w:basedOn w:val="Normal"/>
    <w:next w:val="Normal"/>
    <w:link w:val="Ttulo1Car"/>
    <w:uiPriority w:val="99"/>
    <w:qFormat/>
    <w:rsid w:val="00963347"/>
    <w:pPr>
      <w:keepNext/>
      <w:keepLines/>
      <w:spacing w:before="480" w:after="0"/>
      <w:outlineLvl w:val="0"/>
    </w:pPr>
    <w:rPr>
      <w:b/>
      <w:bCs/>
      <w:color w:val="365F91"/>
      <w:sz w:val="28"/>
      <w:szCs w:val="28"/>
    </w:rPr>
  </w:style>
  <w:style w:type="paragraph" w:styleId="Ttulo2">
    <w:name w:val="heading 2"/>
    <w:basedOn w:val="Normal"/>
    <w:next w:val="Normal"/>
    <w:link w:val="Ttulo2Car"/>
    <w:uiPriority w:val="99"/>
    <w:qFormat/>
    <w:rsid w:val="00963347"/>
    <w:pPr>
      <w:keepNext/>
      <w:keepLines/>
      <w:spacing w:before="200" w:after="0"/>
      <w:outlineLvl w:val="1"/>
    </w:pPr>
    <w:rPr>
      <w:b/>
      <w:bCs/>
      <w:color w:val="4F81BD"/>
      <w:sz w:val="26"/>
      <w:szCs w:val="26"/>
    </w:rPr>
  </w:style>
  <w:style w:type="paragraph" w:styleId="Ttulo3">
    <w:name w:val="heading 3"/>
    <w:basedOn w:val="Normal"/>
    <w:next w:val="Normal"/>
    <w:link w:val="Ttulo3Car"/>
    <w:uiPriority w:val="99"/>
    <w:qFormat/>
    <w:rsid w:val="00963347"/>
    <w:pPr>
      <w:keepNext/>
      <w:keepLines/>
      <w:spacing w:before="200" w:after="0"/>
      <w:outlineLvl w:val="2"/>
    </w:pPr>
    <w:rPr>
      <w:b/>
      <w:bCs/>
      <w:color w:val="4F81BD"/>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locked/>
    <w:rsid w:val="00963347"/>
    <w:rPr>
      <w:rFonts w:ascii="Cambria" w:hAnsi="Cambria" w:cs="Times New Roman"/>
      <w:b/>
      <w:bCs/>
      <w:color w:val="365F91"/>
      <w:sz w:val="28"/>
      <w:szCs w:val="28"/>
      <w:lang w:val="es-ES" w:eastAsia="en-US"/>
    </w:rPr>
  </w:style>
  <w:style w:type="character" w:customStyle="1" w:styleId="Ttulo2Car">
    <w:name w:val="Título 2 Car"/>
    <w:basedOn w:val="Fuentedeprrafopredeter"/>
    <w:link w:val="Ttulo2"/>
    <w:uiPriority w:val="99"/>
    <w:semiHidden/>
    <w:locked/>
    <w:rsid w:val="00963347"/>
    <w:rPr>
      <w:rFonts w:ascii="Cambria" w:hAnsi="Cambria" w:cs="Times New Roman"/>
      <w:b/>
      <w:bCs/>
      <w:color w:val="4F81BD"/>
      <w:sz w:val="26"/>
      <w:szCs w:val="26"/>
      <w:lang w:val="es-ES" w:eastAsia="en-US"/>
    </w:rPr>
  </w:style>
  <w:style w:type="character" w:customStyle="1" w:styleId="Ttulo3Car">
    <w:name w:val="Título 3 Car"/>
    <w:basedOn w:val="Fuentedeprrafopredeter"/>
    <w:link w:val="Ttulo3"/>
    <w:uiPriority w:val="99"/>
    <w:semiHidden/>
    <w:locked/>
    <w:rsid w:val="00963347"/>
    <w:rPr>
      <w:rFonts w:ascii="Cambria" w:hAnsi="Cambria" w:cs="Times New Roman"/>
      <w:b/>
      <w:bCs/>
      <w:color w:val="4F81BD"/>
      <w:sz w:val="22"/>
      <w:szCs w:val="22"/>
      <w:lang w:val="es-ES" w:eastAsia="en-US"/>
    </w:rPr>
  </w:style>
  <w:style w:type="character" w:customStyle="1" w:styleId="mediumtext">
    <w:name w:val="medium_text"/>
    <w:basedOn w:val="Fuentedeprrafopredeter"/>
    <w:uiPriority w:val="99"/>
    <w:rsid w:val="00CF1FAF"/>
    <w:rPr>
      <w:rFonts w:cs="Times New Roman"/>
    </w:rPr>
  </w:style>
  <w:style w:type="paragraph" w:styleId="Textonotapie">
    <w:name w:val="footnote text"/>
    <w:basedOn w:val="Normal"/>
    <w:link w:val="TextonotapieCar"/>
    <w:uiPriority w:val="99"/>
    <w:semiHidden/>
    <w:rsid w:val="00D5475A"/>
    <w:pPr>
      <w:spacing w:after="0" w:line="240" w:lineRule="auto"/>
    </w:pPr>
    <w:rPr>
      <w:rFonts w:ascii="Calibri" w:hAnsi="Calibri"/>
      <w:sz w:val="20"/>
      <w:szCs w:val="20"/>
      <w:lang w:val="es-EC"/>
    </w:rPr>
  </w:style>
  <w:style w:type="character" w:customStyle="1" w:styleId="TextonotapieCar">
    <w:name w:val="Texto nota pie Car"/>
    <w:basedOn w:val="Fuentedeprrafopredeter"/>
    <w:link w:val="Textonotapie"/>
    <w:uiPriority w:val="99"/>
    <w:semiHidden/>
    <w:locked/>
    <w:rsid w:val="00D5475A"/>
    <w:rPr>
      <w:rFonts w:ascii="Calibri" w:hAnsi="Calibri" w:cs="Times New Roman"/>
      <w:lang w:val="es-EC" w:eastAsia="en-US" w:bidi="ar-SA"/>
    </w:rPr>
  </w:style>
  <w:style w:type="character" w:styleId="Refdenotaalpie">
    <w:name w:val="footnote reference"/>
    <w:basedOn w:val="Fuentedeprrafopredeter"/>
    <w:uiPriority w:val="99"/>
    <w:semiHidden/>
    <w:rsid w:val="00D5475A"/>
    <w:rPr>
      <w:rFonts w:cs="Times New Roman"/>
      <w:vertAlign w:val="superscript"/>
    </w:rPr>
  </w:style>
  <w:style w:type="paragraph" w:customStyle="1" w:styleId="Prrafodelista1">
    <w:name w:val="Párrafo de lista1"/>
    <w:basedOn w:val="Normal"/>
    <w:uiPriority w:val="99"/>
    <w:rsid w:val="00D5475A"/>
    <w:pPr>
      <w:ind w:left="720"/>
      <w:contextualSpacing/>
    </w:pPr>
    <w:rPr>
      <w:rFonts w:ascii="Calibri" w:hAnsi="Calibri"/>
      <w:lang w:val="es-EC"/>
    </w:rPr>
  </w:style>
  <w:style w:type="character" w:styleId="Hipervnculo">
    <w:name w:val="Hyperlink"/>
    <w:basedOn w:val="Fuentedeprrafopredeter"/>
    <w:uiPriority w:val="99"/>
    <w:rsid w:val="00701C83"/>
    <w:rPr>
      <w:rFonts w:cs="Times New Roman"/>
      <w:color w:val="0000FF"/>
      <w:u w:val="single"/>
    </w:rPr>
  </w:style>
  <w:style w:type="paragraph" w:styleId="Textodeglobo">
    <w:name w:val="Balloon Text"/>
    <w:basedOn w:val="Normal"/>
    <w:link w:val="TextodegloboCar"/>
    <w:uiPriority w:val="99"/>
    <w:rsid w:val="009128DD"/>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locked/>
    <w:rsid w:val="009128DD"/>
    <w:rPr>
      <w:rFonts w:ascii="Tahoma" w:hAnsi="Tahoma" w:cs="Tahoma"/>
      <w:sz w:val="16"/>
      <w:szCs w:val="16"/>
      <w:lang w:val="es-ES" w:eastAsia="en-US"/>
    </w:rPr>
  </w:style>
  <w:style w:type="paragraph" w:customStyle="1" w:styleId="TtuloTesis">
    <w:name w:val="Título Tesis"/>
    <w:basedOn w:val="Normal"/>
    <w:next w:val="Normal"/>
    <w:uiPriority w:val="99"/>
    <w:rsid w:val="00611949"/>
    <w:pPr>
      <w:spacing w:line="360" w:lineRule="auto"/>
      <w:jc w:val="both"/>
    </w:pPr>
    <w:rPr>
      <w:rFonts w:ascii="Times New Roman" w:hAnsi="Times New Roman"/>
      <w:b/>
      <w:caps/>
      <w:sz w:val="32"/>
      <w:szCs w:val="24"/>
    </w:rPr>
  </w:style>
  <w:style w:type="paragraph" w:customStyle="1" w:styleId="Subttulotesis">
    <w:name w:val="Subtítulo tesis"/>
    <w:basedOn w:val="Prrafodelista1"/>
    <w:next w:val="Normal"/>
    <w:uiPriority w:val="99"/>
    <w:rsid w:val="00214339"/>
    <w:pPr>
      <w:spacing w:line="360" w:lineRule="auto"/>
      <w:ind w:left="0"/>
      <w:jc w:val="both"/>
    </w:pPr>
    <w:rPr>
      <w:rFonts w:ascii="Times New Roman" w:hAnsi="Times New Roman"/>
      <w:b/>
      <w:caps/>
      <w:sz w:val="28"/>
      <w:szCs w:val="24"/>
    </w:rPr>
  </w:style>
  <w:style w:type="paragraph" w:styleId="Encabezado">
    <w:name w:val="header"/>
    <w:basedOn w:val="Normal"/>
    <w:link w:val="EncabezadoCar"/>
    <w:uiPriority w:val="99"/>
    <w:rsid w:val="00214339"/>
    <w:pPr>
      <w:tabs>
        <w:tab w:val="center" w:pos="4419"/>
        <w:tab w:val="right" w:pos="8838"/>
      </w:tabs>
      <w:spacing w:after="0" w:line="240" w:lineRule="auto"/>
    </w:pPr>
  </w:style>
  <w:style w:type="character" w:customStyle="1" w:styleId="EncabezadoCar">
    <w:name w:val="Encabezado Car"/>
    <w:basedOn w:val="Fuentedeprrafopredeter"/>
    <w:link w:val="Encabezado"/>
    <w:uiPriority w:val="99"/>
    <w:locked/>
    <w:rsid w:val="00214339"/>
    <w:rPr>
      <w:rFonts w:ascii="Cambria" w:hAnsi="Cambria" w:cs="Times New Roman"/>
      <w:sz w:val="22"/>
      <w:szCs w:val="22"/>
      <w:lang w:val="es-ES" w:eastAsia="en-US"/>
    </w:rPr>
  </w:style>
  <w:style w:type="paragraph" w:styleId="Piedepgina">
    <w:name w:val="footer"/>
    <w:basedOn w:val="Normal"/>
    <w:link w:val="PiedepginaCar"/>
    <w:uiPriority w:val="99"/>
    <w:rsid w:val="00214339"/>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locked/>
    <w:rsid w:val="00214339"/>
    <w:rPr>
      <w:rFonts w:ascii="Cambria" w:hAnsi="Cambria" w:cs="Times New Roman"/>
      <w:sz w:val="22"/>
      <w:szCs w:val="22"/>
      <w:lang w:val="es-ES" w:eastAsia="en-US"/>
    </w:rPr>
  </w:style>
  <w:style w:type="paragraph" w:styleId="TtulodeTDC">
    <w:name w:val="TOC Heading"/>
    <w:basedOn w:val="Ttulo1"/>
    <w:next w:val="Normal"/>
    <w:uiPriority w:val="99"/>
    <w:qFormat/>
    <w:rsid w:val="00963347"/>
    <w:pPr>
      <w:outlineLvl w:val="9"/>
    </w:pPr>
  </w:style>
  <w:style w:type="paragraph" w:styleId="TDC1">
    <w:name w:val="toc 1"/>
    <w:basedOn w:val="Normal"/>
    <w:next w:val="Normal"/>
    <w:autoRedefine/>
    <w:uiPriority w:val="39"/>
    <w:rsid w:val="00963347"/>
    <w:pPr>
      <w:spacing w:after="100"/>
    </w:pPr>
  </w:style>
  <w:style w:type="paragraph" w:styleId="TDC2">
    <w:name w:val="toc 2"/>
    <w:basedOn w:val="Normal"/>
    <w:next w:val="Normal"/>
    <w:autoRedefine/>
    <w:uiPriority w:val="39"/>
    <w:rsid w:val="00963347"/>
    <w:pPr>
      <w:spacing w:after="100"/>
      <w:ind w:left="220"/>
    </w:pPr>
  </w:style>
  <w:style w:type="paragraph" w:styleId="Mapadeldocumento">
    <w:name w:val="Document Map"/>
    <w:basedOn w:val="Normal"/>
    <w:link w:val="MapadeldocumentoCar"/>
    <w:uiPriority w:val="99"/>
    <w:semiHidden/>
    <w:rsid w:val="002E0094"/>
    <w:pPr>
      <w:shd w:val="clear" w:color="auto" w:fill="000080"/>
    </w:pPr>
    <w:rPr>
      <w:rFonts w:ascii="Tahoma" w:hAnsi="Tahoma" w:cs="Tahoma"/>
      <w:sz w:val="20"/>
      <w:szCs w:val="20"/>
    </w:rPr>
  </w:style>
  <w:style w:type="character" w:customStyle="1" w:styleId="MapadeldocumentoCar">
    <w:name w:val="Mapa del documento Car"/>
    <w:basedOn w:val="Fuentedeprrafopredeter"/>
    <w:link w:val="Mapadeldocumento"/>
    <w:uiPriority w:val="99"/>
    <w:semiHidden/>
    <w:rsid w:val="005D0E8E"/>
    <w:rPr>
      <w:sz w:val="0"/>
      <w:szCs w:val="0"/>
      <w:lang w:eastAsia="en-US"/>
    </w:rPr>
  </w:style>
  <w:style w:type="paragraph" w:styleId="Ttulo">
    <w:name w:val="Title"/>
    <w:basedOn w:val="Normal"/>
    <w:next w:val="Normal"/>
    <w:link w:val="TtuloCar"/>
    <w:qFormat/>
    <w:locked/>
    <w:rsid w:val="00722253"/>
    <w:pPr>
      <w:spacing w:before="240" w:after="60"/>
      <w:jc w:val="center"/>
      <w:outlineLvl w:val="0"/>
    </w:pPr>
    <w:rPr>
      <w:b/>
      <w:bCs/>
      <w:kern w:val="28"/>
      <w:sz w:val="32"/>
      <w:szCs w:val="32"/>
    </w:rPr>
  </w:style>
  <w:style w:type="character" w:customStyle="1" w:styleId="TtuloCar">
    <w:name w:val="Título Car"/>
    <w:basedOn w:val="Fuentedeprrafopredeter"/>
    <w:link w:val="Ttulo"/>
    <w:rsid w:val="00722253"/>
    <w:rPr>
      <w:rFonts w:ascii="Cambria" w:eastAsia="Times New Roman" w:hAnsi="Cambria" w:cs="Times New Roman"/>
      <w:b/>
      <w:bCs/>
      <w:kern w:val="28"/>
      <w:sz w:val="32"/>
      <w:szCs w:val="32"/>
      <w:lang w:eastAsia="en-US"/>
    </w:rPr>
  </w:style>
  <w:style w:type="character" w:customStyle="1" w:styleId="apple-style-span">
    <w:name w:val="apple-style-span"/>
    <w:basedOn w:val="Fuentedeprrafopredeter"/>
    <w:rsid w:val="00722253"/>
  </w:style>
</w:styles>
</file>

<file path=word/webSettings.xml><?xml version="1.0" encoding="utf-8"?>
<w:webSettings xmlns:r="http://schemas.openxmlformats.org/officeDocument/2006/relationships" xmlns:w="http://schemas.openxmlformats.org/wordprocessingml/2006/main">
  <w:divs>
    <w:div w:id="35550442">
      <w:marLeft w:val="0"/>
      <w:marRight w:val="0"/>
      <w:marTop w:val="0"/>
      <w:marBottom w:val="0"/>
      <w:divBdr>
        <w:top w:val="none" w:sz="0" w:space="0" w:color="auto"/>
        <w:left w:val="none" w:sz="0" w:space="0" w:color="auto"/>
        <w:bottom w:val="none" w:sz="0" w:space="0" w:color="auto"/>
        <w:right w:val="none" w:sz="0" w:space="0" w:color="auto"/>
      </w:divBdr>
    </w:div>
    <w:div w:id="35550443">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5.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emf"/><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2.emf"/><Relationship Id="rId4" Type="http://schemas.openxmlformats.org/officeDocument/2006/relationships/settings" Target="settings.xml"/><Relationship Id="rId9" Type="http://schemas.openxmlformats.org/officeDocument/2006/relationships/hyperlink" Target="http://data.worldbank.org/"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E4A2BE4-500B-4DC1-A350-96176A4775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96</Pages>
  <Words>28309</Words>
  <Characters>155703</Characters>
  <Application>Microsoft Office Word</Application>
  <DocSecurity>0</DocSecurity>
  <Lines>1297</Lines>
  <Paragraphs>367</Paragraphs>
  <ScaleCrop>false</ScaleCrop>
  <HeadingPairs>
    <vt:vector size="2" baseType="variant">
      <vt:variant>
        <vt:lpstr>Título</vt:lpstr>
      </vt:variant>
      <vt:variant>
        <vt:i4>1</vt:i4>
      </vt:variant>
    </vt:vector>
  </HeadingPairs>
  <TitlesOfParts>
    <vt:vector size="1" baseType="lpstr">
      <vt:lpstr>Universidad de los Hemisferios</vt:lpstr>
    </vt:vector>
  </TitlesOfParts>
  <Company>FUNDACION LICEO INTERNACIONAL</Company>
  <LinksUpToDate>false</LinksUpToDate>
  <CharactersWithSpaces>183645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Universidad de los Hemisferios</dc:title>
  <dc:creator>LI-ING-01</dc:creator>
  <cp:lastModifiedBy>Personal</cp:lastModifiedBy>
  <cp:revision>8</cp:revision>
  <dcterms:created xsi:type="dcterms:W3CDTF">2011-06-24T19:15:00Z</dcterms:created>
  <dcterms:modified xsi:type="dcterms:W3CDTF">2011-07-07T18:15:00Z</dcterms:modified>
</cp:coreProperties>
</file>