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A1B2F0" w14:textId="77777777" w:rsidR="00173CDA" w:rsidRDefault="00173CDA" w:rsidP="00B22365">
      <w:pPr>
        <w:jc w:val="center"/>
      </w:pPr>
      <w:r>
        <w:rPr>
          <w:noProof/>
          <w:lang w:eastAsia="es-EC"/>
        </w:rPr>
        <w:drawing>
          <wp:anchor distT="0" distB="0" distL="114300" distR="114300" simplePos="0" relativeHeight="251654144" behindDoc="0" locked="0" layoutInCell="1" allowOverlap="1" wp14:anchorId="6E47F4DE" wp14:editId="5989D897">
            <wp:simplePos x="0" y="0"/>
            <wp:positionH relativeFrom="column">
              <wp:posOffset>-3810</wp:posOffset>
            </wp:positionH>
            <wp:positionV relativeFrom="paragraph">
              <wp:posOffset>-4445</wp:posOffset>
            </wp:positionV>
            <wp:extent cx="5612130" cy="1219703"/>
            <wp:effectExtent l="0" t="0" r="0" b="0"/>
            <wp:wrapSquare wrapText="bothSides"/>
            <wp:docPr id="1" name="Imagen 1" descr="http://www.yqsigo.com/nacional/wp-content/uploads/2014/01/uhemisfe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qsigo.com/nacional/wp-content/uploads/2014/01/uhemisferio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2130" cy="1219703"/>
                    </a:xfrm>
                    <a:prstGeom prst="rect">
                      <a:avLst/>
                    </a:prstGeom>
                    <a:noFill/>
                    <a:ln>
                      <a:noFill/>
                    </a:ln>
                  </pic:spPr>
                </pic:pic>
              </a:graphicData>
            </a:graphic>
          </wp:anchor>
        </w:drawing>
      </w:r>
    </w:p>
    <w:p w14:paraId="0F5A63F4" w14:textId="77777777" w:rsidR="00173CDA" w:rsidRDefault="00173CDA" w:rsidP="00173CDA">
      <w:pPr>
        <w:jc w:val="center"/>
      </w:pPr>
      <w:r>
        <w:t>FACULTAD DE CIENCIAS EMPRESARIALES Y ECONOMÍA</w:t>
      </w:r>
    </w:p>
    <w:p w14:paraId="19B9350D" w14:textId="77777777" w:rsidR="00173CDA" w:rsidRDefault="00173CDA" w:rsidP="00343130">
      <w:pPr>
        <w:jc w:val="center"/>
      </w:pPr>
      <w:r>
        <w:t>CARRERA DE CIENCIAS EMPRESARIALES</w:t>
      </w:r>
    </w:p>
    <w:p w14:paraId="7134EA0B" w14:textId="77777777" w:rsidR="00173CDA" w:rsidRDefault="00173CDA" w:rsidP="00173CDA"/>
    <w:p w14:paraId="16039C4A" w14:textId="77777777" w:rsidR="00173CDA" w:rsidRDefault="005066A2" w:rsidP="00173CDA">
      <w:pPr>
        <w:jc w:val="center"/>
      </w:pPr>
      <w:r>
        <w:t xml:space="preserve">ANÁLISIS COMPARATIVO DE LA </w:t>
      </w:r>
      <w:r w:rsidR="00173CDA" w:rsidRPr="00173CDA">
        <w:t xml:space="preserve">EXPORTACIÓN DE QUINUA A FRANCIA POR </w:t>
      </w:r>
      <w:r w:rsidR="00871C59">
        <w:t xml:space="preserve">PARTE DE </w:t>
      </w:r>
      <w:r w:rsidR="00173CDA" w:rsidRPr="00173CDA">
        <w:t>BOLIVIA Y ECUADOR</w:t>
      </w:r>
    </w:p>
    <w:p w14:paraId="238F72C4" w14:textId="77777777" w:rsidR="00732475" w:rsidRDefault="00732475" w:rsidP="003F6F07">
      <w:pPr>
        <w:jc w:val="center"/>
      </w:pPr>
    </w:p>
    <w:p w14:paraId="51327F4D" w14:textId="77777777" w:rsidR="00173CDA" w:rsidRDefault="003F6F07" w:rsidP="003F6F07">
      <w:pPr>
        <w:jc w:val="center"/>
      </w:pPr>
      <w:r>
        <w:t>INFORME DE INVESTIGACIÓN</w:t>
      </w:r>
    </w:p>
    <w:p w14:paraId="194A8C5C" w14:textId="77777777" w:rsidR="00343130" w:rsidRDefault="00343130" w:rsidP="00B22365"/>
    <w:p w14:paraId="5BF761AA" w14:textId="20C5C6BC" w:rsidR="00173CDA" w:rsidRDefault="00173CDA" w:rsidP="00343130">
      <w:pPr>
        <w:jc w:val="center"/>
      </w:pPr>
      <w:r>
        <w:t>TRABAJO DE TITULACIÓN PRESENTADO EN CONFORMIDAD CON LOS REQUISITOS PARA LA OBTENCIÓN DEL TÍTULO DE INGENIE</w:t>
      </w:r>
      <w:r w:rsidR="00871C59">
        <w:t xml:space="preserve">RA COMERCIAL CON ÉNFASIS EN </w:t>
      </w:r>
      <w:r w:rsidR="00B22365">
        <w:t>NEGOCIOS INTERNACIONALES</w:t>
      </w:r>
      <w:r w:rsidR="00871C59">
        <w:t xml:space="preserve"> Y FINANZAS</w:t>
      </w:r>
      <w:r w:rsidR="00B30DE2">
        <w:t xml:space="preserve"> Y BANCA DE INVERSIÓN</w:t>
      </w:r>
    </w:p>
    <w:p w14:paraId="3C6A9219" w14:textId="77777777" w:rsidR="00343130" w:rsidRDefault="00343130" w:rsidP="00343130">
      <w:pPr>
        <w:jc w:val="center"/>
      </w:pPr>
    </w:p>
    <w:p w14:paraId="5F738CAA" w14:textId="77777777" w:rsidR="00173CDA" w:rsidRDefault="00B76E1B" w:rsidP="00173CDA">
      <w:pPr>
        <w:jc w:val="center"/>
      </w:pPr>
      <w:r>
        <w:t xml:space="preserve">AUTOR: </w:t>
      </w:r>
      <w:r w:rsidR="00173CDA">
        <w:t>SOFIA BENAVIDES ESPINOZA</w:t>
      </w:r>
    </w:p>
    <w:p w14:paraId="6EE84FD0" w14:textId="77777777" w:rsidR="00173CDA" w:rsidRDefault="00173CDA" w:rsidP="00691F0D"/>
    <w:p w14:paraId="614ADAA4" w14:textId="77777777" w:rsidR="00173CDA" w:rsidRDefault="00B76E1B" w:rsidP="00173CDA">
      <w:pPr>
        <w:jc w:val="center"/>
      </w:pPr>
      <w:r>
        <w:t xml:space="preserve">PROFESOR GUÍA: </w:t>
      </w:r>
      <w:r w:rsidR="0078296D">
        <w:t>ECO</w:t>
      </w:r>
      <w:r w:rsidR="00343130">
        <w:t xml:space="preserve">. </w:t>
      </w:r>
      <w:r w:rsidR="0078296D">
        <w:t>JAIME CALLES</w:t>
      </w:r>
    </w:p>
    <w:p w14:paraId="572F68C7" w14:textId="77777777" w:rsidR="00B76E1B" w:rsidRDefault="00B76E1B" w:rsidP="00173CDA">
      <w:pPr>
        <w:jc w:val="center"/>
      </w:pPr>
    </w:p>
    <w:p w14:paraId="50D37A47" w14:textId="77777777" w:rsidR="00173CDA" w:rsidRPr="00173CDA" w:rsidRDefault="00B76E1B" w:rsidP="00173CDA">
      <w:pPr>
        <w:jc w:val="center"/>
      </w:pPr>
      <w:r>
        <w:t xml:space="preserve">MARZO, </w:t>
      </w:r>
      <w:r w:rsidR="0075555F">
        <w:t>2016</w:t>
      </w:r>
    </w:p>
    <w:p w14:paraId="5C06C36B" w14:textId="77777777" w:rsidR="00617818" w:rsidRDefault="00617818" w:rsidP="00617818"/>
    <w:p w14:paraId="0A83C09B" w14:textId="77777777" w:rsidR="00FB1A96" w:rsidRDefault="00FB1A96" w:rsidP="00617818"/>
    <w:p w14:paraId="7B80C0E3" w14:textId="77777777" w:rsidR="00617818" w:rsidRDefault="00617818" w:rsidP="00617818"/>
    <w:p w14:paraId="1574C8B7" w14:textId="77777777" w:rsidR="00617818" w:rsidRDefault="00617818" w:rsidP="00617818">
      <w:pPr>
        <w:pStyle w:val="Ttulo1"/>
      </w:pPr>
      <w:bookmarkStart w:id="0" w:name="_Toc446973126"/>
      <w:r>
        <w:t>DECLARACIÓN DE ACEPTACIÓN DE NORMA ÉTICA Y DERECHOS</w:t>
      </w:r>
      <w:bookmarkEnd w:id="0"/>
    </w:p>
    <w:p w14:paraId="3C44DEE3" w14:textId="77777777" w:rsidR="00617818" w:rsidRDefault="00B76E1B" w:rsidP="00B76E1B">
      <w: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w:t>
      </w:r>
      <w:bookmarkStart w:id="1" w:name="_GoBack"/>
      <w:bookmarkEnd w:id="1"/>
      <w:r>
        <w:t>a la Biblioteca a que haga pública su disponibilidad para lectura, a la vez que cedo los derechos de publicación a la Universidad de Los Hemisferios.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39276C1A" w14:textId="77777777" w:rsidR="00617818" w:rsidRDefault="00617818" w:rsidP="00B76E1B"/>
    <w:p w14:paraId="386AFFC8" w14:textId="77777777" w:rsidR="00617818" w:rsidRDefault="00617818" w:rsidP="00B76E1B"/>
    <w:p w14:paraId="7BE3696E" w14:textId="77777777" w:rsidR="00617818" w:rsidRDefault="00617818" w:rsidP="00B76E1B"/>
    <w:p w14:paraId="5E508FA1" w14:textId="77777777" w:rsidR="00FB1A96" w:rsidRDefault="00617818" w:rsidP="00B76E1B">
      <w:r>
        <w:t>Sofia Benavides Espinoza</w:t>
      </w:r>
    </w:p>
    <w:p w14:paraId="41FE409D" w14:textId="60B9996D" w:rsidR="008A3A71" w:rsidRDefault="008A3A71" w:rsidP="00B76E1B">
      <w:r>
        <w:t>CI: 1715427835</w:t>
      </w:r>
    </w:p>
    <w:p w14:paraId="53A2F844" w14:textId="77777777" w:rsidR="00B76E1B" w:rsidRDefault="00B76E1B" w:rsidP="00B76E1B">
      <w:pPr>
        <w:rPr>
          <w:b/>
        </w:rPr>
      </w:pPr>
      <w:r>
        <w:br w:type="page"/>
      </w:r>
    </w:p>
    <w:p w14:paraId="2E1B2E4F" w14:textId="77777777" w:rsidR="00617818" w:rsidRDefault="00617818" w:rsidP="00617818"/>
    <w:p w14:paraId="63CC4BDD" w14:textId="77777777" w:rsidR="00FB1A96" w:rsidRDefault="00FB1A96" w:rsidP="00617818"/>
    <w:p w14:paraId="2F873BD9" w14:textId="77777777" w:rsidR="00617818" w:rsidRDefault="00617818" w:rsidP="00617818"/>
    <w:p w14:paraId="720FB026" w14:textId="77777777" w:rsidR="00B76E1B" w:rsidRDefault="00B76E1B" w:rsidP="00B76E1B">
      <w:pPr>
        <w:pStyle w:val="Ttulo1"/>
      </w:pPr>
      <w:bookmarkStart w:id="2" w:name="_Toc446973127"/>
      <w:r>
        <w:t>DEDICATORIA</w:t>
      </w:r>
      <w:bookmarkEnd w:id="2"/>
    </w:p>
    <w:p w14:paraId="5EE5841C" w14:textId="77777777" w:rsidR="00617818" w:rsidRDefault="00617818" w:rsidP="000B3E42">
      <w:pPr>
        <w:rPr>
          <w:lang w:eastAsia="es-EC"/>
        </w:rPr>
      </w:pPr>
      <w:r>
        <w:rPr>
          <w:lang w:eastAsia="es-EC"/>
        </w:rPr>
        <w:t>Para todos aquellos que fueron parte de esta aventura llamada universidad que termina con este proyecto, quiero agradecer y dedicar</w:t>
      </w:r>
      <w:r w:rsidR="000B3E42">
        <w:rPr>
          <w:lang w:eastAsia="es-EC"/>
        </w:rPr>
        <w:t>les</w:t>
      </w:r>
      <w:r>
        <w:rPr>
          <w:lang w:eastAsia="es-EC"/>
        </w:rPr>
        <w:t xml:space="preserve"> este esfuerzo:</w:t>
      </w:r>
    </w:p>
    <w:p w14:paraId="260A0C00" w14:textId="77777777" w:rsidR="00617818" w:rsidRDefault="00617818" w:rsidP="000B3E42">
      <w:pPr>
        <w:rPr>
          <w:lang w:eastAsia="es-EC"/>
        </w:rPr>
      </w:pPr>
      <w:r>
        <w:rPr>
          <w:lang w:eastAsia="es-EC"/>
        </w:rPr>
        <w:t>A Dios</w:t>
      </w:r>
      <w:r w:rsidR="000B3E42">
        <w:rPr>
          <w:lang w:eastAsia="es-EC"/>
        </w:rPr>
        <w:t>,</w:t>
      </w:r>
      <w:r>
        <w:rPr>
          <w:lang w:eastAsia="es-EC"/>
        </w:rPr>
        <w:t xml:space="preserve"> por ser mi guía e impulso para terminar esta carrera.</w:t>
      </w:r>
    </w:p>
    <w:p w14:paraId="6A7B3011" w14:textId="77777777" w:rsidR="00617818" w:rsidRDefault="00617818" w:rsidP="000B3E42">
      <w:pPr>
        <w:rPr>
          <w:lang w:eastAsia="es-EC"/>
        </w:rPr>
      </w:pPr>
      <w:r>
        <w:rPr>
          <w:lang w:eastAsia="es-EC"/>
        </w:rPr>
        <w:t>A m</w:t>
      </w:r>
      <w:r w:rsidR="00732475">
        <w:rPr>
          <w:lang w:eastAsia="es-EC"/>
        </w:rPr>
        <w:t>is padres, por su enorme sacrifici</w:t>
      </w:r>
      <w:r>
        <w:rPr>
          <w:lang w:eastAsia="es-EC"/>
        </w:rPr>
        <w:t xml:space="preserve">o y dedicación para aceptar que saliera de casa para cumplir una meta más de mi vida. </w:t>
      </w:r>
    </w:p>
    <w:p w14:paraId="12EFF4BD" w14:textId="77777777" w:rsidR="00617818" w:rsidRDefault="00617818" w:rsidP="000B3E42">
      <w:pPr>
        <w:rPr>
          <w:lang w:eastAsia="es-EC"/>
        </w:rPr>
      </w:pPr>
      <w:r>
        <w:rPr>
          <w:lang w:eastAsia="es-EC"/>
        </w:rPr>
        <w:t xml:space="preserve">A mis hermanos y familia, quienes desde su compañía y apoyo contribuyeron a que esto fuera posible. </w:t>
      </w:r>
    </w:p>
    <w:p w14:paraId="1A8CB41B" w14:textId="77777777" w:rsidR="00617818" w:rsidRDefault="00617818" w:rsidP="000B3E42">
      <w:pPr>
        <w:rPr>
          <w:lang w:eastAsia="es-EC"/>
        </w:rPr>
      </w:pPr>
      <w:r>
        <w:rPr>
          <w:lang w:eastAsia="es-EC"/>
        </w:rPr>
        <w:t xml:space="preserve">A mis amigos, compañeros de estudio, desvelos y risas, sin los que incluso llegar a este punto hubiera sido impensable. </w:t>
      </w:r>
    </w:p>
    <w:p w14:paraId="22E62130" w14:textId="77777777" w:rsidR="00B63464" w:rsidRDefault="00B63464" w:rsidP="000B3E42">
      <w:pPr>
        <w:rPr>
          <w:lang w:eastAsia="es-EC"/>
        </w:rPr>
      </w:pPr>
      <w:r>
        <w:rPr>
          <w:lang w:eastAsia="es-EC"/>
        </w:rPr>
        <w:t>A mis profesores, por dejar una huella en mí con sus consejos y enseñanzas.</w:t>
      </w:r>
    </w:p>
    <w:p w14:paraId="7193FCCF" w14:textId="77777777" w:rsidR="00B63464" w:rsidRDefault="00B63464" w:rsidP="000B3E42">
      <w:pPr>
        <w:rPr>
          <w:lang w:eastAsia="es-EC"/>
        </w:rPr>
      </w:pPr>
      <w:r>
        <w:rPr>
          <w:lang w:eastAsia="es-EC"/>
        </w:rPr>
        <w:t xml:space="preserve">A la vida, por demostrarme que cada esfuerzo tiene su recompensa. </w:t>
      </w:r>
    </w:p>
    <w:p w14:paraId="55569140" w14:textId="77777777" w:rsidR="00B76E1B" w:rsidRDefault="00B63464" w:rsidP="000B3E42">
      <w:pPr>
        <w:rPr>
          <w:lang w:eastAsia="es-EC"/>
        </w:rPr>
      </w:pPr>
      <w:r>
        <w:rPr>
          <w:lang w:eastAsia="es-EC"/>
        </w:rPr>
        <w:t xml:space="preserve">Infinitas gracias. </w:t>
      </w:r>
      <w:r w:rsidR="00617818">
        <w:rPr>
          <w:lang w:eastAsia="es-EC"/>
        </w:rPr>
        <w:t xml:space="preserve"> </w:t>
      </w:r>
      <w:r w:rsidR="00B76E1B">
        <w:rPr>
          <w:lang w:eastAsia="es-EC"/>
        </w:rPr>
        <w:br w:type="page"/>
      </w:r>
    </w:p>
    <w:bookmarkStart w:id="3" w:name="_Toc446973128" w:displacedByCustomXml="next"/>
    <w:sdt>
      <w:sdtPr>
        <w:rPr>
          <w:rFonts w:eastAsiaTheme="minorHAnsi" w:cs="Times New Roman"/>
          <w:b w:val="0"/>
          <w:szCs w:val="22"/>
          <w:lang w:val="es-ES" w:eastAsia="en-US"/>
        </w:rPr>
        <w:id w:val="-1150670817"/>
        <w:docPartObj>
          <w:docPartGallery w:val="Table of Contents"/>
          <w:docPartUnique/>
        </w:docPartObj>
      </w:sdtPr>
      <w:sdtEndPr>
        <w:rPr>
          <w:bCs/>
        </w:rPr>
      </w:sdtEndPr>
      <w:sdtContent>
        <w:p w14:paraId="1EEC1641" w14:textId="3AD9FF0B" w:rsidR="00B76E1B" w:rsidRDefault="00B76E1B" w:rsidP="00B76E1B">
          <w:pPr>
            <w:pStyle w:val="Ttulo1"/>
            <w:rPr>
              <w:lang w:val="es-ES"/>
            </w:rPr>
          </w:pPr>
          <w:r>
            <w:rPr>
              <w:lang w:val="es-ES"/>
            </w:rPr>
            <w:t>ÍNDICE</w:t>
          </w:r>
          <w:bookmarkEnd w:id="3"/>
        </w:p>
        <w:p w14:paraId="0384A11D" w14:textId="77777777" w:rsidR="00F61885" w:rsidRDefault="00B76E1B" w:rsidP="00F61885">
          <w:pPr>
            <w:pStyle w:val="TDC1"/>
            <w:rPr>
              <w:rFonts w:asciiTheme="minorHAnsi" w:eastAsiaTheme="minorEastAsia" w:hAnsiTheme="minorHAnsi" w:cstheme="minorBidi"/>
              <w:noProof/>
              <w:sz w:val="22"/>
              <w:lang w:eastAsia="es-EC"/>
            </w:rPr>
          </w:pPr>
          <w:r>
            <w:fldChar w:fldCharType="begin"/>
          </w:r>
          <w:r>
            <w:instrText xml:space="preserve"> TOC \o "1-3" \h \z \u </w:instrText>
          </w:r>
          <w:r>
            <w:fldChar w:fldCharType="separate"/>
          </w:r>
          <w:hyperlink w:anchor="_Toc446973126" w:history="1">
            <w:r w:rsidR="00F61885" w:rsidRPr="009B0B83">
              <w:rPr>
                <w:rStyle w:val="Hipervnculo"/>
                <w:noProof/>
              </w:rPr>
              <w:t>DECLARACIÓN DE ACEPTACIÓN DE NORMA ÉTICA Y DERECHOS</w:t>
            </w:r>
            <w:r w:rsidR="00F61885">
              <w:rPr>
                <w:noProof/>
                <w:webHidden/>
              </w:rPr>
              <w:tab/>
            </w:r>
            <w:r w:rsidR="00F61885">
              <w:rPr>
                <w:noProof/>
                <w:webHidden/>
              </w:rPr>
              <w:fldChar w:fldCharType="begin"/>
            </w:r>
            <w:r w:rsidR="00F61885">
              <w:rPr>
                <w:noProof/>
                <w:webHidden/>
              </w:rPr>
              <w:instrText xml:space="preserve"> PAGEREF _Toc446973126 \h </w:instrText>
            </w:r>
            <w:r w:rsidR="00F61885">
              <w:rPr>
                <w:noProof/>
                <w:webHidden/>
              </w:rPr>
            </w:r>
            <w:r w:rsidR="00F61885">
              <w:rPr>
                <w:noProof/>
                <w:webHidden/>
              </w:rPr>
              <w:fldChar w:fldCharType="separate"/>
            </w:r>
            <w:r w:rsidR="00B828B8">
              <w:rPr>
                <w:noProof/>
                <w:webHidden/>
              </w:rPr>
              <w:t>2</w:t>
            </w:r>
            <w:r w:rsidR="00F61885">
              <w:rPr>
                <w:noProof/>
                <w:webHidden/>
              </w:rPr>
              <w:fldChar w:fldCharType="end"/>
            </w:r>
          </w:hyperlink>
        </w:p>
        <w:p w14:paraId="12259693" w14:textId="77777777" w:rsidR="00F61885" w:rsidRDefault="00B828B8" w:rsidP="00F61885">
          <w:pPr>
            <w:pStyle w:val="TDC1"/>
            <w:rPr>
              <w:rFonts w:asciiTheme="minorHAnsi" w:eastAsiaTheme="minorEastAsia" w:hAnsiTheme="minorHAnsi" w:cstheme="minorBidi"/>
              <w:noProof/>
              <w:sz w:val="22"/>
              <w:lang w:eastAsia="es-EC"/>
            </w:rPr>
          </w:pPr>
          <w:hyperlink w:anchor="_Toc446973127" w:history="1">
            <w:r w:rsidR="00F61885" w:rsidRPr="009B0B83">
              <w:rPr>
                <w:rStyle w:val="Hipervnculo"/>
                <w:noProof/>
              </w:rPr>
              <w:t>DEDICATORIA</w:t>
            </w:r>
            <w:r w:rsidR="00F61885">
              <w:rPr>
                <w:noProof/>
                <w:webHidden/>
              </w:rPr>
              <w:tab/>
            </w:r>
            <w:r w:rsidR="00F61885">
              <w:rPr>
                <w:noProof/>
                <w:webHidden/>
              </w:rPr>
              <w:fldChar w:fldCharType="begin"/>
            </w:r>
            <w:r w:rsidR="00F61885">
              <w:rPr>
                <w:noProof/>
                <w:webHidden/>
              </w:rPr>
              <w:instrText xml:space="preserve"> PAGEREF _Toc446973127 \h </w:instrText>
            </w:r>
            <w:r w:rsidR="00F61885">
              <w:rPr>
                <w:noProof/>
                <w:webHidden/>
              </w:rPr>
            </w:r>
            <w:r w:rsidR="00F61885">
              <w:rPr>
                <w:noProof/>
                <w:webHidden/>
              </w:rPr>
              <w:fldChar w:fldCharType="separate"/>
            </w:r>
            <w:r>
              <w:rPr>
                <w:noProof/>
                <w:webHidden/>
              </w:rPr>
              <w:t>3</w:t>
            </w:r>
            <w:r w:rsidR="00F61885">
              <w:rPr>
                <w:noProof/>
                <w:webHidden/>
              </w:rPr>
              <w:fldChar w:fldCharType="end"/>
            </w:r>
          </w:hyperlink>
        </w:p>
        <w:p w14:paraId="470E525B" w14:textId="77777777" w:rsidR="00F61885" w:rsidRDefault="00B828B8" w:rsidP="00F61885">
          <w:pPr>
            <w:pStyle w:val="TDC1"/>
            <w:rPr>
              <w:rFonts w:asciiTheme="minorHAnsi" w:eastAsiaTheme="minorEastAsia" w:hAnsiTheme="minorHAnsi" w:cstheme="minorBidi"/>
              <w:noProof/>
              <w:sz w:val="22"/>
              <w:lang w:eastAsia="es-EC"/>
            </w:rPr>
          </w:pPr>
          <w:hyperlink w:anchor="_Toc446973128" w:history="1">
            <w:r w:rsidR="00F61885" w:rsidRPr="009B0B83">
              <w:rPr>
                <w:rStyle w:val="Hipervnculo"/>
                <w:noProof/>
                <w:lang w:val="es-ES"/>
              </w:rPr>
              <w:t>ÍNDICE</w:t>
            </w:r>
            <w:r w:rsidR="00F61885">
              <w:rPr>
                <w:noProof/>
                <w:webHidden/>
              </w:rPr>
              <w:tab/>
            </w:r>
            <w:r w:rsidR="00F61885">
              <w:rPr>
                <w:noProof/>
                <w:webHidden/>
              </w:rPr>
              <w:fldChar w:fldCharType="begin"/>
            </w:r>
            <w:r w:rsidR="00F61885">
              <w:rPr>
                <w:noProof/>
                <w:webHidden/>
              </w:rPr>
              <w:instrText xml:space="preserve"> PAGEREF _Toc446973128 \h </w:instrText>
            </w:r>
            <w:r w:rsidR="00F61885">
              <w:rPr>
                <w:noProof/>
                <w:webHidden/>
              </w:rPr>
            </w:r>
            <w:r w:rsidR="00F61885">
              <w:rPr>
                <w:noProof/>
                <w:webHidden/>
              </w:rPr>
              <w:fldChar w:fldCharType="separate"/>
            </w:r>
            <w:r>
              <w:rPr>
                <w:noProof/>
                <w:webHidden/>
              </w:rPr>
              <w:t>4</w:t>
            </w:r>
            <w:r w:rsidR="00F61885">
              <w:rPr>
                <w:noProof/>
                <w:webHidden/>
              </w:rPr>
              <w:fldChar w:fldCharType="end"/>
            </w:r>
          </w:hyperlink>
        </w:p>
        <w:p w14:paraId="0B7A3571" w14:textId="77777777" w:rsidR="00F61885" w:rsidRDefault="00B828B8" w:rsidP="00F61885">
          <w:pPr>
            <w:pStyle w:val="TDC1"/>
            <w:rPr>
              <w:rFonts w:asciiTheme="minorHAnsi" w:eastAsiaTheme="minorEastAsia" w:hAnsiTheme="minorHAnsi" w:cstheme="minorBidi"/>
              <w:noProof/>
              <w:sz w:val="22"/>
              <w:lang w:eastAsia="es-EC"/>
            </w:rPr>
          </w:pPr>
          <w:hyperlink w:anchor="_Toc446973129" w:history="1">
            <w:r w:rsidR="00F61885" w:rsidRPr="009B0B83">
              <w:rPr>
                <w:rStyle w:val="Hipervnculo"/>
                <w:noProof/>
              </w:rPr>
              <w:t>ÍNDICE DE TABLAS</w:t>
            </w:r>
            <w:r w:rsidR="00F61885">
              <w:rPr>
                <w:noProof/>
                <w:webHidden/>
              </w:rPr>
              <w:tab/>
            </w:r>
            <w:r w:rsidR="00F61885">
              <w:rPr>
                <w:noProof/>
                <w:webHidden/>
              </w:rPr>
              <w:fldChar w:fldCharType="begin"/>
            </w:r>
            <w:r w:rsidR="00F61885">
              <w:rPr>
                <w:noProof/>
                <w:webHidden/>
              </w:rPr>
              <w:instrText xml:space="preserve"> PAGEREF _Toc446973129 \h </w:instrText>
            </w:r>
            <w:r w:rsidR="00F61885">
              <w:rPr>
                <w:noProof/>
                <w:webHidden/>
              </w:rPr>
            </w:r>
            <w:r w:rsidR="00F61885">
              <w:rPr>
                <w:noProof/>
                <w:webHidden/>
              </w:rPr>
              <w:fldChar w:fldCharType="separate"/>
            </w:r>
            <w:r>
              <w:rPr>
                <w:noProof/>
                <w:webHidden/>
              </w:rPr>
              <w:t>7</w:t>
            </w:r>
            <w:r w:rsidR="00F61885">
              <w:rPr>
                <w:noProof/>
                <w:webHidden/>
              </w:rPr>
              <w:fldChar w:fldCharType="end"/>
            </w:r>
          </w:hyperlink>
        </w:p>
        <w:p w14:paraId="6A60F55B" w14:textId="77777777" w:rsidR="00F61885" w:rsidRDefault="00B828B8" w:rsidP="00F61885">
          <w:pPr>
            <w:pStyle w:val="TDC1"/>
            <w:rPr>
              <w:rFonts w:asciiTheme="minorHAnsi" w:eastAsiaTheme="minorEastAsia" w:hAnsiTheme="minorHAnsi" w:cstheme="minorBidi"/>
              <w:noProof/>
              <w:sz w:val="22"/>
              <w:lang w:eastAsia="es-EC"/>
            </w:rPr>
          </w:pPr>
          <w:hyperlink w:anchor="_Toc446973130" w:history="1">
            <w:r w:rsidR="00F61885" w:rsidRPr="009B0B83">
              <w:rPr>
                <w:rStyle w:val="Hipervnculo"/>
                <w:noProof/>
              </w:rPr>
              <w:t>ÍNDICE DE ANEXOS</w:t>
            </w:r>
            <w:r w:rsidR="00F61885">
              <w:rPr>
                <w:noProof/>
                <w:webHidden/>
              </w:rPr>
              <w:tab/>
            </w:r>
            <w:r w:rsidR="00F61885">
              <w:rPr>
                <w:noProof/>
                <w:webHidden/>
              </w:rPr>
              <w:fldChar w:fldCharType="begin"/>
            </w:r>
            <w:r w:rsidR="00F61885">
              <w:rPr>
                <w:noProof/>
                <w:webHidden/>
              </w:rPr>
              <w:instrText xml:space="preserve"> PAGEREF _Toc446973130 \h </w:instrText>
            </w:r>
            <w:r w:rsidR="00F61885">
              <w:rPr>
                <w:noProof/>
                <w:webHidden/>
              </w:rPr>
            </w:r>
            <w:r w:rsidR="00F61885">
              <w:rPr>
                <w:noProof/>
                <w:webHidden/>
              </w:rPr>
              <w:fldChar w:fldCharType="separate"/>
            </w:r>
            <w:r>
              <w:rPr>
                <w:noProof/>
                <w:webHidden/>
              </w:rPr>
              <w:t>8</w:t>
            </w:r>
            <w:r w:rsidR="00F61885">
              <w:rPr>
                <w:noProof/>
                <w:webHidden/>
              </w:rPr>
              <w:fldChar w:fldCharType="end"/>
            </w:r>
          </w:hyperlink>
        </w:p>
        <w:p w14:paraId="24B1A4F0" w14:textId="77777777" w:rsidR="00F61885" w:rsidRDefault="00B828B8" w:rsidP="00F61885">
          <w:pPr>
            <w:pStyle w:val="TDC1"/>
            <w:rPr>
              <w:rFonts w:asciiTheme="minorHAnsi" w:eastAsiaTheme="minorEastAsia" w:hAnsiTheme="minorHAnsi" w:cstheme="minorBidi"/>
              <w:noProof/>
              <w:sz w:val="22"/>
              <w:lang w:eastAsia="es-EC"/>
            </w:rPr>
          </w:pPr>
          <w:hyperlink w:anchor="_Toc446973131" w:history="1">
            <w:r w:rsidR="00F61885" w:rsidRPr="009B0B83">
              <w:rPr>
                <w:rStyle w:val="Hipervnculo"/>
                <w:noProof/>
              </w:rPr>
              <w:t>RESUMEN EJECUTIVO</w:t>
            </w:r>
            <w:r w:rsidR="00F61885">
              <w:rPr>
                <w:noProof/>
                <w:webHidden/>
              </w:rPr>
              <w:tab/>
            </w:r>
            <w:r w:rsidR="00F61885">
              <w:rPr>
                <w:noProof/>
                <w:webHidden/>
              </w:rPr>
              <w:fldChar w:fldCharType="begin"/>
            </w:r>
            <w:r w:rsidR="00F61885">
              <w:rPr>
                <w:noProof/>
                <w:webHidden/>
              </w:rPr>
              <w:instrText xml:space="preserve"> PAGEREF _Toc446973131 \h </w:instrText>
            </w:r>
            <w:r w:rsidR="00F61885">
              <w:rPr>
                <w:noProof/>
                <w:webHidden/>
              </w:rPr>
            </w:r>
            <w:r w:rsidR="00F61885">
              <w:rPr>
                <w:noProof/>
                <w:webHidden/>
              </w:rPr>
              <w:fldChar w:fldCharType="separate"/>
            </w:r>
            <w:r>
              <w:rPr>
                <w:noProof/>
                <w:webHidden/>
              </w:rPr>
              <w:t>9</w:t>
            </w:r>
            <w:r w:rsidR="00F61885">
              <w:rPr>
                <w:noProof/>
                <w:webHidden/>
              </w:rPr>
              <w:fldChar w:fldCharType="end"/>
            </w:r>
          </w:hyperlink>
        </w:p>
        <w:p w14:paraId="4E114ED9" w14:textId="77777777" w:rsidR="00F61885" w:rsidRDefault="00B828B8" w:rsidP="00F61885">
          <w:pPr>
            <w:pStyle w:val="TDC1"/>
            <w:rPr>
              <w:rFonts w:asciiTheme="minorHAnsi" w:eastAsiaTheme="minorEastAsia" w:hAnsiTheme="minorHAnsi" w:cstheme="minorBidi"/>
              <w:noProof/>
              <w:sz w:val="22"/>
              <w:lang w:eastAsia="es-EC"/>
            </w:rPr>
          </w:pPr>
          <w:hyperlink w:anchor="_Toc446973132" w:history="1">
            <w:r w:rsidR="00F61885" w:rsidRPr="009B0B83">
              <w:rPr>
                <w:rStyle w:val="Hipervnculo"/>
                <w:noProof/>
                <w:lang w:val="en-US"/>
              </w:rPr>
              <w:t>ABSTRACT</w:t>
            </w:r>
            <w:r w:rsidR="00F61885">
              <w:rPr>
                <w:noProof/>
                <w:webHidden/>
              </w:rPr>
              <w:tab/>
            </w:r>
            <w:r w:rsidR="00F61885">
              <w:rPr>
                <w:noProof/>
                <w:webHidden/>
              </w:rPr>
              <w:fldChar w:fldCharType="begin"/>
            </w:r>
            <w:r w:rsidR="00F61885">
              <w:rPr>
                <w:noProof/>
                <w:webHidden/>
              </w:rPr>
              <w:instrText xml:space="preserve"> PAGEREF _Toc446973132 \h </w:instrText>
            </w:r>
            <w:r w:rsidR="00F61885">
              <w:rPr>
                <w:noProof/>
                <w:webHidden/>
              </w:rPr>
            </w:r>
            <w:r w:rsidR="00F61885">
              <w:rPr>
                <w:noProof/>
                <w:webHidden/>
              </w:rPr>
              <w:fldChar w:fldCharType="separate"/>
            </w:r>
            <w:r>
              <w:rPr>
                <w:noProof/>
                <w:webHidden/>
              </w:rPr>
              <w:t>10</w:t>
            </w:r>
            <w:r w:rsidR="00F61885">
              <w:rPr>
                <w:noProof/>
                <w:webHidden/>
              </w:rPr>
              <w:fldChar w:fldCharType="end"/>
            </w:r>
          </w:hyperlink>
        </w:p>
        <w:p w14:paraId="090AB580" w14:textId="77777777" w:rsidR="00F61885" w:rsidRDefault="00B828B8" w:rsidP="00F61885">
          <w:pPr>
            <w:pStyle w:val="TDC1"/>
            <w:rPr>
              <w:rFonts w:asciiTheme="minorHAnsi" w:eastAsiaTheme="minorEastAsia" w:hAnsiTheme="minorHAnsi" w:cstheme="minorBidi"/>
              <w:noProof/>
              <w:sz w:val="22"/>
              <w:lang w:eastAsia="es-EC"/>
            </w:rPr>
          </w:pPr>
          <w:hyperlink w:anchor="_Toc446973133" w:history="1">
            <w:r w:rsidR="00F61885" w:rsidRPr="009B0B83">
              <w:rPr>
                <w:rStyle w:val="Hipervnculo"/>
                <w:noProof/>
                <w:lang w:val="en-US"/>
              </w:rPr>
              <w:t>INTRODUCCIÓN</w:t>
            </w:r>
            <w:r w:rsidR="00F61885">
              <w:rPr>
                <w:noProof/>
                <w:webHidden/>
              </w:rPr>
              <w:tab/>
            </w:r>
            <w:r w:rsidR="00F61885">
              <w:rPr>
                <w:noProof/>
                <w:webHidden/>
              </w:rPr>
              <w:fldChar w:fldCharType="begin"/>
            </w:r>
            <w:r w:rsidR="00F61885">
              <w:rPr>
                <w:noProof/>
                <w:webHidden/>
              </w:rPr>
              <w:instrText xml:space="preserve"> PAGEREF _Toc446973133 \h </w:instrText>
            </w:r>
            <w:r w:rsidR="00F61885">
              <w:rPr>
                <w:noProof/>
                <w:webHidden/>
              </w:rPr>
            </w:r>
            <w:r w:rsidR="00F61885">
              <w:rPr>
                <w:noProof/>
                <w:webHidden/>
              </w:rPr>
              <w:fldChar w:fldCharType="separate"/>
            </w:r>
            <w:r>
              <w:rPr>
                <w:noProof/>
                <w:webHidden/>
              </w:rPr>
              <w:t>11</w:t>
            </w:r>
            <w:r w:rsidR="00F61885">
              <w:rPr>
                <w:noProof/>
                <w:webHidden/>
              </w:rPr>
              <w:fldChar w:fldCharType="end"/>
            </w:r>
          </w:hyperlink>
        </w:p>
        <w:p w14:paraId="7AE19ABB"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34" w:history="1">
            <w:r w:rsidR="00F61885" w:rsidRPr="009B0B83">
              <w:rPr>
                <w:rStyle w:val="Hipervnculo"/>
                <w:noProof/>
                <w:lang w:val="en-US"/>
              </w:rPr>
              <w:t>1.</w:t>
            </w:r>
            <w:r w:rsidR="00F61885">
              <w:rPr>
                <w:rFonts w:asciiTheme="minorHAnsi" w:eastAsiaTheme="minorEastAsia" w:hAnsiTheme="minorHAnsi" w:cstheme="minorBidi"/>
                <w:noProof/>
                <w:sz w:val="22"/>
                <w:lang w:eastAsia="es-EC"/>
              </w:rPr>
              <w:tab/>
            </w:r>
            <w:r w:rsidR="00F61885" w:rsidRPr="009B0B83">
              <w:rPr>
                <w:rStyle w:val="Hipervnculo"/>
                <w:noProof/>
                <w:lang w:val="en-US"/>
              </w:rPr>
              <w:t>Planteamiento del problema</w:t>
            </w:r>
            <w:r w:rsidR="00F61885">
              <w:rPr>
                <w:noProof/>
                <w:webHidden/>
              </w:rPr>
              <w:tab/>
            </w:r>
            <w:r w:rsidR="00F61885">
              <w:rPr>
                <w:noProof/>
                <w:webHidden/>
              </w:rPr>
              <w:fldChar w:fldCharType="begin"/>
            </w:r>
            <w:r w:rsidR="00F61885">
              <w:rPr>
                <w:noProof/>
                <w:webHidden/>
              </w:rPr>
              <w:instrText xml:space="preserve"> PAGEREF _Toc446973134 \h </w:instrText>
            </w:r>
            <w:r w:rsidR="00F61885">
              <w:rPr>
                <w:noProof/>
                <w:webHidden/>
              </w:rPr>
            </w:r>
            <w:r w:rsidR="00F61885">
              <w:rPr>
                <w:noProof/>
                <w:webHidden/>
              </w:rPr>
              <w:fldChar w:fldCharType="separate"/>
            </w:r>
            <w:r>
              <w:rPr>
                <w:noProof/>
                <w:webHidden/>
              </w:rPr>
              <w:t>11</w:t>
            </w:r>
            <w:r w:rsidR="00F61885">
              <w:rPr>
                <w:noProof/>
                <w:webHidden/>
              </w:rPr>
              <w:fldChar w:fldCharType="end"/>
            </w:r>
          </w:hyperlink>
        </w:p>
        <w:p w14:paraId="3BF9F0B8"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35" w:history="1">
            <w:r w:rsidR="00F61885" w:rsidRPr="009B0B83">
              <w:rPr>
                <w:rStyle w:val="Hipervnculo"/>
                <w:noProof/>
              </w:rPr>
              <w:t>2.</w:t>
            </w:r>
            <w:r w:rsidR="00F61885">
              <w:rPr>
                <w:rFonts w:asciiTheme="minorHAnsi" w:eastAsiaTheme="minorEastAsia" w:hAnsiTheme="minorHAnsi" w:cstheme="minorBidi"/>
                <w:noProof/>
                <w:sz w:val="22"/>
                <w:lang w:eastAsia="es-EC"/>
              </w:rPr>
              <w:tab/>
            </w:r>
            <w:r w:rsidR="00F61885" w:rsidRPr="009B0B83">
              <w:rPr>
                <w:rStyle w:val="Hipervnculo"/>
                <w:noProof/>
              </w:rPr>
              <w:t>Objetivos de la investigación</w:t>
            </w:r>
            <w:r w:rsidR="00F61885">
              <w:rPr>
                <w:noProof/>
                <w:webHidden/>
              </w:rPr>
              <w:tab/>
            </w:r>
            <w:r w:rsidR="00F61885">
              <w:rPr>
                <w:noProof/>
                <w:webHidden/>
              </w:rPr>
              <w:fldChar w:fldCharType="begin"/>
            </w:r>
            <w:r w:rsidR="00F61885">
              <w:rPr>
                <w:noProof/>
                <w:webHidden/>
              </w:rPr>
              <w:instrText xml:space="preserve"> PAGEREF _Toc446973135 \h </w:instrText>
            </w:r>
            <w:r w:rsidR="00F61885">
              <w:rPr>
                <w:noProof/>
                <w:webHidden/>
              </w:rPr>
            </w:r>
            <w:r w:rsidR="00F61885">
              <w:rPr>
                <w:noProof/>
                <w:webHidden/>
              </w:rPr>
              <w:fldChar w:fldCharType="separate"/>
            </w:r>
            <w:r>
              <w:rPr>
                <w:noProof/>
                <w:webHidden/>
              </w:rPr>
              <w:t>14</w:t>
            </w:r>
            <w:r w:rsidR="00F61885">
              <w:rPr>
                <w:noProof/>
                <w:webHidden/>
              </w:rPr>
              <w:fldChar w:fldCharType="end"/>
            </w:r>
          </w:hyperlink>
        </w:p>
        <w:p w14:paraId="7E949530"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36" w:history="1">
            <w:r w:rsidR="00F61885" w:rsidRPr="009B0B83">
              <w:rPr>
                <w:rStyle w:val="Hipervnculo"/>
                <w:noProof/>
              </w:rPr>
              <w:t>2.1.</w:t>
            </w:r>
            <w:r w:rsidR="00F61885">
              <w:rPr>
                <w:rFonts w:asciiTheme="minorHAnsi" w:eastAsiaTheme="minorEastAsia" w:hAnsiTheme="minorHAnsi" w:cstheme="minorBidi"/>
                <w:noProof/>
                <w:sz w:val="22"/>
                <w:lang w:eastAsia="es-EC"/>
              </w:rPr>
              <w:tab/>
            </w:r>
            <w:r w:rsidR="00F61885" w:rsidRPr="009B0B83">
              <w:rPr>
                <w:rStyle w:val="Hipervnculo"/>
                <w:noProof/>
              </w:rPr>
              <w:t>Objetivo general</w:t>
            </w:r>
            <w:r w:rsidR="00F61885">
              <w:rPr>
                <w:noProof/>
                <w:webHidden/>
              </w:rPr>
              <w:tab/>
            </w:r>
            <w:r w:rsidR="00F61885">
              <w:rPr>
                <w:noProof/>
                <w:webHidden/>
              </w:rPr>
              <w:fldChar w:fldCharType="begin"/>
            </w:r>
            <w:r w:rsidR="00F61885">
              <w:rPr>
                <w:noProof/>
                <w:webHidden/>
              </w:rPr>
              <w:instrText xml:space="preserve"> PAGEREF _Toc446973136 \h </w:instrText>
            </w:r>
            <w:r w:rsidR="00F61885">
              <w:rPr>
                <w:noProof/>
                <w:webHidden/>
              </w:rPr>
            </w:r>
            <w:r w:rsidR="00F61885">
              <w:rPr>
                <w:noProof/>
                <w:webHidden/>
              </w:rPr>
              <w:fldChar w:fldCharType="separate"/>
            </w:r>
            <w:r>
              <w:rPr>
                <w:noProof/>
                <w:webHidden/>
              </w:rPr>
              <w:t>14</w:t>
            </w:r>
            <w:r w:rsidR="00F61885">
              <w:rPr>
                <w:noProof/>
                <w:webHidden/>
              </w:rPr>
              <w:fldChar w:fldCharType="end"/>
            </w:r>
          </w:hyperlink>
        </w:p>
        <w:p w14:paraId="252C442E"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37" w:history="1">
            <w:r w:rsidR="00F61885" w:rsidRPr="009B0B83">
              <w:rPr>
                <w:rStyle w:val="Hipervnculo"/>
                <w:noProof/>
              </w:rPr>
              <w:t>2.2.</w:t>
            </w:r>
            <w:r w:rsidR="00F61885">
              <w:rPr>
                <w:rFonts w:asciiTheme="minorHAnsi" w:eastAsiaTheme="minorEastAsia" w:hAnsiTheme="minorHAnsi" w:cstheme="minorBidi"/>
                <w:noProof/>
                <w:sz w:val="22"/>
                <w:lang w:eastAsia="es-EC"/>
              </w:rPr>
              <w:tab/>
            </w:r>
            <w:r w:rsidR="00F61885" w:rsidRPr="009B0B83">
              <w:rPr>
                <w:rStyle w:val="Hipervnculo"/>
                <w:noProof/>
              </w:rPr>
              <w:t>Objetivos específicos</w:t>
            </w:r>
            <w:r w:rsidR="00F61885">
              <w:rPr>
                <w:noProof/>
                <w:webHidden/>
              </w:rPr>
              <w:tab/>
            </w:r>
            <w:r w:rsidR="00F61885">
              <w:rPr>
                <w:noProof/>
                <w:webHidden/>
              </w:rPr>
              <w:fldChar w:fldCharType="begin"/>
            </w:r>
            <w:r w:rsidR="00F61885">
              <w:rPr>
                <w:noProof/>
                <w:webHidden/>
              </w:rPr>
              <w:instrText xml:space="preserve"> PAGEREF _Toc446973137 \h </w:instrText>
            </w:r>
            <w:r w:rsidR="00F61885">
              <w:rPr>
                <w:noProof/>
                <w:webHidden/>
              </w:rPr>
            </w:r>
            <w:r w:rsidR="00F61885">
              <w:rPr>
                <w:noProof/>
                <w:webHidden/>
              </w:rPr>
              <w:fldChar w:fldCharType="separate"/>
            </w:r>
            <w:r>
              <w:rPr>
                <w:noProof/>
                <w:webHidden/>
              </w:rPr>
              <w:t>14</w:t>
            </w:r>
            <w:r w:rsidR="00F61885">
              <w:rPr>
                <w:noProof/>
                <w:webHidden/>
              </w:rPr>
              <w:fldChar w:fldCharType="end"/>
            </w:r>
          </w:hyperlink>
        </w:p>
        <w:p w14:paraId="2E40685C"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38" w:history="1">
            <w:r w:rsidR="00F61885" w:rsidRPr="009B0B83">
              <w:rPr>
                <w:rStyle w:val="Hipervnculo"/>
                <w:noProof/>
              </w:rPr>
              <w:t>2.3.</w:t>
            </w:r>
            <w:r w:rsidR="00F61885">
              <w:rPr>
                <w:rFonts w:asciiTheme="minorHAnsi" w:eastAsiaTheme="minorEastAsia" w:hAnsiTheme="minorHAnsi" w:cstheme="minorBidi"/>
                <w:noProof/>
                <w:sz w:val="22"/>
                <w:lang w:eastAsia="es-EC"/>
              </w:rPr>
              <w:tab/>
            </w:r>
            <w:r w:rsidR="00F61885" w:rsidRPr="009B0B83">
              <w:rPr>
                <w:rStyle w:val="Hipervnculo"/>
                <w:noProof/>
              </w:rPr>
              <w:t>Justificación de la investigación</w:t>
            </w:r>
            <w:r w:rsidR="00F61885">
              <w:rPr>
                <w:noProof/>
                <w:webHidden/>
              </w:rPr>
              <w:tab/>
            </w:r>
            <w:r w:rsidR="00F61885">
              <w:rPr>
                <w:noProof/>
                <w:webHidden/>
              </w:rPr>
              <w:fldChar w:fldCharType="begin"/>
            </w:r>
            <w:r w:rsidR="00F61885">
              <w:rPr>
                <w:noProof/>
                <w:webHidden/>
              </w:rPr>
              <w:instrText xml:space="preserve"> PAGEREF _Toc446973138 \h </w:instrText>
            </w:r>
            <w:r w:rsidR="00F61885">
              <w:rPr>
                <w:noProof/>
                <w:webHidden/>
              </w:rPr>
            </w:r>
            <w:r w:rsidR="00F61885">
              <w:rPr>
                <w:noProof/>
                <w:webHidden/>
              </w:rPr>
              <w:fldChar w:fldCharType="separate"/>
            </w:r>
            <w:r>
              <w:rPr>
                <w:noProof/>
                <w:webHidden/>
              </w:rPr>
              <w:t>14</w:t>
            </w:r>
            <w:r w:rsidR="00F61885">
              <w:rPr>
                <w:noProof/>
                <w:webHidden/>
              </w:rPr>
              <w:fldChar w:fldCharType="end"/>
            </w:r>
          </w:hyperlink>
        </w:p>
        <w:p w14:paraId="77F06E7B"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39" w:history="1">
            <w:r w:rsidR="00F61885" w:rsidRPr="009B0B83">
              <w:rPr>
                <w:rStyle w:val="Hipervnculo"/>
                <w:noProof/>
              </w:rPr>
              <w:t>2.4.</w:t>
            </w:r>
            <w:r w:rsidR="00F61885">
              <w:rPr>
                <w:rFonts w:asciiTheme="minorHAnsi" w:eastAsiaTheme="minorEastAsia" w:hAnsiTheme="minorHAnsi" w:cstheme="minorBidi"/>
                <w:noProof/>
                <w:sz w:val="22"/>
                <w:lang w:eastAsia="es-EC"/>
              </w:rPr>
              <w:tab/>
            </w:r>
            <w:r w:rsidR="00F61885" w:rsidRPr="009B0B83">
              <w:rPr>
                <w:rStyle w:val="Hipervnculo"/>
                <w:noProof/>
              </w:rPr>
              <w:t>Delimitación de la investigación</w:t>
            </w:r>
            <w:r w:rsidR="00F61885">
              <w:rPr>
                <w:noProof/>
                <w:webHidden/>
              </w:rPr>
              <w:tab/>
            </w:r>
            <w:r w:rsidR="00F61885">
              <w:rPr>
                <w:noProof/>
                <w:webHidden/>
              </w:rPr>
              <w:fldChar w:fldCharType="begin"/>
            </w:r>
            <w:r w:rsidR="00F61885">
              <w:rPr>
                <w:noProof/>
                <w:webHidden/>
              </w:rPr>
              <w:instrText xml:space="preserve"> PAGEREF _Toc446973139 \h </w:instrText>
            </w:r>
            <w:r w:rsidR="00F61885">
              <w:rPr>
                <w:noProof/>
                <w:webHidden/>
              </w:rPr>
            </w:r>
            <w:r w:rsidR="00F61885">
              <w:rPr>
                <w:noProof/>
                <w:webHidden/>
              </w:rPr>
              <w:fldChar w:fldCharType="separate"/>
            </w:r>
            <w:r>
              <w:rPr>
                <w:noProof/>
                <w:webHidden/>
              </w:rPr>
              <w:t>15</w:t>
            </w:r>
            <w:r w:rsidR="00F61885">
              <w:rPr>
                <w:noProof/>
                <w:webHidden/>
              </w:rPr>
              <w:fldChar w:fldCharType="end"/>
            </w:r>
          </w:hyperlink>
        </w:p>
        <w:p w14:paraId="5DCB5573"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0" w:history="1">
            <w:r w:rsidR="00F61885" w:rsidRPr="009B0B83">
              <w:rPr>
                <w:rStyle w:val="Hipervnculo"/>
                <w:noProof/>
              </w:rPr>
              <w:t>2.5.</w:t>
            </w:r>
            <w:r w:rsidR="00F61885">
              <w:rPr>
                <w:rFonts w:asciiTheme="minorHAnsi" w:eastAsiaTheme="minorEastAsia" w:hAnsiTheme="minorHAnsi" w:cstheme="minorBidi"/>
                <w:noProof/>
                <w:sz w:val="22"/>
                <w:lang w:eastAsia="es-EC"/>
              </w:rPr>
              <w:tab/>
            </w:r>
            <w:r w:rsidR="00F61885" w:rsidRPr="009B0B83">
              <w:rPr>
                <w:rStyle w:val="Hipervnculo"/>
                <w:noProof/>
              </w:rPr>
              <w:t>Hipótesis</w:t>
            </w:r>
            <w:r w:rsidR="00F61885">
              <w:rPr>
                <w:noProof/>
                <w:webHidden/>
              </w:rPr>
              <w:tab/>
            </w:r>
            <w:r w:rsidR="00F61885">
              <w:rPr>
                <w:noProof/>
                <w:webHidden/>
              </w:rPr>
              <w:fldChar w:fldCharType="begin"/>
            </w:r>
            <w:r w:rsidR="00F61885">
              <w:rPr>
                <w:noProof/>
                <w:webHidden/>
              </w:rPr>
              <w:instrText xml:space="preserve"> PAGEREF _Toc446973140 \h </w:instrText>
            </w:r>
            <w:r w:rsidR="00F61885">
              <w:rPr>
                <w:noProof/>
                <w:webHidden/>
              </w:rPr>
            </w:r>
            <w:r w:rsidR="00F61885">
              <w:rPr>
                <w:noProof/>
                <w:webHidden/>
              </w:rPr>
              <w:fldChar w:fldCharType="separate"/>
            </w:r>
            <w:r>
              <w:rPr>
                <w:noProof/>
                <w:webHidden/>
              </w:rPr>
              <w:t>15</w:t>
            </w:r>
            <w:r w:rsidR="00F61885">
              <w:rPr>
                <w:noProof/>
                <w:webHidden/>
              </w:rPr>
              <w:fldChar w:fldCharType="end"/>
            </w:r>
          </w:hyperlink>
        </w:p>
        <w:p w14:paraId="5C9A04DA"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1" w:history="1">
            <w:r w:rsidR="00F61885" w:rsidRPr="009B0B83">
              <w:rPr>
                <w:rStyle w:val="Hipervnculo"/>
                <w:noProof/>
              </w:rPr>
              <w:t>2.6.</w:t>
            </w:r>
            <w:r w:rsidR="00F61885">
              <w:rPr>
                <w:rFonts w:asciiTheme="minorHAnsi" w:eastAsiaTheme="minorEastAsia" w:hAnsiTheme="minorHAnsi" w:cstheme="minorBidi"/>
                <w:noProof/>
                <w:sz w:val="22"/>
                <w:lang w:eastAsia="es-EC"/>
              </w:rPr>
              <w:tab/>
            </w:r>
            <w:r w:rsidR="00F61885" w:rsidRPr="009B0B83">
              <w:rPr>
                <w:rStyle w:val="Hipervnculo"/>
                <w:noProof/>
              </w:rPr>
              <w:t>Pregunta de investigación</w:t>
            </w:r>
            <w:r w:rsidR="00F61885">
              <w:rPr>
                <w:noProof/>
                <w:webHidden/>
              </w:rPr>
              <w:tab/>
            </w:r>
            <w:r w:rsidR="00F61885">
              <w:rPr>
                <w:noProof/>
                <w:webHidden/>
              </w:rPr>
              <w:fldChar w:fldCharType="begin"/>
            </w:r>
            <w:r w:rsidR="00F61885">
              <w:rPr>
                <w:noProof/>
                <w:webHidden/>
              </w:rPr>
              <w:instrText xml:space="preserve"> PAGEREF _Toc446973141 \h </w:instrText>
            </w:r>
            <w:r w:rsidR="00F61885">
              <w:rPr>
                <w:noProof/>
                <w:webHidden/>
              </w:rPr>
            </w:r>
            <w:r w:rsidR="00F61885">
              <w:rPr>
                <w:noProof/>
                <w:webHidden/>
              </w:rPr>
              <w:fldChar w:fldCharType="separate"/>
            </w:r>
            <w:r>
              <w:rPr>
                <w:noProof/>
                <w:webHidden/>
              </w:rPr>
              <w:t>16</w:t>
            </w:r>
            <w:r w:rsidR="00F61885">
              <w:rPr>
                <w:noProof/>
                <w:webHidden/>
              </w:rPr>
              <w:fldChar w:fldCharType="end"/>
            </w:r>
          </w:hyperlink>
        </w:p>
        <w:p w14:paraId="1BB90480" w14:textId="77777777" w:rsidR="00F61885" w:rsidRDefault="00B828B8" w:rsidP="00F61885">
          <w:pPr>
            <w:pStyle w:val="TDC1"/>
            <w:rPr>
              <w:rFonts w:asciiTheme="minorHAnsi" w:eastAsiaTheme="minorEastAsia" w:hAnsiTheme="minorHAnsi" w:cstheme="minorBidi"/>
              <w:noProof/>
              <w:sz w:val="22"/>
              <w:lang w:eastAsia="es-EC"/>
            </w:rPr>
          </w:pPr>
          <w:hyperlink w:anchor="_Toc446973142" w:history="1">
            <w:r w:rsidR="00F61885" w:rsidRPr="009B0B83">
              <w:rPr>
                <w:rStyle w:val="Hipervnculo"/>
                <w:noProof/>
              </w:rPr>
              <w:t>MARCO REFERENCIAL</w:t>
            </w:r>
            <w:r w:rsidR="00F61885">
              <w:rPr>
                <w:noProof/>
                <w:webHidden/>
              </w:rPr>
              <w:tab/>
            </w:r>
            <w:r w:rsidR="00F61885">
              <w:rPr>
                <w:noProof/>
                <w:webHidden/>
              </w:rPr>
              <w:fldChar w:fldCharType="begin"/>
            </w:r>
            <w:r w:rsidR="00F61885">
              <w:rPr>
                <w:noProof/>
                <w:webHidden/>
              </w:rPr>
              <w:instrText xml:space="preserve"> PAGEREF _Toc446973142 \h </w:instrText>
            </w:r>
            <w:r w:rsidR="00F61885">
              <w:rPr>
                <w:noProof/>
                <w:webHidden/>
              </w:rPr>
            </w:r>
            <w:r w:rsidR="00F61885">
              <w:rPr>
                <w:noProof/>
                <w:webHidden/>
              </w:rPr>
              <w:fldChar w:fldCharType="separate"/>
            </w:r>
            <w:r>
              <w:rPr>
                <w:noProof/>
                <w:webHidden/>
              </w:rPr>
              <w:t>17</w:t>
            </w:r>
            <w:r w:rsidR="00F61885">
              <w:rPr>
                <w:noProof/>
                <w:webHidden/>
              </w:rPr>
              <w:fldChar w:fldCharType="end"/>
            </w:r>
          </w:hyperlink>
        </w:p>
        <w:p w14:paraId="23EE6C28"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43" w:history="1">
            <w:r w:rsidR="00F61885" w:rsidRPr="009B0B83">
              <w:rPr>
                <w:rStyle w:val="Hipervnculo"/>
                <w:noProof/>
              </w:rPr>
              <w:t>1.</w:t>
            </w:r>
            <w:r w:rsidR="00F61885">
              <w:rPr>
                <w:rFonts w:asciiTheme="minorHAnsi" w:eastAsiaTheme="minorEastAsia" w:hAnsiTheme="minorHAnsi" w:cstheme="minorBidi"/>
                <w:noProof/>
                <w:sz w:val="22"/>
                <w:lang w:eastAsia="es-EC"/>
              </w:rPr>
              <w:tab/>
            </w:r>
            <w:r w:rsidR="00F61885" w:rsidRPr="009B0B83">
              <w:rPr>
                <w:rStyle w:val="Hipervnculo"/>
                <w:noProof/>
              </w:rPr>
              <w:t>Antecedentes</w:t>
            </w:r>
            <w:r w:rsidR="00F61885">
              <w:rPr>
                <w:noProof/>
                <w:webHidden/>
              </w:rPr>
              <w:tab/>
            </w:r>
            <w:r w:rsidR="00F61885">
              <w:rPr>
                <w:noProof/>
                <w:webHidden/>
              </w:rPr>
              <w:fldChar w:fldCharType="begin"/>
            </w:r>
            <w:r w:rsidR="00F61885">
              <w:rPr>
                <w:noProof/>
                <w:webHidden/>
              </w:rPr>
              <w:instrText xml:space="preserve"> PAGEREF _Toc446973143 \h </w:instrText>
            </w:r>
            <w:r w:rsidR="00F61885">
              <w:rPr>
                <w:noProof/>
                <w:webHidden/>
              </w:rPr>
            </w:r>
            <w:r w:rsidR="00F61885">
              <w:rPr>
                <w:noProof/>
                <w:webHidden/>
              </w:rPr>
              <w:fldChar w:fldCharType="separate"/>
            </w:r>
            <w:r>
              <w:rPr>
                <w:noProof/>
                <w:webHidden/>
              </w:rPr>
              <w:t>17</w:t>
            </w:r>
            <w:r w:rsidR="00F61885">
              <w:rPr>
                <w:noProof/>
                <w:webHidden/>
              </w:rPr>
              <w:fldChar w:fldCharType="end"/>
            </w:r>
          </w:hyperlink>
        </w:p>
        <w:p w14:paraId="0CB80337"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44" w:history="1">
            <w:r w:rsidR="00F61885" w:rsidRPr="009B0B83">
              <w:rPr>
                <w:rStyle w:val="Hipervnculo"/>
                <w:noProof/>
              </w:rPr>
              <w:t>2.</w:t>
            </w:r>
            <w:r w:rsidR="00F61885">
              <w:rPr>
                <w:rFonts w:asciiTheme="minorHAnsi" w:eastAsiaTheme="minorEastAsia" w:hAnsiTheme="minorHAnsi" w:cstheme="minorBidi"/>
                <w:noProof/>
                <w:sz w:val="22"/>
                <w:lang w:eastAsia="es-EC"/>
              </w:rPr>
              <w:tab/>
            </w:r>
            <w:r w:rsidR="00F61885" w:rsidRPr="009B0B83">
              <w:rPr>
                <w:rStyle w:val="Hipervnculo"/>
                <w:noProof/>
              </w:rPr>
              <w:t>Marco Teórico</w:t>
            </w:r>
            <w:r w:rsidR="00F61885">
              <w:rPr>
                <w:noProof/>
                <w:webHidden/>
              </w:rPr>
              <w:tab/>
            </w:r>
            <w:r w:rsidR="00F61885">
              <w:rPr>
                <w:noProof/>
                <w:webHidden/>
              </w:rPr>
              <w:fldChar w:fldCharType="begin"/>
            </w:r>
            <w:r w:rsidR="00F61885">
              <w:rPr>
                <w:noProof/>
                <w:webHidden/>
              </w:rPr>
              <w:instrText xml:space="preserve"> PAGEREF _Toc446973144 \h </w:instrText>
            </w:r>
            <w:r w:rsidR="00F61885">
              <w:rPr>
                <w:noProof/>
                <w:webHidden/>
              </w:rPr>
            </w:r>
            <w:r w:rsidR="00F61885">
              <w:rPr>
                <w:noProof/>
                <w:webHidden/>
              </w:rPr>
              <w:fldChar w:fldCharType="separate"/>
            </w:r>
            <w:r>
              <w:rPr>
                <w:noProof/>
                <w:webHidden/>
              </w:rPr>
              <w:t>20</w:t>
            </w:r>
            <w:r w:rsidR="00F61885">
              <w:rPr>
                <w:noProof/>
                <w:webHidden/>
              </w:rPr>
              <w:fldChar w:fldCharType="end"/>
            </w:r>
          </w:hyperlink>
        </w:p>
        <w:p w14:paraId="0A600FCE"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5" w:history="1">
            <w:r w:rsidR="00F61885" w:rsidRPr="009B0B83">
              <w:rPr>
                <w:rStyle w:val="Hipervnculo"/>
                <w:noProof/>
              </w:rPr>
              <w:t>2.1.</w:t>
            </w:r>
            <w:r w:rsidR="00F61885">
              <w:rPr>
                <w:rFonts w:asciiTheme="minorHAnsi" w:eastAsiaTheme="minorEastAsia" w:hAnsiTheme="minorHAnsi" w:cstheme="minorBidi"/>
                <w:noProof/>
                <w:sz w:val="22"/>
                <w:lang w:eastAsia="es-EC"/>
              </w:rPr>
              <w:tab/>
            </w:r>
            <w:r w:rsidR="00F61885" w:rsidRPr="009B0B83">
              <w:rPr>
                <w:rStyle w:val="Hipervnculo"/>
                <w:noProof/>
              </w:rPr>
              <w:t>Negocios internacionales</w:t>
            </w:r>
            <w:r w:rsidR="00F61885">
              <w:rPr>
                <w:noProof/>
                <w:webHidden/>
              </w:rPr>
              <w:tab/>
            </w:r>
            <w:r w:rsidR="00F61885">
              <w:rPr>
                <w:noProof/>
                <w:webHidden/>
              </w:rPr>
              <w:fldChar w:fldCharType="begin"/>
            </w:r>
            <w:r w:rsidR="00F61885">
              <w:rPr>
                <w:noProof/>
                <w:webHidden/>
              </w:rPr>
              <w:instrText xml:space="preserve"> PAGEREF _Toc446973145 \h </w:instrText>
            </w:r>
            <w:r w:rsidR="00F61885">
              <w:rPr>
                <w:noProof/>
                <w:webHidden/>
              </w:rPr>
            </w:r>
            <w:r w:rsidR="00F61885">
              <w:rPr>
                <w:noProof/>
                <w:webHidden/>
              </w:rPr>
              <w:fldChar w:fldCharType="separate"/>
            </w:r>
            <w:r>
              <w:rPr>
                <w:noProof/>
                <w:webHidden/>
              </w:rPr>
              <w:t>20</w:t>
            </w:r>
            <w:r w:rsidR="00F61885">
              <w:rPr>
                <w:noProof/>
                <w:webHidden/>
              </w:rPr>
              <w:fldChar w:fldCharType="end"/>
            </w:r>
          </w:hyperlink>
        </w:p>
        <w:p w14:paraId="224AF581"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6" w:history="1">
            <w:r w:rsidR="00F61885" w:rsidRPr="009B0B83">
              <w:rPr>
                <w:rStyle w:val="Hipervnculo"/>
                <w:noProof/>
              </w:rPr>
              <w:t>2.2.</w:t>
            </w:r>
            <w:r w:rsidR="00F61885">
              <w:rPr>
                <w:rFonts w:asciiTheme="minorHAnsi" w:eastAsiaTheme="minorEastAsia" w:hAnsiTheme="minorHAnsi" w:cstheme="minorBidi"/>
                <w:noProof/>
                <w:sz w:val="22"/>
                <w:lang w:eastAsia="es-EC"/>
              </w:rPr>
              <w:tab/>
            </w:r>
            <w:r w:rsidR="00F61885" w:rsidRPr="009B0B83">
              <w:rPr>
                <w:rStyle w:val="Hipervnculo"/>
                <w:noProof/>
              </w:rPr>
              <w:t>Exportación</w:t>
            </w:r>
            <w:r w:rsidR="00F61885">
              <w:rPr>
                <w:noProof/>
                <w:webHidden/>
              </w:rPr>
              <w:tab/>
            </w:r>
            <w:r w:rsidR="00F61885">
              <w:rPr>
                <w:noProof/>
                <w:webHidden/>
              </w:rPr>
              <w:fldChar w:fldCharType="begin"/>
            </w:r>
            <w:r w:rsidR="00F61885">
              <w:rPr>
                <w:noProof/>
                <w:webHidden/>
              </w:rPr>
              <w:instrText xml:space="preserve"> PAGEREF _Toc446973146 \h </w:instrText>
            </w:r>
            <w:r w:rsidR="00F61885">
              <w:rPr>
                <w:noProof/>
                <w:webHidden/>
              </w:rPr>
            </w:r>
            <w:r w:rsidR="00F61885">
              <w:rPr>
                <w:noProof/>
                <w:webHidden/>
              </w:rPr>
              <w:fldChar w:fldCharType="separate"/>
            </w:r>
            <w:r>
              <w:rPr>
                <w:noProof/>
                <w:webHidden/>
              </w:rPr>
              <w:t>20</w:t>
            </w:r>
            <w:r w:rsidR="00F61885">
              <w:rPr>
                <w:noProof/>
                <w:webHidden/>
              </w:rPr>
              <w:fldChar w:fldCharType="end"/>
            </w:r>
          </w:hyperlink>
        </w:p>
        <w:p w14:paraId="30B91B06"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7" w:history="1">
            <w:r w:rsidR="00F61885" w:rsidRPr="009B0B83">
              <w:rPr>
                <w:rStyle w:val="Hipervnculo"/>
                <w:noProof/>
              </w:rPr>
              <w:t>2.3.</w:t>
            </w:r>
            <w:r w:rsidR="00F61885">
              <w:rPr>
                <w:rFonts w:asciiTheme="minorHAnsi" w:eastAsiaTheme="minorEastAsia" w:hAnsiTheme="minorHAnsi" w:cstheme="minorBidi"/>
                <w:noProof/>
                <w:sz w:val="22"/>
                <w:lang w:eastAsia="es-EC"/>
              </w:rPr>
              <w:tab/>
            </w:r>
            <w:r w:rsidR="00F61885" w:rsidRPr="009B0B83">
              <w:rPr>
                <w:rStyle w:val="Hipervnculo"/>
                <w:noProof/>
              </w:rPr>
              <w:t>Estados Financieros</w:t>
            </w:r>
            <w:r w:rsidR="00F61885">
              <w:rPr>
                <w:noProof/>
                <w:webHidden/>
              </w:rPr>
              <w:tab/>
            </w:r>
            <w:r w:rsidR="00F61885">
              <w:rPr>
                <w:noProof/>
                <w:webHidden/>
              </w:rPr>
              <w:fldChar w:fldCharType="begin"/>
            </w:r>
            <w:r w:rsidR="00F61885">
              <w:rPr>
                <w:noProof/>
                <w:webHidden/>
              </w:rPr>
              <w:instrText xml:space="preserve"> PAGEREF _Toc446973147 \h </w:instrText>
            </w:r>
            <w:r w:rsidR="00F61885">
              <w:rPr>
                <w:noProof/>
                <w:webHidden/>
              </w:rPr>
            </w:r>
            <w:r w:rsidR="00F61885">
              <w:rPr>
                <w:noProof/>
                <w:webHidden/>
              </w:rPr>
              <w:fldChar w:fldCharType="separate"/>
            </w:r>
            <w:r>
              <w:rPr>
                <w:noProof/>
                <w:webHidden/>
              </w:rPr>
              <w:t>23</w:t>
            </w:r>
            <w:r w:rsidR="00F61885">
              <w:rPr>
                <w:noProof/>
                <w:webHidden/>
              </w:rPr>
              <w:fldChar w:fldCharType="end"/>
            </w:r>
          </w:hyperlink>
        </w:p>
        <w:p w14:paraId="484E81C2"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8" w:history="1">
            <w:r w:rsidR="00F61885" w:rsidRPr="009B0B83">
              <w:rPr>
                <w:rStyle w:val="Hipervnculo"/>
                <w:noProof/>
              </w:rPr>
              <w:t>2.4.</w:t>
            </w:r>
            <w:r w:rsidR="00F61885">
              <w:rPr>
                <w:rFonts w:asciiTheme="minorHAnsi" w:eastAsiaTheme="minorEastAsia" w:hAnsiTheme="minorHAnsi" w:cstheme="minorBidi"/>
                <w:noProof/>
                <w:sz w:val="22"/>
                <w:lang w:eastAsia="es-EC"/>
              </w:rPr>
              <w:tab/>
            </w:r>
            <w:r w:rsidR="00F61885" w:rsidRPr="009B0B83">
              <w:rPr>
                <w:rStyle w:val="Hipervnculo"/>
                <w:noProof/>
              </w:rPr>
              <w:t>Análisis DUPONT</w:t>
            </w:r>
            <w:r w:rsidR="00F61885">
              <w:rPr>
                <w:noProof/>
                <w:webHidden/>
              </w:rPr>
              <w:tab/>
            </w:r>
            <w:r w:rsidR="00F61885">
              <w:rPr>
                <w:noProof/>
                <w:webHidden/>
              </w:rPr>
              <w:fldChar w:fldCharType="begin"/>
            </w:r>
            <w:r w:rsidR="00F61885">
              <w:rPr>
                <w:noProof/>
                <w:webHidden/>
              </w:rPr>
              <w:instrText xml:space="preserve"> PAGEREF _Toc446973148 \h </w:instrText>
            </w:r>
            <w:r w:rsidR="00F61885">
              <w:rPr>
                <w:noProof/>
                <w:webHidden/>
              </w:rPr>
            </w:r>
            <w:r w:rsidR="00F61885">
              <w:rPr>
                <w:noProof/>
                <w:webHidden/>
              </w:rPr>
              <w:fldChar w:fldCharType="separate"/>
            </w:r>
            <w:r>
              <w:rPr>
                <w:noProof/>
                <w:webHidden/>
              </w:rPr>
              <w:t>24</w:t>
            </w:r>
            <w:r w:rsidR="00F61885">
              <w:rPr>
                <w:noProof/>
                <w:webHidden/>
              </w:rPr>
              <w:fldChar w:fldCharType="end"/>
            </w:r>
          </w:hyperlink>
        </w:p>
        <w:p w14:paraId="06D4BB62"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49" w:history="1">
            <w:r w:rsidR="00F61885" w:rsidRPr="009B0B83">
              <w:rPr>
                <w:rStyle w:val="Hipervnculo"/>
                <w:noProof/>
              </w:rPr>
              <w:t>2.5.</w:t>
            </w:r>
            <w:r w:rsidR="00F61885">
              <w:rPr>
                <w:rFonts w:asciiTheme="minorHAnsi" w:eastAsiaTheme="minorEastAsia" w:hAnsiTheme="minorHAnsi" w:cstheme="minorBidi"/>
                <w:noProof/>
                <w:sz w:val="22"/>
                <w:lang w:eastAsia="es-EC"/>
              </w:rPr>
              <w:tab/>
            </w:r>
            <w:r w:rsidR="00F61885" w:rsidRPr="009B0B83">
              <w:rPr>
                <w:rStyle w:val="Hipervnculo"/>
                <w:noProof/>
              </w:rPr>
              <w:t>Quinua</w:t>
            </w:r>
            <w:r w:rsidR="00F61885">
              <w:rPr>
                <w:noProof/>
                <w:webHidden/>
              </w:rPr>
              <w:tab/>
            </w:r>
            <w:r w:rsidR="00F61885">
              <w:rPr>
                <w:noProof/>
                <w:webHidden/>
              </w:rPr>
              <w:fldChar w:fldCharType="begin"/>
            </w:r>
            <w:r w:rsidR="00F61885">
              <w:rPr>
                <w:noProof/>
                <w:webHidden/>
              </w:rPr>
              <w:instrText xml:space="preserve"> PAGEREF _Toc446973149 \h </w:instrText>
            </w:r>
            <w:r w:rsidR="00F61885">
              <w:rPr>
                <w:noProof/>
                <w:webHidden/>
              </w:rPr>
            </w:r>
            <w:r w:rsidR="00F61885">
              <w:rPr>
                <w:noProof/>
                <w:webHidden/>
              </w:rPr>
              <w:fldChar w:fldCharType="separate"/>
            </w:r>
            <w:r>
              <w:rPr>
                <w:noProof/>
                <w:webHidden/>
              </w:rPr>
              <w:t>25</w:t>
            </w:r>
            <w:r w:rsidR="00F61885">
              <w:rPr>
                <w:noProof/>
                <w:webHidden/>
              </w:rPr>
              <w:fldChar w:fldCharType="end"/>
            </w:r>
          </w:hyperlink>
        </w:p>
        <w:p w14:paraId="2A255227" w14:textId="77777777" w:rsidR="00F61885" w:rsidRDefault="00B828B8" w:rsidP="00F61885">
          <w:pPr>
            <w:pStyle w:val="TDC1"/>
            <w:rPr>
              <w:rFonts w:asciiTheme="minorHAnsi" w:eastAsiaTheme="minorEastAsia" w:hAnsiTheme="minorHAnsi" w:cstheme="minorBidi"/>
              <w:noProof/>
              <w:sz w:val="22"/>
              <w:lang w:eastAsia="es-EC"/>
            </w:rPr>
          </w:pPr>
          <w:hyperlink w:anchor="_Toc446973150" w:history="1">
            <w:r w:rsidR="00F61885" w:rsidRPr="009B0B83">
              <w:rPr>
                <w:rStyle w:val="Hipervnculo"/>
                <w:noProof/>
              </w:rPr>
              <w:t>MARCO METODOLÓGICO</w:t>
            </w:r>
            <w:r w:rsidR="00F61885">
              <w:rPr>
                <w:noProof/>
                <w:webHidden/>
              </w:rPr>
              <w:tab/>
            </w:r>
            <w:r w:rsidR="00F61885">
              <w:rPr>
                <w:noProof/>
                <w:webHidden/>
              </w:rPr>
              <w:fldChar w:fldCharType="begin"/>
            </w:r>
            <w:r w:rsidR="00F61885">
              <w:rPr>
                <w:noProof/>
                <w:webHidden/>
              </w:rPr>
              <w:instrText xml:space="preserve"> PAGEREF _Toc446973150 \h </w:instrText>
            </w:r>
            <w:r w:rsidR="00F61885">
              <w:rPr>
                <w:noProof/>
                <w:webHidden/>
              </w:rPr>
            </w:r>
            <w:r w:rsidR="00F61885">
              <w:rPr>
                <w:noProof/>
                <w:webHidden/>
              </w:rPr>
              <w:fldChar w:fldCharType="separate"/>
            </w:r>
            <w:r>
              <w:rPr>
                <w:noProof/>
                <w:webHidden/>
              </w:rPr>
              <w:t>33</w:t>
            </w:r>
            <w:r w:rsidR="00F61885">
              <w:rPr>
                <w:noProof/>
                <w:webHidden/>
              </w:rPr>
              <w:fldChar w:fldCharType="end"/>
            </w:r>
          </w:hyperlink>
        </w:p>
        <w:p w14:paraId="74CD7ACE"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1" w:history="1">
            <w:r w:rsidR="00F61885" w:rsidRPr="009B0B83">
              <w:rPr>
                <w:rStyle w:val="Hipervnculo"/>
                <w:noProof/>
              </w:rPr>
              <w:t>1.</w:t>
            </w:r>
            <w:r w:rsidR="00F61885">
              <w:rPr>
                <w:rFonts w:asciiTheme="minorHAnsi" w:eastAsiaTheme="minorEastAsia" w:hAnsiTheme="minorHAnsi" w:cstheme="minorBidi"/>
                <w:noProof/>
                <w:sz w:val="22"/>
                <w:lang w:eastAsia="es-EC"/>
              </w:rPr>
              <w:tab/>
            </w:r>
            <w:r w:rsidR="00F61885" w:rsidRPr="009B0B83">
              <w:rPr>
                <w:rStyle w:val="Hipervnculo"/>
                <w:noProof/>
              </w:rPr>
              <w:t>Tipo de investigación</w:t>
            </w:r>
            <w:r w:rsidR="00F61885">
              <w:rPr>
                <w:noProof/>
                <w:webHidden/>
              </w:rPr>
              <w:tab/>
            </w:r>
            <w:r w:rsidR="00F61885">
              <w:rPr>
                <w:noProof/>
                <w:webHidden/>
              </w:rPr>
              <w:fldChar w:fldCharType="begin"/>
            </w:r>
            <w:r w:rsidR="00F61885">
              <w:rPr>
                <w:noProof/>
                <w:webHidden/>
              </w:rPr>
              <w:instrText xml:space="preserve"> PAGEREF _Toc446973151 \h </w:instrText>
            </w:r>
            <w:r w:rsidR="00F61885">
              <w:rPr>
                <w:noProof/>
                <w:webHidden/>
              </w:rPr>
            </w:r>
            <w:r w:rsidR="00F61885">
              <w:rPr>
                <w:noProof/>
                <w:webHidden/>
              </w:rPr>
              <w:fldChar w:fldCharType="separate"/>
            </w:r>
            <w:r>
              <w:rPr>
                <w:noProof/>
                <w:webHidden/>
              </w:rPr>
              <w:t>33</w:t>
            </w:r>
            <w:r w:rsidR="00F61885">
              <w:rPr>
                <w:noProof/>
                <w:webHidden/>
              </w:rPr>
              <w:fldChar w:fldCharType="end"/>
            </w:r>
          </w:hyperlink>
        </w:p>
        <w:p w14:paraId="09ED2C79"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2" w:history="1">
            <w:r w:rsidR="00F61885" w:rsidRPr="009B0B83">
              <w:rPr>
                <w:rStyle w:val="Hipervnculo"/>
                <w:noProof/>
              </w:rPr>
              <w:t>2.</w:t>
            </w:r>
            <w:r w:rsidR="00F61885">
              <w:rPr>
                <w:rFonts w:asciiTheme="minorHAnsi" w:eastAsiaTheme="minorEastAsia" w:hAnsiTheme="minorHAnsi" w:cstheme="minorBidi"/>
                <w:noProof/>
                <w:sz w:val="22"/>
                <w:lang w:eastAsia="es-EC"/>
              </w:rPr>
              <w:tab/>
            </w:r>
            <w:r w:rsidR="00F61885" w:rsidRPr="009B0B83">
              <w:rPr>
                <w:rStyle w:val="Hipervnculo"/>
                <w:noProof/>
              </w:rPr>
              <w:t>Diseño de la investigación</w:t>
            </w:r>
            <w:r w:rsidR="00F61885">
              <w:rPr>
                <w:noProof/>
                <w:webHidden/>
              </w:rPr>
              <w:tab/>
            </w:r>
            <w:r w:rsidR="00F61885">
              <w:rPr>
                <w:noProof/>
                <w:webHidden/>
              </w:rPr>
              <w:fldChar w:fldCharType="begin"/>
            </w:r>
            <w:r w:rsidR="00F61885">
              <w:rPr>
                <w:noProof/>
                <w:webHidden/>
              </w:rPr>
              <w:instrText xml:space="preserve"> PAGEREF _Toc446973152 \h </w:instrText>
            </w:r>
            <w:r w:rsidR="00F61885">
              <w:rPr>
                <w:noProof/>
                <w:webHidden/>
              </w:rPr>
            </w:r>
            <w:r w:rsidR="00F61885">
              <w:rPr>
                <w:noProof/>
                <w:webHidden/>
              </w:rPr>
              <w:fldChar w:fldCharType="separate"/>
            </w:r>
            <w:r>
              <w:rPr>
                <w:noProof/>
                <w:webHidden/>
              </w:rPr>
              <w:t>33</w:t>
            </w:r>
            <w:r w:rsidR="00F61885">
              <w:rPr>
                <w:noProof/>
                <w:webHidden/>
              </w:rPr>
              <w:fldChar w:fldCharType="end"/>
            </w:r>
          </w:hyperlink>
        </w:p>
        <w:p w14:paraId="6ACFC657"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3" w:history="1">
            <w:r w:rsidR="00F61885" w:rsidRPr="009B0B83">
              <w:rPr>
                <w:rStyle w:val="Hipervnculo"/>
                <w:noProof/>
              </w:rPr>
              <w:t>3.</w:t>
            </w:r>
            <w:r w:rsidR="00F61885">
              <w:rPr>
                <w:rFonts w:asciiTheme="minorHAnsi" w:eastAsiaTheme="minorEastAsia" w:hAnsiTheme="minorHAnsi" w:cstheme="minorBidi"/>
                <w:noProof/>
                <w:sz w:val="22"/>
                <w:lang w:eastAsia="es-EC"/>
              </w:rPr>
              <w:tab/>
            </w:r>
            <w:r w:rsidR="00F61885" w:rsidRPr="009B0B83">
              <w:rPr>
                <w:rStyle w:val="Hipervnculo"/>
                <w:noProof/>
              </w:rPr>
              <w:t>Población</w:t>
            </w:r>
            <w:r w:rsidR="00F61885">
              <w:rPr>
                <w:noProof/>
                <w:webHidden/>
              </w:rPr>
              <w:tab/>
            </w:r>
            <w:r w:rsidR="00F61885">
              <w:rPr>
                <w:noProof/>
                <w:webHidden/>
              </w:rPr>
              <w:fldChar w:fldCharType="begin"/>
            </w:r>
            <w:r w:rsidR="00F61885">
              <w:rPr>
                <w:noProof/>
                <w:webHidden/>
              </w:rPr>
              <w:instrText xml:space="preserve"> PAGEREF _Toc446973153 \h </w:instrText>
            </w:r>
            <w:r w:rsidR="00F61885">
              <w:rPr>
                <w:noProof/>
                <w:webHidden/>
              </w:rPr>
            </w:r>
            <w:r w:rsidR="00F61885">
              <w:rPr>
                <w:noProof/>
                <w:webHidden/>
              </w:rPr>
              <w:fldChar w:fldCharType="separate"/>
            </w:r>
            <w:r>
              <w:rPr>
                <w:noProof/>
                <w:webHidden/>
              </w:rPr>
              <w:t>35</w:t>
            </w:r>
            <w:r w:rsidR="00F61885">
              <w:rPr>
                <w:noProof/>
                <w:webHidden/>
              </w:rPr>
              <w:fldChar w:fldCharType="end"/>
            </w:r>
          </w:hyperlink>
        </w:p>
        <w:p w14:paraId="3FF8F423"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4" w:history="1">
            <w:r w:rsidR="00F61885" w:rsidRPr="009B0B83">
              <w:rPr>
                <w:rStyle w:val="Hipervnculo"/>
                <w:noProof/>
              </w:rPr>
              <w:t>4.</w:t>
            </w:r>
            <w:r w:rsidR="00F61885">
              <w:rPr>
                <w:rFonts w:asciiTheme="minorHAnsi" w:eastAsiaTheme="minorEastAsia" w:hAnsiTheme="minorHAnsi" w:cstheme="minorBidi"/>
                <w:noProof/>
                <w:sz w:val="22"/>
                <w:lang w:eastAsia="es-EC"/>
              </w:rPr>
              <w:tab/>
            </w:r>
            <w:r w:rsidR="00F61885" w:rsidRPr="009B0B83">
              <w:rPr>
                <w:rStyle w:val="Hipervnculo"/>
                <w:noProof/>
              </w:rPr>
              <w:t>Técnica de observación</w:t>
            </w:r>
            <w:r w:rsidR="00F61885">
              <w:rPr>
                <w:noProof/>
                <w:webHidden/>
              </w:rPr>
              <w:tab/>
            </w:r>
            <w:r w:rsidR="00F61885">
              <w:rPr>
                <w:noProof/>
                <w:webHidden/>
              </w:rPr>
              <w:fldChar w:fldCharType="begin"/>
            </w:r>
            <w:r w:rsidR="00F61885">
              <w:rPr>
                <w:noProof/>
                <w:webHidden/>
              </w:rPr>
              <w:instrText xml:space="preserve"> PAGEREF _Toc446973154 \h </w:instrText>
            </w:r>
            <w:r w:rsidR="00F61885">
              <w:rPr>
                <w:noProof/>
                <w:webHidden/>
              </w:rPr>
            </w:r>
            <w:r w:rsidR="00F61885">
              <w:rPr>
                <w:noProof/>
                <w:webHidden/>
              </w:rPr>
              <w:fldChar w:fldCharType="separate"/>
            </w:r>
            <w:r>
              <w:rPr>
                <w:noProof/>
                <w:webHidden/>
              </w:rPr>
              <w:t>35</w:t>
            </w:r>
            <w:r w:rsidR="00F61885">
              <w:rPr>
                <w:noProof/>
                <w:webHidden/>
              </w:rPr>
              <w:fldChar w:fldCharType="end"/>
            </w:r>
          </w:hyperlink>
        </w:p>
        <w:p w14:paraId="4CBAB85C"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5" w:history="1">
            <w:r w:rsidR="00F61885" w:rsidRPr="009B0B83">
              <w:rPr>
                <w:rStyle w:val="Hipervnculo"/>
                <w:noProof/>
              </w:rPr>
              <w:t>5.</w:t>
            </w:r>
            <w:r w:rsidR="00F61885">
              <w:rPr>
                <w:rFonts w:asciiTheme="minorHAnsi" w:eastAsiaTheme="minorEastAsia" w:hAnsiTheme="minorHAnsi" w:cstheme="minorBidi"/>
                <w:noProof/>
                <w:sz w:val="22"/>
                <w:lang w:eastAsia="es-EC"/>
              </w:rPr>
              <w:tab/>
            </w:r>
            <w:r w:rsidR="00F61885" w:rsidRPr="009B0B83">
              <w:rPr>
                <w:rStyle w:val="Hipervnculo"/>
                <w:noProof/>
              </w:rPr>
              <w:t>Validez de la investigación</w:t>
            </w:r>
            <w:r w:rsidR="00F61885">
              <w:rPr>
                <w:noProof/>
                <w:webHidden/>
              </w:rPr>
              <w:tab/>
            </w:r>
            <w:r w:rsidR="00F61885">
              <w:rPr>
                <w:noProof/>
                <w:webHidden/>
              </w:rPr>
              <w:fldChar w:fldCharType="begin"/>
            </w:r>
            <w:r w:rsidR="00F61885">
              <w:rPr>
                <w:noProof/>
                <w:webHidden/>
              </w:rPr>
              <w:instrText xml:space="preserve"> PAGEREF _Toc446973155 \h </w:instrText>
            </w:r>
            <w:r w:rsidR="00F61885">
              <w:rPr>
                <w:noProof/>
                <w:webHidden/>
              </w:rPr>
            </w:r>
            <w:r w:rsidR="00F61885">
              <w:rPr>
                <w:noProof/>
                <w:webHidden/>
              </w:rPr>
              <w:fldChar w:fldCharType="separate"/>
            </w:r>
            <w:r>
              <w:rPr>
                <w:noProof/>
                <w:webHidden/>
              </w:rPr>
              <w:t>35</w:t>
            </w:r>
            <w:r w:rsidR="00F61885">
              <w:rPr>
                <w:noProof/>
                <w:webHidden/>
              </w:rPr>
              <w:fldChar w:fldCharType="end"/>
            </w:r>
          </w:hyperlink>
        </w:p>
        <w:p w14:paraId="323F6C80"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6" w:history="1">
            <w:r w:rsidR="00F61885" w:rsidRPr="009B0B83">
              <w:rPr>
                <w:rStyle w:val="Hipervnculo"/>
                <w:noProof/>
              </w:rPr>
              <w:t>6.</w:t>
            </w:r>
            <w:r w:rsidR="00F61885">
              <w:rPr>
                <w:rFonts w:asciiTheme="minorHAnsi" w:eastAsiaTheme="minorEastAsia" w:hAnsiTheme="minorHAnsi" w:cstheme="minorBidi"/>
                <w:noProof/>
                <w:sz w:val="22"/>
                <w:lang w:eastAsia="es-EC"/>
              </w:rPr>
              <w:tab/>
            </w:r>
            <w:r w:rsidR="00F61885" w:rsidRPr="009B0B83">
              <w:rPr>
                <w:rStyle w:val="Hipervnculo"/>
                <w:noProof/>
              </w:rPr>
              <w:t>Técnica de análisis de datos</w:t>
            </w:r>
            <w:r w:rsidR="00F61885">
              <w:rPr>
                <w:noProof/>
                <w:webHidden/>
              </w:rPr>
              <w:tab/>
            </w:r>
            <w:r w:rsidR="00F61885">
              <w:rPr>
                <w:noProof/>
                <w:webHidden/>
              </w:rPr>
              <w:fldChar w:fldCharType="begin"/>
            </w:r>
            <w:r w:rsidR="00F61885">
              <w:rPr>
                <w:noProof/>
                <w:webHidden/>
              </w:rPr>
              <w:instrText xml:space="preserve"> PAGEREF _Toc446973156 \h </w:instrText>
            </w:r>
            <w:r w:rsidR="00F61885">
              <w:rPr>
                <w:noProof/>
                <w:webHidden/>
              </w:rPr>
            </w:r>
            <w:r w:rsidR="00F61885">
              <w:rPr>
                <w:noProof/>
                <w:webHidden/>
              </w:rPr>
              <w:fldChar w:fldCharType="separate"/>
            </w:r>
            <w:r>
              <w:rPr>
                <w:noProof/>
                <w:webHidden/>
              </w:rPr>
              <w:t>35</w:t>
            </w:r>
            <w:r w:rsidR="00F61885">
              <w:rPr>
                <w:noProof/>
                <w:webHidden/>
              </w:rPr>
              <w:fldChar w:fldCharType="end"/>
            </w:r>
          </w:hyperlink>
        </w:p>
        <w:p w14:paraId="4632447D" w14:textId="77777777" w:rsidR="00F61885" w:rsidRDefault="00B828B8" w:rsidP="00F61885">
          <w:pPr>
            <w:pStyle w:val="TDC1"/>
            <w:rPr>
              <w:rFonts w:asciiTheme="minorHAnsi" w:eastAsiaTheme="minorEastAsia" w:hAnsiTheme="minorHAnsi" w:cstheme="minorBidi"/>
              <w:noProof/>
              <w:sz w:val="22"/>
              <w:lang w:eastAsia="es-EC"/>
            </w:rPr>
          </w:pPr>
          <w:hyperlink w:anchor="_Toc446973157" w:history="1">
            <w:r w:rsidR="00F61885" w:rsidRPr="009B0B83">
              <w:rPr>
                <w:rStyle w:val="Hipervnculo"/>
                <w:noProof/>
              </w:rPr>
              <w:t>HALLAZGOS</w:t>
            </w:r>
            <w:r w:rsidR="00F61885">
              <w:rPr>
                <w:noProof/>
                <w:webHidden/>
              </w:rPr>
              <w:tab/>
            </w:r>
            <w:r w:rsidR="00F61885">
              <w:rPr>
                <w:noProof/>
                <w:webHidden/>
              </w:rPr>
              <w:fldChar w:fldCharType="begin"/>
            </w:r>
            <w:r w:rsidR="00F61885">
              <w:rPr>
                <w:noProof/>
                <w:webHidden/>
              </w:rPr>
              <w:instrText xml:space="preserve"> PAGEREF _Toc446973157 \h </w:instrText>
            </w:r>
            <w:r w:rsidR="00F61885">
              <w:rPr>
                <w:noProof/>
                <w:webHidden/>
              </w:rPr>
            </w:r>
            <w:r w:rsidR="00F61885">
              <w:rPr>
                <w:noProof/>
                <w:webHidden/>
              </w:rPr>
              <w:fldChar w:fldCharType="separate"/>
            </w:r>
            <w:r>
              <w:rPr>
                <w:noProof/>
                <w:webHidden/>
              </w:rPr>
              <w:t>37</w:t>
            </w:r>
            <w:r w:rsidR="00F61885">
              <w:rPr>
                <w:noProof/>
                <w:webHidden/>
              </w:rPr>
              <w:fldChar w:fldCharType="end"/>
            </w:r>
          </w:hyperlink>
        </w:p>
        <w:p w14:paraId="117A4F06"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58" w:history="1">
            <w:r w:rsidR="00F61885" w:rsidRPr="009B0B83">
              <w:rPr>
                <w:rStyle w:val="Hipervnculo"/>
                <w:noProof/>
                <w:lang w:eastAsia="es-EC"/>
              </w:rPr>
              <w:t>1.</w:t>
            </w:r>
            <w:r w:rsidR="00F61885">
              <w:rPr>
                <w:rFonts w:asciiTheme="minorHAnsi" w:eastAsiaTheme="minorEastAsia" w:hAnsiTheme="minorHAnsi" w:cstheme="minorBidi"/>
                <w:noProof/>
                <w:sz w:val="22"/>
                <w:lang w:eastAsia="es-EC"/>
              </w:rPr>
              <w:tab/>
            </w:r>
            <w:r w:rsidR="00F61885" w:rsidRPr="009B0B83">
              <w:rPr>
                <w:rStyle w:val="Hipervnculo"/>
                <w:noProof/>
                <w:lang w:eastAsia="es-EC"/>
              </w:rPr>
              <w:t>Francia como mercado destino</w:t>
            </w:r>
            <w:r w:rsidR="00F61885">
              <w:rPr>
                <w:noProof/>
                <w:webHidden/>
              </w:rPr>
              <w:tab/>
            </w:r>
            <w:r w:rsidR="00F61885">
              <w:rPr>
                <w:noProof/>
                <w:webHidden/>
              </w:rPr>
              <w:fldChar w:fldCharType="begin"/>
            </w:r>
            <w:r w:rsidR="00F61885">
              <w:rPr>
                <w:noProof/>
                <w:webHidden/>
              </w:rPr>
              <w:instrText xml:space="preserve"> PAGEREF _Toc446973158 \h </w:instrText>
            </w:r>
            <w:r w:rsidR="00F61885">
              <w:rPr>
                <w:noProof/>
                <w:webHidden/>
              </w:rPr>
            </w:r>
            <w:r w:rsidR="00F61885">
              <w:rPr>
                <w:noProof/>
                <w:webHidden/>
              </w:rPr>
              <w:fldChar w:fldCharType="separate"/>
            </w:r>
            <w:r>
              <w:rPr>
                <w:noProof/>
                <w:webHidden/>
              </w:rPr>
              <w:t>37</w:t>
            </w:r>
            <w:r w:rsidR="00F61885">
              <w:rPr>
                <w:noProof/>
                <w:webHidden/>
              </w:rPr>
              <w:fldChar w:fldCharType="end"/>
            </w:r>
          </w:hyperlink>
        </w:p>
        <w:p w14:paraId="1C3643F7"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59" w:history="1">
            <w:r w:rsidR="00F61885" w:rsidRPr="009B0B83">
              <w:rPr>
                <w:rStyle w:val="Hipervnculo"/>
                <w:noProof/>
              </w:rPr>
              <w:t>1.1.</w:t>
            </w:r>
            <w:r w:rsidR="00F61885">
              <w:rPr>
                <w:rFonts w:asciiTheme="minorHAnsi" w:eastAsiaTheme="minorEastAsia" w:hAnsiTheme="minorHAnsi" w:cstheme="minorBidi"/>
                <w:noProof/>
                <w:sz w:val="22"/>
                <w:lang w:eastAsia="es-EC"/>
              </w:rPr>
              <w:tab/>
            </w:r>
            <w:r w:rsidR="00F61885" w:rsidRPr="009B0B83">
              <w:rPr>
                <w:rStyle w:val="Hipervnculo"/>
                <w:noProof/>
              </w:rPr>
              <w:t>Estadísticas de importación</w:t>
            </w:r>
            <w:r w:rsidR="00F61885">
              <w:rPr>
                <w:noProof/>
                <w:webHidden/>
              </w:rPr>
              <w:tab/>
            </w:r>
            <w:r w:rsidR="00F61885">
              <w:rPr>
                <w:noProof/>
                <w:webHidden/>
              </w:rPr>
              <w:fldChar w:fldCharType="begin"/>
            </w:r>
            <w:r w:rsidR="00F61885">
              <w:rPr>
                <w:noProof/>
                <w:webHidden/>
              </w:rPr>
              <w:instrText xml:space="preserve"> PAGEREF _Toc446973159 \h </w:instrText>
            </w:r>
            <w:r w:rsidR="00F61885">
              <w:rPr>
                <w:noProof/>
                <w:webHidden/>
              </w:rPr>
            </w:r>
            <w:r w:rsidR="00F61885">
              <w:rPr>
                <w:noProof/>
                <w:webHidden/>
              </w:rPr>
              <w:fldChar w:fldCharType="separate"/>
            </w:r>
            <w:r>
              <w:rPr>
                <w:noProof/>
                <w:webHidden/>
              </w:rPr>
              <w:t>37</w:t>
            </w:r>
            <w:r w:rsidR="00F61885">
              <w:rPr>
                <w:noProof/>
                <w:webHidden/>
              </w:rPr>
              <w:fldChar w:fldCharType="end"/>
            </w:r>
          </w:hyperlink>
        </w:p>
        <w:p w14:paraId="68DA29B4"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2" w:history="1">
            <w:r w:rsidR="00F61885" w:rsidRPr="009B0B83">
              <w:rPr>
                <w:rStyle w:val="Hipervnculo"/>
                <w:noProof/>
              </w:rPr>
              <w:t>1.2.</w:t>
            </w:r>
            <w:r w:rsidR="00F61885">
              <w:rPr>
                <w:rFonts w:asciiTheme="minorHAnsi" w:eastAsiaTheme="minorEastAsia" w:hAnsiTheme="minorHAnsi" w:cstheme="minorBidi"/>
                <w:noProof/>
                <w:sz w:val="22"/>
                <w:lang w:eastAsia="es-EC"/>
              </w:rPr>
              <w:tab/>
            </w:r>
            <w:r w:rsidR="00F61885" w:rsidRPr="009B0B83">
              <w:rPr>
                <w:rStyle w:val="Hipervnculo"/>
                <w:noProof/>
              </w:rPr>
              <w:t>Análisis FODA del mercado francés para la quinua</w:t>
            </w:r>
            <w:r w:rsidR="00F61885">
              <w:rPr>
                <w:noProof/>
                <w:webHidden/>
              </w:rPr>
              <w:tab/>
            </w:r>
            <w:r w:rsidR="00F61885">
              <w:rPr>
                <w:noProof/>
                <w:webHidden/>
              </w:rPr>
              <w:fldChar w:fldCharType="begin"/>
            </w:r>
            <w:r w:rsidR="00F61885">
              <w:rPr>
                <w:noProof/>
                <w:webHidden/>
              </w:rPr>
              <w:instrText xml:space="preserve"> PAGEREF _Toc446973162 \h </w:instrText>
            </w:r>
            <w:r w:rsidR="00F61885">
              <w:rPr>
                <w:noProof/>
                <w:webHidden/>
              </w:rPr>
            </w:r>
            <w:r w:rsidR="00F61885">
              <w:rPr>
                <w:noProof/>
                <w:webHidden/>
              </w:rPr>
              <w:fldChar w:fldCharType="separate"/>
            </w:r>
            <w:r>
              <w:rPr>
                <w:noProof/>
                <w:webHidden/>
              </w:rPr>
              <w:t>39</w:t>
            </w:r>
            <w:r w:rsidR="00F61885">
              <w:rPr>
                <w:noProof/>
                <w:webHidden/>
              </w:rPr>
              <w:fldChar w:fldCharType="end"/>
            </w:r>
          </w:hyperlink>
        </w:p>
        <w:p w14:paraId="147EC977"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3" w:history="1">
            <w:r w:rsidR="00F61885" w:rsidRPr="009B0B83">
              <w:rPr>
                <w:rStyle w:val="Hipervnculo"/>
                <w:noProof/>
              </w:rPr>
              <w:t>1.3.</w:t>
            </w:r>
            <w:r w:rsidR="00F61885">
              <w:rPr>
                <w:rFonts w:asciiTheme="minorHAnsi" w:eastAsiaTheme="minorEastAsia" w:hAnsiTheme="minorHAnsi" w:cstheme="minorBidi"/>
                <w:noProof/>
                <w:sz w:val="22"/>
                <w:lang w:eastAsia="es-EC"/>
              </w:rPr>
              <w:tab/>
            </w:r>
            <w:r w:rsidR="00F61885" w:rsidRPr="009B0B83">
              <w:rPr>
                <w:rStyle w:val="Hipervnculo"/>
                <w:noProof/>
              </w:rPr>
              <w:t>Condiciones Arancelarias para exportación de Quinua a Francia</w:t>
            </w:r>
            <w:r w:rsidR="00F61885">
              <w:rPr>
                <w:noProof/>
                <w:webHidden/>
              </w:rPr>
              <w:tab/>
            </w:r>
            <w:r w:rsidR="00F61885">
              <w:rPr>
                <w:noProof/>
                <w:webHidden/>
              </w:rPr>
              <w:fldChar w:fldCharType="begin"/>
            </w:r>
            <w:r w:rsidR="00F61885">
              <w:rPr>
                <w:noProof/>
                <w:webHidden/>
              </w:rPr>
              <w:instrText xml:space="preserve"> PAGEREF _Toc446973163 \h </w:instrText>
            </w:r>
            <w:r w:rsidR="00F61885">
              <w:rPr>
                <w:noProof/>
                <w:webHidden/>
              </w:rPr>
            </w:r>
            <w:r w:rsidR="00F61885">
              <w:rPr>
                <w:noProof/>
                <w:webHidden/>
              </w:rPr>
              <w:fldChar w:fldCharType="separate"/>
            </w:r>
            <w:r>
              <w:rPr>
                <w:noProof/>
                <w:webHidden/>
              </w:rPr>
              <w:t>41</w:t>
            </w:r>
            <w:r w:rsidR="00F61885">
              <w:rPr>
                <w:noProof/>
                <w:webHidden/>
              </w:rPr>
              <w:fldChar w:fldCharType="end"/>
            </w:r>
          </w:hyperlink>
        </w:p>
        <w:p w14:paraId="5F03A35C"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4" w:history="1">
            <w:r w:rsidR="00F61885" w:rsidRPr="009B0B83">
              <w:rPr>
                <w:rStyle w:val="Hipervnculo"/>
                <w:noProof/>
              </w:rPr>
              <w:t>1.4.</w:t>
            </w:r>
            <w:r w:rsidR="00F61885">
              <w:rPr>
                <w:rFonts w:asciiTheme="minorHAnsi" w:eastAsiaTheme="minorEastAsia" w:hAnsiTheme="minorHAnsi" w:cstheme="minorBidi"/>
                <w:noProof/>
                <w:sz w:val="22"/>
                <w:lang w:eastAsia="es-EC"/>
              </w:rPr>
              <w:tab/>
            </w:r>
            <w:r w:rsidR="00F61885" w:rsidRPr="009B0B83">
              <w:rPr>
                <w:rStyle w:val="Hipervnculo"/>
                <w:noProof/>
              </w:rPr>
              <w:t>Condiciones Para-arancelarias y sanitarias para la exportación de Quinua a Francia</w:t>
            </w:r>
            <w:r w:rsidR="00F61885">
              <w:rPr>
                <w:noProof/>
                <w:webHidden/>
              </w:rPr>
              <w:tab/>
            </w:r>
            <w:r w:rsidR="00F61885">
              <w:rPr>
                <w:noProof/>
                <w:webHidden/>
              </w:rPr>
              <w:fldChar w:fldCharType="begin"/>
            </w:r>
            <w:r w:rsidR="00F61885">
              <w:rPr>
                <w:noProof/>
                <w:webHidden/>
              </w:rPr>
              <w:instrText xml:space="preserve"> PAGEREF _Toc446973164 \h </w:instrText>
            </w:r>
            <w:r w:rsidR="00F61885">
              <w:rPr>
                <w:noProof/>
                <w:webHidden/>
              </w:rPr>
            </w:r>
            <w:r w:rsidR="00F61885">
              <w:rPr>
                <w:noProof/>
                <w:webHidden/>
              </w:rPr>
              <w:fldChar w:fldCharType="separate"/>
            </w:r>
            <w:r>
              <w:rPr>
                <w:noProof/>
                <w:webHidden/>
              </w:rPr>
              <w:t>42</w:t>
            </w:r>
            <w:r w:rsidR="00F61885">
              <w:rPr>
                <w:noProof/>
                <w:webHidden/>
              </w:rPr>
              <w:fldChar w:fldCharType="end"/>
            </w:r>
          </w:hyperlink>
        </w:p>
        <w:p w14:paraId="299EE50D"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5" w:history="1">
            <w:r w:rsidR="00F61885" w:rsidRPr="009B0B83">
              <w:rPr>
                <w:rStyle w:val="Hipervnculo"/>
                <w:noProof/>
              </w:rPr>
              <w:t>1.5.</w:t>
            </w:r>
            <w:r w:rsidR="00F61885">
              <w:rPr>
                <w:rFonts w:asciiTheme="minorHAnsi" w:eastAsiaTheme="minorEastAsia" w:hAnsiTheme="minorHAnsi" w:cstheme="minorBidi"/>
                <w:noProof/>
                <w:sz w:val="22"/>
                <w:lang w:eastAsia="es-EC"/>
              </w:rPr>
              <w:tab/>
            </w:r>
            <w:r w:rsidR="00F61885" w:rsidRPr="009B0B83">
              <w:rPr>
                <w:rStyle w:val="Hipervnculo"/>
                <w:noProof/>
              </w:rPr>
              <w:t>Canales de Distribución de quinua en Francia</w:t>
            </w:r>
            <w:r w:rsidR="00F61885">
              <w:rPr>
                <w:noProof/>
                <w:webHidden/>
              </w:rPr>
              <w:tab/>
            </w:r>
            <w:r w:rsidR="00F61885">
              <w:rPr>
                <w:noProof/>
                <w:webHidden/>
              </w:rPr>
              <w:fldChar w:fldCharType="begin"/>
            </w:r>
            <w:r w:rsidR="00F61885">
              <w:rPr>
                <w:noProof/>
                <w:webHidden/>
              </w:rPr>
              <w:instrText xml:space="preserve"> PAGEREF _Toc446973165 \h </w:instrText>
            </w:r>
            <w:r w:rsidR="00F61885">
              <w:rPr>
                <w:noProof/>
                <w:webHidden/>
              </w:rPr>
            </w:r>
            <w:r w:rsidR="00F61885">
              <w:rPr>
                <w:noProof/>
                <w:webHidden/>
              </w:rPr>
              <w:fldChar w:fldCharType="separate"/>
            </w:r>
            <w:r>
              <w:rPr>
                <w:noProof/>
                <w:webHidden/>
              </w:rPr>
              <w:t>43</w:t>
            </w:r>
            <w:r w:rsidR="00F61885">
              <w:rPr>
                <w:noProof/>
                <w:webHidden/>
              </w:rPr>
              <w:fldChar w:fldCharType="end"/>
            </w:r>
          </w:hyperlink>
        </w:p>
        <w:p w14:paraId="4FC5FB63"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6" w:history="1">
            <w:r w:rsidR="00F61885" w:rsidRPr="009B0B83">
              <w:rPr>
                <w:rStyle w:val="Hipervnculo"/>
                <w:noProof/>
              </w:rPr>
              <w:t>1.6.</w:t>
            </w:r>
            <w:r w:rsidR="00F61885">
              <w:rPr>
                <w:rFonts w:asciiTheme="minorHAnsi" w:eastAsiaTheme="minorEastAsia" w:hAnsiTheme="minorHAnsi" w:cstheme="minorBidi"/>
                <w:noProof/>
                <w:sz w:val="22"/>
                <w:lang w:eastAsia="es-EC"/>
              </w:rPr>
              <w:tab/>
            </w:r>
            <w:r w:rsidR="00F61885" w:rsidRPr="009B0B83">
              <w:rPr>
                <w:rStyle w:val="Hipervnculo"/>
                <w:noProof/>
              </w:rPr>
              <w:t>Cadena de Distribución de la Quinua en Francia</w:t>
            </w:r>
            <w:r w:rsidR="00F61885">
              <w:rPr>
                <w:noProof/>
                <w:webHidden/>
              </w:rPr>
              <w:tab/>
            </w:r>
            <w:r w:rsidR="00F61885">
              <w:rPr>
                <w:noProof/>
                <w:webHidden/>
              </w:rPr>
              <w:fldChar w:fldCharType="begin"/>
            </w:r>
            <w:r w:rsidR="00F61885">
              <w:rPr>
                <w:noProof/>
                <w:webHidden/>
              </w:rPr>
              <w:instrText xml:space="preserve"> PAGEREF _Toc446973166 \h </w:instrText>
            </w:r>
            <w:r w:rsidR="00F61885">
              <w:rPr>
                <w:noProof/>
                <w:webHidden/>
              </w:rPr>
            </w:r>
            <w:r w:rsidR="00F61885">
              <w:rPr>
                <w:noProof/>
                <w:webHidden/>
              </w:rPr>
              <w:fldChar w:fldCharType="separate"/>
            </w:r>
            <w:r>
              <w:rPr>
                <w:noProof/>
                <w:webHidden/>
              </w:rPr>
              <w:t>44</w:t>
            </w:r>
            <w:r w:rsidR="00F61885">
              <w:rPr>
                <w:noProof/>
                <w:webHidden/>
              </w:rPr>
              <w:fldChar w:fldCharType="end"/>
            </w:r>
          </w:hyperlink>
        </w:p>
        <w:p w14:paraId="7949F2BB" w14:textId="77777777" w:rsidR="00F61885" w:rsidRDefault="00B828B8">
          <w:pPr>
            <w:pStyle w:val="TDC2"/>
            <w:tabs>
              <w:tab w:val="left" w:pos="660"/>
              <w:tab w:val="right" w:leader="dot" w:pos="9111"/>
            </w:tabs>
            <w:rPr>
              <w:rFonts w:asciiTheme="minorHAnsi" w:eastAsiaTheme="minorEastAsia" w:hAnsiTheme="minorHAnsi" w:cstheme="minorBidi"/>
              <w:noProof/>
              <w:sz w:val="22"/>
              <w:lang w:eastAsia="es-EC"/>
            </w:rPr>
          </w:pPr>
          <w:hyperlink w:anchor="_Toc446973167" w:history="1">
            <w:r w:rsidR="00F61885" w:rsidRPr="009B0B83">
              <w:rPr>
                <w:rStyle w:val="Hipervnculo"/>
                <w:noProof/>
              </w:rPr>
              <w:t>2.</w:t>
            </w:r>
            <w:r w:rsidR="00F61885">
              <w:rPr>
                <w:rFonts w:asciiTheme="minorHAnsi" w:eastAsiaTheme="minorEastAsia" w:hAnsiTheme="minorHAnsi" w:cstheme="minorBidi"/>
                <w:noProof/>
                <w:sz w:val="22"/>
                <w:lang w:eastAsia="es-EC"/>
              </w:rPr>
              <w:tab/>
            </w:r>
            <w:r w:rsidR="00F61885" w:rsidRPr="009B0B83">
              <w:rPr>
                <w:rStyle w:val="Hipervnculo"/>
                <w:noProof/>
              </w:rPr>
              <w:t>Desarrollo del sector exportador de Quinua en Bolivia y Ecuador</w:t>
            </w:r>
            <w:r w:rsidR="00F61885">
              <w:rPr>
                <w:noProof/>
                <w:webHidden/>
              </w:rPr>
              <w:tab/>
            </w:r>
            <w:r w:rsidR="00F61885">
              <w:rPr>
                <w:noProof/>
                <w:webHidden/>
              </w:rPr>
              <w:fldChar w:fldCharType="begin"/>
            </w:r>
            <w:r w:rsidR="00F61885">
              <w:rPr>
                <w:noProof/>
                <w:webHidden/>
              </w:rPr>
              <w:instrText xml:space="preserve"> PAGEREF _Toc446973167 \h </w:instrText>
            </w:r>
            <w:r w:rsidR="00F61885">
              <w:rPr>
                <w:noProof/>
                <w:webHidden/>
              </w:rPr>
            </w:r>
            <w:r w:rsidR="00F61885">
              <w:rPr>
                <w:noProof/>
                <w:webHidden/>
              </w:rPr>
              <w:fldChar w:fldCharType="separate"/>
            </w:r>
            <w:r>
              <w:rPr>
                <w:noProof/>
                <w:webHidden/>
              </w:rPr>
              <w:t>46</w:t>
            </w:r>
            <w:r w:rsidR="00F61885">
              <w:rPr>
                <w:noProof/>
                <w:webHidden/>
              </w:rPr>
              <w:fldChar w:fldCharType="end"/>
            </w:r>
          </w:hyperlink>
        </w:p>
        <w:p w14:paraId="24F1F41C"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8" w:history="1">
            <w:r w:rsidR="00F61885" w:rsidRPr="009B0B83">
              <w:rPr>
                <w:rStyle w:val="Hipervnculo"/>
                <w:noProof/>
              </w:rPr>
              <w:t>2.1.</w:t>
            </w:r>
            <w:r w:rsidR="00F61885">
              <w:rPr>
                <w:rFonts w:asciiTheme="minorHAnsi" w:eastAsiaTheme="minorEastAsia" w:hAnsiTheme="minorHAnsi" w:cstheme="minorBidi"/>
                <w:noProof/>
                <w:sz w:val="22"/>
                <w:lang w:eastAsia="es-EC"/>
              </w:rPr>
              <w:tab/>
            </w:r>
            <w:r w:rsidR="00F61885" w:rsidRPr="009B0B83">
              <w:rPr>
                <w:rStyle w:val="Hipervnculo"/>
                <w:noProof/>
              </w:rPr>
              <w:t>Capacidad de producción de quinua</w:t>
            </w:r>
            <w:r w:rsidR="00F61885">
              <w:rPr>
                <w:noProof/>
                <w:webHidden/>
              </w:rPr>
              <w:tab/>
            </w:r>
            <w:r w:rsidR="00F61885">
              <w:rPr>
                <w:noProof/>
                <w:webHidden/>
              </w:rPr>
              <w:fldChar w:fldCharType="begin"/>
            </w:r>
            <w:r w:rsidR="00F61885">
              <w:rPr>
                <w:noProof/>
                <w:webHidden/>
              </w:rPr>
              <w:instrText xml:space="preserve"> PAGEREF _Toc446973168 \h </w:instrText>
            </w:r>
            <w:r w:rsidR="00F61885">
              <w:rPr>
                <w:noProof/>
                <w:webHidden/>
              </w:rPr>
            </w:r>
            <w:r w:rsidR="00F61885">
              <w:rPr>
                <w:noProof/>
                <w:webHidden/>
              </w:rPr>
              <w:fldChar w:fldCharType="separate"/>
            </w:r>
            <w:r>
              <w:rPr>
                <w:noProof/>
                <w:webHidden/>
              </w:rPr>
              <w:t>46</w:t>
            </w:r>
            <w:r w:rsidR="00F61885">
              <w:rPr>
                <w:noProof/>
                <w:webHidden/>
              </w:rPr>
              <w:fldChar w:fldCharType="end"/>
            </w:r>
          </w:hyperlink>
        </w:p>
        <w:p w14:paraId="712E9988"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69" w:history="1">
            <w:r w:rsidR="00F61885" w:rsidRPr="009B0B83">
              <w:rPr>
                <w:rStyle w:val="Hipervnculo"/>
                <w:noProof/>
              </w:rPr>
              <w:t>2.2.</w:t>
            </w:r>
            <w:r w:rsidR="00F61885">
              <w:rPr>
                <w:rFonts w:asciiTheme="minorHAnsi" w:eastAsiaTheme="minorEastAsia" w:hAnsiTheme="minorHAnsi" w:cstheme="minorBidi"/>
                <w:noProof/>
                <w:sz w:val="22"/>
                <w:lang w:eastAsia="es-EC"/>
              </w:rPr>
              <w:tab/>
            </w:r>
            <w:r w:rsidR="00F61885" w:rsidRPr="009B0B83">
              <w:rPr>
                <w:rStyle w:val="Hipervnculo"/>
                <w:noProof/>
              </w:rPr>
              <w:t>Estadísticas de exportación</w:t>
            </w:r>
            <w:r w:rsidR="00F61885">
              <w:rPr>
                <w:noProof/>
                <w:webHidden/>
              </w:rPr>
              <w:tab/>
            </w:r>
            <w:r w:rsidR="00F61885">
              <w:rPr>
                <w:noProof/>
                <w:webHidden/>
              </w:rPr>
              <w:fldChar w:fldCharType="begin"/>
            </w:r>
            <w:r w:rsidR="00F61885">
              <w:rPr>
                <w:noProof/>
                <w:webHidden/>
              </w:rPr>
              <w:instrText xml:space="preserve"> PAGEREF _Toc446973169 \h </w:instrText>
            </w:r>
            <w:r w:rsidR="00F61885">
              <w:rPr>
                <w:noProof/>
                <w:webHidden/>
              </w:rPr>
            </w:r>
            <w:r w:rsidR="00F61885">
              <w:rPr>
                <w:noProof/>
                <w:webHidden/>
              </w:rPr>
              <w:fldChar w:fldCharType="separate"/>
            </w:r>
            <w:r>
              <w:rPr>
                <w:noProof/>
                <w:webHidden/>
              </w:rPr>
              <w:t>50</w:t>
            </w:r>
            <w:r w:rsidR="00F61885">
              <w:rPr>
                <w:noProof/>
                <w:webHidden/>
              </w:rPr>
              <w:fldChar w:fldCharType="end"/>
            </w:r>
          </w:hyperlink>
        </w:p>
        <w:p w14:paraId="23C4DB90"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70" w:history="1">
            <w:r w:rsidR="00F61885" w:rsidRPr="009B0B83">
              <w:rPr>
                <w:rStyle w:val="Hipervnculo"/>
                <w:noProof/>
              </w:rPr>
              <w:t>2.3.</w:t>
            </w:r>
            <w:r w:rsidR="00F61885">
              <w:rPr>
                <w:rFonts w:asciiTheme="minorHAnsi" w:eastAsiaTheme="minorEastAsia" w:hAnsiTheme="minorHAnsi" w:cstheme="minorBidi"/>
                <w:noProof/>
                <w:sz w:val="22"/>
                <w:lang w:eastAsia="es-EC"/>
              </w:rPr>
              <w:tab/>
            </w:r>
            <w:r w:rsidR="00F61885" w:rsidRPr="009B0B83">
              <w:rPr>
                <w:rStyle w:val="Hipervnculo"/>
                <w:noProof/>
              </w:rPr>
              <w:t>Exportación de quinua sobre la Balanza Comercial</w:t>
            </w:r>
            <w:r w:rsidR="00F61885">
              <w:rPr>
                <w:noProof/>
                <w:webHidden/>
              </w:rPr>
              <w:tab/>
            </w:r>
            <w:r w:rsidR="00F61885">
              <w:rPr>
                <w:noProof/>
                <w:webHidden/>
              </w:rPr>
              <w:fldChar w:fldCharType="begin"/>
            </w:r>
            <w:r w:rsidR="00F61885">
              <w:rPr>
                <w:noProof/>
                <w:webHidden/>
              </w:rPr>
              <w:instrText xml:space="preserve"> PAGEREF _Toc446973170 \h </w:instrText>
            </w:r>
            <w:r w:rsidR="00F61885">
              <w:rPr>
                <w:noProof/>
                <w:webHidden/>
              </w:rPr>
            </w:r>
            <w:r w:rsidR="00F61885">
              <w:rPr>
                <w:noProof/>
                <w:webHidden/>
              </w:rPr>
              <w:fldChar w:fldCharType="separate"/>
            </w:r>
            <w:r>
              <w:rPr>
                <w:noProof/>
                <w:webHidden/>
              </w:rPr>
              <w:t>53</w:t>
            </w:r>
            <w:r w:rsidR="00F61885">
              <w:rPr>
                <w:noProof/>
                <w:webHidden/>
              </w:rPr>
              <w:fldChar w:fldCharType="end"/>
            </w:r>
          </w:hyperlink>
        </w:p>
        <w:p w14:paraId="5227DF2E"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71" w:history="1">
            <w:r w:rsidR="00F61885" w:rsidRPr="009B0B83">
              <w:rPr>
                <w:rStyle w:val="Hipervnculo"/>
                <w:noProof/>
              </w:rPr>
              <w:t>2.4.</w:t>
            </w:r>
            <w:r w:rsidR="00F61885">
              <w:rPr>
                <w:rFonts w:asciiTheme="minorHAnsi" w:eastAsiaTheme="minorEastAsia" w:hAnsiTheme="minorHAnsi" w:cstheme="minorBidi"/>
                <w:noProof/>
                <w:sz w:val="22"/>
                <w:lang w:eastAsia="es-EC"/>
              </w:rPr>
              <w:tab/>
            </w:r>
            <w:r w:rsidR="00F61885" w:rsidRPr="009B0B83">
              <w:rPr>
                <w:rStyle w:val="Hipervnculo"/>
                <w:noProof/>
              </w:rPr>
              <w:t>Estrategias de Comercialización y Financiamiento</w:t>
            </w:r>
            <w:r w:rsidR="00F61885">
              <w:rPr>
                <w:noProof/>
                <w:webHidden/>
              </w:rPr>
              <w:tab/>
            </w:r>
            <w:r w:rsidR="00F61885">
              <w:rPr>
                <w:noProof/>
                <w:webHidden/>
              </w:rPr>
              <w:fldChar w:fldCharType="begin"/>
            </w:r>
            <w:r w:rsidR="00F61885">
              <w:rPr>
                <w:noProof/>
                <w:webHidden/>
              </w:rPr>
              <w:instrText xml:space="preserve"> PAGEREF _Toc446973171 \h </w:instrText>
            </w:r>
            <w:r w:rsidR="00F61885">
              <w:rPr>
                <w:noProof/>
                <w:webHidden/>
              </w:rPr>
            </w:r>
            <w:r w:rsidR="00F61885">
              <w:rPr>
                <w:noProof/>
                <w:webHidden/>
              </w:rPr>
              <w:fldChar w:fldCharType="separate"/>
            </w:r>
            <w:r>
              <w:rPr>
                <w:noProof/>
                <w:webHidden/>
              </w:rPr>
              <w:t>55</w:t>
            </w:r>
            <w:r w:rsidR="00F61885">
              <w:rPr>
                <w:noProof/>
                <w:webHidden/>
              </w:rPr>
              <w:fldChar w:fldCharType="end"/>
            </w:r>
          </w:hyperlink>
        </w:p>
        <w:p w14:paraId="5EA9C692" w14:textId="77777777" w:rsidR="00F61885" w:rsidRDefault="00B828B8">
          <w:pPr>
            <w:pStyle w:val="TDC3"/>
            <w:tabs>
              <w:tab w:val="left" w:pos="1100"/>
              <w:tab w:val="right" w:leader="dot" w:pos="9111"/>
            </w:tabs>
            <w:rPr>
              <w:rFonts w:asciiTheme="minorHAnsi" w:eastAsiaTheme="minorEastAsia" w:hAnsiTheme="minorHAnsi" w:cstheme="minorBidi"/>
              <w:noProof/>
              <w:sz w:val="22"/>
              <w:lang w:eastAsia="es-EC"/>
            </w:rPr>
          </w:pPr>
          <w:hyperlink w:anchor="_Toc446973172" w:history="1">
            <w:r w:rsidR="00F61885" w:rsidRPr="009B0B83">
              <w:rPr>
                <w:rStyle w:val="Hipervnculo"/>
                <w:noProof/>
              </w:rPr>
              <w:t>2.5.</w:t>
            </w:r>
            <w:r w:rsidR="00F61885">
              <w:rPr>
                <w:rFonts w:asciiTheme="minorHAnsi" w:eastAsiaTheme="minorEastAsia" w:hAnsiTheme="minorHAnsi" w:cstheme="minorBidi"/>
                <w:noProof/>
                <w:sz w:val="22"/>
                <w:lang w:eastAsia="es-EC"/>
              </w:rPr>
              <w:tab/>
            </w:r>
            <w:r w:rsidR="00F61885" w:rsidRPr="009B0B83">
              <w:rPr>
                <w:rStyle w:val="Hipervnculo"/>
                <w:noProof/>
              </w:rPr>
              <w:t>Análisis de la estructura financiera de la producción y comercialización de quinua</w:t>
            </w:r>
            <w:r w:rsidR="00F61885">
              <w:rPr>
                <w:noProof/>
                <w:webHidden/>
              </w:rPr>
              <w:tab/>
            </w:r>
            <w:r w:rsidR="00F61885">
              <w:rPr>
                <w:noProof/>
                <w:webHidden/>
              </w:rPr>
              <w:fldChar w:fldCharType="begin"/>
            </w:r>
            <w:r w:rsidR="00F61885">
              <w:rPr>
                <w:noProof/>
                <w:webHidden/>
              </w:rPr>
              <w:instrText xml:space="preserve"> PAGEREF _Toc446973172 \h </w:instrText>
            </w:r>
            <w:r w:rsidR="00F61885">
              <w:rPr>
                <w:noProof/>
                <w:webHidden/>
              </w:rPr>
            </w:r>
            <w:r w:rsidR="00F61885">
              <w:rPr>
                <w:noProof/>
                <w:webHidden/>
              </w:rPr>
              <w:fldChar w:fldCharType="separate"/>
            </w:r>
            <w:r>
              <w:rPr>
                <w:noProof/>
                <w:webHidden/>
              </w:rPr>
              <w:t>63</w:t>
            </w:r>
            <w:r w:rsidR="00F61885">
              <w:rPr>
                <w:noProof/>
                <w:webHidden/>
              </w:rPr>
              <w:fldChar w:fldCharType="end"/>
            </w:r>
          </w:hyperlink>
        </w:p>
        <w:p w14:paraId="3233A73B" w14:textId="77777777" w:rsidR="00F61885" w:rsidRDefault="00B828B8" w:rsidP="00F61885">
          <w:pPr>
            <w:pStyle w:val="TDC1"/>
            <w:rPr>
              <w:rFonts w:asciiTheme="minorHAnsi" w:eastAsiaTheme="minorEastAsia" w:hAnsiTheme="minorHAnsi" w:cstheme="minorBidi"/>
              <w:noProof/>
              <w:sz w:val="22"/>
              <w:lang w:eastAsia="es-EC"/>
            </w:rPr>
          </w:pPr>
          <w:hyperlink w:anchor="_Toc446973173" w:history="1">
            <w:r w:rsidR="00F61885" w:rsidRPr="009B0B83">
              <w:rPr>
                <w:rStyle w:val="Hipervnculo"/>
                <w:noProof/>
              </w:rPr>
              <w:t>CONCLUSIONES Y RECOMENDACIONES</w:t>
            </w:r>
            <w:r w:rsidR="00F61885">
              <w:rPr>
                <w:noProof/>
                <w:webHidden/>
              </w:rPr>
              <w:tab/>
            </w:r>
            <w:r w:rsidR="00F61885">
              <w:rPr>
                <w:noProof/>
                <w:webHidden/>
              </w:rPr>
              <w:fldChar w:fldCharType="begin"/>
            </w:r>
            <w:r w:rsidR="00F61885">
              <w:rPr>
                <w:noProof/>
                <w:webHidden/>
              </w:rPr>
              <w:instrText xml:space="preserve"> PAGEREF _Toc446973173 \h </w:instrText>
            </w:r>
            <w:r w:rsidR="00F61885">
              <w:rPr>
                <w:noProof/>
                <w:webHidden/>
              </w:rPr>
            </w:r>
            <w:r w:rsidR="00F61885">
              <w:rPr>
                <w:noProof/>
                <w:webHidden/>
              </w:rPr>
              <w:fldChar w:fldCharType="separate"/>
            </w:r>
            <w:r>
              <w:rPr>
                <w:noProof/>
                <w:webHidden/>
              </w:rPr>
              <w:t>69</w:t>
            </w:r>
            <w:r w:rsidR="00F61885">
              <w:rPr>
                <w:noProof/>
                <w:webHidden/>
              </w:rPr>
              <w:fldChar w:fldCharType="end"/>
            </w:r>
          </w:hyperlink>
        </w:p>
        <w:p w14:paraId="02A35442" w14:textId="77777777" w:rsidR="00F61885" w:rsidRDefault="00B828B8">
          <w:pPr>
            <w:pStyle w:val="TDC2"/>
            <w:tabs>
              <w:tab w:val="right" w:leader="dot" w:pos="9111"/>
            </w:tabs>
            <w:rPr>
              <w:rFonts w:asciiTheme="minorHAnsi" w:eastAsiaTheme="minorEastAsia" w:hAnsiTheme="minorHAnsi" w:cstheme="minorBidi"/>
              <w:noProof/>
              <w:sz w:val="22"/>
              <w:lang w:eastAsia="es-EC"/>
            </w:rPr>
          </w:pPr>
          <w:hyperlink w:anchor="_Toc446973174" w:history="1">
            <w:r w:rsidR="00F61885" w:rsidRPr="009B0B83">
              <w:rPr>
                <w:rStyle w:val="Hipervnculo"/>
                <w:noProof/>
              </w:rPr>
              <w:t>Conclusiones</w:t>
            </w:r>
            <w:r w:rsidR="00F61885">
              <w:rPr>
                <w:noProof/>
                <w:webHidden/>
              </w:rPr>
              <w:tab/>
            </w:r>
            <w:r w:rsidR="00F61885">
              <w:rPr>
                <w:noProof/>
                <w:webHidden/>
              </w:rPr>
              <w:fldChar w:fldCharType="begin"/>
            </w:r>
            <w:r w:rsidR="00F61885">
              <w:rPr>
                <w:noProof/>
                <w:webHidden/>
              </w:rPr>
              <w:instrText xml:space="preserve"> PAGEREF _Toc446973174 \h </w:instrText>
            </w:r>
            <w:r w:rsidR="00F61885">
              <w:rPr>
                <w:noProof/>
                <w:webHidden/>
              </w:rPr>
            </w:r>
            <w:r w:rsidR="00F61885">
              <w:rPr>
                <w:noProof/>
                <w:webHidden/>
              </w:rPr>
              <w:fldChar w:fldCharType="separate"/>
            </w:r>
            <w:r>
              <w:rPr>
                <w:noProof/>
                <w:webHidden/>
              </w:rPr>
              <w:t>69</w:t>
            </w:r>
            <w:r w:rsidR="00F61885">
              <w:rPr>
                <w:noProof/>
                <w:webHidden/>
              </w:rPr>
              <w:fldChar w:fldCharType="end"/>
            </w:r>
          </w:hyperlink>
        </w:p>
        <w:p w14:paraId="4EE428F0" w14:textId="77777777" w:rsidR="00F61885" w:rsidRDefault="00B828B8">
          <w:pPr>
            <w:pStyle w:val="TDC2"/>
            <w:tabs>
              <w:tab w:val="right" w:leader="dot" w:pos="9111"/>
            </w:tabs>
            <w:rPr>
              <w:rFonts w:asciiTheme="minorHAnsi" w:eastAsiaTheme="minorEastAsia" w:hAnsiTheme="minorHAnsi" w:cstheme="minorBidi"/>
              <w:noProof/>
              <w:sz w:val="22"/>
              <w:lang w:eastAsia="es-EC"/>
            </w:rPr>
          </w:pPr>
          <w:hyperlink w:anchor="_Toc446973175" w:history="1">
            <w:r w:rsidR="00F61885" w:rsidRPr="009B0B83">
              <w:rPr>
                <w:rStyle w:val="Hipervnculo"/>
                <w:noProof/>
              </w:rPr>
              <w:t>Recomendaciones</w:t>
            </w:r>
            <w:r w:rsidR="00F61885">
              <w:rPr>
                <w:noProof/>
                <w:webHidden/>
              </w:rPr>
              <w:tab/>
            </w:r>
            <w:r w:rsidR="00F61885">
              <w:rPr>
                <w:noProof/>
                <w:webHidden/>
              </w:rPr>
              <w:fldChar w:fldCharType="begin"/>
            </w:r>
            <w:r w:rsidR="00F61885">
              <w:rPr>
                <w:noProof/>
                <w:webHidden/>
              </w:rPr>
              <w:instrText xml:space="preserve"> PAGEREF _Toc446973175 \h </w:instrText>
            </w:r>
            <w:r w:rsidR="00F61885">
              <w:rPr>
                <w:noProof/>
                <w:webHidden/>
              </w:rPr>
            </w:r>
            <w:r w:rsidR="00F61885">
              <w:rPr>
                <w:noProof/>
                <w:webHidden/>
              </w:rPr>
              <w:fldChar w:fldCharType="separate"/>
            </w:r>
            <w:r>
              <w:rPr>
                <w:noProof/>
                <w:webHidden/>
              </w:rPr>
              <w:t>73</w:t>
            </w:r>
            <w:r w:rsidR="00F61885">
              <w:rPr>
                <w:noProof/>
                <w:webHidden/>
              </w:rPr>
              <w:fldChar w:fldCharType="end"/>
            </w:r>
          </w:hyperlink>
        </w:p>
        <w:p w14:paraId="22036B8A" w14:textId="77777777" w:rsidR="00F61885" w:rsidRDefault="00B828B8" w:rsidP="00F61885">
          <w:pPr>
            <w:pStyle w:val="TDC1"/>
            <w:rPr>
              <w:rFonts w:asciiTheme="minorHAnsi" w:eastAsiaTheme="minorEastAsia" w:hAnsiTheme="minorHAnsi" w:cstheme="minorBidi"/>
              <w:noProof/>
              <w:sz w:val="22"/>
              <w:lang w:eastAsia="es-EC"/>
            </w:rPr>
          </w:pPr>
          <w:hyperlink w:anchor="_Toc446973176" w:history="1">
            <w:r w:rsidR="00F61885" w:rsidRPr="009B0B83">
              <w:rPr>
                <w:rStyle w:val="Hipervnculo"/>
                <w:noProof/>
                <w:lang w:val="es-ES"/>
              </w:rPr>
              <w:t>BIBLIOGRAFIA</w:t>
            </w:r>
            <w:r w:rsidR="00F61885">
              <w:rPr>
                <w:noProof/>
                <w:webHidden/>
              </w:rPr>
              <w:tab/>
            </w:r>
            <w:r w:rsidR="00F61885">
              <w:rPr>
                <w:noProof/>
                <w:webHidden/>
              </w:rPr>
              <w:fldChar w:fldCharType="begin"/>
            </w:r>
            <w:r w:rsidR="00F61885">
              <w:rPr>
                <w:noProof/>
                <w:webHidden/>
              </w:rPr>
              <w:instrText xml:space="preserve"> PAGEREF _Toc446973176 \h </w:instrText>
            </w:r>
            <w:r w:rsidR="00F61885">
              <w:rPr>
                <w:noProof/>
                <w:webHidden/>
              </w:rPr>
            </w:r>
            <w:r w:rsidR="00F61885">
              <w:rPr>
                <w:noProof/>
                <w:webHidden/>
              </w:rPr>
              <w:fldChar w:fldCharType="separate"/>
            </w:r>
            <w:r>
              <w:rPr>
                <w:noProof/>
                <w:webHidden/>
              </w:rPr>
              <w:t>75</w:t>
            </w:r>
            <w:r w:rsidR="00F61885">
              <w:rPr>
                <w:noProof/>
                <w:webHidden/>
              </w:rPr>
              <w:fldChar w:fldCharType="end"/>
            </w:r>
          </w:hyperlink>
        </w:p>
        <w:p w14:paraId="78414A45" w14:textId="77777777" w:rsidR="00F61885" w:rsidRDefault="00B828B8" w:rsidP="00F61885">
          <w:pPr>
            <w:pStyle w:val="TDC1"/>
            <w:rPr>
              <w:rFonts w:asciiTheme="minorHAnsi" w:eastAsiaTheme="minorEastAsia" w:hAnsiTheme="minorHAnsi" w:cstheme="minorBidi"/>
              <w:noProof/>
              <w:sz w:val="22"/>
              <w:lang w:eastAsia="es-EC"/>
            </w:rPr>
          </w:pPr>
          <w:hyperlink w:anchor="_Toc446973177" w:history="1">
            <w:r w:rsidR="00F61885" w:rsidRPr="009B0B83">
              <w:rPr>
                <w:rStyle w:val="Hipervnculo"/>
                <w:noProof/>
              </w:rPr>
              <w:t>ANEXOS</w:t>
            </w:r>
            <w:r w:rsidR="00F61885">
              <w:rPr>
                <w:noProof/>
                <w:webHidden/>
              </w:rPr>
              <w:tab/>
            </w:r>
            <w:r w:rsidR="00F61885">
              <w:rPr>
                <w:noProof/>
                <w:webHidden/>
              </w:rPr>
              <w:fldChar w:fldCharType="begin"/>
            </w:r>
            <w:r w:rsidR="00F61885">
              <w:rPr>
                <w:noProof/>
                <w:webHidden/>
              </w:rPr>
              <w:instrText xml:space="preserve"> PAGEREF _Toc446973177 \h </w:instrText>
            </w:r>
            <w:r w:rsidR="00F61885">
              <w:rPr>
                <w:noProof/>
                <w:webHidden/>
              </w:rPr>
            </w:r>
            <w:r w:rsidR="00F61885">
              <w:rPr>
                <w:noProof/>
                <w:webHidden/>
              </w:rPr>
              <w:fldChar w:fldCharType="separate"/>
            </w:r>
            <w:r>
              <w:rPr>
                <w:noProof/>
                <w:webHidden/>
              </w:rPr>
              <w:t>83</w:t>
            </w:r>
            <w:r w:rsidR="00F61885">
              <w:rPr>
                <w:noProof/>
                <w:webHidden/>
              </w:rPr>
              <w:fldChar w:fldCharType="end"/>
            </w:r>
          </w:hyperlink>
        </w:p>
        <w:p w14:paraId="4DB11251" w14:textId="480471B2" w:rsidR="00B76E1B" w:rsidRPr="00B76E1B" w:rsidRDefault="00B76E1B" w:rsidP="00B76E1B">
          <w:pPr>
            <w:contextualSpacing/>
          </w:pPr>
          <w:r>
            <w:rPr>
              <w:b/>
              <w:bCs/>
              <w:lang w:val="es-ES"/>
            </w:rPr>
            <w:fldChar w:fldCharType="end"/>
          </w:r>
        </w:p>
      </w:sdtContent>
    </w:sdt>
    <w:p w14:paraId="162D0597" w14:textId="77777777" w:rsidR="00732475" w:rsidRDefault="00732475" w:rsidP="00732475"/>
    <w:p w14:paraId="178FD0BB" w14:textId="77777777" w:rsidR="00F61885" w:rsidRDefault="00F61885">
      <w:pPr>
        <w:spacing w:line="276" w:lineRule="auto"/>
        <w:jc w:val="left"/>
        <w:rPr>
          <w:rFonts w:eastAsiaTheme="majorEastAsia" w:cstheme="majorBidi"/>
          <w:b/>
          <w:szCs w:val="32"/>
          <w:lang w:eastAsia="es-EC"/>
        </w:rPr>
      </w:pPr>
      <w:bookmarkStart w:id="4" w:name="_Toc446973129"/>
      <w:r>
        <w:br w:type="page"/>
      </w:r>
    </w:p>
    <w:p w14:paraId="057E0804" w14:textId="3DCDB46F" w:rsidR="002C53CC" w:rsidRPr="002C53CC" w:rsidRDefault="00B76E1B" w:rsidP="002C53CC">
      <w:pPr>
        <w:pStyle w:val="Ttulo1"/>
      </w:pPr>
      <w:r w:rsidRPr="002C53CC">
        <w:lastRenderedPageBreak/>
        <w:t>ÍNDICE DE TABLAS</w:t>
      </w:r>
      <w:bookmarkEnd w:id="4"/>
    </w:p>
    <w:p w14:paraId="14594D09" w14:textId="77777777" w:rsidR="00F61885" w:rsidRPr="00F61885" w:rsidRDefault="00B76E1B">
      <w:pPr>
        <w:pStyle w:val="Tabladeilustraciones"/>
        <w:tabs>
          <w:tab w:val="right" w:leader="dot" w:pos="9111"/>
        </w:tabs>
        <w:rPr>
          <w:rFonts w:asciiTheme="minorHAnsi" w:eastAsiaTheme="minorEastAsia" w:hAnsiTheme="minorHAnsi" w:cstheme="minorBidi"/>
          <w:noProof/>
          <w:sz w:val="22"/>
          <w:lang w:eastAsia="es-EC"/>
        </w:rPr>
      </w:pPr>
      <w:r w:rsidRPr="00F61885">
        <w:rPr>
          <w:rFonts w:eastAsiaTheme="majorEastAsia" w:cstheme="majorBidi"/>
          <w:szCs w:val="32"/>
          <w:lang w:eastAsia="es-EC"/>
        </w:rPr>
        <w:fldChar w:fldCharType="begin"/>
      </w:r>
      <w:r w:rsidRPr="00F61885">
        <w:instrText xml:space="preserve"> TOC \h \z \c "Tabla" </w:instrText>
      </w:r>
      <w:r w:rsidRPr="00F61885">
        <w:rPr>
          <w:rFonts w:eastAsiaTheme="majorEastAsia" w:cstheme="majorBidi"/>
          <w:szCs w:val="32"/>
          <w:lang w:eastAsia="es-EC"/>
        </w:rPr>
        <w:fldChar w:fldCharType="separate"/>
      </w:r>
      <w:hyperlink w:anchor="_Toc446973199" w:history="1">
        <w:r w:rsidR="00F61885" w:rsidRPr="00F61885">
          <w:rPr>
            <w:rStyle w:val="Hipervnculo"/>
            <w:noProof/>
          </w:rPr>
          <w:t>Tabla 1: Contenido de macronutrientes de la quinua y en alimentos seleccionados, por cada 100g de peso en seco</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_Toc446973199 \h </w:instrText>
        </w:r>
        <w:r w:rsidR="00F61885" w:rsidRPr="00F61885">
          <w:rPr>
            <w:noProof/>
            <w:webHidden/>
          </w:rPr>
        </w:r>
        <w:r w:rsidR="00F61885" w:rsidRPr="00F61885">
          <w:rPr>
            <w:noProof/>
            <w:webHidden/>
          </w:rPr>
          <w:fldChar w:fldCharType="separate"/>
        </w:r>
        <w:r w:rsidR="00B828B8">
          <w:rPr>
            <w:noProof/>
            <w:webHidden/>
          </w:rPr>
          <w:t>26</w:t>
        </w:r>
        <w:r w:rsidR="00F61885" w:rsidRPr="00F61885">
          <w:rPr>
            <w:noProof/>
            <w:webHidden/>
          </w:rPr>
          <w:fldChar w:fldCharType="end"/>
        </w:r>
      </w:hyperlink>
    </w:p>
    <w:p w14:paraId="40ED0CCA"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0" w:history="1">
        <w:r w:rsidR="00F61885" w:rsidRPr="00F61885">
          <w:rPr>
            <w:rStyle w:val="Hipervnculo"/>
            <w:noProof/>
          </w:rPr>
          <w:t>Tabla 2: Contenido mineral en la quinua y alimentos seleccionados por cada 100g de peso en seco</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_Toc446973200 \h </w:instrText>
        </w:r>
        <w:r w:rsidR="00F61885" w:rsidRPr="00F61885">
          <w:rPr>
            <w:noProof/>
            <w:webHidden/>
          </w:rPr>
        </w:r>
        <w:r w:rsidR="00F61885" w:rsidRPr="00F61885">
          <w:rPr>
            <w:noProof/>
            <w:webHidden/>
          </w:rPr>
          <w:fldChar w:fldCharType="separate"/>
        </w:r>
        <w:r>
          <w:rPr>
            <w:noProof/>
            <w:webHidden/>
          </w:rPr>
          <w:t>27</w:t>
        </w:r>
        <w:r w:rsidR="00F61885" w:rsidRPr="00F61885">
          <w:rPr>
            <w:noProof/>
            <w:webHidden/>
          </w:rPr>
          <w:fldChar w:fldCharType="end"/>
        </w:r>
      </w:hyperlink>
    </w:p>
    <w:p w14:paraId="611075E6"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1" w:history="1">
        <w:r w:rsidR="00F61885" w:rsidRPr="00F61885">
          <w:rPr>
            <w:rStyle w:val="Hipervnculo"/>
            <w:noProof/>
          </w:rPr>
          <w:t>Tabla 3: Partida Arancelaria de la Quinua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_Toc446973201 \h </w:instrText>
        </w:r>
        <w:r w:rsidR="00F61885" w:rsidRPr="00F61885">
          <w:rPr>
            <w:noProof/>
            <w:webHidden/>
          </w:rPr>
        </w:r>
        <w:r w:rsidR="00F61885" w:rsidRPr="00F61885">
          <w:rPr>
            <w:noProof/>
            <w:webHidden/>
          </w:rPr>
          <w:fldChar w:fldCharType="separate"/>
        </w:r>
        <w:r>
          <w:rPr>
            <w:noProof/>
            <w:webHidden/>
          </w:rPr>
          <w:t>27</w:t>
        </w:r>
        <w:r w:rsidR="00F61885" w:rsidRPr="00F61885">
          <w:rPr>
            <w:noProof/>
            <w:webHidden/>
          </w:rPr>
          <w:fldChar w:fldCharType="end"/>
        </w:r>
      </w:hyperlink>
    </w:p>
    <w:p w14:paraId="4F87F48F"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2" w:history="1">
        <w:r w:rsidR="00F61885" w:rsidRPr="00F61885">
          <w:rPr>
            <w:rStyle w:val="Hipervnculo"/>
            <w:noProof/>
          </w:rPr>
          <w:t>Tabla 4: Principales exportadores de quinua, 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_Toc446973202 \h </w:instrText>
        </w:r>
        <w:r w:rsidR="00F61885" w:rsidRPr="00F61885">
          <w:rPr>
            <w:noProof/>
            <w:webHidden/>
          </w:rPr>
        </w:r>
        <w:r w:rsidR="00F61885" w:rsidRPr="00F61885">
          <w:rPr>
            <w:noProof/>
            <w:webHidden/>
          </w:rPr>
          <w:fldChar w:fldCharType="separate"/>
        </w:r>
        <w:r>
          <w:rPr>
            <w:noProof/>
            <w:webHidden/>
          </w:rPr>
          <w:t>28</w:t>
        </w:r>
        <w:r w:rsidR="00F61885" w:rsidRPr="00F61885">
          <w:rPr>
            <w:noProof/>
            <w:webHidden/>
          </w:rPr>
          <w:fldChar w:fldCharType="end"/>
        </w:r>
      </w:hyperlink>
    </w:p>
    <w:p w14:paraId="2DBE0364"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3" w:history="1">
        <w:r w:rsidR="00F61885" w:rsidRPr="00F61885">
          <w:rPr>
            <w:rStyle w:val="Hipervnculo"/>
            <w:noProof/>
          </w:rPr>
          <w:t>Tabla 5: Principales importadores de quinua, 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_Toc446973203 \h </w:instrText>
        </w:r>
        <w:r w:rsidR="00F61885" w:rsidRPr="00F61885">
          <w:rPr>
            <w:noProof/>
            <w:webHidden/>
          </w:rPr>
        </w:r>
        <w:r w:rsidR="00F61885" w:rsidRPr="00F61885">
          <w:rPr>
            <w:noProof/>
            <w:webHidden/>
          </w:rPr>
          <w:fldChar w:fldCharType="separate"/>
        </w:r>
        <w:r>
          <w:rPr>
            <w:noProof/>
            <w:webHidden/>
          </w:rPr>
          <w:t>28</w:t>
        </w:r>
        <w:r w:rsidR="00F61885" w:rsidRPr="00F61885">
          <w:rPr>
            <w:noProof/>
            <w:webHidden/>
          </w:rPr>
          <w:fldChar w:fldCharType="end"/>
        </w:r>
      </w:hyperlink>
    </w:p>
    <w:p w14:paraId="6D94ED51"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4" w:history="1">
        <w:r w:rsidR="00F61885" w:rsidRPr="00F61885">
          <w:rPr>
            <w:rStyle w:val="Hipervnculo"/>
            <w:noProof/>
          </w:rPr>
          <w:t>Tabla 6: Evolución histórica del precio de exportación de la quinua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_Toc446973204 \h </w:instrText>
        </w:r>
        <w:r w:rsidR="00F61885" w:rsidRPr="00F61885">
          <w:rPr>
            <w:noProof/>
            <w:webHidden/>
          </w:rPr>
        </w:r>
        <w:r w:rsidR="00F61885" w:rsidRPr="00F61885">
          <w:rPr>
            <w:noProof/>
            <w:webHidden/>
          </w:rPr>
          <w:fldChar w:fldCharType="separate"/>
        </w:r>
        <w:r>
          <w:rPr>
            <w:noProof/>
            <w:webHidden/>
          </w:rPr>
          <w:t>29</w:t>
        </w:r>
        <w:r w:rsidR="00F61885" w:rsidRPr="00F61885">
          <w:rPr>
            <w:noProof/>
            <w:webHidden/>
          </w:rPr>
          <w:fldChar w:fldCharType="end"/>
        </w:r>
      </w:hyperlink>
    </w:p>
    <w:p w14:paraId="05611C0A"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5" w:history="1">
        <w:r w:rsidR="00F61885" w:rsidRPr="00F61885">
          <w:rPr>
            <w:rStyle w:val="Hipervnculo"/>
            <w:noProof/>
          </w:rPr>
          <w:t>Tabla 7: Precios mínimos y primas para la quinua de Comercio Justo</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_Toc446973205 \h </w:instrText>
        </w:r>
        <w:r w:rsidR="00F61885" w:rsidRPr="00F61885">
          <w:rPr>
            <w:noProof/>
            <w:webHidden/>
          </w:rPr>
        </w:r>
        <w:r w:rsidR="00F61885" w:rsidRPr="00F61885">
          <w:rPr>
            <w:noProof/>
            <w:webHidden/>
          </w:rPr>
          <w:fldChar w:fldCharType="separate"/>
        </w:r>
        <w:r>
          <w:rPr>
            <w:noProof/>
            <w:webHidden/>
          </w:rPr>
          <w:t>30</w:t>
        </w:r>
        <w:r w:rsidR="00F61885" w:rsidRPr="00F61885">
          <w:rPr>
            <w:noProof/>
            <w:webHidden/>
          </w:rPr>
          <w:fldChar w:fldCharType="end"/>
        </w:r>
      </w:hyperlink>
    </w:p>
    <w:p w14:paraId="797D566A"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6" w:history="1">
        <w:r w:rsidR="00F61885" w:rsidRPr="00F61885">
          <w:rPr>
            <w:rStyle w:val="Hipervnculo"/>
            <w:noProof/>
          </w:rPr>
          <w:t>Tabla 8: Valor de las importaciones de quinua de la UE 15</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_Toc446973206 \h </w:instrText>
        </w:r>
        <w:r w:rsidR="00F61885" w:rsidRPr="00F61885">
          <w:rPr>
            <w:noProof/>
            <w:webHidden/>
          </w:rPr>
        </w:r>
        <w:r w:rsidR="00F61885" w:rsidRPr="00F61885">
          <w:rPr>
            <w:noProof/>
            <w:webHidden/>
          </w:rPr>
          <w:fldChar w:fldCharType="separate"/>
        </w:r>
        <w:r>
          <w:rPr>
            <w:noProof/>
            <w:webHidden/>
          </w:rPr>
          <w:t>37</w:t>
        </w:r>
        <w:r w:rsidR="00F61885" w:rsidRPr="00F61885">
          <w:rPr>
            <w:noProof/>
            <w:webHidden/>
          </w:rPr>
          <w:fldChar w:fldCharType="end"/>
        </w:r>
      </w:hyperlink>
    </w:p>
    <w:p w14:paraId="586915D8"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7" w:history="1">
        <w:r w:rsidR="00F61885" w:rsidRPr="00F61885">
          <w:rPr>
            <w:rStyle w:val="Hipervnculo"/>
            <w:noProof/>
          </w:rPr>
          <w:t>Tabla 9: Importación de Quinua de Francia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_Toc446973207 \h </w:instrText>
        </w:r>
        <w:r w:rsidR="00F61885" w:rsidRPr="00F61885">
          <w:rPr>
            <w:noProof/>
            <w:webHidden/>
          </w:rPr>
        </w:r>
        <w:r w:rsidR="00F61885" w:rsidRPr="00F61885">
          <w:rPr>
            <w:noProof/>
            <w:webHidden/>
          </w:rPr>
          <w:fldChar w:fldCharType="separate"/>
        </w:r>
        <w:r>
          <w:rPr>
            <w:noProof/>
            <w:webHidden/>
          </w:rPr>
          <w:t>38</w:t>
        </w:r>
        <w:r w:rsidR="00F61885" w:rsidRPr="00F61885">
          <w:rPr>
            <w:noProof/>
            <w:webHidden/>
          </w:rPr>
          <w:fldChar w:fldCharType="end"/>
        </w:r>
      </w:hyperlink>
    </w:p>
    <w:p w14:paraId="5277EAB1"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8" w:history="1">
        <w:r w:rsidR="00F61885" w:rsidRPr="00F61885">
          <w:rPr>
            <w:rStyle w:val="Hipervnculo"/>
            <w:noProof/>
          </w:rPr>
          <w:t>Tabla 10: Proyección de Toneladas importadas por Francia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_Toc446973208 \h </w:instrText>
        </w:r>
        <w:r w:rsidR="00F61885" w:rsidRPr="00F61885">
          <w:rPr>
            <w:noProof/>
            <w:webHidden/>
          </w:rPr>
        </w:r>
        <w:r w:rsidR="00F61885" w:rsidRPr="00F61885">
          <w:rPr>
            <w:noProof/>
            <w:webHidden/>
          </w:rPr>
          <w:fldChar w:fldCharType="separate"/>
        </w:r>
        <w:r>
          <w:rPr>
            <w:noProof/>
            <w:webHidden/>
          </w:rPr>
          <w:t>39</w:t>
        </w:r>
        <w:r w:rsidR="00F61885" w:rsidRPr="00F61885">
          <w:rPr>
            <w:noProof/>
            <w:webHidden/>
          </w:rPr>
          <w:fldChar w:fldCharType="end"/>
        </w:r>
      </w:hyperlink>
    </w:p>
    <w:p w14:paraId="5D735F5E"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09" w:history="1">
        <w:r w:rsidR="00F61885" w:rsidRPr="00F61885">
          <w:rPr>
            <w:rStyle w:val="Hipervnculo"/>
            <w:noProof/>
          </w:rPr>
          <w:t>Tabla 11: Condiciones Arancelarias para Exportación de Quinua a Francia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_Toc446973209 \h </w:instrText>
        </w:r>
        <w:r w:rsidR="00F61885" w:rsidRPr="00F61885">
          <w:rPr>
            <w:noProof/>
            <w:webHidden/>
          </w:rPr>
        </w:r>
        <w:r w:rsidR="00F61885" w:rsidRPr="00F61885">
          <w:rPr>
            <w:noProof/>
            <w:webHidden/>
          </w:rPr>
          <w:fldChar w:fldCharType="separate"/>
        </w:r>
        <w:r>
          <w:rPr>
            <w:noProof/>
            <w:webHidden/>
          </w:rPr>
          <w:t>42</w:t>
        </w:r>
        <w:r w:rsidR="00F61885" w:rsidRPr="00F61885">
          <w:rPr>
            <w:noProof/>
            <w:webHidden/>
          </w:rPr>
          <w:fldChar w:fldCharType="end"/>
        </w:r>
      </w:hyperlink>
    </w:p>
    <w:p w14:paraId="2E1E7589"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0" w:history="1">
        <w:r w:rsidR="00F61885" w:rsidRPr="00F61885">
          <w:rPr>
            <w:rStyle w:val="Hipervnculo"/>
            <w:noProof/>
          </w:rPr>
          <w:t>Tabla 12: Superficie sembrada, producción y rendimiento en Bolivia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_Toc446973210 \h </w:instrText>
        </w:r>
        <w:r w:rsidR="00F61885" w:rsidRPr="00F61885">
          <w:rPr>
            <w:noProof/>
            <w:webHidden/>
          </w:rPr>
        </w:r>
        <w:r w:rsidR="00F61885" w:rsidRPr="00F61885">
          <w:rPr>
            <w:noProof/>
            <w:webHidden/>
          </w:rPr>
          <w:fldChar w:fldCharType="separate"/>
        </w:r>
        <w:r>
          <w:rPr>
            <w:noProof/>
            <w:webHidden/>
          </w:rPr>
          <w:t>46</w:t>
        </w:r>
        <w:r w:rsidR="00F61885" w:rsidRPr="00F61885">
          <w:rPr>
            <w:noProof/>
            <w:webHidden/>
          </w:rPr>
          <w:fldChar w:fldCharType="end"/>
        </w:r>
      </w:hyperlink>
    </w:p>
    <w:p w14:paraId="618FE12F"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1" w:history="1">
        <w:r w:rsidR="00F61885" w:rsidRPr="00F61885">
          <w:rPr>
            <w:rStyle w:val="Hipervnculo"/>
            <w:noProof/>
          </w:rPr>
          <w:t>Tabla 13: Superficie sembrada, producción y rendimiento en Ecuador</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_Toc446973211 \h </w:instrText>
        </w:r>
        <w:r w:rsidR="00F61885" w:rsidRPr="00F61885">
          <w:rPr>
            <w:noProof/>
            <w:webHidden/>
          </w:rPr>
        </w:r>
        <w:r w:rsidR="00F61885" w:rsidRPr="00F61885">
          <w:rPr>
            <w:noProof/>
            <w:webHidden/>
          </w:rPr>
          <w:fldChar w:fldCharType="separate"/>
        </w:r>
        <w:r>
          <w:rPr>
            <w:noProof/>
            <w:webHidden/>
          </w:rPr>
          <w:t>48</w:t>
        </w:r>
        <w:r w:rsidR="00F61885" w:rsidRPr="00F61885">
          <w:rPr>
            <w:noProof/>
            <w:webHidden/>
          </w:rPr>
          <w:fldChar w:fldCharType="end"/>
        </w:r>
      </w:hyperlink>
    </w:p>
    <w:p w14:paraId="67BEAECC"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2" w:history="1">
        <w:r w:rsidR="00F61885" w:rsidRPr="00F61885">
          <w:rPr>
            <w:rStyle w:val="Hipervnculo"/>
            <w:noProof/>
          </w:rPr>
          <w:t>Tabla 14: Exportación de Quinua de Bolivia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_Toc446973212 \h </w:instrText>
        </w:r>
        <w:r w:rsidR="00F61885" w:rsidRPr="00F61885">
          <w:rPr>
            <w:noProof/>
            <w:webHidden/>
          </w:rPr>
        </w:r>
        <w:r w:rsidR="00F61885" w:rsidRPr="00F61885">
          <w:rPr>
            <w:noProof/>
            <w:webHidden/>
          </w:rPr>
          <w:fldChar w:fldCharType="separate"/>
        </w:r>
        <w:r>
          <w:rPr>
            <w:noProof/>
            <w:webHidden/>
          </w:rPr>
          <w:t>51</w:t>
        </w:r>
        <w:r w:rsidR="00F61885" w:rsidRPr="00F61885">
          <w:rPr>
            <w:noProof/>
            <w:webHidden/>
          </w:rPr>
          <w:fldChar w:fldCharType="end"/>
        </w:r>
      </w:hyperlink>
    </w:p>
    <w:p w14:paraId="1944C970"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3" w:history="1">
        <w:r w:rsidR="00F61885" w:rsidRPr="00F61885">
          <w:rPr>
            <w:rStyle w:val="Hipervnculo"/>
            <w:noProof/>
          </w:rPr>
          <w:t>Tabla 15: Exportación de Quinua de Ecuador</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_Toc446973213 \h </w:instrText>
        </w:r>
        <w:r w:rsidR="00F61885" w:rsidRPr="00F61885">
          <w:rPr>
            <w:noProof/>
            <w:webHidden/>
          </w:rPr>
        </w:r>
        <w:r w:rsidR="00F61885" w:rsidRPr="00F61885">
          <w:rPr>
            <w:noProof/>
            <w:webHidden/>
          </w:rPr>
          <w:fldChar w:fldCharType="separate"/>
        </w:r>
        <w:r>
          <w:rPr>
            <w:noProof/>
            <w:webHidden/>
          </w:rPr>
          <w:t>52</w:t>
        </w:r>
        <w:r w:rsidR="00F61885" w:rsidRPr="00F61885">
          <w:rPr>
            <w:noProof/>
            <w:webHidden/>
          </w:rPr>
          <w:fldChar w:fldCharType="end"/>
        </w:r>
      </w:hyperlink>
    </w:p>
    <w:p w14:paraId="7EF094CA"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4" w:history="1">
        <w:r w:rsidR="00F61885" w:rsidRPr="00F61885">
          <w:rPr>
            <w:rStyle w:val="Hipervnculo"/>
            <w:noProof/>
          </w:rPr>
          <w:t>Tabla 16: Quinua dentro de la Balanza Comercial de Bolivia</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_Toc446973214 \h </w:instrText>
        </w:r>
        <w:r w:rsidR="00F61885" w:rsidRPr="00F61885">
          <w:rPr>
            <w:noProof/>
            <w:webHidden/>
          </w:rPr>
        </w:r>
        <w:r w:rsidR="00F61885" w:rsidRPr="00F61885">
          <w:rPr>
            <w:noProof/>
            <w:webHidden/>
          </w:rPr>
          <w:fldChar w:fldCharType="separate"/>
        </w:r>
        <w:r>
          <w:rPr>
            <w:noProof/>
            <w:webHidden/>
          </w:rPr>
          <w:t>54</w:t>
        </w:r>
        <w:r w:rsidR="00F61885" w:rsidRPr="00F61885">
          <w:rPr>
            <w:noProof/>
            <w:webHidden/>
          </w:rPr>
          <w:fldChar w:fldCharType="end"/>
        </w:r>
      </w:hyperlink>
    </w:p>
    <w:p w14:paraId="6E89180B"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5" w:history="1">
        <w:r w:rsidR="00F61885" w:rsidRPr="00F61885">
          <w:rPr>
            <w:rStyle w:val="Hipervnculo"/>
            <w:noProof/>
          </w:rPr>
          <w:t>Tabla 17: Quinua dentro de la Balanza Comercial del Ecuador</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_Toc446973215 \h </w:instrText>
        </w:r>
        <w:r w:rsidR="00F61885" w:rsidRPr="00F61885">
          <w:rPr>
            <w:noProof/>
            <w:webHidden/>
          </w:rPr>
        </w:r>
        <w:r w:rsidR="00F61885" w:rsidRPr="00F61885">
          <w:rPr>
            <w:noProof/>
            <w:webHidden/>
          </w:rPr>
          <w:fldChar w:fldCharType="separate"/>
        </w:r>
        <w:r>
          <w:rPr>
            <w:noProof/>
            <w:webHidden/>
          </w:rPr>
          <w:t>54</w:t>
        </w:r>
        <w:r w:rsidR="00F61885" w:rsidRPr="00F61885">
          <w:rPr>
            <w:noProof/>
            <w:webHidden/>
          </w:rPr>
          <w:fldChar w:fldCharType="end"/>
        </w:r>
      </w:hyperlink>
    </w:p>
    <w:p w14:paraId="1C6C5835"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r:id="rId9" w:anchor="_Toc446973216" w:history="1">
        <w:r w:rsidR="00F61885" w:rsidRPr="00F61885">
          <w:rPr>
            <w:rStyle w:val="Hipervnculo"/>
            <w:noProof/>
          </w:rPr>
          <w:t>Tabla 18: Estado de Resultados simplificado de la Empresa Quinoa Foods 2012-2014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_Toc446973216 \h </w:instrText>
        </w:r>
        <w:r w:rsidR="00F61885" w:rsidRPr="00F61885">
          <w:rPr>
            <w:noProof/>
            <w:webHidden/>
          </w:rPr>
        </w:r>
        <w:r w:rsidR="00F61885" w:rsidRPr="00F61885">
          <w:rPr>
            <w:noProof/>
            <w:webHidden/>
          </w:rPr>
          <w:fldChar w:fldCharType="separate"/>
        </w:r>
        <w:r>
          <w:rPr>
            <w:noProof/>
            <w:webHidden/>
          </w:rPr>
          <w:t>64</w:t>
        </w:r>
        <w:r w:rsidR="00F61885" w:rsidRPr="00F61885">
          <w:rPr>
            <w:noProof/>
            <w:webHidden/>
          </w:rPr>
          <w:fldChar w:fldCharType="end"/>
        </w:r>
      </w:hyperlink>
    </w:p>
    <w:p w14:paraId="0380A6A0"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r:id="rId10" w:anchor="_Toc446973217" w:history="1">
        <w:r w:rsidR="00F61885" w:rsidRPr="00F61885">
          <w:rPr>
            <w:rStyle w:val="Hipervnculo"/>
            <w:noProof/>
          </w:rPr>
          <w:t>Tabla 19: Balance General simplificado de la empresa Quinoa Foods 2012-2014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_Toc446973217 \h </w:instrText>
        </w:r>
        <w:r w:rsidR="00F61885" w:rsidRPr="00F61885">
          <w:rPr>
            <w:noProof/>
            <w:webHidden/>
          </w:rPr>
        </w:r>
        <w:r w:rsidR="00F61885" w:rsidRPr="00F61885">
          <w:rPr>
            <w:noProof/>
            <w:webHidden/>
          </w:rPr>
          <w:fldChar w:fldCharType="separate"/>
        </w:r>
        <w:r>
          <w:rPr>
            <w:noProof/>
            <w:webHidden/>
          </w:rPr>
          <w:t>64</w:t>
        </w:r>
        <w:r w:rsidR="00F61885" w:rsidRPr="00F61885">
          <w:rPr>
            <w:noProof/>
            <w:webHidden/>
          </w:rPr>
          <w:fldChar w:fldCharType="end"/>
        </w:r>
      </w:hyperlink>
    </w:p>
    <w:p w14:paraId="7984F288"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8" w:history="1">
        <w:r w:rsidR="00F61885" w:rsidRPr="00F61885">
          <w:rPr>
            <w:rStyle w:val="Hipervnculo"/>
            <w:noProof/>
          </w:rPr>
          <w:t>Tabla 20: Análisis DUPONT Quinoa Foods Co.</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_Toc446973218 \h </w:instrText>
        </w:r>
        <w:r w:rsidR="00F61885" w:rsidRPr="00F61885">
          <w:rPr>
            <w:noProof/>
            <w:webHidden/>
          </w:rPr>
        </w:r>
        <w:r w:rsidR="00F61885" w:rsidRPr="00F61885">
          <w:rPr>
            <w:noProof/>
            <w:webHidden/>
          </w:rPr>
          <w:fldChar w:fldCharType="separate"/>
        </w:r>
        <w:r>
          <w:rPr>
            <w:noProof/>
            <w:webHidden/>
          </w:rPr>
          <w:t>65</w:t>
        </w:r>
        <w:r w:rsidR="00F61885" w:rsidRPr="00F61885">
          <w:rPr>
            <w:noProof/>
            <w:webHidden/>
          </w:rPr>
          <w:fldChar w:fldCharType="end"/>
        </w:r>
      </w:hyperlink>
    </w:p>
    <w:p w14:paraId="7C594443"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19" w:history="1">
        <w:r w:rsidR="00F61885" w:rsidRPr="00F61885">
          <w:rPr>
            <w:rStyle w:val="Hipervnculo"/>
            <w:noProof/>
          </w:rPr>
          <w:t>Tabla 21: Estado de Resultados de la empresa Cereales Andinos 2012-2014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_Toc446973219 \h </w:instrText>
        </w:r>
        <w:r w:rsidR="00F61885" w:rsidRPr="00F61885">
          <w:rPr>
            <w:noProof/>
            <w:webHidden/>
          </w:rPr>
        </w:r>
        <w:r w:rsidR="00F61885" w:rsidRPr="00F61885">
          <w:rPr>
            <w:noProof/>
            <w:webHidden/>
          </w:rPr>
          <w:fldChar w:fldCharType="separate"/>
        </w:r>
        <w:r>
          <w:rPr>
            <w:noProof/>
            <w:webHidden/>
          </w:rPr>
          <w:t>66</w:t>
        </w:r>
        <w:r w:rsidR="00F61885" w:rsidRPr="00F61885">
          <w:rPr>
            <w:noProof/>
            <w:webHidden/>
          </w:rPr>
          <w:fldChar w:fldCharType="end"/>
        </w:r>
      </w:hyperlink>
    </w:p>
    <w:p w14:paraId="079CBE19"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20" w:history="1">
        <w:r w:rsidR="00F61885" w:rsidRPr="00F61885">
          <w:rPr>
            <w:rStyle w:val="Hipervnculo"/>
            <w:noProof/>
          </w:rPr>
          <w:t>Tabla 22: Balance General Simplificado de la empresa Cereales Andinos 2012-2014</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_Toc446973220 \h </w:instrText>
        </w:r>
        <w:r w:rsidR="00F61885" w:rsidRPr="00F61885">
          <w:rPr>
            <w:noProof/>
            <w:webHidden/>
          </w:rPr>
        </w:r>
        <w:r w:rsidR="00F61885" w:rsidRPr="00F61885">
          <w:rPr>
            <w:noProof/>
            <w:webHidden/>
          </w:rPr>
          <w:fldChar w:fldCharType="separate"/>
        </w:r>
        <w:r>
          <w:rPr>
            <w:noProof/>
            <w:webHidden/>
          </w:rPr>
          <w:t>67</w:t>
        </w:r>
        <w:r w:rsidR="00F61885" w:rsidRPr="00F61885">
          <w:rPr>
            <w:noProof/>
            <w:webHidden/>
          </w:rPr>
          <w:fldChar w:fldCharType="end"/>
        </w:r>
      </w:hyperlink>
    </w:p>
    <w:p w14:paraId="23356D05" w14:textId="77777777" w:rsidR="00F61885" w:rsidRPr="00F61885"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6973221" w:history="1">
        <w:r w:rsidR="00F61885" w:rsidRPr="00F61885">
          <w:rPr>
            <w:rStyle w:val="Hipervnculo"/>
            <w:noProof/>
          </w:rPr>
          <w:t>Tabla 23: Análisis DUPONT de Cereales Andinos</w:t>
        </w:r>
        <w:r w:rsidR="00F61885" w:rsidRPr="00F61885">
          <w:rPr>
            <w:noProof/>
            <w:webHidden/>
          </w:rPr>
          <w:tab/>
        </w:r>
        <w:r w:rsidR="00F61885" w:rsidRPr="00F61885">
          <w:rPr>
            <w:noProof/>
            <w:webHidden/>
          </w:rPr>
          <w:fldChar w:fldCharType="begin"/>
        </w:r>
        <w:r w:rsidR="00F61885" w:rsidRPr="00F61885">
          <w:rPr>
            <w:noProof/>
            <w:webHidden/>
          </w:rPr>
          <w:instrText xml:space="preserve"> PAGEREF _Toc446973221 \h </w:instrText>
        </w:r>
        <w:r w:rsidR="00F61885" w:rsidRPr="00F61885">
          <w:rPr>
            <w:noProof/>
            <w:webHidden/>
          </w:rPr>
        </w:r>
        <w:r w:rsidR="00F61885" w:rsidRPr="00F61885">
          <w:rPr>
            <w:noProof/>
            <w:webHidden/>
          </w:rPr>
          <w:fldChar w:fldCharType="separate"/>
        </w:r>
        <w:r>
          <w:rPr>
            <w:noProof/>
            <w:webHidden/>
          </w:rPr>
          <w:t>67</w:t>
        </w:r>
        <w:r w:rsidR="00F61885" w:rsidRPr="00F61885">
          <w:rPr>
            <w:noProof/>
            <w:webHidden/>
          </w:rPr>
          <w:fldChar w:fldCharType="end"/>
        </w:r>
      </w:hyperlink>
    </w:p>
    <w:p w14:paraId="0C5EC631" w14:textId="77777777" w:rsidR="00B76E1B" w:rsidRDefault="00B76E1B">
      <w:pPr>
        <w:spacing w:line="276" w:lineRule="auto"/>
        <w:jc w:val="left"/>
        <w:rPr>
          <w:b/>
        </w:rPr>
      </w:pPr>
      <w:r w:rsidRPr="00F61885">
        <w:fldChar w:fldCharType="end"/>
      </w:r>
    </w:p>
    <w:p w14:paraId="2AE60112" w14:textId="77777777" w:rsidR="00B76E1B" w:rsidRDefault="00B76E1B">
      <w:pPr>
        <w:spacing w:line="276" w:lineRule="auto"/>
        <w:jc w:val="left"/>
        <w:rPr>
          <w:b/>
        </w:rPr>
      </w:pPr>
    </w:p>
    <w:p w14:paraId="116D6210" w14:textId="77777777" w:rsidR="008A3A71" w:rsidRDefault="00B76E1B" w:rsidP="00B76E1B">
      <w:pPr>
        <w:pStyle w:val="Ttulo1"/>
        <w:rPr>
          <w:noProof/>
        </w:rPr>
      </w:pPr>
      <w:bookmarkStart w:id="5" w:name="_Toc446973130"/>
      <w:r>
        <w:lastRenderedPageBreak/>
        <w:t>ÍNDICE DE ANEXOS</w:t>
      </w:r>
      <w:bookmarkEnd w:id="5"/>
      <w:r>
        <w:fldChar w:fldCharType="begin"/>
      </w:r>
      <w:r>
        <w:instrText xml:space="preserve"> TOC \h \z \c "Anexo No." </w:instrText>
      </w:r>
      <w:r>
        <w:fldChar w:fldCharType="separate"/>
      </w:r>
    </w:p>
    <w:p w14:paraId="2C57C6C5" w14:textId="77777777" w:rsidR="008A3A71" w:rsidRDefault="00B828B8">
      <w:pPr>
        <w:pStyle w:val="Tabladeilustraciones"/>
        <w:tabs>
          <w:tab w:val="right" w:leader="dot" w:pos="9111"/>
        </w:tabs>
        <w:rPr>
          <w:rFonts w:asciiTheme="minorHAnsi" w:eastAsiaTheme="minorEastAsia" w:hAnsiTheme="minorHAnsi" w:cstheme="minorBidi"/>
          <w:noProof/>
          <w:sz w:val="22"/>
          <w:lang w:eastAsia="es-EC"/>
        </w:rPr>
      </w:pPr>
      <w:hyperlink r:id="rId11" w:anchor="_Toc445633186" w:history="1">
        <w:r w:rsidR="008A3A71" w:rsidRPr="002C3B75">
          <w:rPr>
            <w:rStyle w:val="Hipervnculo"/>
            <w:noProof/>
          </w:rPr>
          <w:t>Anexo No. 1. Estado de Resultados de la Empresa Quinoa Foods 2012-2014</w:t>
        </w:r>
        <w:r w:rsidR="008A3A71">
          <w:rPr>
            <w:noProof/>
            <w:webHidden/>
          </w:rPr>
          <w:tab/>
        </w:r>
        <w:r w:rsidR="008A3A71">
          <w:rPr>
            <w:noProof/>
            <w:webHidden/>
          </w:rPr>
          <w:fldChar w:fldCharType="begin"/>
        </w:r>
        <w:r w:rsidR="008A3A71">
          <w:rPr>
            <w:noProof/>
            <w:webHidden/>
          </w:rPr>
          <w:instrText xml:space="preserve"> PAGEREF _Toc445633186 \h </w:instrText>
        </w:r>
        <w:r w:rsidR="008A3A71">
          <w:rPr>
            <w:noProof/>
            <w:webHidden/>
          </w:rPr>
        </w:r>
        <w:r w:rsidR="008A3A71">
          <w:rPr>
            <w:noProof/>
            <w:webHidden/>
          </w:rPr>
          <w:fldChar w:fldCharType="separate"/>
        </w:r>
        <w:r>
          <w:rPr>
            <w:noProof/>
            <w:webHidden/>
          </w:rPr>
          <w:t>83</w:t>
        </w:r>
        <w:r w:rsidR="008A3A71">
          <w:rPr>
            <w:noProof/>
            <w:webHidden/>
          </w:rPr>
          <w:fldChar w:fldCharType="end"/>
        </w:r>
      </w:hyperlink>
    </w:p>
    <w:p w14:paraId="3E714DEE" w14:textId="77777777" w:rsidR="008A3A71" w:rsidRDefault="00B828B8">
      <w:pPr>
        <w:pStyle w:val="Tabladeilustraciones"/>
        <w:tabs>
          <w:tab w:val="right" w:leader="dot" w:pos="9111"/>
        </w:tabs>
        <w:rPr>
          <w:rFonts w:asciiTheme="minorHAnsi" w:eastAsiaTheme="minorEastAsia" w:hAnsiTheme="minorHAnsi" w:cstheme="minorBidi"/>
          <w:noProof/>
          <w:sz w:val="22"/>
          <w:lang w:eastAsia="es-EC"/>
        </w:rPr>
      </w:pPr>
      <w:hyperlink r:id="rId12" w:anchor="_Toc445633187" w:history="1">
        <w:r w:rsidR="008A3A71" w:rsidRPr="002C3B75">
          <w:rPr>
            <w:rStyle w:val="Hipervnculo"/>
            <w:noProof/>
          </w:rPr>
          <w:t>Anexo No. 2: Balance General de la Empresa Quinoa Foods 2012-2014</w:t>
        </w:r>
        <w:r w:rsidR="008A3A71">
          <w:rPr>
            <w:noProof/>
            <w:webHidden/>
          </w:rPr>
          <w:tab/>
        </w:r>
        <w:r w:rsidR="008A3A71">
          <w:rPr>
            <w:noProof/>
            <w:webHidden/>
          </w:rPr>
          <w:fldChar w:fldCharType="begin"/>
        </w:r>
        <w:r w:rsidR="008A3A71">
          <w:rPr>
            <w:noProof/>
            <w:webHidden/>
          </w:rPr>
          <w:instrText xml:space="preserve"> PAGEREF _Toc445633187 \h </w:instrText>
        </w:r>
        <w:r w:rsidR="008A3A71">
          <w:rPr>
            <w:noProof/>
            <w:webHidden/>
          </w:rPr>
        </w:r>
        <w:r w:rsidR="008A3A71">
          <w:rPr>
            <w:noProof/>
            <w:webHidden/>
          </w:rPr>
          <w:fldChar w:fldCharType="separate"/>
        </w:r>
        <w:r>
          <w:rPr>
            <w:noProof/>
            <w:webHidden/>
          </w:rPr>
          <w:t>84</w:t>
        </w:r>
        <w:r w:rsidR="008A3A71">
          <w:rPr>
            <w:noProof/>
            <w:webHidden/>
          </w:rPr>
          <w:fldChar w:fldCharType="end"/>
        </w:r>
      </w:hyperlink>
    </w:p>
    <w:p w14:paraId="1BC77F8D" w14:textId="77777777" w:rsidR="008A3A71" w:rsidRDefault="00B828B8">
      <w:pPr>
        <w:pStyle w:val="Tabladeilustraciones"/>
        <w:tabs>
          <w:tab w:val="right" w:leader="dot" w:pos="9111"/>
        </w:tabs>
        <w:rPr>
          <w:rFonts w:asciiTheme="minorHAnsi" w:eastAsiaTheme="minorEastAsia" w:hAnsiTheme="minorHAnsi" w:cstheme="minorBidi"/>
          <w:noProof/>
          <w:sz w:val="22"/>
          <w:lang w:eastAsia="es-EC"/>
        </w:rPr>
      </w:pPr>
      <w:hyperlink w:anchor="_Toc445633188" w:history="1">
        <w:r w:rsidR="008A3A71" w:rsidRPr="002C3B75">
          <w:rPr>
            <w:rStyle w:val="Hipervnculo"/>
            <w:noProof/>
          </w:rPr>
          <w:t>Anexo No. 3: Balance General de la Empresa Cereales Andinos 2012-2014</w:t>
        </w:r>
        <w:r w:rsidR="008A3A71">
          <w:rPr>
            <w:noProof/>
            <w:webHidden/>
          </w:rPr>
          <w:tab/>
        </w:r>
        <w:r w:rsidR="008A3A71">
          <w:rPr>
            <w:noProof/>
            <w:webHidden/>
          </w:rPr>
          <w:fldChar w:fldCharType="begin"/>
        </w:r>
        <w:r w:rsidR="008A3A71">
          <w:rPr>
            <w:noProof/>
            <w:webHidden/>
          </w:rPr>
          <w:instrText xml:space="preserve"> PAGEREF _Toc445633188 \h </w:instrText>
        </w:r>
        <w:r w:rsidR="008A3A71">
          <w:rPr>
            <w:noProof/>
            <w:webHidden/>
          </w:rPr>
        </w:r>
        <w:r w:rsidR="008A3A71">
          <w:rPr>
            <w:noProof/>
            <w:webHidden/>
          </w:rPr>
          <w:fldChar w:fldCharType="separate"/>
        </w:r>
        <w:r>
          <w:rPr>
            <w:noProof/>
            <w:webHidden/>
          </w:rPr>
          <w:t>87</w:t>
        </w:r>
        <w:r w:rsidR="008A3A71">
          <w:rPr>
            <w:noProof/>
            <w:webHidden/>
          </w:rPr>
          <w:fldChar w:fldCharType="end"/>
        </w:r>
      </w:hyperlink>
    </w:p>
    <w:p w14:paraId="4D26001D" w14:textId="77777777" w:rsidR="00B76E1B" w:rsidRDefault="00B76E1B">
      <w:pPr>
        <w:spacing w:line="276" w:lineRule="auto"/>
        <w:jc w:val="left"/>
        <w:rPr>
          <w:rFonts w:eastAsiaTheme="majorEastAsia" w:cstheme="majorBidi"/>
          <w:b/>
          <w:szCs w:val="32"/>
          <w:lang w:eastAsia="es-EC"/>
        </w:rPr>
      </w:pPr>
      <w:r>
        <w:fldChar w:fldCharType="end"/>
      </w:r>
    </w:p>
    <w:p w14:paraId="45DF3320" w14:textId="77777777" w:rsidR="00B76E1B" w:rsidRDefault="00B76E1B">
      <w:pPr>
        <w:spacing w:line="276" w:lineRule="auto"/>
        <w:jc w:val="left"/>
        <w:rPr>
          <w:rFonts w:eastAsiaTheme="majorEastAsia" w:cstheme="majorBidi"/>
          <w:b/>
          <w:szCs w:val="32"/>
          <w:lang w:eastAsia="es-EC"/>
        </w:rPr>
      </w:pPr>
      <w:r>
        <w:br w:type="page"/>
      </w:r>
    </w:p>
    <w:p w14:paraId="12F26B48" w14:textId="77777777" w:rsidR="00750F71" w:rsidRDefault="00750F71" w:rsidP="00ED1E4D"/>
    <w:p w14:paraId="790A67A5" w14:textId="77777777" w:rsidR="00750F71" w:rsidRDefault="00750F71" w:rsidP="00ED1E4D"/>
    <w:p w14:paraId="1F371184" w14:textId="77777777" w:rsidR="00750F71" w:rsidRDefault="00750F71" w:rsidP="00ED1E4D"/>
    <w:p w14:paraId="371978C3" w14:textId="77777777" w:rsidR="00BC5F8E" w:rsidRDefault="000A07EC" w:rsidP="00750F71">
      <w:pPr>
        <w:pStyle w:val="Ttulo1"/>
        <w:spacing w:before="0" w:after="200"/>
        <w:contextualSpacing/>
      </w:pPr>
      <w:bookmarkStart w:id="6" w:name="_Toc446973131"/>
      <w:r w:rsidRPr="00BC5F8E">
        <w:t>RESUMEN</w:t>
      </w:r>
      <w:r w:rsidR="00B76E1B">
        <w:t xml:space="preserve"> </w:t>
      </w:r>
      <w:r w:rsidR="00B76E1B" w:rsidRPr="00B76E1B">
        <w:t>EJECUTIVO</w:t>
      </w:r>
      <w:bookmarkEnd w:id="6"/>
    </w:p>
    <w:p w14:paraId="673AB4F1" w14:textId="77777777" w:rsidR="00B76E1B" w:rsidRDefault="00B76E1B" w:rsidP="00B76E1B">
      <w:pPr>
        <w:contextualSpacing/>
      </w:pPr>
      <w:r>
        <w:t>La quinua es un cereal producido desde la época precolombina en los territorios de lo que ahora es Bolivia, Perú y Ecuador. Ha sido declarada como el alimento del futuro por su alto valor nutritivo.</w:t>
      </w:r>
    </w:p>
    <w:p w14:paraId="523C752A" w14:textId="77777777" w:rsidR="00B76E1B" w:rsidRDefault="00B76E1B" w:rsidP="00B76E1B">
      <w:pPr>
        <w:contextualSpacing/>
      </w:pPr>
      <w:r>
        <w:t>La presente investigación pretende realizar un análisis co</w:t>
      </w:r>
      <w:r w:rsidR="00E04AE3">
        <w:t xml:space="preserve">mparativo de la exportación de este </w:t>
      </w:r>
      <w:r>
        <w:t xml:space="preserve">cereal desde Bolivia y Ecuador hacia Francia. Busca identificar las mejores prácticas realizadas por este primer país para ser aplicadas en Ecuador. La comparación se realizó mediante un análisis cualitativo de información recogida de estadísticas de instituciones gubernamentales de ambos países. </w:t>
      </w:r>
    </w:p>
    <w:p w14:paraId="7467B082" w14:textId="77777777" w:rsidR="00B76E1B" w:rsidRDefault="00B76E1B" w:rsidP="00B76E1B">
      <w:pPr>
        <w:contextualSpacing/>
      </w:pPr>
      <w:r>
        <w:t>El hallazgo principal de la investigación es que Francia tiene una demanda creciente del cereal, mientras que Bolivia ha logrado posicionarse entre los primeros exportadores del mismo a través del fomento a la producción y trabajo asociativo de los agricultores. Estas prácticas se están empezando a ejecutar en Ecuador, sin embargo, todavía tienen que trabajarse para poder generar mejores resultados.</w:t>
      </w:r>
    </w:p>
    <w:p w14:paraId="48EB6CC7" w14:textId="77777777" w:rsidR="00B76E1B" w:rsidRPr="00B76E1B" w:rsidRDefault="00B76E1B" w:rsidP="00B76E1B">
      <w:pPr>
        <w:contextualSpacing/>
      </w:pPr>
      <w:r>
        <w:rPr>
          <w:b/>
        </w:rPr>
        <w:t xml:space="preserve">Palabras clave: </w:t>
      </w:r>
      <w:r>
        <w:t>quinua, exportación, Bolivia, Ecuador, Francia.</w:t>
      </w:r>
    </w:p>
    <w:p w14:paraId="0AB8EA62" w14:textId="77777777" w:rsidR="000B53F5" w:rsidRDefault="00BC5F8E">
      <w:pPr>
        <w:spacing w:line="276" w:lineRule="auto"/>
        <w:jc w:val="left"/>
      </w:pPr>
      <w:r>
        <w:br w:type="page"/>
      </w:r>
    </w:p>
    <w:p w14:paraId="73046E24" w14:textId="77777777" w:rsidR="00617818" w:rsidRDefault="00617818" w:rsidP="00750F71">
      <w:pPr>
        <w:contextualSpacing/>
      </w:pPr>
    </w:p>
    <w:p w14:paraId="0C02524B" w14:textId="77777777" w:rsidR="00FB1A96" w:rsidRPr="00732475" w:rsidRDefault="00FB1A96" w:rsidP="00750F71">
      <w:pPr>
        <w:contextualSpacing/>
      </w:pPr>
    </w:p>
    <w:p w14:paraId="501BBA6C" w14:textId="77777777" w:rsidR="00617818" w:rsidRPr="00732475" w:rsidRDefault="00617818" w:rsidP="00750F71">
      <w:pPr>
        <w:contextualSpacing/>
      </w:pPr>
    </w:p>
    <w:p w14:paraId="52CB9D65" w14:textId="77777777" w:rsidR="00BC5F8E" w:rsidRPr="00B76E1B" w:rsidRDefault="00B76E1B" w:rsidP="00750F71">
      <w:pPr>
        <w:pStyle w:val="Ttulo1"/>
        <w:spacing w:before="0" w:after="200"/>
        <w:contextualSpacing/>
        <w:rPr>
          <w:lang w:val="en-US"/>
        </w:rPr>
      </w:pPr>
      <w:bookmarkStart w:id="7" w:name="_Toc446973132"/>
      <w:r w:rsidRPr="00B76E1B">
        <w:rPr>
          <w:lang w:val="en-US"/>
        </w:rPr>
        <w:t>ABSTRACT</w:t>
      </w:r>
      <w:bookmarkEnd w:id="7"/>
    </w:p>
    <w:p w14:paraId="68621590" w14:textId="77777777" w:rsidR="00B76E1B" w:rsidRDefault="00B76E1B" w:rsidP="00750F71">
      <w:pPr>
        <w:contextualSpacing/>
        <w:rPr>
          <w:lang w:val="en-US" w:eastAsia="es-EC"/>
        </w:rPr>
      </w:pPr>
      <w:r w:rsidRPr="00B76E1B">
        <w:rPr>
          <w:lang w:val="en-US" w:eastAsia="es-EC"/>
        </w:rPr>
        <w:t>Quinoa is a grain produce</w:t>
      </w:r>
      <w:r w:rsidR="00485C70">
        <w:rPr>
          <w:lang w:val="en-US" w:eastAsia="es-EC"/>
        </w:rPr>
        <w:t>d</w:t>
      </w:r>
      <w:r w:rsidRPr="00B76E1B">
        <w:rPr>
          <w:lang w:val="en-US" w:eastAsia="es-EC"/>
        </w:rPr>
        <w:t xml:space="preserve"> since </w:t>
      </w:r>
      <w:r>
        <w:rPr>
          <w:lang w:val="en-US" w:eastAsia="es-EC"/>
        </w:rPr>
        <w:t>pre-Columbian period over actual territories of Bolivia, Peru and Ecuador. It has been consider</w:t>
      </w:r>
      <w:r w:rsidR="00485C70">
        <w:rPr>
          <w:lang w:val="en-US" w:eastAsia="es-EC"/>
        </w:rPr>
        <w:t>ed</w:t>
      </w:r>
      <w:r>
        <w:rPr>
          <w:lang w:val="en-US" w:eastAsia="es-EC"/>
        </w:rPr>
        <w:t xml:space="preserve"> as </w:t>
      </w:r>
      <w:r w:rsidR="00E04AE3">
        <w:rPr>
          <w:lang w:val="en-US" w:eastAsia="es-EC"/>
        </w:rPr>
        <w:t>the future food because of it</w:t>
      </w:r>
      <w:r w:rsidR="00485C70">
        <w:rPr>
          <w:lang w:val="en-US" w:eastAsia="es-EC"/>
        </w:rPr>
        <w:t>s</w:t>
      </w:r>
      <w:r w:rsidR="00E04AE3">
        <w:rPr>
          <w:lang w:val="en-US" w:eastAsia="es-EC"/>
        </w:rPr>
        <w:t xml:space="preserve"> high nutritional value. </w:t>
      </w:r>
    </w:p>
    <w:p w14:paraId="15E22868" w14:textId="77777777" w:rsidR="00E04AE3" w:rsidRDefault="00E04AE3" w:rsidP="00750F71">
      <w:pPr>
        <w:contextualSpacing/>
        <w:rPr>
          <w:lang w:val="en-US" w:eastAsia="es-EC"/>
        </w:rPr>
      </w:pPr>
      <w:r>
        <w:rPr>
          <w:lang w:val="en-US" w:eastAsia="es-EC"/>
        </w:rPr>
        <w:t xml:space="preserve">Present research is about a comparative analysis of the quinoa export from Bolivia and Ecuador to France. It tries to identify </w:t>
      </w:r>
      <w:r w:rsidR="00485C70">
        <w:rPr>
          <w:lang w:val="en-US" w:eastAsia="es-EC"/>
        </w:rPr>
        <w:t xml:space="preserve">the </w:t>
      </w:r>
      <w:r>
        <w:rPr>
          <w:lang w:val="en-US" w:eastAsia="es-EC"/>
        </w:rPr>
        <w:t>best practices from th</w:t>
      </w:r>
      <w:r w:rsidR="00FD7EC1">
        <w:rPr>
          <w:lang w:val="en-US" w:eastAsia="es-EC"/>
        </w:rPr>
        <w:t>e first country to be applied</w:t>
      </w:r>
      <w:r>
        <w:rPr>
          <w:lang w:val="en-US" w:eastAsia="es-EC"/>
        </w:rPr>
        <w:t xml:space="preserve"> by Ecuador. Comparison was made through a qualitative analysis of statistics published by government institutions from both countries.  </w:t>
      </w:r>
    </w:p>
    <w:p w14:paraId="2034D142" w14:textId="77777777" w:rsidR="00E04AE3" w:rsidRDefault="00E04AE3" w:rsidP="00750F71">
      <w:pPr>
        <w:contextualSpacing/>
        <w:rPr>
          <w:lang w:val="en-US" w:eastAsia="es-EC"/>
        </w:rPr>
      </w:pPr>
      <w:r>
        <w:rPr>
          <w:lang w:val="en-US" w:eastAsia="es-EC"/>
        </w:rPr>
        <w:t>The main finding of the research is that France has an increasing demand of the grain, while Bolivia has positioned itself among the top quinoa exporters of the world through the promotion of the production</w:t>
      </w:r>
      <w:r w:rsidR="00732475">
        <w:rPr>
          <w:lang w:val="en-US" w:eastAsia="es-EC"/>
        </w:rPr>
        <w:t xml:space="preserve"> and associative </w:t>
      </w:r>
      <w:r>
        <w:rPr>
          <w:lang w:val="en-US" w:eastAsia="es-EC"/>
        </w:rPr>
        <w:t>farmers</w:t>
      </w:r>
      <w:r w:rsidR="00732475">
        <w:rPr>
          <w:lang w:val="en-US" w:eastAsia="es-EC"/>
        </w:rPr>
        <w:t>’ work</w:t>
      </w:r>
      <w:r>
        <w:rPr>
          <w:lang w:val="en-US" w:eastAsia="es-EC"/>
        </w:rPr>
        <w:t xml:space="preserve">. These practices are </w:t>
      </w:r>
      <w:r w:rsidR="00FD7EC1">
        <w:rPr>
          <w:lang w:val="en-US" w:eastAsia="es-EC"/>
        </w:rPr>
        <w:t>starting in Ecuador, however, they</w:t>
      </w:r>
      <w:r>
        <w:rPr>
          <w:lang w:val="en-US" w:eastAsia="es-EC"/>
        </w:rPr>
        <w:t xml:space="preserve"> have to be developed in order to improve actual results. </w:t>
      </w:r>
    </w:p>
    <w:p w14:paraId="254CA2A6" w14:textId="77777777" w:rsidR="00E04AE3" w:rsidRPr="002A78BE" w:rsidRDefault="002A78BE" w:rsidP="00750F71">
      <w:pPr>
        <w:contextualSpacing/>
        <w:rPr>
          <w:lang w:eastAsia="es-EC"/>
        </w:rPr>
      </w:pPr>
      <w:r w:rsidRPr="002A78BE">
        <w:rPr>
          <w:b/>
          <w:lang w:eastAsia="es-EC"/>
        </w:rPr>
        <w:t xml:space="preserve">Key Words: </w:t>
      </w:r>
      <w:r w:rsidRPr="002A78BE">
        <w:rPr>
          <w:lang w:eastAsia="es-EC"/>
        </w:rPr>
        <w:t>quinoa, export, Bolivia, Ecuador, France.</w:t>
      </w:r>
    </w:p>
    <w:p w14:paraId="080893B3" w14:textId="77777777" w:rsidR="00E04AE3" w:rsidRPr="002A78BE" w:rsidRDefault="00E04AE3" w:rsidP="00B76E1B">
      <w:pPr>
        <w:rPr>
          <w:lang w:eastAsia="es-EC"/>
        </w:rPr>
      </w:pPr>
    </w:p>
    <w:p w14:paraId="4C16E1E4" w14:textId="77777777" w:rsidR="00BC5F8E" w:rsidRPr="002A78BE" w:rsidRDefault="00BC5F8E" w:rsidP="00B76E1B"/>
    <w:p w14:paraId="24E4B395" w14:textId="77777777" w:rsidR="00BC5F8E" w:rsidRPr="002A78BE" w:rsidRDefault="00BC5F8E" w:rsidP="00DC5F8C">
      <w:pPr>
        <w:jc w:val="center"/>
      </w:pPr>
    </w:p>
    <w:p w14:paraId="74CA271A" w14:textId="77777777" w:rsidR="00B76E1B" w:rsidRPr="002A78BE" w:rsidRDefault="00B76E1B">
      <w:pPr>
        <w:spacing w:line="276" w:lineRule="auto"/>
        <w:jc w:val="left"/>
        <w:rPr>
          <w:rFonts w:eastAsiaTheme="majorEastAsia" w:cstheme="majorBidi"/>
          <w:b/>
          <w:szCs w:val="32"/>
          <w:lang w:eastAsia="es-EC"/>
        </w:rPr>
      </w:pPr>
      <w:r w:rsidRPr="002A78BE">
        <w:br w:type="page"/>
      </w:r>
    </w:p>
    <w:p w14:paraId="0A4B17B2" w14:textId="77777777" w:rsidR="00E04AE3" w:rsidRDefault="00E04AE3" w:rsidP="00750F71">
      <w:pPr>
        <w:contextualSpacing/>
      </w:pPr>
    </w:p>
    <w:p w14:paraId="7DD8B5E4" w14:textId="77777777" w:rsidR="00D13335" w:rsidRPr="002A78BE" w:rsidRDefault="00D13335" w:rsidP="00750F71">
      <w:pPr>
        <w:contextualSpacing/>
      </w:pPr>
    </w:p>
    <w:p w14:paraId="7DC6EECD" w14:textId="77777777" w:rsidR="00E04AE3" w:rsidRPr="002A78BE" w:rsidRDefault="00E04AE3" w:rsidP="00750F71">
      <w:pPr>
        <w:contextualSpacing/>
      </w:pPr>
    </w:p>
    <w:p w14:paraId="53C41BCB" w14:textId="77777777" w:rsidR="00BE102B" w:rsidRPr="00E04AE3" w:rsidRDefault="000A07EC" w:rsidP="00750F71">
      <w:pPr>
        <w:pStyle w:val="Ttulo1"/>
        <w:spacing w:before="0" w:after="200"/>
        <w:contextualSpacing/>
        <w:rPr>
          <w:lang w:val="en-US"/>
        </w:rPr>
      </w:pPr>
      <w:bookmarkStart w:id="8" w:name="_Toc446973133"/>
      <w:r w:rsidRPr="00E04AE3">
        <w:rPr>
          <w:lang w:val="en-US"/>
        </w:rPr>
        <w:t>INTRODUCCIÓN</w:t>
      </w:r>
      <w:bookmarkEnd w:id="8"/>
    </w:p>
    <w:p w14:paraId="256B1530" w14:textId="77777777" w:rsidR="00DC5F8C" w:rsidRPr="00E04AE3" w:rsidRDefault="00DC5F8C" w:rsidP="00750F71">
      <w:pPr>
        <w:pStyle w:val="Ttulo2"/>
        <w:numPr>
          <w:ilvl w:val="0"/>
          <w:numId w:val="3"/>
        </w:numPr>
        <w:spacing w:before="0" w:after="200"/>
        <w:ind w:firstLine="0"/>
        <w:contextualSpacing/>
        <w:rPr>
          <w:lang w:val="en-US"/>
        </w:rPr>
      </w:pPr>
      <w:bookmarkStart w:id="9" w:name="_Toc446973134"/>
      <w:r w:rsidRPr="00E04AE3">
        <w:rPr>
          <w:lang w:val="en-US"/>
        </w:rPr>
        <w:t>Planteamiento del problema</w:t>
      </w:r>
      <w:bookmarkEnd w:id="9"/>
    </w:p>
    <w:p w14:paraId="18188F22" w14:textId="411634FC" w:rsidR="00E15B96" w:rsidRDefault="00DC5F8C" w:rsidP="00750F71">
      <w:pPr>
        <w:contextualSpacing/>
      </w:pPr>
      <w:r w:rsidRPr="00732475">
        <w:t>Es indiscutible el papel que juega l</w:t>
      </w:r>
      <w:r>
        <w:t xml:space="preserve">a internacionalización de los mercados para el crecimiento de la economía de los países. </w:t>
      </w:r>
      <w:r w:rsidR="00E15B96">
        <w:t xml:space="preserve">En la actualidad, con el desarrollo de la tecnología y telecomunicaciones, prácticamente se han eliminado obstáculos como las fronteras y el tiempo al momento de establecer estas relaciones. Se ha vuelto necesario tanto para empresas </w:t>
      </w:r>
      <w:r w:rsidR="00A81132">
        <w:t>como</w:t>
      </w:r>
      <w:r w:rsidR="00E15B96">
        <w:t xml:space="preserve"> para el estado participar </w:t>
      </w:r>
      <w:r w:rsidR="00383885">
        <w:t>en</w:t>
      </w:r>
      <w:r w:rsidR="00E15B96">
        <w:t xml:space="preserve"> procesos de exportación e importación como parte del desarrollo de </w:t>
      </w:r>
      <w:r w:rsidR="00E563FC">
        <w:t>estrategias</w:t>
      </w:r>
      <w:r w:rsidR="00E15B96">
        <w:t xml:space="preserve"> en un mundo cada vez más cercano. </w:t>
      </w:r>
    </w:p>
    <w:p w14:paraId="0137C3C7" w14:textId="116C2625" w:rsidR="00A750F4" w:rsidRDefault="00E563FC" w:rsidP="00750F71">
      <w:pPr>
        <w:contextualSpacing/>
      </w:pPr>
      <w:r>
        <w:t>En este contexto, la c</w:t>
      </w:r>
      <w:r w:rsidR="009B2F08">
        <w:t>ompetencia entre países se ha tornado</w:t>
      </w:r>
      <w:r>
        <w:t xml:space="preserve"> más fuerte. Las empresas pasan de buscar ocupar un lugar en el mercado interno en el que</w:t>
      </w:r>
      <w:r w:rsidR="00A750F4">
        <w:t xml:space="preserve"> residen </w:t>
      </w:r>
      <w:r w:rsidR="007C2234">
        <w:t xml:space="preserve">a evaluar las opciones que tienen en mercados internacionales para posicionarse en </w:t>
      </w:r>
      <w:r w:rsidR="00F96F0D">
        <w:t>ellos</w:t>
      </w:r>
      <w:r w:rsidR="00A750F4">
        <w:t>,</w:t>
      </w:r>
      <w:r w:rsidR="00F96F0D">
        <w:t xml:space="preserve"> teniendo en cuenta </w:t>
      </w:r>
      <w:r w:rsidR="00A750F4">
        <w:t>que ya se encuentr</w:t>
      </w:r>
      <w:r w:rsidR="009B2F08">
        <w:t>an instituciones del propio país</w:t>
      </w:r>
      <w:r w:rsidR="00A750F4">
        <w:t xml:space="preserve">. Es aquí donde entran en juego factores como el nivel de desarrollo tecnológico, capacidad productiva y la calidad de la oferta de las empresas y los países así como la opción de adaptarse a los precios que la dinámica internacional establece. </w:t>
      </w:r>
    </w:p>
    <w:p w14:paraId="535E5427" w14:textId="6EFE6476" w:rsidR="009B2F08" w:rsidRDefault="00C15614" w:rsidP="00750F71">
      <w:pPr>
        <w:contextualSpacing/>
      </w:pPr>
      <w:r>
        <w:t xml:space="preserve">Impera entonces el </w:t>
      </w:r>
      <w:r w:rsidR="00A750F4">
        <w:t xml:space="preserve">desarrollo de </w:t>
      </w:r>
      <w:r w:rsidR="00A750F4" w:rsidRPr="00A54B2D">
        <w:t>una</w:t>
      </w:r>
      <w:r w:rsidR="00A750F4">
        <w:t xml:space="preserve"> estrategia que le brinde un</w:t>
      </w:r>
      <w:r>
        <w:t>a ventaja comparativa a</w:t>
      </w:r>
      <w:r w:rsidR="009B2F08">
        <w:t xml:space="preserve"> un país</w:t>
      </w:r>
      <w:r w:rsidR="005F2B29">
        <w:t>, es decir</w:t>
      </w:r>
      <w:r w:rsidR="00302F1C">
        <w:t>,</w:t>
      </w:r>
      <w:r w:rsidR="005F2B29">
        <w:t xml:space="preserve"> que é</w:t>
      </w:r>
      <w:r>
        <w:t>ste se especialice en la producción y comercialización de aquellos bienes que fabrica a un costo relativamente menor respecto al resto del mundo</w:t>
      </w:r>
      <w:r w:rsidR="00DC282E">
        <w:t xml:space="preserve"> </w:t>
      </w:r>
      <w:sdt>
        <w:sdtPr>
          <w:id w:val="1411111618"/>
          <w:citation/>
        </w:sdtPr>
        <w:sdtEndPr/>
        <w:sdtContent>
          <w:r w:rsidR="00DC282E">
            <w:fldChar w:fldCharType="begin"/>
          </w:r>
          <w:r w:rsidR="00DC282E">
            <w:instrText xml:space="preserve"> CITATION Ric17 \l 12298 </w:instrText>
          </w:r>
          <w:r w:rsidR="00DC282E">
            <w:fldChar w:fldCharType="separate"/>
          </w:r>
          <w:r w:rsidR="00BC1846" w:rsidRPr="00BC1846">
            <w:rPr>
              <w:noProof/>
            </w:rPr>
            <w:t>(Ricardo, 1817)</w:t>
          </w:r>
          <w:r w:rsidR="00DC282E">
            <w:fldChar w:fldCharType="end"/>
          </w:r>
        </w:sdtContent>
      </w:sdt>
      <w:r>
        <w:t xml:space="preserve">. Para esto </w:t>
      </w:r>
      <w:r w:rsidR="009B2F08">
        <w:t xml:space="preserve">es necesario el análisis del o de los productos que conforman la oferta exportable sobre los cuales se tiene la capacidad de producir a mayor escala y de mejor manera frente a otras naciones. De </w:t>
      </w:r>
      <w:r>
        <w:t xml:space="preserve">esta forma, se puede lograr </w:t>
      </w:r>
      <w:r w:rsidR="009B2F08">
        <w:t xml:space="preserve">el uso eficaz y eficiente de los recursos que se dispone. </w:t>
      </w:r>
    </w:p>
    <w:p w14:paraId="64CF321C" w14:textId="77777777" w:rsidR="009B2F08" w:rsidRDefault="009B2F08" w:rsidP="00750F71">
      <w:pPr>
        <w:contextualSpacing/>
      </w:pPr>
      <w:r>
        <w:t>Por otro lado, el empleo de esta forma de participación en mercados internacionales puede crear una dependencia de pocos productos que harían a un país vulnerable frente a variables exógenas que pudiera incidir en la producción y venta, y consiguiente generación de ingresos a la balanza comercial de una nación</w:t>
      </w:r>
      <w:r w:rsidR="00087F48">
        <w:t xml:space="preserve">, sin dejar de lado la dificultad de una planificación del desarrollo </w:t>
      </w:r>
      <w:sdt>
        <w:sdtPr>
          <w:id w:val="1644780653"/>
          <w:citation/>
        </w:sdtPr>
        <w:sdtEndPr/>
        <w:sdtContent>
          <w:r w:rsidR="00087F48">
            <w:fldChar w:fldCharType="begin"/>
          </w:r>
          <w:r w:rsidR="0068708D">
            <w:instrText xml:space="preserve">CITATION Foo02 \l 12298 </w:instrText>
          </w:r>
          <w:r w:rsidR="00087F48">
            <w:fldChar w:fldCharType="separate"/>
          </w:r>
          <w:r w:rsidR="00BC1846" w:rsidRPr="00BC1846">
            <w:rPr>
              <w:noProof/>
            </w:rPr>
            <w:t>(Food and Agriculture Organization of the United Nations, 2002)</w:t>
          </w:r>
          <w:r w:rsidR="00087F48">
            <w:fldChar w:fldCharType="end"/>
          </w:r>
        </w:sdtContent>
      </w:sdt>
      <w:r>
        <w:t>. Es po</w:t>
      </w:r>
      <w:r w:rsidR="005D4E5E">
        <w:t>r esto que muchos países</w:t>
      </w:r>
      <w:r>
        <w:t xml:space="preserve"> optan por el fomento y desarrollo de las llamadas “exportaciones no tradicionales” como mecanismo de div</w:t>
      </w:r>
      <w:r w:rsidR="00F96F0D">
        <w:t xml:space="preserve">ersificación de los ingresos y </w:t>
      </w:r>
      <w:r>
        <w:t xml:space="preserve">aprovechamiento de los recursos que se puedan disponer. </w:t>
      </w:r>
    </w:p>
    <w:p w14:paraId="7BC24E96" w14:textId="77777777" w:rsidR="00BB0BC7" w:rsidRDefault="00BB0BC7" w:rsidP="00750F71">
      <w:pPr>
        <w:contextualSpacing/>
      </w:pPr>
      <w:r>
        <w:lastRenderedPageBreak/>
        <w:t>La adopción de una u otra estrategia se configura como parte de un proceso que debe incluir otras políticas de fomento a las exportaciones</w:t>
      </w:r>
      <w:r w:rsidR="005F2B29">
        <w:t>,</w:t>
      </w:r>
      <w:r>
        <w:t xml:space="preserve"> como facilidades al momento de solicitar fuentes de financiamiento, capacitación y adquisición de nuevos conocimientos en tecnologías e insumos necesarios. </w:t>
      </w:r>
    </w:p>
    <w:p w14:paraId="684DB857" w14:textId="77777777" w:rsidR="00BB0BC7" w:rsidRPr="00BB0BC7" w:rsidRDefault="002168AD" w:rsidP="00750F71">
      <w:pPr>
        <w:contextualSpacing/>
      </w:pPr>
      <w:r>
        <w:t xml:space="preserve">Sudamérica, </w:t>
      </w:r>
      <w:r w:rsidR="00087F48">
        <w:t>compuesta en su mayoría por países en desarrollo</w:t>
      </w:r>
      <w:r>
        <w:t>, se ha caracterizado por tener una economía dependient</w:t>
      </w:r>
      <w:r w:rsidR="00087F48">
        <w:t xml:space="preserve">e de la exportación de productos </w:t>
      </w:r>
      <w:r w:rsidR="00D20071">
        <w:t xml:space="preserve">naturales, sean minerales o </w:t>
      </w:r>
      <w:r w:rsidR="00087F48">
        <w:t>agrícola</w:t>
      </w:r>
      <w:r w:rsidR="00D20071">
        <w:t>s</w:t>
      </w:r>
      <w:r w:rsidR="00087F48">
        <w:t>, con un marcado desarrollo en el sector primario, es decir, materias primas. Es así que se puede observar existe una dependencia sobre los precios de estas materias primas que ocasionan inestabilidad y efectos desfavorables de corto plazo sobre ingreso, inversiones e incluso, empleo</w:t>
      </w:r>
      <w:r w:rsidR="00291691">
        <w:t xml:space="preserve"> </w:t>
      </w:r>
      <w:sdt>
        <w:sdtPr>
          <w:id w:val="-1235076467"/>
          <w:citation/>
        </w:sdtPr>
        <w:sdtEndPr/>
        <w:sdtContent>
          <w:r w:rsidR="00291691">
            <w:fldChar w:fldCharType="begin"/>
          </w:r>
          <w:r w:rsidR="007F1978">
            <w:instrText xml:space="preserve">CITATION Foo02 \l 12298 </w:instrText>
          </w:r>
          <w:r w:rsidR="00291691">
            <w:fldChar w:fldCharType="separate"/>
          </w:r>
          <w:r w:rsidR="00BC1846" w:rsidRPr="00BC1846">
            <w:rPr>
              <w:noProof/>
            </w:rPr>
            <w:t>(Food and Agriculture Organization of the United Nations, 2002)</w:t>
          </w:r>
          <w:r w:rsidR="00291691">
            <w:fldChar w:fldCharType="end"/>
          </w:r>
        </w:sdtContent>
      </w:sdt>
      <w:r w:rsidR="00087F48">
        <w:t xml:space="preserve">. </w:t>
      </w:r>
    </w:p>
    <w:p w14:paraId="08A5D885" w14:textId="49801192" w:rsidR="008D3E90" w:rsidRDefault="001D27D3" w:rsidP="00750F71">
      <w:pPr>
        <w:contextualSpacing/>
      </w:pPr>
      <w:r>
        <w:t>Bolivia, por su parte, tiene como principal producto dentro de su of</w:t>
      </w:r>
      <w:r w:rsidR="008D3E90">
        <w:t>erta exportadora el gas natural</w:t>
      </w:r>
      <w:r>
        <w:t xml:space="preserve">, que representa casi el 50% del total vendido al exterior. </w:t>
      </w:r>
      <w:r w:rsidR="008D32F9">
        <w:t xml:space="preserve">Es seguido, con un porcentaje relativamente menor, por la exportación de minerales de plata y Zinc </w:t>
      </w:r>
      <w:sdt>
        <w:sdtPr>
          <w:id w:val="1841433880"/>
          <w:citation/>
        </w:sdtPr>
        <w:sdtEndPr/>
        <w:sdtContent>
          <w:r w:rsidR="008D32F9">
            <w:fldChar w:fldCharType="begin"/>
          </w:r>
          <w:r w:rsidR="007F1978">
            <w:instrText xml:space="preserve">CITATION Ban13 \l 12298 </w:instrText>
          </w:r>
          <w:r w:rsidR="008D32F9">
            <w:fldChar w:fldCharType="separate"/>
          </w:r>
          <w:r w:rsidR="00BC1846" w:rsidRPr="00BC1846">
            <w:rPr>
              <w:noProof/>
            </w:rPr>
            <w:t>(Banco Central de Bolivia, 2013)</w:t>
          </w:r>
          <w:r w:rsidR="008D32F9">
            <w:fldChar w:fldCharType="end"/>
          </w:r>
        </w:sdtContent>
      </w:sdt>
      <w:r w:rsidR="008D32F9">
        <w:t xml:space="preserve">. Con un aproximado de </w:t>
      </w:r>
      <w:r w:rsidR="00B66FB1">
        <w:t>US</w:t>
      </w:r>
      <w:r w:rsidR="0076578E">
        <w:t xml:space="preserve">$ </w:t>
      </w:r>
      <w:r w:rsidR="008D32F9">
        <w:t xml:space="preserve">6 millones  para el año 2012, este país andino se convirtió en el principal productor y exportador de gas de América del Sur y está en búsqueda de nuevos mercados a los cuales expandirse </w:t>
      </w:r>
      <w:sdt>
        <w:sdtPr>
          <w:id w:val="-386178310"/>
          <w:citation/>
        </w:sdtPr>
        <w:sdtEndPr/>
        <w:sdtContent>
          <w:r w:rsidR="008D32F9">
            <w:fldChar w:fldCharType="begin"/>
          </w:r>
          <w:r w:rsidR="008D32F9">
            <w:instrText xml:space="preserve"> CITATION Amé12 \l 12298 </w:instrText>
          </w:r>
          <w:r w:rsidR="008D32F9">
            <w:fldChar w:fldCharType="separate"/>
          </w:r>
          <w:r w:rsidR="00BC1846" w:rsidRPr="00BC1846">
            <w:rPr>
              <w:noProof/>
            </w:rPr>
            <w:t>(América Economía, 2012)</w:t>
          </w:r>
          <w:r w:rsidR="008D32F9">
            <w:fldChar w:fldCharType="end"/>
          </w:r>
        </w:sdtContent>
      </w:sdt>
      <w:r w:rsidR="008D32F9">
        <w:t>.</w:t>
      </w:r>
    </w:p>
    <w:p w14:paraId="5D7023E8" w14:textId="512EDD8A" w:rsidR="008D3E90" w:rsidRDefault="001610B7" w:rsidP="00750F71">
      <w:pPr>
        <w:contextualSpacing/>
      </w:pPr>
      <w:r>
        <w:t xml:space="preserve">Como parte </w:t>
      </w:r>
      <w:r w:rsidR="008D3E90">
        <w:t xml:space="preserve">del impulso de la oferta no tradicional de productos, Bolivia ha optado por la exportación de productos agrícolas como la soya o la quinua. De este último cereal, ha logrado en el año 2014 ingresos por </w:t>
      </w:r>
      <w:r w:rsidR="00B66FB1">
        <w:t>US</w:t>
      </w:r>
      <w:r w:rsidR="0076578E">
        <w:t xml:space="preserve">$ </w:t>
      </w:r>
      <w:r w:rsidR="008D3E90">
        <w:t xml:space="preserve">196 millones aproximadamente. Además por muchos años se ha mantenido como el primer exportador de este producto del mundo </w:t>
      </w:r>
      <w:sdt>
        <w:sdtPr>
          <w:id w:val="1037934264"/>
          <w:citation/>
        </w:sdtPr>
        <w:sdtEndPr/>
        <w:sdtContent>
          <w:r w:rsidR="008D3E90">
            <w:fldChar w:fldCharType="begin"/>
          </w:r>
          <w:r w:rsidR="005F2B29">
            <w:instrText xml:space="preserve">CITATION Ins04 \l 12298 </w:instrText>
          </w:r>
          <w:r w:rsidR="008D3E90">
            <w:fldChar w:fldCharType="separate"/>
          </w:r>
          <w:r w:rsidR="00BC1846" w:rsidRPr="00BC1846">
            <w:rPr>
              <w:noProof/>
            </w:rPr>
            <w:t>(Instituto Boliviano de Comercio Exterior, 2004)</w:t>
          </w:r>
          <w:r w:rsidR="008D3E90">
            <w:fldChar w:fldCharType="end"/>
          </w:r>
        </w:sdtContent>
      </w:sdt>
      <w:r w:rsidR="008D3E90">
        <w:t xml:space="preserve">. </w:t>
      </w:r>
      <w:r w:rsidR="00D421B1">
        <w:t xml:space="preserve">Destinos como Estados Unidos o Francia son los principales mercados del cereal, y las estrategias utilizadas para el impulso del sector le han llevado a un crecimiento sostenido del volumen de venta e ingresos obtenidos. </w:t>
      </w:r>
    </w:p>
    <w:p w14:paraId="321E60F6" w14:textId="28C3A4A0" w:rsidR="00877D27" w:rsidRDefault="00D421B1" w:rsidP="00750F71">
      <w:pPr>
        <w:contextualSpacing/>
      </w:pPr>
      <w:r>
        <w:t xml:space="preserve">Por otro lado, Ecuador cuenta como principal producto de exportación al petróleo. Éste ha sostenido la economía del país durante los últimos años </w:t>
      </w:r>
      <w:r w:rsidR="00877D27">
        <w:t>de tal manera que se reporta una Balanza Comercial Petrolera y otra No Petrolera. Los</w:t>
      </w:r>
      <w:r>
        <w:t xml:space="preserve"> ingresos</w:t>
      </w:r>
      <w:r w:rsidR="00877D27">
        <w:t xml:space="preserve"> obtenidos por la venta de este bien acumulan un aproximado</w:t>
      </w:r>
      <w:r>
        <w:t xml:space="preserve"> de </w:t>
      </w:r>
      <w:r w:rsidR="00B66FB1">
        <w:t>US</w:t>
      </w:r>
      <w:r w:rsidR="0076578E">
        <w:t xml:space="preserve">$ </w:t>
      </w:r>
      <w:r>
        <w:t xml:space="preserve">77.350 millones en los últimos 7 años, teniendo en cuenta los altos y bajos del precio de este recurso no </w:t>
      </w:r>
      <w:r w:rsidR="00FC082D">
        <w:t>renovable que generan alta</w:t>
      </w:r>
      <w:r>
        <w:t xml:space="preserve"> dependencia del mismo</w:t>
      </w:r>
      <w:r w:rsidR="00FC082D">
        <w:t xml:space="preserve"> </w:t>
      </w:r>
      <w:sdt>
        <w:sdtPr>
          <w:id w:val="-1127078274"/>
          <w:citation/>
        </w:sdtPr>
        <w:sdtEndPr/>
        <w:sdtContent>
          <w:r w:rsidR="00FC082D">
            <w:fldChar w:fldCharType="begin"/>
          </w:r>
          <w:r w:rsidR="00FC082D">
            <w:instrText xml:space="preserve"> CITATION ElU15 \l 12298 </w:instrText>
          </w:r>
          <w:r w:rsidR="00FC082D">
            <w:fldChar w:fldCharType="separate"/>
          </w:r>
          <w:r w:rsidR="00BC1846" w:rsidRPr="00BC1846">
            <w:rPr>
              <w:noProof/>
            </w:rPr>
            <w:t>(El Universo, 2015)</w:t>
          </w:r>
          <w:r w:rsidR="00FC082D">
            <w:fldChar w:fldCharType="end"/>
          </w:r>
        </w:sdtContent>
      </w:sdt>
      <w:r>
        <w:t>.</w:t>
      </w:r>
      <w:r w:rsidR="00877D27">
        <w:t xml:space="preserve"> Estados Unidos, en la actualidad,  es el principal destino de las exportaciones petroleras con 56</w:t>
      </w:r>
      <w:r w:rsidR="00302F1C">
        <w:t>,</w:t>
      </w:r>
      <w:r w:rsidR="00877D27">
        <w:t xml:space="preserve">43% </w:t>
      </w:r>
      <w:sdt>
        <w:sdtPr>
          <w:id w:val="362183448"/>
          <w:citation/>
        </w:sdtPr>
        <w:sdtEndPr/>
        <w:sdtContent>
          <w:r w:rsidR="00877D27">
            <w:fldChar w:fldCharType="begin"/>
          </w:r>
          <w:r w:rsidR="00877D27">
            <w:instrText xml:space="preserve"> CITATION PRO14 \l 12298 </w:instrText>
          </w:r>
          <w:r w:rsidR="00877D27">
            <w:fldChar w:fldCharType="separate"/>
          </w:r>
          <w:r w:rsidR="00BC1846" w:rsidRPr="00BC1846">
            <w:rPr>
              <w:noProof/>
            </w:rPr>
            <w:t>(PROECUADOR, 2014)</w:t>
          </w:r>
          <w:r w:rsidR="00877D27">
            <w:fldChar w:fldCharType="end"/>
          </w:r>
        </w:sdtContent>
      </w:sdt>
      <w:r w:rsidR="00877D27">
        <w:t>.</w:t>
      </w:r>
    </w:p>
    <w:p w14:paraId="527A8380" w14:textId="77777777" w:rsidR="00D421B1" w:rsidRDefault="00877D27" w:rsidP="00750F71">
      <w:pPr>
        <w:contextualSpacing/>
      </w:pPr>
      <w:r>
        <w:lastRenderedPageBreak/>
        <w:t xml:space="preserve">También Ecuador busca la diversificación de la oferta exportable del país, impulsando el desarrollo de las industrias de los productos “no tradicionales”. </w:t>
      </w:r>
      <w:r w:rsidR="00BD2002">
        <w:t xml:space="preserve">Estos productos son el café, las rosas, los neumáticos, etc., </w:t>
      </w:r>
      <w:r w:rsidR="0075011C">
        <w:t>que representan</w:t>
      </w:r>
      <w:r w:rsidR="00BD2002">
        <w:t xml:space="preserve"> un porcentaje bajo en relación al total exportado por el Ecuador, sin embargo, estos sectores cuentan con un alto potencial para ingresar a mercados internacionales</w:t>
      </w:r>
      <w:r w:rsidR="0075011C" w:rsidRPr="0075011C">
        <w:t xml:space="preserve"> </w:t>
      </w:r>
      <w:sdt>
        <w:sdtPr>
          <w:id w:val="-1878463251"/>
          <w:citation/>
        </w:sdtPr>
        <w:sdtEndPr/>
        <w:sdtContent>
          <w:r w:rsidR="0075011C">
            <w:fldChar w:fldCharType="begin"/>
          </w:r>
          <w:r w:rsidR="0075011C">
            <w:instrText xml:space="preserve"> CITATION PRO141 \l 12298 </w:instrText>
          </w:r>
          <w:r w:rsidR="0075011C">
            <w:fldChar w:fldCharType="separate"/>
          </w:r>
          <w:r w:rsidR="00BC1846" w:rsidRPr="00BC1846">
            <w:rPr>
              <w:noProof/>
            </w:rPr>
            <w:t>(PROECUADOR, 2014)</w:t>
          </w:r>
          <w:r w:rsidR="0075011C">
            <w:fldChar w:fldCharType="end"/>
          </w:r>
        </w:sdtContent>
      </w:sdt>
      <w:r w:rsidR="00BD2002">
        <w:t xml:space="preserve">. </w:t>
      </w:r>
    </w:p>
    <w:p w14:paraId="41139FF0" w14:textId="77777777" w:rsidR="00BD2002" w:rsidRDefault="00BD2002" w:rsidP="00750F71">
      <w:pPr>
        <w:contextualSpacing/>
      </w:pPr>
      <w:r>
        <w:t>Ecuador ha incursionado también en la producción y venta de Quinua, teniendo en cuenta la demanda crec</w:t>
      </w:r>
      <w:r w:rsidR="00437C83">
        <w:t>iente del cereal que se ha identificado</w:t>
      </w:r>
      <w:r>
        <w:t xml:space="preserve"> </w:t>
      </w:r>
      <w:r w:rsidR="00437C83">
        <w:t>en países como Estados Unidos y los pertenecientes a la Unión Europea, como Francia. El desarrollo del sector es naciente en las circunstancias actuales</w:t>
      </w:r>
      <w:r w:rsidR="007F1978">
        <w:t>,</w:t>
      </w:r>
      <w:r w:rsidR="00437C83">
        <w:t xml:space="preserve"> por lo que los resultados obtenidos en el presente estudio ayudarán a comparar la realidad de Bolivia y Ecuador e identificar que estrategias aplicadas en este primer país pueden ser implementadas en el segundo y como pueden ser mejoradas en caso de ya existir. </w:t>
      </w:r>
    </w:p>
    <w:p w14:paraId="28EB9D3F" w14:textId="77777777" w:rsidR="006C77F6" w:rsidRDefault="006C77F6" w:rsidP="00750F71">
      <w:pPr>
        <w:contextualSpacing/>
        <w:jc w:val="left"/>
      </w:pPr>
      <w:r>
        <w:br w:type="page"/>
      </w:r>
    </w:p>
    <w:p w14:paraId="71FC324E" w14:textId="77777777" w:rsidR="000B53F5" w:rsidRDefault="00437C83" w:rsidP="00750F71">
      <w:pPr>
        <w:pStyle w:val="Ttulo2"/>
        <w:numPr>
          <w:ilvl w:val="0"/>
          <w:numId w:val="3"/>
        </w:numPr>
        <w:spacing w:before="0" w:after="200"/>
        <w:contextualSpacing/>
      </w:pPr>
      <w:bookmarkStart w:id="10" w:name="_Toc446973135"/>
      <w:r w:rsidRPr="00BC5F8E">
        <w:lastRenderedPageBreak/>
        <w:t>Objetivos de la investigación</w:t>
      </w:r>
      <w:bookmarkEnd w:id="10"/>
    </w:p>
    <w:p w14:paraId="7322D1EB" w14:textId="77777777" w:rsidR="00437C83" w:rsidRPr="00BC5F8E" w:rsidRDefault="00437C83" w:rsidP="00750F71">
      <w:pPr>
        <w:pStyle w:val="Ttulo3"/>
        <w:numPr>
          <w:ilvl w:val="1"/>
          <w:numId w:val="3"/>
        </w:numPr>
        <w:spacing w:before="0" w:after="200"/>
        <w:ind w:left="431" w:hanging="431"/>
        <w:contextualSpacing/>
      </w:pPr>
      <w:bookmarkStart w:id="11" w:name="_Toc446973136"/>
      <w:r w:rsidRPr="000B53F5">
        <w:t>Objetivo</w:t>
      </w:r>
      <w:r w:rsidRPr="00BC5F8E">
        <w:t xml:space="preserve"> general</w:t>
      </w:r>
      <w:bookmarkEnd w:id="11"/>
    </w:p>
    <w:p w14:paraId="19DC20AE" w14:textId="546D7B04" w:rsidR="00437C83" w:rsidRDefault="00926375" w:rsidP="00750F71">
      <w:pPr>
        <w:contextualSpacing/>
      </w:pPr>
      <w:r>
        <w:t>Realizar un análisis comparativo entre la</w:t>
      </w:r>
      <w:r w:rsidR="00E376CF">
        <w:t xml:space="preserve"> exportación</w:t>
      </w:r>
      <w:r>
        <w:t xml:space="preserve"> de quinua </w:t>
      </w:r>
      <w:r w:rsidR="00CB1C2A">
        <w:t>realizada por</w:t>
      </w:r>
      <w:r>
        <w:t xml:space="preserve"> Bolivia y Ecuador</w:t>
      </w:r>
      <w:r w:rsidR="00CB1C2A">
        <w:t xml:space="preserve"> a Francia</w:t>
      </w:r>
      <w:r w:rsidR="00BD6C38">
        <w:t>.</w:t>
      </w:r>
    </w:p>
    <w:p w14:paraId="2CDE73E0" w14:textId="77777777" w:rsidR="00926375" w:rsidRPr="0075011C" w:rsidRDefault="00926375" w:rsidP="00750F71">
      <w:pPr>
        <w:pStyle w:val="Ttulo3"/>
        <w:numPr>
          <w:ilvl w:val="1"/>
          <w:numId w:val="3"/>
        </w:numPr>
        <w:spacing w:before="0" w:after="200"/>
        <w:ind w:left="431" w:hanging="431"/>
        <w:contextualSpacing/>
      </w:pPr>
      <w:bookmarkStart w:id="12" w:name="_Toc446973137"/>
      <w:r w:rsidRPr="0075011C">
        <w:t>Objetivos específicos</w:t>
      </w:r>
      <w:bookmarkEnd w:id="12"/>
    </w:p>
    <w:p w14:paraId="6D1028D8" w14:textId="77777777" w:rsidR="000A07EC" w:rsidRPr="0075011C" w:rsidRDefault="000A07EC" w:rsidP="00750F71">
      <w:pPr>
        <w:pStyle w:val="Prrafodelista"/>
        <w:numPr>
          <w:ilvl w:val="0"/>
          <w:numId w:val="1"/>
        </w:numPr>
        <w:ind w:left="426" w:firstLine="0"/>
      </w:pPr>
      <w:r w:rsidRPr="0075011C">
        <w:t>Describir la situación actual del mercado destino, Francia</w:t>
      </w:r>
      <w:r w:rsidR="00EF76DB" w:rsidRPr="0075011C">
        <w:t>, como importador del cereal.</w:t>
      </w:r>
    </w:p>
    <w:p w14:paraId="1FFBE9D2" w14:textId="77777777" w:rsidR="00926375" w:rsidRDefault="00926375" w:rsidP="00750F71">
      <w:pPr>
        <w:pStyle w:val="Prrafodelista"/>
        <w:numPr>
          <w:ilvl w:val="0"/>
          <w:numId w:val="1"/>
        </w:numPr>
        <w:ind w:left="426" w:firstLine="0"/>
      </w:pPr>
      <w:r>
        <w:t>Describir cómo ha sido el desarrollo del sector exportador de quinua en Bolivia y Ecuador.</w:t>
      </w:r>
    </w:p>
    <w:p w14:paraId="1E45E0CD" w14:textId="77777777" w:rsidR="006C77F6" w:rsidRDefault="00E376CF" w:rsidP="00750F71">
      <w:pPr>
        <w:pStyle w:val="Prrafodelista"/>
        <w:numPr>
          <w:ilvl w:val="0"/>
          <w:numId w:val="1"/>
        </w:numPr>
        <w:ind w:left="426" w:firstLine="0"/>
      </w:pPr>
      <w:r>
        <w:t>Analizar la balanza comercial del producto en ambos países para entender la dinámica del mercado y la influencia de la exportación del cereal en el total de las exportaciones.</w:t>
      </w:r>
    </w:p>
    <w:p w14:paraId="79CDE532" w14:textId="77777777" w:rsidR="00926375" w:rsidRDefault="006C77F6" w:rsidP="00750F71">
      <w:pPr>
        <w:pStyle w:val="Prrafodelista"/>
        <w:numPr>
          <w:ilvl w:val="0"/>
          <w:numId w:val="1"/>
        </w:numPr>
        <w:ind w:left="426" w:firstLine="0"/>
      </w:pPr>
      <w:r>
        <w:t xml:space="preserve">Analizar </w:t>
      </w:r>
      <w:r w:rsidR="0018587E">
        <w:t>comparativamente la estructura financiera de la producción y comercialización</w:t>
      </w:r>
      <w:r>
        <w:t xml:space="preserve"> de </w:t>
      </w:r>
      <w:r w:rsidR="0018587E">
        <w:t>quinua en Bolivia y Ecuador</w:t>
      </w:r>
      <w:r>
        <w:t>.</w:t>
      </w:r>
      <w:r w:rsidR="00926375">
        <w:t xml:space="preserve"> </w:t>
      </w:r>
    </w:p>
    <w:p w14:paraId="6ADEAF5D" w14:textId="77777777" w:rsidR="00926375" w:rsidRDefault="00926375" w:rsidP="00750F71">
      <w:pPr>
        <w:pStyle w:val="Prrafodelista"/>
        <w:numPr>
          <w:ilvl w:val="0"/>
          <w:numId w:val="1"/>
        </w:numPr>
        <w:ind w:left="426" w:firstLine="0"/>
      </w:pPr>
      <w:r>
        <w:t>Encontrar similitudes y diferencias entre la</w:t>
      </w:r>
      <w:r w:rsidR="00E376CF">
        <w:t xml:space="preserve"> actividad exportadora del cereal de ambos países</w:t>
      </w:r>
      <w:r>
        <w:t xml:space="preserve">. </w:t>
      </w:r>
    </w:p>
    <w:p w14:paraId="7BFA7AE4" w14:textId="77777777" w:rsidR="00BC5F8E" w:rsidRDefault="00926375" w:rsidP="00750F71">
      <w:pPr>
        <w:pStyle w:val="Prrafodelista"/>
        <w:numPr>
          <w:ilvl w:val="0"/>
          <w:numId w:val="1"/>
        </w:numPr>
        <w:ind w:left="426" w:firstLine="0"/>
      </w:pPr>
      <w:r>
        <w:t>Proponer recomendaciones para la aplicación de estrategias en el proceso de exportación de quinua ecuatoriano.</w:t>
      </w:r>
    </w:p>
    <w:p w14:paraId="534983A0" w14:textId="77777777" w:rsidR="000B53F5" w:rsidRDefault="000B53F5" w:rsidP="00750F71">
      <w:pPr>
        <w:pStyle w:val="Prrafodelista"/>
      </w:pPr>
    </w:p>
    <w:p w14:paraId="464B6246" w14:textId="77777777" w:rsidR="0088022D" w:rsidRPr="00BC5F8E" w:rsidRDefault="0088022D" w:rsidP="00750F71">
      <w:pPr>
        <w:pStyle w:val="Ttulo3"/>
        <w:numPr>
          <w:ilvl w:val="1"/>
          <w:numId w:val="3"/>
        </w:numPr>
        <w:spacing w:before="0" w:after="200"/>
        <w:ind w:left="431" w:hanging="431"/>
        <w:contextualSpacing/>
      </w:pPr>
      <w:bookmarkStart w:id="13" w:name="_Toc446973138"/>
      <w:r w:rsidRPr="00BC5F8E">
        <w:t xml:space="preserve">Justificación de </w:t>
      </w:r>
      <w:r w:rsidRPr="0088022D">
        <w:t>la</w:t>
      </w:r>
      <w:r w:rsidRPr="00BC5F8E">
        <w:t xml:space="preserve"> investigación</w:t>
      </w:r>
      <w:bookmarkEnd w:id="13"/>
    </w:p>
    <w:p w14:paraId="5505E667" w14:textId="77777777" w:rsidR="005725AB" w:rsidRDefault="0088022D" w:rsidP="00750F71">
      <w:pPr>
        <w:contextualSpacing/>
      </w:pPr>
      <w:r>
        <w:t>A nivel práctico, el estudio permitirá identificar similitudes y diferencias entre el proceso exportador de quinua de Bolivia y Ecuador a Francia, de manera que se puedan tomar las mejores prácticas en este primer país para ser sugeridas al sector ecuatoriano. Se podrán encontrar además oportunidades en el mercado destino que permitan un mayor desarrollo de la industria nacional productora y comerci</w:t>
      </w:r>
      <w:r w:rsidR="005F2B29">
        <w:t>alizadora de este cereal. Adicionalmente</w:t>
      </w:r>
      <w:r>
        <w:t xml:space="preserve"> se tomará como referencia </w:t>
      </w:r>
      <w:r w:rsidR="005725AB">
        <w:t xml:space="preserve">la </w:t>
      </w:r>
      <w:r>
        <w:t xml:space="preserve">estructura </w:t>
      </w:r>
      <w:r w:rsidR="005F2B29">
        <w:t>financiera</w:t>
      </w:r>
      <w:r>
        <w:t xml:space="preserve"> </w:t>
      </w:r>
      <w:r w:rsidR="005725AB">
        <w:t>de la producción y comercialización de quinua de los países.</w:t>
      </w:r>
    </w:p>
    <w:p w14:paraId="5E64E87D" w14:textId="77777777" w:rsidR="0088022D" w:rsidRDefault="0088022D" w:rsidP="00750F71">
      <w:pPr>
        <w:contextualSpacing/>
      </w:pPr>
      <w:r>
        <w:t xml:space="preserve">Desde el punto de vista social, el análisis y crítica de la actividad exportadora de ambos países busca aportar a la mejora de la competitividad del Ecuador a través del estudio de un producto relativamente nuevo dentro de la oferta exportadora no tradicional del país que ayude al </w:t>
      </w:r>
      <w:r>
        <w:lastRenderedPageBreak/>
        <w:t xml:space="preserve">crecimiento de la misma. Con esto se busca </w:t>
      </w:r>
      <w:r w:rsidR="005F2B29">
        <w:t xml:space="preserve">proponer una alternativa para </w:t>
      </w:r>
      <w:r>
        <w:t xml:space="preserve">reducir la dependencia del petróleo que se tiene y la vulnerabilidad frente a las fluctuaciones de precio presentadas. </w:t>
      </w:r>
    </w:p>
    <w:p w14:paraId="6037F2E7" w14:textId="77777777" w:rsidR="0088022D" w:rsidRDefault="0088022D" w:rsidP="00750F71">
      <w:pPr>
        <w:contextualSpacing/>
      </w:pPr>
      <w:r>
        <w:t>Si bien el impacto que puede generar las exportaciones de este cereal sobre la balanza comercial no sea significativo en un inicio, es un buen comienzo para evaluar nuevos mercados e introducir más productos a nivel internacional, mejorando la imagen de país que se refleja al exterior.</w:t>
      </w:r>
    </w:p>
    <w:p w14:paraId="5D6E6C8C" w14:textId="229221F0" w:rsidR="0088022D" w:rsidRDefault="0088022D" w:rsidP="00750F71">
      <w:pPr>
        <w:contextualSpacing/>
      </w:pPr>
      <w:r>
        <w:t>Por último, desde el punto de vista metodológico, este estudio puede ser un punto de</w:t>
      </w:r>
      <w:r w:rsidR="007C5391">
        <w:t xml:space="preserve"> partida para otros de</w:t>
      </w:r>
      <w:r>
        <w:t xml:space="preserve"> productos no tradicionales que se están exportando o se pretenden exportar en un futuro. El propósito de este informe de investigación se enmarca en la comparación de las prácticas exportadoras del Ecuador frente a </w:t>
      </w:r>
      <w:r w:rsidR="008A3A71">
        <w:t>Bolivia</w:t>
      </w:r>
      <w:r>
        <w:t xml:space="preserve"> para incorporar las mejores experiencias dentro de este proceso de internacionalización. </w:t>
      </w:r>
    </w:p>
    <w:p w14:paraId="70470E86" w14:textId="77777777" w:rsidR="0088022D" w:rsidRPr="00BC5F8E" w:rsidRDefault="0088022D" w:rsidP="00750F71">
      <w:pPr>
        <w:pStyle w:val="Ttulo3"/>
        <w:numPr>
          <w:ilvl w:val="1"/>
          <w:numId w:val="3"/>
        </w:numPr>
        <w:spacing w:before="0" w:after="200"/>
        <w:ind w:left="431" w:hanging="431"/>
        <w:contextualSpacing/>
      </w:pPr>
      <w:bookmarkStart w:id="14" w:name="_Toc446973139"/>
      <w:r w:rsidRPr="00BC5F8E">
        <w:t>Delimitación de la investigación</w:t>
      </w:r>
      <w:bookmarkEnd w:id="14"/>
    </w:p>
    <w:p w14:paraId="71051872" w14:textId="77777777" w:rsidR="0088022D" w:rsidRDefault="0088022D" w:rsidP="00750F71">
      <w:pPr>
        <w:contextualSpacing/>
      </w:pPr>
      <w:r>
        <w:t>El estudio se llevará a cabo en el Ecuador, a través de levantamiento de información estadística oficial publicada por los institutos de Comercio Exterior y otros involucrados</w:t>
      </w:r>
      <w:r w:rsidR="007C5391">
        <w:t>,</w:t>
      </w:r>
      <w:r>
        <w:t xml:space="preserve"> tanto nacionales como bolivianos</w:t>
      </w:r>
      <w:r w:rsidR="007C5391">
        <w:t>,</w:t>
      </w:r>
      <w:r>
        <w:t xml:space="preserve"> encargados de la documentación del proceso exportador. Además se realizarán entrevistas a actores que participen de la exportación de quinua y del estudio del mercado francés únicamente. </w:t>
      </w:r>
    </w:p>
    <w:p w14:paraId="6B87D1A9" w14:textId="77777777" w:rsidR="0088022D" w:rsidRDefault="0088022D" w:rsidP="00750F71">
      <w:pPr>
        <w:contextualSpacing/>
      </w:pPr>
      <w:r>
        <w:t xml:space="preserve">El período de tiempo a evaluar la evolución del proceso exportador de quinua de Bolivia y Ecuador a Francia comprende desde el año 2012 al 2014. Se toma como punto de partida este año teniendo en cuenta que, dada la importancia que ha alcanzado este cereal en los últimos años por sus beneficios promocionados, se incluyó en la Enmienda 2012 </w:t>
      </w:r>
      <w:r w:rsidRPr="00FC24FE">
        <w:t xml:space="preserve">del Sistema Armonizado de Designación y Codificación de Mercancías una apertura </w:t>
      </w:r>
      <w:r>
        <w:t>independiente</w:t>
      </w:r>
      <w:r w:rsidRPr="00FC24FE">
        <w:t xml:space="preserve"> para este producto</w:t>
      </w:r>
      <w:r>
        <w:t xml:space="preserve"> quedando con la Partida Arancelaria 1008.50 </w:t>
      </w:r>
      <w:sdt>
        <w:sdtPr>
          <w:id w:val="1668671000"/>
          <w:citation/>
        </w:sdtPr>
        <w:sdtEndPr/>
        <w:sdtContent>
          <w:r>
            <w:fldChar w:fldCharType="begin"/>
          </w:r>
          <w:r>
            <w:instrText xml:space="preserve"> CITATION ALA14 \l 12298 </w:instrText>
          </w:r>
          <w:r>
            <w:fldChar w:fldCharType="separate"/>
          </w:r>
          <w:r w:rsidR="00BC1846" w:rsidRPr="00BC1846">
            <w:rPr>
              <w:noProof/>
            </w:rPr>
            <w:t>(ALADI- FAO, 2014)</w:t>
          </w:r>
          <w:r>
            <w:fldChar w:fldCharType="end"/>
          </w:r>
        </w:sdtContent>
      </w:sdt>
      <w:r>
        <w:t>.</w:t>
      </w:r>
    </w:p>
    <w:p w14:paraId="4801D9F8" w14:textId="595CC840" w:rsidR="0088022D" w:rsidRPr="0088022D" w:rsidRDefault="0088022D" w:rsidP="00750F71">
      <w:pPr>
        <w:contextualSpacing/>
      </w:pPr>
      <w:r>
        <w:t xml:space="preserve">Las áreas de estudio que se abarcan en este informe de investigación son los negocios internacionales, el impacto de las exportaciones del producto sobre la balanza comercial de cada país y el análisis </w:t>
      </w:r>
      <w:r w:rsidR="005725AB">
        <w:t>de la estructura financiera de la producción y comercialización del cereal en ambos países</w:t>
      </w:r>
      <w:r>
        <w:t xml:space="preserve">. </w:t>
      </w:r>
    </w:p>
    <w:p w14:paraId="0A13E467" w14:textId="77777777" w:rsidR="000A07EC" w:rsidRPr="00BC5F8E" w:rsidRDefault="000A07EC" w:rsidP="00750F71">
      <w:pPr>
        <w:pStyle w:val="Ttulo3"/>
        <w:numPr>
          <w:ilvl w:val="1"/>
          <w:numId w:val="3"/>
        </w:numPr>
        <w:spacing w:before="0" w:after="200"/>
        <w:ind w:left="431" w:hanging="431"/>
        <w:contextualSpacing/>
      </w:pPr>
      <w:bookmarkStart w:id="15" w:name="_Toc446973140"/>
      <w:r w:rsidRPr="00BC5F8E">
        <w:t>Hipótesis</w:t>
      </w:r>
      <w:bookmarkEnd w:id="15"/>
    </w:p>
    <w:p w14:paraId="382DE6B6" w14:textId="77777777" w:rsidR="007C5391" w:rsidRPr="007C5391" w:rsidRDefault="007C5391" w:rsidP="00750F71">
      <w:pPr>
        <w:contextualSpacing/>
      </w:pPr>
      <w:r w:rsidRPr="007C5391">
        <w:t>Ecuador tiene condiciones de desarrollo de la exportación de quinua a Francia considerando las prácticas productivas y de comercialización ya desarrolladas por Bolivia.</w:t>
      </w:r>
    </w:p>
    <w:p w14:paraId="53F89CCC" w14:textId="77777777" w:rsidR="000A07EC" w:rsidRPr="00BC5F8E" w:rsidRDefault="000A07EC" w:rsidP="00750F71">
      <w:pPr>
        <w:pStyle w:val="Ttulo3"/>
        <w:numPr>
          <w:ilvl w:val="1"/>
          <w:numId w:val="3"/>
        </w:numPr>
        <w:spacing w:before="0" w:after="200"/>
        <w:ind w:left="431" w:hanging="431"/>
        <w:contextualSpacing/>
      </w:pPr>
      <w:bookmarkStart w:id="16" w:name="_Toc446973141"/>
      <w:r w:rsidRPr="00BC5F8E">
        <w:lastRenderedPageBreak/>
        <w:t>Pregunta de investigación</w:t>
      </w:r>
      <w:bookmarkEnd w:id="16"/>
    </w:p>
    <w:p w14:paraId="03A41F4C" w14:textId="77777777" w:rsidR="00E376CF" w:rsidRPr="00437C83" w:rsidRDefault="000A07EC" w:rsidP="00750F71">
      <w:pPr>
        <w:contextualSpacing/>
      </w:pPr>
      <w:r>
        <w:t xml:space="preserve">¿Qué similitudes </w:t>
      </w:r>
      <w:r w:rsidR="00E376CF">
        <w:t xml:space="preserve">y diferencias existen entre la </w:t>
      </w:r>
      <w:r>
        <w:t>exportación de quinua a Francia por parte de Bolivia y Ecuador?</w:t>
      </w:r>
    </w:p>
    <w:p w14:paraId="4A514A46" w14:textId="77777777" w:rsidR="000A07EC" w:rsidRDefault="000A07EC" w:rsidP="0068708D">
      <w:r>
        <w:br w:type="page"/>
      </w:r>
    </w:p>
    <w:p w14:paraId="2B9B4AF4" w14:textId="77777777" w:rsidR="00BC5F8E" w:rsidRDefault="00BC5F8E" w:rsidP="00750F71">
      <w:pPr>
        <w:contextualSpacing/>
        <w:jc w:val="center"/>
        <w:rPr>
          <w:b/>
        </w:rPr>
      </w:pPr>
    </w:p>
    <w:p w14:paraId="3D6D9D33" w14:textId="77777777" w:rsidR="00E03BFE" w:rsidRDefault="00E03BFE" w:rsidP="00750F71">
      <w:pPr>
        <w:contextualSpacing/>
        <w:jc w:val="center"/>
        <w:rPr>
          <w:b/>
        </w:rPr>
      </w:pPr>
    </w:p>
    <w:p w14:paraId="7F973F37" w14:textId="77777777" w:rsidR="00BC5F8E" w:rsidRDefault="00BC5F8E" w:rsidP="00750F71">
      <w:pPr>
        <w:contextualSpacing/>
        <w:jc w:val="center"/>
        <w:rPr>
          <w:b/>
        </w:rPr>
      </w:pPr>
    </w:p>
    <w:p w14:paraId="6861133E" w14:textId="77777777" w:rsidR="00BE102B" w:rsidRPr="00BE102B" w:rsidRDefault="00300DF9" w:rsidP="00750F71">
      <w:pPr>
        <w:pStyle w:val="Ttulo1"/>
        <w:spacing w:before="0" w:after="200"/>
        <w:contextualSpacing/>
      </w:pPr>
      <w:bookmarkStart w:id="17" w:name="_Toc446973142"/>
      <w:r w:rsidRPr="00BC5F8E">
        <w:t>MARCO REFERENCIAL</w:t>
      </w:r>
      <w:bookmarkEnd w:id="17"/>
      <w:r w:rsidR="00207179" w:rsidRPr="00BC5F8E">
        <w:t xml:space="preserve">   </w:t>
      </w:r>
    </w:p>
    <w:p w14:paraId="6F2C31DF" w14:textId="77777777" w:rsidR="00300DF9" w:rsidRPr="00BC5F8E" w:rsidRDefault="00300DF9" w:rsidP="00750F71">
      <w:pPr>
        <w:pStyle w:val="Ttulo2"/>
        <w:numPr>
          <w:ilvl w:val="0"/>
          <w:numId w:val="4"/>
        </w:numPr>
        <w:spacing w:before="0" w:after="200"/>
        <w:ind w:left="357" w:firstLine="0"/>
        <w:contextualSpacing/>
      </w:pPr>
      <w:bookmarkStart w:id="18" w:name="_Toc446973143"/>
      <w:r w:rsidRPr="00BC5F8E">
        <w:t>Antecedentes</w:t>
      </w:r>
      <w:bookmarkEnd w:id="18"/>
    </w:p>
    <w:p w14:paraId="0D823DFD" w14:textId="77777777" w:rsidR="00300DF9" w:rsidRDefault="00300DF9" w:rsidP="00750F71">
      <w:pPr>
        <w:contextualSpacing/>
      </w:pPr>
      <w:r>
        <w:t xml:space="preserve">Iniciando con los antecedentes, es conveniente citar en </w:t>
      </w:r>
      <w:r w:rsidRPr="009B329F">
        <w:t>primer</w:t>
      </w:r>
      <w:r>
        <w:t xml:space="preserve"> lugar la investigación realizada por Peña </w:t>
      </w:r>
      <w:sdt>
        <w:sdtPr>
          <w:id w:val="391769150"/>
          <w:citation/>
        </w:sdtPr>
        <w:sdtEndPr/>
        <w:sdtContent>
          <w:r>
            <w:fldChar w:fldCharType="begin"/>
          </w:r>
          <w:r>
            <w:instrText xml:space="preserve">CITATION Peñ07 \n  \t  \l 12298 </w:instrText>
          </w:r>
          <w:r>
            <w:fldChar w:fldCharType="separate"/>
          </w:r>
          <w:r w:rsidR="00BC1846" w:rsidRPr="00BC1846">
            <w:rPr>
              <w:noProof/>
            </w:rPr>
            <w:t>(2007)</w:t>
          </w:r>
          <w:r>
            <w:fldChar w:fldCharType="end"/>
          </w:r>
        </w:sdtContent>
      </w:sdt>
      <w:r>
        <w:t xml:space="preserve"> en el estudio: “Perfil del Mercado de la Quinua”. Este tiene como objetivo dar a conocer el potencial exportador, la oferta exportable y las bondades de la Quinua en Bolivia como uno de los principales productores del cereal. La investigación se realizó sobre el mercado internacional de quinua y el rol que juega el país andino en el mismo desde la perspectiva de diversificación del mercado del producto, atendiendo la información presentada por la Revista “Bolivia Exporta” (2007) y la Publicación Informativa del Instituto Boliviano de Comercio Exterior IBCE (2006).</w:t>
      </w:r>
    </w:p>
    <w:p w14:paraId="5890BDB1" w14:textId="77777777" w:rsidR="00300DF9" w:rsidRDefault="00300DF9" w:rsidP="00750F71">
      <w:pPr>
        <w:contextualSpacing/>
      </w:pPr>
      <w:r>
        <w:t xml:space="preserve">La investigación es descriptiva bajo la modalidad documental, su diseño es no experimental </w:t>
      </w:r>
      <w:r w:rsidR="00C357A0">
        <w:t>longitudinal</w:t>
      </w:r>
      <w:r>
        <w:t>. Su población fue el sector de alimentos orgánicos, especialmente los productores de quinua, de Bolivia. La técnica de recolección de datos fue el levantamiento de información estadística de las tendencias y participación de mercado del período 2000-2006, de las exportaciones nacionales del cereal en el año 2006 a los diferentes destinos y de los acuerdos comerciales y preferencias arancelarias,</w:t>
      </w:r>
      <w:r w:rsidR="0068708D">
        <w:t xml:space="preserve"> </w:t>
      </w:r>
      <w:r>
        <w:t>firmados por el país andino vigentes hasta el 2006.</w:t>
      </w:r>
    </w:p>
    <w:p w14:paraId="43CA24A3" w14:textId="77777777" w:rsidR="00300DF9" w:rsidRDefault="00300DF9" w:rsidP="00750F71">
      <w:pPr>
        <w:contextualSpacing/>
      </w:pPr>
      <w:r>
        <w:t>Entre los resultados obtenidos, el autor determinó un potencial en la producción de quinua en el país para los próximos años que sugiere sea destinado a la exportación como una alternativa no tradicional de oferta exportable de Bolivia, razón por la cual concluye que la demanda del cereal existente en Estados Unidos y Europa puede ser compensada con el cultivo y cosecha del país. Propone contactos estratégicos con los que recomienda la comunicación de pequeños exportadores y consorcios para esta</w:t>
      </w:r>
      <w:r w:rsidR="005725AB">
        <w:t xml:space="preserve">blecer relaciones comerciales. </w:t>
      </w:r>
    </w:p>
    <w:p w14:paraId="3CEC6C4A" w14:textId="5642C373" w:rsidR="00300DF9" w:rsidRDefault="00300DF9" w:rsidP="00750F71">
      <w:pPr>
        <w:autoSpaceDE w:val="0"/>
        <w:autoSpaceDN w:val="0"/>
        <w:adjustRightInd w:val="0"/>
        <w:contextualSpacing/>
      </w:pPr>
      <w:r>
        <w:t xml:space="preserve">Para continuar, se encuentra el estudio realizado por Soraide </w:t>
      </w:r>
      <w:sdt>
        <w:sdtPr>
          <w:id w:val="1928306818"/>
          <w:citation/>
        </w:sdtPr>
        <w:sdtEndPr/>
        <w:sdtContent>
          <w:r>
            <w:fldChar w:fldCharType="begin"/>
          </w:r>
          <w:r>
            <w:instrText xml:space="preserve">CITATION Sor09 \n  \t  \l 12298 </w:instrText>
          </w:r>
          <w:r>
            <w:fldChar w:fldCharType="separate"/>
          </w:r>
          <w:r w:rsidR="00BC1846" w:rsidRPr="00BC1846">
            <w:rPr>
              <w:noProof/>
            </w:rPr>
            <w:t>(2009)</w:t>
          </w:r>
          <w:r>
            <w:fldChar w:fldCharType="end"/>
          </w:r>
        </w:sdtContent>
      </w:sdt>
      <w:r>
        <w:t xml:space="preserve"> con título “Comercialización de la Quinua Real producida en el altiplano sur de Bolivia”. Este tiene como objetivo de</w:t>
      </w:r>
      <w:r w:rsidRPr="00FA07C9">
        <w:t>mostrar un análisis de datos referidos a la demanda nacional e</w:t>
      </w:r>
      <w:r>
        <w:t xml:space="preserve"> </w:t>
      </w:r>
      <w:r w:rsidRPr="00FA07C9">
        <w:t>internacional, la producción interna, balance de demanda y déficit en la</w:t>
      </w:r>
      <w:r>
        <w:t xml:space="preserve"> </w:t>
      </w:r>
      <w:r w:rsidRPr="00FA07C9">
        <w:t>producción, formas de acopio, comercialización de la quinua, dinámica de precios,</w:t>
      </w:r>
      <w:r>
        <w:t xml:space="preserve"> </w:t>
      </w:r>
      <w:r w:rsidRPr="00FA07C9">
        <w:t xml:space="preserve">comercialización de la quinua beneficiada, </w:t>
      </w:r>
      <w:r w:rsidRPr="00FA07C9">
        <w:lastRenderedPageBreak/>
        <w:t>caracterización del consumo nacional,</w:t>
      </w:r>
      <w:r>
        <w:t xml:space="preserve"> </w:t>
      </w:r>
      <w:r w:rsidRPr="00FA07C9">
        <w:t>márgenes de comercialización y exportación de la quinua real.</w:t>
      </w:r>
      <w:r>
        <w:t xml:space="preserve"> Por tanto, realizó una investigación acerca de cómo la producción y demanda del país es cubierta de manera que permite además abarcar mercados extranjeros. En general, se enfoca a establecer el movimiento económico generado por este cultivo estratégico en mercados nacionales e internacionales. </w:t>
      </w:r>
    </w:p>
    <w:p w14:paraId="55031C03" w14:textId="77777777" w:rsidR="00300DF9" w:rsidRDefault="00300DF9" w:rsidP="00750F71">
      <w:pPr>
        <w:autoSpaceDE w:val="0"/>
        <w:autoSpaceDN w:val="0"/>
        <w:adjustRightInd w:val="0"/>
        <w:contextualSpacing/>
      </w:pPr>
      <w:r>
        <w:t>La investigación es descriptiva bajo la modalidad documental y de campo, su diseño es no experim</w:t>
      </w:r>
      <w:r w:rsidR="007C5391">
        <w:t>ental transeccional.</w:t>
      </w:r>
      <w:r>
        <w:t xml:space="preserve"> El estudio consideró como población los productores de los Departamentos de Potosí y Oruro.  Para la recolección de información se utilizaron dos fuentes: Primaria, boletas de entrevistas a productores en comunidades y la feria de Challapata; Secundarias, información de instituciones claves como ser FAUTAPO, </w:t>
      </w:r>
      <w:r w:rsidRPr="00ED2566">
        <w:t>COMPASUR, CADEQUIR, CADEPQUIOR, ANAPQUI, CECAOT y CABOLQUI</w:t>
      </w:r>
      <w:r>
        <w:t>.</w:t>
      </w:r>
    </w:p>
    <w:p w14:paraId="735683B7" w14:textId="77777777" w:rsidR="00300DF9" w:rsidRDefault="00300DF9" w:rsidP="00750F71">
      <w:pPr>
        <w:autoSpaceDE w:val="0"/>
        <w:autoSpaceDN w:val="0"/>
        <w:adjustRightInd w:val="0"/>
        <w:contextualSpacing/>
      </w:pPr>
      <w:r>
        <w:t>Los resultados obtenidos fueron una estimación de la demanda tanto del mercado nacional e internacional frente a la producción interna del cereal, encontrando un déficit en la producción que es cubierto por otros países. Muestra las formas más comunes de acopio y distribución de la quinua, dentro del proceso de comercialización. Por último, se encontró el margen manejado en la comercialización del cereal y las estrategias aplicadas en un proceso exportador. Concluye que la demanda mundial proyectada no será satisfecha a menos que se tomen medidas que provoquen un aumento de la oferta del producto.</w:t>
      </w:r>
    </w:p>
    <w:p w14:paraId="59080182" w14:textId="77777777" w:rsidR="00300DF9" w:rsidRDefault="00300DF9" w:rsidP="00750F71">
      <w:pPr>
        <w:autoSpaceDE w:val="0"/>
        <w:autoSpaceDN w:val="0"/>
        <w:adjustRightInd w:val="0"/>
        <w:contextualSpacing/>
      </w:pPr>
      <w:r>
        <w:t>Este estudio muestra como Bolivia, siendo el primer productor del Quinua del mundo, todavía no alcanza a cubrir la demanda mundial del cereal. Aquí se encuentra una oportunidad de mercado para los productores de otros países, quienes pueden suplir la demanda insatisfecha con un análisis y proyección adecuados a futuro, tomando como base las prácticas realizadas por esta nación.</w:t>
      </w:r>
    </w:p>
    <w:p w14:paraId="232EC626" w14:textId="77777777" w:rsidR="00300DF9" w:rsidRDefault="00300DF9" w:rsidP="00750F71">
      <w:pPr>
        <w:autoSpaceDE w:val="0"/>
        <w:autoSpaceDN w:val="0"/>
        <w:adjustRightInd w:val="0"/>
        <w:contextualSpacing/>
      </w:pPr>
      <w:r>
        <w:t xml:space="preserve">Además, se puede citar el estudio realizado por Cuadrado </w:t>
      </w:r>
      <w:sdt>
        <w:sdtPr>
          <w:id w:val="-2105867133"/>
          <w:citation/>
        </w:sdtPr>
        <w:sdtEndPr/>
        <w:sdtContent>
          <w:r>
            <w:fldChar w:fldCharType="begin"/>
          </w:r>
          <w:r>
            <w:instrText xml:space="preserve">CITATION Cua12 \n  \t  \l 12298 </w:instrText>
          </w:r>
          <w:r>
            <w:fldChar w:fldCharType="separate"/>
          </w:r>
          <w:r w:rsidR="00BC1846" w:rsidRPr="00BC1846">
            <w:rPr>
              <w:noProof/>
            </w:rPr>
            <w:t>(2012)</w:t>
          </w:r>
          <w:r>
            <w:fldChar w:fldCharType="end"/>
          </w:r>
        </w:sdtContent>
      </w:sdt>
      <w:r>
        <w:t xml:space="preserve"> </w:t>
      </w:r>
      <w:r w:rsidRPr="007C53AD">
        <w:t>titulado “La Quinua en el Ecuador: Situación actual y su industrialización”.</w:t>
      </w:r>
      <w:r>
        <w:t xml:space="preserve"> Este tiene por objetivo contextualizar el pasado, presente y futuro de la producción y demanda nacional e internacional de la quinua, analizando las posibilidades de su industrialización. Utiliza postulados sobre la productividad y competitividad en el pensamiento económico, con base en la teoría de la competitividad de Porter, enfocándose en tres variables: producción nacional de quinua, exportación e importación del cereal</w:t>
      </w:r>
      <w:r w:rsidR="00BC5F8E">
        <w:t xml:space="preserve"> </w:t>
      </w:r>
      <w:r>
        <w:t>y consumo nacional.</w:t>
      </w:r>
    </w:p>
    <w:p w14:paraId="54746530" w14:textId="77777777" w:rsidR="00300DF9" w:rsidRDefault="00300DF9" w:rsidP="00750F71">
      <w:pPr>
        <w:autoSpaceDE w:val="0"/>
        <w:autoSpaceDN w:val="0"/>
        <w:adjustRightInd w:val="0"/>
        <w:contextualSpacing/>
      </w:pPr>
      <w:r>
        <w:lastRenderedPageBreak/>
        <w:t>La investigación fue descriptiva bajo la modalidad de revisión bibliográfic</w:t>
      </w:r>
      <w:r w:rsidR="008907AD">
        <w:t>a, con diseño no experimental</w:t>
      </w:r>
      <w:r>
        <w:t xml:space="preserve"> transeccional descriptivo. La técnica utilizada fue la recolección de datos estadísticos acerca del volumen de producción y consumo del cereal en el país y se aplicó una encuesta para determinar la preferencia de los consumidores junto a técnicas de observación indirecta en supermercados. </w:t>
      </w:r>
    </w:p>
    <w:p w14:paraId="105AC3EC" w14:textId="77777777" w:rsidR="00300DF9" w:rsidRDefault="00300DF9" w:rsidP="00750F71">
      <w:pPr>
        <w:autoSpaceDE w:val="0"/>
        <w:autoSpaceDN w:val="0"/>
        <w:adjustRightInd w:val="0"/>
        <w:contextualSpacing/>
      </w:pPr>
      <w:r>
        <w:t>Entre los resultados obtenidos se encuentra que los principales productores y comercializadores de quinua son Bolivia, Perú y Ecuador, colocando el producto principalmente en los mercados de Estados Unidos y Europa. Concluye que en Ecuador se ha dado prioridad a la exportación del cereal más que al consumo interno, sin embargo, existe un potencial de desarrollo del sector que permitiría cubrir las necesidades del país de la mano con un aumento de la capacidad exportadora. Propone la puesta en marcha de planes y proyectos que favorezcan la industrialización de la producción y el desarrollo de alternativas de promoción y canales de venta del producto por las bondades que ofrece.</w:t>
      </w:r>
    </w:p>
    <w:p w14:paraId="051AF447" w14:textId="77777777" w:rsidR="001A67B0" w:rsidRDefault="00300DF9" w:rsidP="00750F71">
      <w:pPr>
        <w:autoSpaceDE w:val="0"/>
        <w:autoSpaceDN w:val="0"/>
        <w:adjustRightInd w:val="0"/>
        <w:contextualSpacing/>
      </w:pPr>
      <w:r>
        <w:t xml:space="preserve">Este estudio permite tener una primera idea de las métricas de producción, demanda y comercialización con las que cuenta Ecuador, para ser actualizadas y comparadas con Bolivia. Presenta estrategias que pueden ser de utilidad al momento de realizar la investigación. La cuantificación de la capacidad de producción brinda una base para poder analizar el potencial exportador existente para poder </w:t>
      </w:r>
      <w:r w:rsidR="00BC5F8E">
        <w:t>c</w:t>
      </w:r>
      <w:r w:rsidR="0088022D">
        <w:t>ubrir la demanda internacional.</w:t>
      </w:r>
    </w:p>
    <w:p w14:paraId="5DF755AB" w14:textId="7459E636" w:rsidR="00300DF9" w:rsidRDefault="001A67B0" w:rsidP="00750F71">
      <w:pPr>
        <w:spacing w:line="276" w:lineRule="auto"/>
        <w:contextualSpacing/>
        <w:jc w:val="left"/>
      </w:pPr>
      <w:r>
        <w:br w:type="page"/>
      </w:r>
    </w:p>
    <w:p w14:paraId="749E6572" w14:textId="77777777" w:rsidR="00B22365" w:rsidRPr="00BC5F8E" w:rsidRDefault="00300DF9" w:rsidP="00750F71">
      <w:pPr>
        <w:pStyle w:val="Ttulo2"/>
        <w:numPr>
          <w:ilvl w:val="0"/>
          <w:numId w:val="4"/>
        </w:numPr>
        <w:spacing w:before="0" w:after="200"/>
        <w:contextualSpacing/>
      </w:pPr>
      <w:bookmarkStart w:id="19" w:name="_Toc446973144"/>
      <w:r w:rsidRPr="00BC5F8E">
        <w:lastRenderedPageBreak/>
        <w:t>Marco Teórico</w:t>
      </w:r>
      <w:bookmarkEnd w:id="19"/>
    </w:p>
    <w:p w14:paraId="7BA6CEEE" w14:textId="77777777" w:rsidR="00F56573" w:rsidRPr="00BC5F8E" w:rsidRDefault="005360D0" w:rsidP="00750F71">
      <w:pPr>
        <w:pStyle w:val="Ttulo3"/>
        <w:numPr>
          <w:ilvl w:val="1"/>
          <w:numId w:val="11"/>
        </w:numPr>
        <w:spacing w:before="0" w:after="200"/>
        <w:ind w:left="431" w:hanging="431"/>
        <w:contextualSpacing/>
      </w:pPr>
      <w:bookmarkStart w:id="20" w:name="_Toc446973145"/>
      <w:r w:rsidRPr="00BC5F8E">
        <w:t>Negocios internacionales</w:t>
      </w:r>
      <w:bookmarkEnd w:id="20"/>
    </w:p>
    <w:p w14:paraId="495D7EDD" w14:textId="77777777" w:rsidR="005360D0" w:rsidRDefault="005360D0" w:rsidP="00750F71">
      <w:pPr>
        <w:autoSpaceDE w:val="0"/>
        <w:autoSpaceDN w:val="0"/>
        <w:adjustRightInd w:val="0"/>
        <w:contextualSpacing/>
      </w:pPr>
      <w:r>
        <w:t xml:space="preserve">Daniels, Radebaugh y Sullivan </w:t>
      </w:r>
      <w:sdt>
        <w:sdtPr>
          <w:id w:val="1925532246"/>
          <w:citation/>
        </w:sdtPr>
        <w:sdtEndPr/>
        <w:sdtContent>
          <w:r w:rsidR="005725AB">
            <w:fldChar w:fldCharType="begin"/>
          </w:r>
          <w:r w:rsidR="005725AB">
            <w:instrText xml:space="preserve">CITATION Dan04 \p 49 \n  \t  \l 12298 </w:instrText>
          </w:r>
          <w:r w:rsidR="005725AB">
            <w:fldChar w:fldCharType="separate"/>
          </w:r>
          <w:r w:rsidR="00BC1846" w:rsidRPr="00BC1846">
            <w:rPr>
              <w:noProof/>
            </w:rPr>
            <w:t>(2004, pág. 49)</w:t>
          </w:r>
          <w:r w:rsidR="005725AB">
            <w:fldChar w:fldCharType="end"/>
          </w:r>
        </w:sdtContent>
      </w:sdt>
      <w:r w:rsidR="005725AB">
        <w:t xml:space="preserve"> </w:t>
      </w:r>
      <w:r>
        <w:t xml:space="preserve">consideran que por negocios internacionales se entiende “toda transacción comercial, privada o gubernamental, entre dos o más países”. Explican que el objetivo de las empresas privadas con estas transacciones es la obtención de utilidades mientras que los gobiernos pueden o no contemplar este objetivo en sus actividades comerciales. Entre estas operaciones ubican las ventas, las inversiones y el transporte. </w:t>
      </w:r>
    </w:p>
    <w:p w14:paraId="22D8CE9C" w14:textId="77777777" w:rsidR="005360D0" w:rsidRDefault="00503A6D" w:rsidP="00750F71">
      <w:pPr>
        <w:contextualSpacing/>
      </w:pPr>
      <w:r>
        <w:t xml:space="preserve">Por su parte, Martínez Aldana, Corredor Villalba, y Herazo Cueto </w:t>
      </w:r>
      <w:sdt>
        <w:sdtPr>
          <w:id w:val="779845693"/>
          <w:citation/>
        </w:sdtPr>
        <w:sdtEndPr/>
        <w:sdtContent>
          <w:r w:rsidR="009771C7">
            <w:fldChar w:fldCharType="begin"/>
          </w:r>
          <w:r w:rsidR="007F1978">
            <w:instrText xml:space="preserve">CITATION Mar06 \n  \t  \l 12298 </w:instrText>
          </w:r>
          <w:r w:rsidR="009771C7">
            <w:fldChar w:fldCharType="separate"/>
          </w:r>
          <w:r w:rsidR="00BC1846">
            <w:rPr>
              <w:noProof/>
            </w:rPr>
            <w:t>(2006)</w:t>
          </w:r>
          <w:r w:rsidR="009771C7">
            <w:fldChar w:fldCharType="end"/>
          </w:r>
        </w:sdtContent>
      </w:sdt>
      <w:r>
        <w:t xml:space="preserve"> afirman que los negocios internacionales o comercio internacional consiste</w:t>
      </w:r>
      <w:r w:rsidR="006C77F6">
        <w:t>n</w:t>
      </w:r>
      <w:r>
        <w:t xml:space="preserve"> en el intercambio de bienes y servicios entre países. También analiza</w:t>
      </w:r>
      <w:r w:rsidR="008907AD">
        <w:t>n</w:t>
      </w:r>
      <w:r>
        <w:t xml:space="preserve"> que los beneficios que obtienen por esta transacción consisten en que un país puede especializarse</w:t>
      </w:r>
      <w:r w:rsidR="00CF1DFE">
        <w:t xml:space="preserve"> en la producción de aquellos bienes que fabrica de forma eficiente a menores costos, mediante una ventaja comparativa o competitiva. Los mecanismos de intercambio son las exportaciones e importaciones de bienes y servicios. </w:t>
      </w:r>
    </w:p>
    <w:p w14:paraId="727B06D8" w14:textId="77777777" w:rsidR="00CF1DFE" w:rsidRDefault="00CF1DFE" w:rsidP="00750F71">
      <w:pPr>
        <w:autoSpaceDE w:val="0"/>
        <w:autoSpaceDN w:val="0"/>
        <w:adjustRightInd w:val="0"/>
        <w:contextualSpacing/>
      </w:pPr>
      <w:r>
        <w:t>Para objeto de esta investigación se adoptará el segundo concepto debido a que se considera más complet</w:t>
      </w:r>
      <w:r w:rsidR="005725AB">
        <w:t>o</w:t>
      </w:r>
      <w:r w:rsidR="007C5391">
        <w:t xml:space="preserve"> por </w:t>
      </w:r>
      <w:r>
        <w:t xml:space="preserve">que especifica que el objetivo de los negocios internacionales se enmarca en el intercambio de bienes y servicios. Además considera un elemento adicional: la necesidad de que exista una especialización o el fomento a una industria que tenga potencial en un país </w:t>
      </w:r>
      <w:r w:rsidR="00B32DAF">
        <w:t xml:space="preserve">para el uso de recursos de manera eficiente. </w:t>
      </w:r>
    </w:p>
    <w:p w14:paraId="74C273F1" w14:textId="77777777" w:rsidR="00B22365" w:rsidRDefault="00BE10CF" w:rsidP="00750F71">
      <w:pPr>
        <w:pStyle w:val="Ttulo3"/>
        <w:numPr>
          <w:ilvl w:val="1"/>
          <w:numId w:val="11"/>
        </w:numPr>
        <w:spacing w:before="0" w:after="200"/>
        <w:ind w:left="431" w:hanging="431"/>
        <w:contextualSpacing/>
      </w:pPr>
      <w:bookmarkStart w:id="21" w:name="_Toc446973146"/>
      <w:r w:rsidRPr="00BC5F8E">
        <w:t>Exportación</w:t>
      </w:r>
      <w:bookmarkEnd w:id="21"/>
    </w:p>
    <w:p w14:paraId="62E6DEE8" w14:textId="77777777" w:rsidR="00BE10CF" w:rsidRPr="00605542" w:rsidRDefault="001D58D8" w:rsidP="00750F71">
      <w:pPr>
        <w:autoSpaceDE w:val="0"/>
        <w:autoSpaceDN w:val="0"/>
        <w:adjustRightInd w:val="0"/>
        <w:contextualSpacing/>
      </w:pPr>
      <w:r>
        <w:t>Según González López, Martínez, Otero y González Vásquez</w:t>
      </w:r>
      <w:sdt>
        <w:sdtPr>
          <w:id w:val="-1388171095"/>
          <w:citation/>
        </w:sdtPr>
        <w:sdtEndPr/>
        <w:sdtContent>
          <w:r w:rsidR="009771C7">
            <w:fldChar w:fldCharType="begin"/>
          </w:r>
          <w:r w:rsidR="007F1978">
            <w:instrText xml:space="preserve">CITATION Gon09 \n  \t  \l 12298 </w:instrText>
          </w:r>
          <w:r w:rsidR="009771C7">
            <w:fldChar w:fldCharType="separate"/>
          </w:r>
          <w:r w:rsidR="00BC1846">
            <w:rPr>
              <w:noProof/>
            </w:rPr>
            <w:t xml:space="preserve"> </w:t>
          </w:r>
          <w:r w:rsidR="00BC1846" w:rsidRPr="00BC1846">
            <w:rPr>
              <w:noProof/>
            </w:rPr>
            <w:t>(2009)</w:t>
          </w:r>
          <w:r w:rsidR="009771C7">
            <w:fldChar w:fldCharType="end"/>
          </w:r>
        </w:sdtContent>
      </w:sdt>
      <w:r>
        <w:t xml:space="preserve">, la exportación consiste en la venta de bienes fuera de un territorio aduanero, entendiéndose por este último concepto como el espacio geográfico dentro del cual mercancías pueden circular de forma libre sin pasar por controles administrativos y/o aduaneros. Añade además que es una operación sin gestión extranjera porque se </w:t>
      </w:r>
      <w:r w:rsidRPr="00605542">
        <w:t>exportan mercancías mas no funciones de carácter administrativo.</w:t>
      </w:r>
    </w:p>
    <w:p w14:paraId="4E025BF2" w14:textId="77777777" w:rsidR="001D58D8" w:rsidRDefault="006964D6" w:rsidP="00750F71">
      <w:pPr>
        <w:autoSpaceDE w:val="0"/>
        <w:autoSpaceDN w:val="0"/>
        <w:adjustRightInd w:val="0"/>
        <w:contextualSpacing/>
      </w:pPr>
      <w:r w:rsidRPr="00605542">
        <w:t>Los autores Daniels et</w:t>
      </w:r>
      <w:r w:rsidR="008907AD">
        <w:t xml:space="preserve"> </w:t>
      </w:r>
      <w:r w:rsidRPr="00605542">
        <w:t>al</w:t>
      </w:r>
      <w:r w:rsidR="008907AD">
        <w:t>t</w:t>
      </w:r>
      <w:r w:rsidRPr="00605542">
        <w:t>.</w:t>
      </w:r>
      <w:r w:rsidR="000E0B69" w:rsidRPr="00605542">
        <w:t xml:space="preserve"> </w:t>
      </w:r>
      <w:sdt>
        <w:sdtPr>
          <w:id w:val="-55013688"/>
          <w:citation/>
        </w:sdtPr>
        <w:sdtEndPr/>
        <w:sdtContent>
          <w:r w:rsidR="005725AB">
            <w:fldChar w:fldCharType="begin"/>
          </w:r>
          <w:r w:rsidR="005725AB">
            <w:instrText xml:space="preserve">CITATION Dan04 \p 49 \n  \t  \l 12298 </w:instrText>
          </w:r>
          <w:r w:rsidR="005725AB">
            <w:fldChar w:fldCharType="separate"/>
          </w:r>
          <w:r w:rsidR="00BC1846" w:rsidRPr="00BC1846">
            <w:rPr>
              <w:noProof/>
            </w:rPr>
            <w:t>(2004, pág. 49)</w:t>
          </w:r>
          <w:r w:rsidR="005725AB">
            <w:fldChar w:fldCharType="end"/>
          </w:r>
        </w:sdtContent>
      </w:sdt>
      <w:r w:rsidR="005725AB">
        <w:t xml:space="preserve"> </w:t>
      </w:r>
      <w:r w:rsidR="000E0B69" w:rsidRPr="00605542">
        <w:t>afirman</w:t>
      </w:r>
      <w:r w:rsidR="000E0B69">
        <w:t xml:space="preserve"> que “las exportaciones consisten en enviar fuera del país mercancías (bienes)”. Por otro lado, también consideran que se pueden vender servicios y recibir pago por ellos, lo que se conoce como exportación de servicios, siendo estos un ingreso para el país</w:t>
      </w:r>
      <w:r w:rsidR="00F56573">
        <w:t xml:space="preserve"> que puede darse de varias formas como turismo y transporte, desempeño de servicios y uso de activos. </w:t>
      </w:r>
    </w:p>
    <w:p w14:paraId="4B8E41CF" w14:textId="77777777" w:rsidR="00F56573" w:rsidRDefault="00F56573" w:rsidP="00750F71">
      <w:pPr>
        <w:autoSpaceDE w:val="0"/>
        <w:autoSpaceDN w:val="0"/>
        <w:adjustRightInd w:val="0"/>
        <w:contextualSpacing/>
      </w:pPr>
      <w:r>
        <w:lastRenderedPageBreak/>
        <w:t xml:space="preserve">Dentro de esta investigación se observa que ambos autores guardan similitud al momento de definir el concepto, destacando dos elementos fundamentales: la existencia de un bien o servicio que pueda ser vendido y el proceso de venta propiamente dicho dentro de una negociación internacional. Los autores primero citados no se limitan únicamente a considerar el intercambio de país a país sino que amplían el concepto a un territorio aduanero que puede ser un bloque comercial, área de libre comercio, unión aduanera o cualquier otra figura de cooperación. Los siguientes autores, por su parte, abarcan un concepto más completo e inclusivo al no considerar como objeto de intercambio solo bienes físicos sino también servicios. </w:t>
      </w:r>
    </w:p>
    <w:p w14:paraId="2B7F7572" w14:textId="77777777" w:rsidR="00F56573" w:rsidRDefault="00F56573" w:rsidP="00750F71">
      <w:pPr>
        <w:autoSpaceDE w:val="0"/>
        <w:autoSpaceDN w:val="0"/>
        <w:adjustRightInd w:val="0"/>
        <w:contextualSpacing/>
      </w:pPr>
      <w:r>
        <w:t xml:space="preserve">La autora </w:t>
      </w:r>
      <w:r w:rsidR="00ED0FCF">
        <w:t xml:space="preserve">de este estudio </w:t>
      </w:r>
      <w:r>
        <w:t>se identifica con el primer concepto debido a que concuerda con el tema a analizar que es la venta de un bien producido por dos países a un mercado internacional. Por otro lado, este concepto da una pauta para entender que se puede realizar una transacción de comercio exterior no solo de forma bilateral entre dos países, sino que se puede considerar la cooperación entre países como otra forma de exportar. Esta puede ser una estrategia a considerar en el desarrollo y conclusión de la investigación.</w:t>
      </w:r>
    </w:p>
    <w:p w14:paraId="53C968AF" w14:textId="77777777" w:rsidR="007264A0" w:rsidRDefault="00180416" w:rsidP="00750F71">
      <w:pPr>
        <w:pStyle w:val="Ttulo4"/>
        <w:numPr>
          <w:ilvl w:val="2"/>
          <w:numId w:val="11"/>
        </w:numPr>
        <w:spacing w:before="0" w:after="200"/>
        <w:ind w:left="505" w:hanging="505"/>
        <w:contextualSpacing/>
      </w:pPr>
      <w:r w:rsidRPr="00BA3BF1">
        <w:rPr>
          <w:i w:val="0"/>
        </w:rPr>
        <w:t>Certificación</w:t>
      </w:r>
      <w:r>
        <w:t xml:space="preserve"> </w:t>
      </w:r>
      <w:r w:rsidRPr="00E45EFB">
        <w:rPr>
          <w:i w:val="0"/>
        </w:rPr>
        <w:t>de Producto O</w:t>
      </w:r>
      <w:r w:rsidR="007264A0" w:rsidRPr="00E45EFB">
        <w:rPr>
          <w:i w:val="0"/>
        </w:rPr>
        <w:t>rgánico</w:t>
      </w:r>
      <w:r w:rsidRPr="00E45EFB">
        <w:rPr>
          <w:i w:val="0"/>
        </w:rPr>
        <w:t xml:space="preserve"> para exportación</w:t>
      </w:r>
    </w:p>
    <w:p w14:paraId="70C1EC58" w14:textId="77777777" w:rsidR="00605542" w:rsidRDefault="00605542" w:rsidP="00750F71">
      <w:pPr>
        <w:contextualSpacing/>
      </w:pPr>
      <w:r>
        <w:t xml:space="preserve">La Organización </w:t>
      </w:r>
      <w:r w:rsidR="005B336E">
        <w:t xml:space="preserve">de las Naciones Unidas </w:t>
      </w:r>
      <w:r w:rsidR="00C71DED">
        <w:t>para la Alimentación y la Agricultura</w:t>
      </w:r>
      <w:r w:rsidR="005B336E" w:rsidRPr="005B336E">
        <w:t xml:space="preserve"> </w:t>
      </w:r>
      <w:sdt>
        <w:sdtPr>
          <w:id w:val="2011479460"/>
          <w:citation/>
        </w:sdtPr>
        <w:sdtEndPr/>
        <w:sdtContent>
          <w:r w:rsidR="005B336E">
            <w:fldChar w:fldCharType="begin"/>
          </w:r>
          <w:r w:rsidR="005B336E">
            <w:instrText xml:space="preserve">CITATION FAO151 \n  \t  \l 12298 </w:instrText>
          </w:r>
          <w:r w:rsidR="005B336E">
            <w:fldChar w:fldCharType="separate"/>
          </w:r>
          <w:r w:rsidR="00BC1846">
            <w:rPr>
              <w:noProof/>
            </w:rPr>
            <w:t>(2015)</w:t>
          </w:r>
          <w:r w:rsidR="005B336E">
            <w:fldChar w:fldCharType="end"/>
          </w:r>
        </w:sdtContent>
      </w:sdt>
      <w:r w:rsidR="00C71DED">
        <w:t xml:space="preserve"> </w:t>
      </w:r>
      <w:r w:rsidR="00604F5C">
        <w:t>define la agricultura orgánica como un método que consiste en la “gestión del ecosistema en vez de la utilización de insumos agrícolas”.</w:t>
      </w:r>
      <w:r w:rsidR="005B336E">
        <w:t xml:space="preserve"> A insumos se refiere con los fertilizantes y plaguicidas sintéticos, medicamentos veterinarios, semillas modificadas genéticamente, etc. </w:t>
      </w:r>
      <w:r w:rsidR="00604F5C">
        <w:t xml:space="preserve"> </w:t>
      </w:r>
    </w:p>
    <w:p w14:paraId="5A94E5F3" w14:textId="77777777" w:rsidR="00180416" w:rsidRPr="005B336E" w:rsidRDefault="005B336E" w:rsidP="00750F71">
      <w:pPr>
        <w:contextualSpacing/>
      </w:pPr>
      <w:r w:rsidRPr="005B336E">
        <w:t>Se reconocen los productos orgánicos claramente gracias a su certificación y etiquetado. El consumidor</w:t>
      </w:r>
      <w:r w:rsidR="00431918">
        <w:t xml:space="preserve"> </w:t>
      </w:r>
      <w:r w:rsidRPr="005B336E">
        <w:t>influye mucho en la producción orgánica.</w:t>
      </w:r>
      <w:r>
        <w:t xml:space="preserve"> </w:t>
      </w:r>
      <w:r w:rsidRPr="005B336E">
        <w:t>Los productos orgánicos certificados son aquellos que se producen, almacenan, elaboran, manipulan y comercializan de conformidad con especificaciones técnicas precisas (normas), y cuya certificación de productos "orgánicos" corre a cargo de un organismo especializado</w:t>
      </w:r>
      <w:r>
        <w:t xml:space="preserve"> </w:t>
      </w:r>
      <w:sdt>
        <w:sdtPr>
          <w:id w:val="728735191"/>
          <w:citation/>
        </w:sdtPr>
        <w:sdtEndPr/>
        <w:sdtContent>
          <w:r>
            <w:fldChar w:fldCharType="begin"/>
          </w:r>
          <w:r>
            <w:instrText xml:space="preserve">CITATION FAO151 \l 12298 </w:instrText>
          </w:r>
          <w:r>
            <w:fldChar w:fldCharType="separate"/>
          </w:r>
          <w:r w:rsidR="00BC1846">
            <w:rPr>
              <w:noProof/>
            </w:rPr>
            <w:t>(Organización de las Naciones Unidas para la Alimentación y la Agricultura, 2015)</w:t>
          </w:r>
          <w:r>
            <w:fldChar w:fldCharType="end"/>
          </w:r>
        </w:sdtContent>
      </w:sdt>
      <w:r>
        <w:t>.</w:t>
      </w:r>
    </w:p>
    <w:p w14:paraId="1D469065" w14:textId="77777777" w:rsidR="005B336E" w:rsidRDefault="005B336E" w:rsidP="00750F71">
      <w:pPr>
        <w:contextualSpacing/>
      </w:pPr>
      <w:r w:rsidRPr="005B336E">
        <w:t>U</w:t>
      </w:r>
      <w:r w:rsidR="00180416" w:rsidRPr="005B336E">
        <w:t>na vez que una entidad de este tipo ha verificado el cumplimiento de las normas que rigen el ámbito de los productos orgánicos, se concede una etiqueta al producto</w:t>
      </w:r>
      <w:r w:rsidRPr="005B336E">
        <w:t xml:space="preserve"> la cual </w:t>
      </w:r>
      <w:r w:rsidR="00180416" w:rsidRPr="005B336E">
        <w:t xml:space="preserve">variará de acuerdo con el organismo de certificación que la expida, pero puede tomarse como garantía de cumplimiento de los requisitos fundamentales de un producto "orgánico" desde la finca hasta el mercado. </w:t>
      </w:r>
      <w:r w:rsidRPr="005B336E">
        <w:t xml:space="preserve">La etiqueta </w:t>
      </w:r>
      <w:r w:rsidR="00180416" w:rsidRPr="005B336E">
        <w:t xml:space="preserve">aplica al proceso de producción, y garantiza que el producto se ha creado </w:t>
      </w:r>
      <w:r w:rsidR="00180416" w:rsidRPr="005B336E">
        <w:lastRenderedPageBreak/>
        <w:t xml:space="preserve">y elaborado en forma que no perjudique al medio ambiente. </w:t>
      </w:r>
      <w:r>
        <w:t>No es necesariamente una</w:t>
      </w:r>
      <w:r w:rsidR="00180416" w:rsidRPr="005B336E">
        <w:t xml:space="preserve"> certificación de calidad</w:t>
      </w:r>
      <w:r>
        <w:t xml:space="preserve"> </w:t>
      </w:r>
      <w:sdt>
        <w:sdtPr>
          <w:id w:val="-169181920"/>
          <w:citation/>
        </w:sdtPr>
        <w:sdtEndPr/>
        <w:sdtContent>
          <w:r>
            <w:fldChar w:fldCharType="begin"/>
          </w:r>
          <w:r>
            <w:instrText xml:space="preserve">CITATION FAO151 \l 12298 </w:instrText>
          </w:r>
          <w:r>
            <w:fldChar w:fldCharType="separate"/>
          </w:r>
          <w:r w:rsidR="00BC1846">
            <w:rPr>
              <w:noProof/>
            </w:rPr>
            <w:t>(Organización de las Naciones Unidas para la Alimentación y la Agricultura, 2015)</w:t>
          </w:r>
          <w:r>
            <w:fldChar w:fldCharType="end"/>
          </w:r>
        </w:sdtContent>
      </w:sdt>
      <w:r w:rsidR="00180416" w:rsidRPr="005B336E">
        <w:t>.</w:t>
      </w:r>
      <w:r>
        <w:t xml:space="preserve"> </w:t>
      </w:r>
    </w:p>
    <w:p w14:paraId="371E227F" w14:textId="77777777" w:rsidR="005B336E" w:rsidRDefault="005B336E" w:rsidP="00750F71">
      <w:pPr>
        <w:contextualSpacing/>
      </w:pPr>
      <w:r>
        <w:t xml:space="preserve">Sin embargo, obtener este certificado se ha convertido en un requisito necesario para ingresar con un producto a diversos mercados. De ahí la importancia por el cumplimiento de procesos y adecuación de instalaciones en diversas empresas de múltiples industrias relacionadas con productos de índole agrícola. </w:t>
      </w:r>
    </w:p>
    <w:p w14:paraId="1A1E37A2" w14:textId="77777777" w:rsidR="007264A0" w:rsidRPr="00E45EFB" w:rsidRDefault="007264A0" w:rsidP="00750F71">
      <w:pPr>
        <w:pStyle w:val="Ttulo4"/>
        <w:numPr>
          <w:ilvl w:val="2"/>
          <w:numId w:val="11"/>
        </w:numPr>
        <w:spacing w:before="0" w:after="200"/>
        <w:ind w:left="505" w:hanging="505"/>
        <w:contextualSpacing/>
        <w:rPr>
          <w:i w:val="0"/>
        </w:rPr>
      </w:pPr>
      <w:r w:rsidRPr="00E45EFB">
        <w:rPr>
          <w:i w:val="0"/>
        </w:rPr>
        <w:t>Certificación de Comercio Justo</w:t>
      </w:r>
    </w:p>
    <w:p w14:paraId="1448FEFF" w14:textId="77777777" w:rsidR="007264A0" w:rsidRDefault="007264A0" w:rsidP="00750F71">
      <w:pPr>
        <w:contextualSpacing/>
      </w:pPr>
      <w:r>
        <w:t xml:space="preserve">El Instituto Boliviano de Comercio Exterior </w:t>
      </w:r>
      <w:sdt>
        <w:sdtPr>
          <w:id w:val="554439224"/>
          <w:citation/>
        </w:sdtPr>
        <w:sdtEndPr/>
        <w:sdtContent>
          <w:r w:rsidR="005725AB">
            <w:fldChar w:fldCharType="begin"/>
          </w:r>
          <w:r w:rsidR="005725AB">
            <w:rPr>
              <w:noProof/>
            </w:rPr>
            <w:instrText xml:space="preserve">CITATION Ins13 \p 20 \l 12298 </w:instrText>
          </w:r>
          <w:r w:rsidR="005725AB">
            <w:fldChar w:fldCharType="separate"/>
          </w:r>
          <w:r w:rsidR="00BC1846">
            <w:rPr>
              <w:noProof/>
            </w:rPr>
            <w:t>(Instituto Boliviano de Comercio Exterior, 2013, pág. 20)</w:t>
          </w:r>
          <w:r w:rsidR="005725AB">
            <w:fldChar w:fldCharType="end"/>
          </w:r>
        </w:sdtContent>
      </w:sdt>
      <w:r w:rsidR="004B120F">
        <w:t xml:space="preserve"> en una publicación hecha a propósito del Año mundial de la Quinua afirma que el Comercio Justo “representa una alternativa al comercio convencional y se basa en la cooperación entre productores y consumidores”. Este sistema promueve un trato más justo para todos los integrantes de la cadena de producción y comercialización de un producto y sus familias, haciendo que las condiciones comerciales sean más provechosas. Esto, a su vez, tiene un impacto favorable en sus condiciones de vida y planificación a futuro. Los consumidores, por su parte, colaboran a la reducción de la pobreza a través de las compras que realizan. </w:t>
      </w:r>
    </w:p>
    <w:p w14:paraId="4F6B3881" w14:textId="77777777" w:rsidR="004B120F" w:rsidRDefault="004B120F" w:rsidP="00750F71">
      <w:pPr>
        <w:contextualSpacing/>
      </w:pPr>
      <w:r>
        <w:t>Cuando un producto lleva el sello de certificación de Comercio Justo quiere decir que tanto los productores como los comerciantes han cumplido con los criterios de Comercio Justo</w:t>
      </w:r>
      <w:r w:rsidR="000B1E90">
        <w:t>, los cuales</w:t>
      </w:r>
      <w:r>
        <w:t xml:space="preserve"> están destinados a corregir el desequilibrio de poder </w:t>
      </w:r>
      <w:r w:rsidR="000B1E90">
        <w:t xml:space="preserve">en las relaciones comerciales que se dan frente a pequeños ofertantes, la inestabilidad de los mercados de commodities y las injusticias que se presentan comúnmente en el comercio convencional </w:t>
      </w:r>
      <w:sdt>
        <w:sdtPr>
          <w:id w:val="2013100196"/>
          <w:citation/>
        </w:sdtPr>
        <w:sdtEndPr/>
        <w:sdtContent>
          <w:r w:rsidR="000B1E90">
            <w:fldChar w:fldCharType="begin"/>
          </w:r>
          <w:r w:rsidR="000B1E90">
            <w:instrText xml:space="preserve"> CITATION Ins13 \l 12298 </w:instrText>
          </w:r>
          <w:r w:rsidR="000B1E90">
            <w:fldChar w:fldCharType="separate"/>
          </w:r>
          <w:r w:rsidR="00BC1846">
            <w:rPr>
              <w:noProof/>
            </w:rPr>
            <w:t>(Instituto Boliviano de Comercio Exterior, 2013)</w:t>
          </w:r>
          <w:r w:rsidR="000B1E90">
            <w:fldChar w:fldCharType="end"/>
          </w:r>
        </w:sdtContent>
      </w:sdt>
      <w:r w:rsidR="000B1E90">
        <w:t>.</w:t>
      </w:r>
    </w:p>
    <w:p w14:paraId="5F638BB9" w14:textId="77777777" w:rsidR="00040A78" w:rsidRDefault="00040A78" w:rsidP="00750F71">
      <w:pPr>
        <w:contextualSpacing/>
      </w:pPr>
      <w:r>
        <w:t xml:space="preserve">Además del precio que se establece dentro del sistema, se conviene el pago de una prima de Comercio Justo que supone una ayuda adicional para las organizaciones de pequeños productores. Este valor adicional puede ser invertido en el desarrollo económico, social y ambiental de las organizaciones beneficiadas y la comunidad a la que pertenecen, según su decisión. Esta cantidad se fija en base a un porcentaje por unidad vendida y es pagada por quien adquiere el producto </w:t>
      </w:r>
      <w:sdt>
        <w:sdtPr>
          <w:id w:val="-1940980739"/>
          <w:citation/>
        </w:sdtPr>
        <w:sdtEndPr/>
        <w:sdtContent>
          <w:r>
            <w:fldChar w:fldCharType="begin"/>
          </w:r>
          <w:r>
            <w:instrText xml:space="preserve"> CITATION Gar12 \l 12298 </w:instrText>
          </w:r>
          <w:r>
            <w:fldChar w:fldCharType="separate"/>
          </w:r>
          <w:r w:rsidR="00BC1846">
            <w:rPr>
              <w:noProof/>
            </w:rPr>
            <w:t>(García, 2012)</w:t>
          </w:r>
          <w:r>
            <w:fldChar w:fldCharType="end"/>
          </w:r>
        </w:sdtContent>
      </w:sdt>
      <w:r>
        <w:t>.</w:t>
      </w:r>
    </w:p>
    <w:p w14:paraId="08F41067" w14:textId="77777777" w:rsidR="00040A78" w:rsidRDefault="00180416" w:rsidP="00750F71">
      <w:pPr>
        <w:contextualSpacing/>
      </w:pPr>
      <w:r>
        <w:t xml:space="preserve">Por otro lado, la Coordinadora Ecuatoriana de Comercio Justo </w:t>
      </w:r>
      <w:sdt>
        <w:sdtPr>
          <w:id w:val="-96567407"/>
          <w:citation/>
        </w:sdtPr>
        <w:sdtEndPr/>
        <w:sdtContent>
          <w:r>
            <w:fldChar w:fldCharType="begin"/>
          </w:r>
          <w:r>
            <w:instrText xml:space="preserve">CITATION Coo15 \n  \t  \l 12298 </w:instrText>
          </w:r>
          <w:r>
            <w:fldChar w:fldCharType="separate"/>
          </w:r>
          <w:r w:rsidR="00BC1846">
            <w:rPr>
              <w:noProof/>
            </w:rPr>
            <w:t>(2015)</w:t>
          </w:r>
          <w:r>
            <w:fldChar w:fldCharType="end"/>
          </w:r>
        </w:sdtContent>
      </w:sdt>
      <w:r>
        <w:t xml:space="preserve"> afirma que el comercio justo es “</w:t>
      </w:r>
      <w:r w:rsidRPr="00180416">
        <w:t xml:space="preserve">un movimiento global que tiene el objetivo de establecer relaciones más justas y </w:t>
      </w:r>
      <w:r w:rsidRPr="00180416">
        <w:lastRenderedPageBreak/>
        <w:t>equitativas de comercio a través de prácticas sociales y el ejercicio de valores que permiten una relación más directa entre productores y consumidores</w:t>
      </w:r>
      <w:r>
        <w:t xml:space="preserve">”, no medida tanto por la distancia física sino por la cercanía ética que deriva en lo que se podría llamar “economía de la proximidad” que vas más allá de distancias geográficas. </w:t>
      </w:r>
    </w:p>
    <w:p w14:paraId="1625EAE1" w14:textId="77777777" w:rsidR="00180416" w:rsidRDefault="00331F4F" w:rsidP="00750F71">
      <w:pPr>
        <w:contextualSpacing/>
      </w:pPr>
      <w:r>
        <w:t xml:space="preserve">Dentro de Latinoamérica, el Comercio Justo adquiere un significado propio debido a que permite humanizar la actividad comercial dada las condiciones de pobreza, marginación e injusticia que todavía mantienen altos índices en esta región </w:t>
      </w:r>
      <w:sdt>
        <w:sdtPr>
          <w:id w:val="-1396427502"/>
          <w:citation/>
        </w:sdtPr>
        <w:sdtEndPr/>
        <w:sdtContent>
          <w:r>
            <w:fldChar w:fldCharType="begin"/>
          </w:r>
          <w:r>
            <w:instrText xml:space="preserve"> CITATION Coo15 \l 12298 </w:instrText>
          </w:r>
          <w:r>
            <w:fldChar w:fldCharType="separate"/>
          </w:r>
          <w:r w:rsidR="00BC1846">
            <w:rPr>
              <w:noProof/>
            </w:rPr>
            <w:t>(Coordinadora Ecuatoriana de Comercio Justo, 2015)</w:t>
          </w:r>
          <w:r>
            <w:fldChar w:fldCharType="end"/>
          </w:r>
        </w:sdtContent>
      </w:sdt>
      <w:r>
        <w:t xml:space="preserve">. </w:t>
      </w:r>
    </w:p>
    <w:p w14:paraId="47B07AB3" w14:textId="77777777" w:rsidR="0081602C" w:rsidRDefault="00605542" w:rsidP="00750F71">
      <w:pPr>
        <w:contextualSpacing/>
      </w:pPr>
      <w:r>
        <w:t>Ambos autores coinciden en que el Comercio Justo no es más que la cooperación entre productores y consumidores para hacer de la relac</w:t>
      </w:r>
      <w:r w:rsidR="007C5391">
        <w:t xml:space="preserve">ión comercial un acto más beneficioso </w:t>
      </w:r>
      <w:r>
        <w:t xml:space="preserve">y equitativo, que garantice la mejora de las condiciones de vida de todos aquellos que intervienen en la cadena productiva. </w:t>
      </w:r>
    </w:p>
    <w:p w14:paraId="5860115F" w14:textId="77777777" w:rsidR="00846E72" w:rsidRDefault="00846E72" w:rsidP="00750F71">
      <w:pPr>
        <w:pStyle w:val="Ttulo3"/>
        <w:numPr>
          <w:ilvl w:val="1"/>
          <w:numId w:val="11"/>
        </w:numPr>
        <w:spacing w:before="0" w:after="200"/>
        <w:ind w:left="431" w:hanging="431"/>
        <w:contextualSpacing/>
      </w:pPr>
      <w:bookmarkStart w:id="22" w:name="_Toc446973147"/>
      <w:r>
        <w:t>Estados Financieros</w:t>
      </w:r>
      <w:bookmarkEnd w:id="22"/>
    </w:p>
    <w:p w14:paraId="78875C60" w14:textId="77777777" w:rsidR="00846E72" w:rsidRDefault="00846E72" w:rsidP="00750F71">
      <w:pPr>
        <w:contextualSpacing/>
      </w:pPr>
      <w:r>
        <w:t xml:space="preserve">Los Estados Financieros tienen como fin “estandarizar la información económico-financiera de una empresa de manera tal que cualquier persona pueda comprender la información que en ellos se ve reflejada” </w:t>
      </w:r>
      <w:sdt>
        <w:sdtPr>
          <w:id w:val="-598028922"/>
          <w:citation/>
        </w:sdtPr>
        <w:sdtEndPr/>
        <w:sdtContent>
          <w:r w:rsidR="005725AB">
            <w:fldChar w:fldCharType="begin"/>
          </w:r>
          <w:r w:rsidR="005725AB">
            <w:instrText xml:space="preserve">CITATION Tan05 \p 101-102 \t  \l 12298 </w:instrText>
          </w:r>
          <w:r w:rsidR="005725AB">
            <w:fldChar w:fldCharType="separate"/>
          </w:r>
          <w:r w:rsidR="00BC1846">
            <w:rPr>
              <w:noProof/>
            </w:rPr>
            <w:t>(Tanaka Nakasone, 2005, págs. 101-102)</w:t>
          </w:r>
          <w:r w:rsidR="005725AB">
            <w:fldChar w:fldCharType="end"/>
          </w:r>
        </w:sdtContent>
      </w:sdt>
      <w:r>
        <w:t xml:space="preserve">. El autor también afirma que en estos documentos se puede obtener información para toma de decisiones no sólo de aspectos históricos sino también futuros. </w:t>
      </w:r>
    </w:p>
    <w:p w14:paraId="7BEFBA2B" w14:textId="77777777" w:rsidR="00881910" w:rsidRDefault="00881910" w:rsidP="00750F71">
      <w:pPr>
        <w:contextualSpacing/>
      </w:pPr>
      <w:r>
        <w:t xml:space="preserve">Según un documento publicado por la Universidad San Nicolás de Hidalgo </w:t>
      </w:r>
      <w:sdt>
        <w:sdtPr>
          <w:id w:val="-789892679"/>
          <w:citation/>
        </w:sdtPr>
        <w:sdtEndPr/>
        <w:sdtContent>
          <w:r w:rsidR="005725AB">
            <w:fldChar w:fldCharType="begin"/>
          </w:r>
          <w:r w:rsidR="005725AB">
            <w:instrText xml:space="preserve">CITATION Uni09 \p 88 \n  \t  \l 12298 </w:instrText>
          </w:r>
          <w:r w:rsidR="005725AB">
            <w:fldChar w:fldCharType="separate"/>
          </w:r>
          <w:r w:rsidR="00BC1846">
            <w:rPr>
              <w:noProof/>
            </w:rPr>
            <w:t>(2009, pág. 88)</w:t>
          </w:r>
          <w:r w:rsidR="005725AB">
            <w:fldChar w:fldCharType="end"/>
          </w:r>
        </w:sdtContent>
      </w:sdt>
      <w:r>
        <w:t>, se definen los Estados Financieros como “documentos que muestran, cuantitativamente, ya sea total o parcialmente, el origen y la aplicación de los recursos empleados para realizar un negocio o cumplir determinado objetivo, el resultado obtenido en la empresa, su desarrollo y la situación financiera que guarda el negocio”.</w:t>
      </w:r>
    </w:p>
    <w:p w14:paraId="36C60805" w14:textId="77777777" w:rsidR="00881910" w:rsidRPr="002E424A" w:rsidRDefault="00881910" w:rsidP="00750F71">
      <w:pPr>
        <w:contextualSpacing/>
        <w:rPr>
          <w:u w:val="single"/>
        </w:rPr>
      </w:pPr>
      <w:r>
        <w:t xml:space="preserve">Consolidando la opinión de los dos autores, los estados financieros son informes que muestran diversos datos de la situación financiera de una compañía, resultados de las decisiones tomadas en un período de tiempo y que sirven como base para nuevas decisiones de las partes interesadas. </w:t>
      </w:r>
    </w:p>
    <w:p w14:paraId="662E8028" w14:textId="77777777" w:rsidR="00846E72" w:rsidRPr="00E45EFB" w:rsidRDefault="00846E72" w:rsidP="00750F71">
      <w:pPr>
        <w:pStyle w:val="Ttulo4"/>
        <w:numPr>
          <w:ilvl w:val="2"/>
          <w:numId w:val="11"/>
        </w:numPr>
        <w:spacing w:before="0" w:after="200"/>
        <w:ind w:left="505" w:hanging="505"/>
        <w:contextualSpacing/>
        <w:rPr>
          <w:i w:val="0"/>
        </w:rPr>
      </w:pPr>
      <w:r w:rsidRPr="00E45EFB">
        <w:rPr>
          <w:i w:val="0"/>
        </w:rPr>
        <w:t>Balance General</w:t>
      </w:r>
    </w:p>
    <w:p w14:paraId="20F75E4B" w14:textId="77777777" w:rsidR="00846E72" w:rsidRDefault="00F60349" w:rsidP="00750F71">
      <w:pPr>
        <w:contextualSpacing/>
      </w:pPr>
      <w:r>
        <w:t xml:space="preserve">Horngren </w:t>
      </w:r>
      <w:sdt>
        <w:sdtPr>
          <w:id w:val="1936092676"/>
          <w:citation/>
        </w:sdtPr>
        <w:sdtEndPr/>
        <w:sdtContent>
          <w:r>
            <w:fldChar w:fldCharType="begin"/>
          </w:r>
          <w:r>
            <w:instrText xml:space="preserve">CITATION Hor00 \n  \t  \l 12298 </w:instrText>
          </w:r>
          <w:r>
            <w:fldChar w:fldCharType="separate"/>
          </w:r>
          <w:r w:rsidR="00BC1846">
            <w:rPr>
              <w:noProof/>
            </w:rPr>
            <w:t>(2000)</w:t>
          </w:r>
          <w:r>
            <w:fldChar w:fldCharType="end"/>
          </w:r>
        </w:sdtContent>
      </w:sdt>
      <w:r>
        <w:t xml:space="preserve"> afirma que el Balance General </w:t>
      </w:r>
      <w:r w:rsidR="00BB5B69">
        <w:t xml:space="preserve">muestra la situación financiera de una compañía en un momento determinado. El mismo contiene dos secciones que se equilibran: en el lado </w:t>
      </w:r>
      <w:r w:rsidR="00BB5B69">
        <w:lastRenderedPageBreak/>
        <w:t xml:space="preserve">izquierdo se encuentran los activos que es todo cuanto posee la empresa para llevar a cabo sus operaciones; en el lado derecho se encuentra el pasivo y el capital contable que corresponden a las fuentes de los recursos que se han empleado para conseguir los activos. </w:t>
      </w:r>
    </w:p>
    <w:p w14:paraId="4CE91BF7" w14:textId="77777777" w:rsidR="00BB5B69" w:rsidRDefault="007C5391" w:rsidP="00750F71">
      <w:pPr>
        <w:contextualSpacing/>
      </w:pPr>
      <w:r>
        <w:t>Establece</w:t>
      </w:r>
      <w:r w:rsidR="00BB5B69">
        <w:t xml:space="preserve"> que la ecuación contable es </w:t>
      </w:r>
      <w:sdt>
        <w:sdtPr>
          <w:id w:val="1201056171"/>
          <w:citation/>
        </w:sdtPr>
        <w:sdtEndPr/>
        <w:sdtContent>
          <w:r w:rsidR="00BB5B69">
            <w:fldChar w:fldCharType="begin"/>
          </w:r>
          <w:r w:rsidR="00BB5B69">
            <w:instrText xml:space="preserve"> CITATION Hor00 \l 12298 </w:instrText>
          </w:r>
          <w:r w:rsidR="00BB5B69">
            <w:fldChar w:fldCharType="separate"/>
          </w:r>
          <w:r w:rsidR="00BC1846">
            <w:rPr>
              <w:noProof/>
            </w:rPr>
            <w:t>(Horngren, 2000)</w:t>
          </w:r>
          <w:r w:rsidR="00BB5B69">
            <w:fldChar w:fldCharType="end"/>
          </w:r>
        </w:sdtContent>
      </w:sdt>
      <w:r w:rsidR="00BB5B69">
        <w:t>:</w:t>
      </w:r>
    </w:p>
    <w:p w14:paraId="070C2DE6" w14:textId="3B35AB15" w:rsidR="008A3A71" w:rsidRPr="008A3A71" w:rsidRDefault="008A3A71" w:rsidP="00750F71">
      <w:pPr>
        <w:contextualSpacing/>
        <w:jc w:val="center"/>
        <w:rPr>
          <w:rFonts w:eastAsiaTheme="minorEastAsia"/>
          <w:iCs/>
        </w:rPr>
      </w:pPr>
      <w:r>
        <w:rPr>
          <w:rFonts w:eastAsiaTheme="minorEastAsia"/>
          <w:iCs/>
        </w:rPr>
        <w:t>Activos = Pasivo + Capital Contable</w:t>
      </w:r>
    </w:p>
    <w:p w14:paraId="06E5ED7A" w14:textId="77777777" w:rsidR="008E512F" w:rsidRPr="00846E72" w:rsidRDefault="008E512F" w:rsidP="00750F71">
      <w:pPr>
        <w:contextualSpacing/>
      </w:pPr>
      <w:r>
        <w:rPr>
          <w:rFonts w:eastAsiaTheme="minorEastAsia"/>
        </w:rPr>
        <w:t>Radica en ese análisis la utilidad e importancia de la elaboración y presentación de este Estado Financiero de manera que se tenga una visi</w:t>
      </w:r>
      <w:r w:rsidR="00713933">
        <w:rPr>
          <w:rFonts w:eastAsiaTheme="minorEastAsia"/>
        </w:rPr>
        <w:t xml:space="preserve">ón para inversionistas y aquellos que toman decisiones. </w:t>
      </w:r>
    </w:p>
    <w:p w14:paraId="3DD42368" w14:textId="77777777" w:rsidR="00846E72" w:rsidRPr="00E45EFB" w:rsidRDefault="00846E72" w:rsidP="00750F71">
      <w:pPr>
        <w:pStyle w:val="Ttulo4"/>
        <w:numPr>
          <w:ilvl w:val="2"/>
          <w:numId w:val="11"/>
        </w:numPr>
        <w:spacing w:before="0" w:after="200"/>
        <w:ind w:left="505" w:hanging="505"/>
        <w:contextualSpacing/>
        <w:rPr>
          <w:i w:val="0"/>
        </w:rPr>
      </w:pPr>
      <w:r w:rsidRPr="00E45EFB">
        <w:rPr>
          <w:i w:val="0"/>
        </w:rPr>
        <w:t>Estado de Pérdidas y Ganancias</w:t>
      </w:r>
    </w:p>
    <w:p w14:paraId="0E5F2E91" w14:textId="0B20825A" w:rsidR="00A74875" w:rsidRDefault="00A74875" w:rsidP="00750F71">
      <w:pPr>
        <w:contextualSpacing/>
      </w:pPr>
      <w:r>
        <w:t xml:space="preserve">También </w:t>
      </w:r>
      <w:r w:rsidR="00F61885">
        <w:t>conocido como Estado de Resulta</w:t>
      </w:r>
      <w:r>
        <w:t xml:space="preserve">dos, es definido por Horngren </w:t>
      </w:r>
      <w:r>
        <w:rPr>
          <w:noProof/>
        </w:rPr>
        <w:t>(2000: 50)</w:t>
      </w:r>
      <w:r>
        <w:t xml:space="preserve"> como “un informe de todos los ingresos y gastos correspondientes a un período en particular”. Se obtiene como resultado final la Utilidad</w:t>
      </w:r>
      <w:r w:rsidR="008907AD">
        <w:t xml:space="preserve"> o Pérdida</w:t>
      </w:r>
      <w:r>
        <w:t xml:space="preserve"> Neta. </w:t>
      </w:r>
    </w:p>
    <w:p w14:paraId="748A25B9" w14:textId="77777777" w:rsidR="005F481C" w:rsidRPr="00A74875" w:rsidRDefault="005F481C" w:rsidP="00750F71">
      <w:pPr>
        <w:contextualSpacing/>
      </w:pPr>
      <w:r>
        <w:t xml:space="preserve">Este informe permite evaluar, a partir de la dinámica de ingresos menos costos y gastos, los resultados finales de una compañía a consecuencia del manejo generado en un periodo de tiempo determinado. </w:t>
      </w:r>
      <w:r w:rsidR="002E424A">
        <w:t xml:space="preserve">Permite además a los inversionistas conocer el rendimiento de su dinero siendo una herramienta de decisión para todas las partes interesadas. </w:t>
      </w:r>
    </w:p>
    <w:p w14:paraId="72D61B1F" w14:textId="77777777" w:rsidR="00431918" w:rsidRDefault="00431918" w:rsidP="00750F71">
      <w:pPr>
        <w:pStyle w:val="Ttulo3"/>
        <w:numPr>
          <w:ilvl w:val="1"/>
          <w:numId w:val="11"/>
        </w:numPr>
        <w:spacing w:before="0" w:after="200"/>
        <w:ind w:left="431" w:hanging="431"/>
        <w:contextualSpacing/>
      </w:pPr>
      <w:bookmarkStart w:id="23" w:name="_Toc446973148"/>
      <w:r>
        <w:t xml:space="preserve">Análisis </w:t>
      </w:r>
      <w:r w:rsidR="005725AB">
        <w:t>DUPONT</w:t>
      </w:r>
      <w:bookmarkEnd w:id="23"/>
    </w:p>
    <w:p w14:paraId="1ADB6A47" w14:textId="77777777" w:rsidR="003A1924" w:rsidRDefault="00717C93" w:rsidP="00750F71">
      <w:pPr>
        <w:contextualSpacing/>
      </w:pPr>
      <w:r>
        <w:t xml:space="preserve">El sistema de análisis Dupont se utiliza para evaluar de forma detallada la situación financiera de una empresa. Realiza una combinación del Estado de Resultados y el Balance General a través de dos medidas de rentabilidad puntuales: Rendimiento sobre activos y Rendimiento sobre capital </w:t>
      </w:r>
      <w:sdt>
        <w:sdtPr>
          <w:id w:val="-735544033"/>
          <w:citation/>
        </w:sdtPr>
        <w:sdtEndPr/>
        <w:sdtContent>
          <w:r>
            <w:fldChar w:fldCharType="begin"/>
          </w:r>
          <w:r>
            <w:instrText xml:space="preserve"> CITATION Git03 \l 12298 </w:instrText>
          </w:r>
          <w:r>
            <w:fldChar w:fldCharType="separate"/>
          </w:r>
          <w:r w:rsidR="00BC1846">
            <w:rPr>
              <w:noProof/>
            </w:rPr>
            <w:t>(Gitman, 2003)</w:t>
          </w:r>
          <w:r>
            <w:fldChar w:fldCharType="end"/>
          </w:r>
        </w:sdtContent>
      </w:sdt>
      <w:r>
        <w:t>.</w:t>
      </w:r>
    </w:p>
    <w:p w14:paraId="6E88DC90" w14:textId="77777777" w:rsidR="00717C93" w:rsidRDefault="00717C93" w:rsidP="00750F71">
      <w:pPr>
        <w:contextualSpacing/>
      </w:pPr>
      <w:r>
        <w:t xml:space="preserve">La fórmula para la realización de este análisis es la siguiente </w:t>
      </w:r>
      <w:sdt>
        <w:sdtPr>
          <w:id w:val="1151878892"/>
          <w:citation/>
        </w:sdtPr>
        <w:sdtEndPr/>
        <w:sdtContent>
          <w:r>
            <w:fldChar w:fldCharType="begin"/>
          </w:r>
          <w:r>
            <w:instrText xml:space="preserve"> CITATION Lir13 \l 12298 </w:instrText>
          </w:r>
          <w:r>
            <w:fldChar w:fldCharType="separate"/>
          </w:r>
          <w:r w:rsidR="00BC1846">
            <w:rPr>
              <w:noProof/>
            </w:rPr>
            <w:t>(Lira Briceño, 2013)</w:t>
          </w:r>
          <w:r>
            <w:fldChar w:fldCharType="end"/>
          </w:r>
        </w:sdtContent>
      </w:sdt>
      <w:r>
        <w:t>:</w:t>
      </w:r>
    </w:p>
    <w:p w14:paraId="4BA53201" w14:textId="77777777" w:rsidR="00750F71" w:rsidRDefault="00750F71" w:rsidP="00750F71">
      <w:pPr>
        <w:contextualSpacing/>
      </w:pPr>
    </w:p>
    <w:p w14:paraId="1382780D" w14:textId="3653C33B" w:rsidR="00717C93" w:rsidRPr="00BA66D9" w:rsidRDefault="00B828B8" w:rsidP="008A3A71">
      <w:pPr>
        <w:rPr>
          <w:rFonts w:eastAsiaTheme="minorEastAsia"/>
        </w:rPr>
      </w:pPr>
      <m:oMathPara>
        <m:oMath>
          <m:f>
            <m:fPr>
              <m:ctrlPr>
                <w:rPr>
                  <w:rFonts w:ascii="Cambria Math" w:hAnsi="Cambria Math"/>
                  <w:i/>
                </w:rPr>
              </m:ctrlPr>
            </m:fPr>
            <m:num>
              <m:r>
                <m:rPr>
                  <m:nor/>
                </m:rPr>
                <m:t>Utilidad Neta</m:t>
              </m:r>
            </m:num>
            <m:den>
              <m:r>
                <m:rPr>
                  <m:nor/>
                </m:rPr>
                <m:t>Ventas</m:t>
              </m:r>
            </m:den>
          </m:f>
          <m:r>
            <m:rPr>
              <m:nor/>
            </m:rPr>
            <m:t xml:space="preserve"> x </m:t>
          </m:r>
          <m:f>
            <m:fPr>
              <m:ctrlPr>
                <w:rPr>
                  <w:rFonts w:ascii="Cambria Math" w:hAnsi="Cambria Math"/>
                  <w:i/>
                </w:rPr>
              </m:ctrlPr>
            </m:fPr>
            <m:num>
              <m:r>
                <m:rPr>
                  <m:nor/>
                </m:rPr>
                <m:t>Ventas</m:t>
              </m:r>
            </m:num>
            <m:den>
              <m:r>
                <m:rPr>
                  <m:nor/>
                </m:rPr>
                <m:t>Activos</m:t>
              </m:r>
            </m:den>
          </m:f>
          <m:r>
            <m:rPr>
              <m:nor/>
            </m:rPr>
            <m:t xml:space="preserve"> x </m:t>
          </m:r>
          <m:f>
            <m:fPr>
              <m:ctrlPr>
                <w:rPr>
                  <w:rFonts w:ascii="Cambria Math" w:hAnsi="Cambria Math"/>
                  <w:i/>
                </w:rPr>
              </m:ctrlPr>
            </m:fPr>
            <m:num>
              <m:r>
                <m:rPr>
                  <m:nor/>
                </m:rPr>
                <m:t>Activos</m:t>
              </m:r>
            </m:num>
            <m:den>
              <m:r>
                <m:rPr>
                  <m:nor/>
                </m:rPr>
                <m:t>Patrimonio</m:t>
              </m:r>
            </m:den>
          </m:f>
        </m:oMath>
      </m:oMathPara>
    </w:p>
    <w:p w14:paraId="0F444864" w14:textId="77777777" w:rsidR="00BA66D9" w:rsidRDefault="00BA66D9" w:rsidP="00750F71">
      <w:pPr>
        <w:contextualSpacing/>
        <w:rPr>
          <w:rFonts w:eastAsiaTheme="minorEastAsia"/>
        </w:rPr>
      </w:pPr>
      <w:r>
        <w:rPr>
          <w:rFonts w:eastAsiaTheme="minorEastAsia"/>
        </w:rPr>
        <w:t xml:space="preserve">En donde el primer componente de la fórmula corresponde a la eficiencia operativa de la empresa analizada; el segundo, a la eficiencia del uso de los activos disponibles; y el tercero, al apalancamiento que dispone </w:t>
      </w:r>
      <w:sdt>
        <w:sdtPr>
          <w:id w:val="-403368846"/>
          <w:citation/>
        </w:sdtPr>
        <w:sdtEndPr/>
        <w:sdtContent>
          <w:r>
            <w:fldChar w:fldCharType="begin"/>
          </w:r>
          <w:r>
            <w:instrText xml:space="preserve"> CITATION Lir13 \l 12298 </w:instrText>
          </w:r>
          <w:r>
            <w:fldChar w:fldCharType="separate"/>
          </w:r>
          <w:r w:rsidR="00BC1846">
            <w:rPr>
              <w:noProof/>
            </w:rPr>
            <w:t>(Lira Briceño, 2013)</w:t>
          </w:r>
          <w:r>
            <w:fldChar w:fldCharType="end"/>
          </w:r>
        </w:sdtContent>
      </w:sdt>
      <w:r>
        <w:rPr>
          <w:rFonts w:eastAsiaTheme="minorEastAsia"/>
        </w:rPr>
        <w:t>.</w:t>
      </w:r>
    </w:p>
    <w:p w14:paraId="4999EA9C" w14:textId="77777777" w:rsidR="00F365AD" w:rsidRDefault="00F365AD" w:rsidP="00750F71">
      <w:pPr>
        <w:pStyle w:val="Ttulo3"/>
        <w:numPr>
          <w:ilvl w:val="1"/>
          <w:numId w:val="11"/>
        </w:numPr>
        <w:spacing w:before="0" w:after="200"/>
        <w:ind w:left="431" w:hanging="431"/>
        <w:contextualSpacing/>
      </w:pPr>
      <w:bookmarkStart w:id="24" w:name="_Toc446973149"/>
      <w:r>
        <w:lastRenderedPageBreak/>
        <w:t>Quinua</w:t>
      </w:r>
      <w:bookmarkEnd w:id="24"/>
    </w:p>
    <w:p w14:paraId="30CA4B0C" w14:textId="77777777" w:rsidR="00F365AD" w:rsidRPr="00E45EFB" w:rsidRDefault="00F365AD" w:rsidP="00750F71">
      <w:pPr>
        <w:pStyle w:val="Ttulo4"/>
        <w:numPr>
          <w:ilvl w:val="2"/>
          <w:numId w:val="11"/>
        </w:numPr>
        <w:spacing w:before="0" w:after="200"/>
        <w:ind w:left="505" w:hanging="505"/>
        <w:contextualSpacing/>
        <w:rPr>
          <w:i w:val="0"/>
        </w:rPr>
      </w:pPr>
      <w:r w:rsidRPr="00E45EFB">
        <w:rPr>
          <w:i w:val="0"/>
        </w:rPr>
        <w:t>Generalidades</w:t>
      </w:r>
    </w:p>
    <w:p w14:paraId="5BADE62C" w14:textId="77777777" w:rsidR="00F365AD" w:rsidRDefault="00F365AD" w:rsidP="00750F71">
      <w:pPr>
        <w:contextualSpacing/>
      </w:pPr>
      <w:r>
        <w:t xml:space="preserve">La Quinua, cuyo nombre científico es Chenopodium quinoa Willd, fue descrita por primera vez por Wildenow en 1778, considerándola como una especie nativa de Sudamérica. En un estudio publicado por la FAO </w:t>
      </w:r>
      <w:sdt>
        <w:sdtPr>
          <w:id w:val="1751379535"/>
          <w:citation/>
        </w:sdtPr>
        <w:sdtEndPr/>
        <w:sdtContent>
          <w:r>
            <w:fldChar w:fldCharType="begin"/>
          </w:r>
          <w:r>
            <w:instrText xml:space="preserve">CITATION FAO11 \n  \t  \l 12298 </w:instrText>
          </w:r>
          <w:r>
            <w:fldChar w:fldCharType="separate"/>
          </w:r>
          <w:r w:rsidR="00BC1846">
            <w:rPr>
              <w:noProof/>
            </w:rPr>
            <w:t>(2011)</w:t>
          </w:r>
          <w:r>
            <w:fldChar w:fldCharType="end"/>
          </w:r>
        </w:sdtContent>
      </w:sdt>
      <w:r>
        <w:t xml:space="preserve"> se localiza su origen en los Andes de Bolivia y Ecuador. Además el estudio, para este producto</w:t>
      </w:r>
      <w:r w:rsidR="00BB00C8">
        <w:t>,</w:t>
      </w:r>
      <w:r>
        <w:t xml:space="preserve"> identifica cuatro grandes grupos que responden a las condiciones agroecológicas donde se desarrollan: valles interandinos, altiplanos, salares y a nivel del mar. Cada grupo presenta características botánicas, agronómicas y de adaptación diferente.</w:t>
      </w:r>
    </w:p>
    <w:p w14:paraId="39640585" w14:textId="77777777" w:rsidR="00F365AD" w:rsidRDefault="00F365AD" w:rsidP="00750F71">
      <w:pPr>
        <w:contextualSpacing/>
      </w:pPr>
      <w:r>
        <w:t xml:space="preserve">La quinua fue un cultivo aprovechado en la región Andina por culturas precolombinas y sus granos han formado parte de la dieta de los pobladores tanto de valles interandinos, zonas más altas, frías y áridas, como en el altiplano </w:t>
      </w:r>
      <w:sdt>
        <w:sdtPr>
          <w:id w:val="-516854537"/>
          <w:citation/>
        </w:sdtPr>
        <w:sdtEndPr/>
        <w:sdtContent>
          <w:r>
            <w:fldChar w:fldCharType="begin"/>
          </w:r>
          <w:r>
            <w:instrText xml:space="preserve">CITATION FAO11 \l 12298 </w:instrText>
          </w:r>
          <w:r>
            <w:fldChar w:fldCharType="separate"/>
          </w:r>
          <w:r w:rsidR="00BC1846">
            <w:rPr>
              <w:noProof/>
            </w:rPr>
            <w:t>(Food and Agriculture Organization of the United Nations, 2011)</w:t>
          </w:r>
          <w:r>
            <w:fldChar w:fldCharType="end"/>
          </w:r>
        </w:sdtContent>
      </w:sdt>
      <w:r>
        <w:t xml:space="preserve">. No fue sino hasta la década de los 80, cuando una crisis económica severa afectó a los países del callejón interandino, que se impulsaron las exportaciones de productos considerados no tradicionales entre los que figuraba la quinua. Desde entonces, en mayor o menor medida en cada uno de estos países, se ha mantenido dentro de la oferta al exterior abarcando cada vez mayor mercado en Estados Unidos y Europa. </w:t>
      </w:r>
    </w:p>
    <w:p w14:paraId="4D34897F" w14:textId="77777777" w:rsidR="00F365AD" w:rsidRDefault="00F365AD" w:rsidP="00750F71">
      <w:pPr>
        <w:contextualSpacing/>
      </w:pPr>
      <w:r>
        <w:t xml:space="preserve">Rojas, Pinto y Soto </w:t>
      </w:r>
      <w:sdt>
        <w:sdtPr>
          <w:id w:val="-1028246959"/>
          <w:citation/>
        </w:sdtPr>
        <w:sdtEndPr/>
        <w:sdtContent>
          <w:r>
            <w:fldChar w:fldCharType="begin"/>
          </w:r>
          <w:r>
            <w:instrText xml:space="preserve">CITATION Roj10 \n  \t  \l 12298 </w:instrText>
          </w:r>
          <w:r>
            <w:fldChar w:fldCharType="separate"/>
          </w:r>
          <w:r w:rsidR="00BC1846">
            <w:rPr>
              <w:noProof/>
            </w:rPr>
            <w:t>(2010)</w:t>
          </w:r>
          <w:r>
            <w:fldChar w:fldCharType="end"/>
          </w:r>
        </w:sdtContent>
      </w:sdt>
      <w:r>
        <w:t xml:space="preserve"> distribuyen la quinua de acuerdo a sus países y zonas tradicionales donde se produce:</w:t>
      </w:r>
    </w:p>
    <w:p w14:paraId="738BA03B" w14:textId="77777777" w:rsidR="00F365AD" w:rsidRDefault="00F365AD" w:rsidP="00750F71">
      <w:pPr>
        <w:ind w:left="709"/>
        <w:contextualSpacing/>
      </w:pPr>
      <w:r>
        <w:t>En Colombia en el departamento de Nariño, en las localidades de Ipiales, Puesres, Contadero, Córdova, San Juan, Mocondino y Pasto.</w:t>
      </w:r>
    </w:p>
    <w:p w14:paraId="4E8EE222" w14:textId="77777777" w:rsidR="00F365AD" w:rsidRDefault="00BB00C8" w:rsidP="00750F71">
      <w:pPr>
        <w:ind w:left="709"/>
        <w:contextualSpacing/>
      </w:pPr>
      <w:r>
        <w:t>En Ecuador en las provincias</w:t>
      </w:r>
      <w:r w:rsidR="00F365AD">
        <w:t xml:space="preserve"> de Carchi, Imbabura, Pichincha, Cotopaxi, Chimborazo</w:t>
      </w:r>
      <w:r w:rsidR="0075011C">
        <w:t xml:space="preserve"> y</w:t>
      </w:r>
      <w:r w:rsidR="00F365AD">
        <w:t xml:space="preserve"> Loja</w:t>
      </w:r>
      <w:r w:rsidR="0075011C">
        <w:t>.</w:t>
      </w:r>
    </w:p>
    <w:p w14:paraId="5A85FF00" w14:textId="77777777" w:rsidR="00F365AD" w:rsidRDefault="00F365AD" w:rsidP="00750F71">
      <w:pPr>
        <w:ind w:left="709"/>
        <w:contextualSpacing/>
      </w:pPr>
      <w:r>
        <w:t xml:space="preserve">En Perú se destacan las zonas de Cajamarca, Callejón de Huayllas, Valle del Mantaro, Andahuayllas, Cusco y Puno (altiplano). </w:t>
      </w:r>
    </w:p>
    <w:p w14:paraId="61949C3B" w14:textId="77777777" w:rsidR="00F365AD" w:rsidRDefault="00F365AD" w:rsidP="00750F71">
      <w:pPr>
        <w:ind w:left="709"/>
        <w:contextualSpacing/>
      </w:pPr>
      <w:r>
        <w:t xml:space="preserve">En Bolivia en el altiplano de La Paz, Oruro y Potosí y en los valles interandinos de Cochabamba, Chuquisaca, Potosí y Tarija. </w:t>
      </w:r>
    </w:p>
    <w:p w14:paraId="1D3A7F98" w14:textId="77777777" w:rsidR="00F365AD" w:rsidRDefault="00F365AD" w:rsidP="00750F71">
      <w:pPr>
        <w:ind w:left="709"/>
        <w:contextualSpacing/>
      </w:pPr>
      <w:r>
        <w:t xml:space="preserve">En Chile en el altiplano Chileno (Isluga e Iquique) y Concepción. </w:t>
      </w:r>
    </w:p>
    <w:p w14:paraId="683D9CDE" w14:textId="77777777" w:rsidR="00F365AD" w:rsidRDefault="00F365AD" w:rsidP="00750F71">
      <w:pPr>
        <w:ind w:left="709"/>
        <w:contextualSpacing/>
      </w:pPr>
      <w:r>
        <w:t xml:space="preserve">En Argentina se cultiva en forma aislada en Jujuy y Salta.  </w:t>
      </w:r>
    </w:p>
    <w:p w14:paraId="1EB7E8C3" w14:textId="77777777" w:rsidR="00F365AD" w:rsidRPr="00E45EFB" w:rsidRDefault="00F365AD" w:rsidP="00750F71">
      <w:pPr>
        <w:pStyle w:val="Ttulo4"/>
        <w:numPr>
          <w:ilvl w:val="2"/>
          <w:numId w:val="11"/>
        </w:numPr>
        <w:spacing w:before="0" w:after="200"/>
        <w:ind w:left="505" w:hanging="505"/>
        <w:contextualSpacing/>
        <w:rPr>
          <w:i w:val="0"/>
        </w:rPr>
      </w:pPr>
      <w:r w:rsidRPr="00E45EFB">
        <w:rPr>
          <w:i w:val="0"/>
        </w:rPr>
        <w:lastRenderedPageBreak/>
        <w:t>Valor nutricional</w:t>
      </w:r>
    </w:p>
    <w:p w14:paraId="10693AD6" w14:textId="77777777" w:rsidR="00F365AD" w:rsidRDefault="00F365AD" w:rsidP="00750F71">
      <w:pPr>
        <w:contextualSpacing/>
      </w:pPr>
      <w:r>
        <w:t>Nutricionalmente, la quinua tiene un alto contenido energético, mayor que otros consumidos normalmente a excepción del maíz, como se puede recoger en el cuadro a continuación:</w:t>
      </w:r>
    </w:p>
    <w:p w14:paraId="3002EDD9" w14:textId="77777777" w:rsidR="00F365AD" w:rsidRPr="00E45EFB" w:rsidRDefault="00F365AD" w:rsidP="00F365AD">
      <w:pPr>
        <w:pStyle w:val="Descripcin"/>
        <w:keepNext/>
        <w:jc w:val="center"/>
        <w:rPr>
          <w:b/>
          <w:i w:val="0"/>
          <w:color w:val="auto"/>
          <w:sz w:val="24"/>
          <w:szCs w:val="24"/>
        </w:rPr>
      </w:pPr>
      <w:bookmarkStart w:id="25" w:name="_Toc446973199"/>
      <w:r w:rsidRPr="00E45EFB">
        <w:rPr>
          <w:b/>
          <w:i w:val="0"/>
          <w:color w:val="auto"/>
          <w:sz w:val="24"/>
          <w:szCs w:val="24"/>
        </w:rPr>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1</w:t>
      </w:r>
      <w:r w:rsidRPr="00E45EFB">
        <w:rPr>
          <w:b/>
          <w:i w:val="0"/>
          <w:color w:val="auto"/>
          <w:sz w:val="24"/>
          <w:szCs w:val="24"/>
        </w:rPr>
        <w:fldChar w:fldCharType="end"/>
      </w:r>
      <w:r w:rsidRPr="00E45EFB">
        <w:rPr>
          <w:b/>
          <w:i w:val="0"/>
          <w:color w:val="auto"/>
          <w:sz w:val="24"/>
          <w:szCs w:val="24"/>
        </w:rPr>
        <w:t>: Contenido de macronutrientes de la quinua y en alimentos seleccionados, por cada 100g de peso en seco</w:t>
      </w:r>
      <w:bookmarkEnd w:id="25"/>
    </w:p>
    <w:tbl>
      <w:tblPr>
        <w:tblW w:w="8200" w:type="dxa"/>
        <w:jc w:val="center"/>
        <w:tblCellMar>
          <w:left w:w="70" w:type="dxa"/>
          <w:right w:w="70" w:type="dxa"/>
        </w:tblCellMar>
        <w:tblLook w:val="04A0" w:firstRow="1" w:lastRow="0" w:firstColumn="1" w:lastColumn="0" w:noHBand="0" w:noVBand="1"/>
      </w:tblPr>
      <w:tblGrid>
        <w:gridCol w:w="2395"/>
        <w:gridCol w:w="1005"/>
        <w:gridCol w:w="1200"/>
        <w:gridCol w:w="1200"/>
        <w:gridCol w:w="1200"/>
        <w:gridCol w:w="1200"/>
      </w:tblGrid>
      <w:tr w:rsidR="00F365AD" w:rsidRPr="00BC0D3D" w14:paraId="51B4F325" w14:textId="77777777" w:rsidTr="007C5391">
        <w:trPr>
          <w:trHeight w:val="300"/>
          <w:jc w:val="center"/>
        </w:trPr>
        <w:tc>
          <w:tcPr>
            <w:tcW w:w="2395" w:type="dxa"/>
            <w:tcBorders>
              <w:top w:val="single" w:sz="12" w:space="0" w:color="auto"/>
              <w:bottom w:val="single" w:sz="12" w:space="0" w:color="auto"/>
            </w:tcBorders>
            <w:shd w:val="clear" w:color="auto" w:fill="auto"/>
            <w:noWrap/>
            <w:vAlign w:val="center"/>
            <w:hideMark/>
          </w:tcPr>
          <w:p w14:paraId="7B6B69F5" w14:textId="77777777" w:rsidR="00F365AD" w:rsidRPr="00BC0D3D" w:rsidRDefault="00F365AD" w:rsidP="00826A31">
            <w:pPr>
              <w:spacing w:after="0" w:line="240" w:lineRule="auto"/>
              <w:jc w:val="center"/>
              <w:rPr>
                <w:rFonts w:eastAsia="Times New Roman"/>
                <w:color w:val="000000"/>
                <w:szCs w:val="24"/>
                <w:lang w:eastAsia="es-EC"/>
              </w:rPr>
            </w:pPr>
          </w:p>
        </w:tc>
        <w:tc>
          <w:tcPr>
            <w:tcW w:w="1005" w:type="dxa"/>
            <w:tcBorders>
              <w:top w:val="single" w:sz="12" w:space="0" w:color="auto"/>
              <w:bottom w:val="single" w:sz="12" w:space="0" w:color="auto"/>
            </w:tcBorders>
            <w:shd w:val="clear" w:color="auto" w:fill="auto"/>
            <w:noWrap/>
            <w:vAlign w:val="center"/>
            <w:hideMark/>
          </w:tcPr>
          <w:p w14:paraId="62CCCAD2" w14:textId="77777777" w:rsidR="00F365AD" w:rsidRPr="00BC0D3D" w:rsidRDefault="00F365AD" w:rsidP="00826A31">
            <w:pPr>
              <w:spacing w:after="0" w:line="240" w:lineRule="auto"/>
              <w:jc w:val="center"/>
              <w:rPr>
                <w:rFonts w:eastAsia="Times New Roman"/>
                <w:b/>
                <w:bCs/>
                <w:color w:val="000000"/>
                <w:szCs w:val="24"/>
                <w:lang w:eastAsia="es-EC"/>
              </w:rPr>
            </w:pPr>
            <w:r w:rsidRPr="00BC0D3D">
              <w:rPr>
                <w:rFonts w:eastAsia="Times New Roman"/>
                <w:b/>
                <w:bCs/>
                <w:color w:val="000000"/>
                <w:szCs w:val="24"/>
                <w:lang w:eastAsia="es-EC"/>
              </w:rPr>
              <w:t>Quinua</w:t>
            </w:r>
          </w:p>
        </w:tc>
        <w:tc>
          <w:tcPr>
            <w:tcW w:w="1200" w:type="dxa"/>
            <w:tcBorders>
              <w:top w:val="single" w:sz="12" w:space="0" w:color="auto"/>
              <w:bottom w:val="single" w:sz="12" w:space="0" w:color="auto"/>
            </w:tcBorders>
            <w:shd w:val="clear" w:color="auto" w:fill="auto"/>
            <w:noWrap/>
            <w:vAlign w:val="center"/>
            <w:hideMark/>
          </w:tcPr>
          <w:p w14:paraId="658DCD01" w14:textId="77777777" w:rsidR="00F365AD" w:rsidRPr="00BC0D3D" w:rsidRDefault="00F365AD" w:rsidP="00826A31">
            <w:pPr>
              <w:spacing w:after="0" w:line="240" w:lineRule="auto"/>
              <w:jc w:val="center"/>
              <w:rPr>
                <w:rFonts w:eastAsia="Times New Roman"/>
                <w:b/>
                <w:bCs/>
                <w:color w:val="000000"/>
                <w:szCs w:val="24"/>
                <w:lang w:eastAsia="es-EC"/>
              </w:rPr>
            </w:pPr>
            <w:r w:rsidRPr="00BC0D3D">
              <w:rPr>
                <w:rFonts w:eastAsia="Times New Roman"/>
                <w:b/>
                <w:bCs/>
                <w:color w:val="000000"/>
                <w:szCs w:val="24"/>
                <w:lang w:eastAsia="es-EC"/>
              </w:rPr>
              <w:t>Frijol</w:t>
            </w:r>
          </w:p>
        </w:tc>
        <w:tc>
          <w:tcPr>
            <w:tcW w:w="1200" w:type="dxa"/>
            <w:tcBorders>
              <w:top w:val="single" w:sz="12" w:space="0" w:color="auto"/>
              <w:bottom w:val="single" w:sz="12" w:space="0" w:color="auto"/>
            </w:tcBorders>
            <w:shd w:val="clear" w:color="auto" w:fill="auto"/>
            <w:noWrap/>
            <w:vAlign w:val="center"/>
            <w:hideMark/>
          </w:tcPr>
          <w:p w14:paraId="0BFE7CBA" w14:textId="77777777" w:rsidR="00F365AD" w:rsidRPr="00BC0D3D" w:rsidRDefault="00F365AD" w:rsidP="00826A31">
            <w:pPr>
              <w:spacing w:after="0" w:line="240" w:lineRule="auto"/>
              <w:jc w:val="center"/>
              <w:rPr>
                <w:rFonts w:eastAsia="Times New Roman"/>
                <w:b/>
                <w:bCs/>
                <w:color w:val="000000"/>
                <w:szCs w:val="24"/>
                <w:lang w:eastAsia="es-EC"/>
              </w:rPr>
            </w:pPr>
            <w:r w:rsidRPr="00BC0D3D">
              <w:rPr>
                <w:rFonts w:eastAsia="Times New Roman"/>
                <w:b/>
                <w:bCs/>
                <w:color w:val="000000"/>
                <w:szCs w:val="24"/>
                <w:lang w:eastAsia="es-EC"/>
              </w:rPr>
              <w:t>Maíz</w:t>
            </w:r>
          </w:p>
        </w:tc>
        <w:tc>
          <w:tcPr>
            <w:tcW w:w="1200" w:type="dxa"/>
            <w:tcBorders>
              <w:top w:val="single" w:sz="12" w:space="0" w:color="auto"/>
              <w:bottom w:val="single" w:sz="12" w:space="0" w:color="auto"/>
            </w:tcBorders>
            <w:shd w:val="clear" w:color="auto" w:fill="auto"/>
            <w:noWrap/>
            <w:vAlign w:val="center"/>
            <w:hideMark/>
          </w:tcPr>
          <w:p w14:paraId="3D03AB7C" w14:textId="77777777" w:rsidR="00F365AD" w:rsidRPr="00BC0D3D" w:rsidRDefault="00F365AD" w:rsidP="00826A31">
            <w:pPr>
              <w:spacing w:after="0" w:line="240" w:lineRule="auto"/>
              <w:jc w:val="center"/>
              <w:rPr>
                <w:rFonts w:eastAsia="Times New Roman"/>
                <w:b/>
                <w:bCs/>
                <w:color w:val="000000"/>
                <w:szCs w:val="24"/>
                <w:lang w:eastAsia="es-EC"/>
              </w:rPr>
            </w:pPr>
            <w:r w:rsidRPr="00BC0D3D">
              <w:rPr>
                <w:rFonts w:eastAsia="Times New Roman"/>
                <w:b/>
                <w:bCs/>
                <w:color w:val="000000"/>
                <w:szCs w:val="24"/>
                <w:lang w:eastAsia="es-EC"/>
              </w:rPr>
              <w:t>Arroz</w:t>
            </w:r>
          </w:p>
        </w:tc>
        <w:tc>
          <w:tcPr>
            <w:tcW w:w="1200" w:type="dxa"/>
            <w:tcBorders>
              <w:top w:val="single" w:sz="12" w:space="0" w:color="auto"/>
              <w:bottom w:val="single" w:sz="12" w:space="0" w:color="auto"/>
            </w:tcBorders>
            <w:shd w:val="clear" w:color="auto" w:fill="auto"/>
            <w:noWrap/>
            <w:vAlign w:val="center"/>
            <w:hideMark/>
          </w:tcPr>
          <w:p w14:paraId="50D68B90" w14:textId="77777777" w:rsidR="00F365AD" w:rsidRPr="00BC0D3D" w:rsidRDefault="00F365AD" w:rsidP="00826A31">
            <w:pPr>
              <w:spacing w:after="0" w:line="240" w:lineRule="auto"/>
              <w:jc w:val="center"/>
              <w:rPr>
                <w:rFonts w:eastAsia="Times New Roman"/>
                <w:b/>
                <w:bCs/>
                <w:color w:val="000000"/>
                <w:szCs w:val="24"/>
                <w:lang w:eastAsia="es-EC"/>
              </w:rPr>
            </w:pPr>
            <w:r w:rsidRPr="00BC0D3D">
              <w:rPr>
                <w:rFonts w:eastAsia="Times New Roman"/>
                <w:b/>
                <w:bCs/>
                <w:color w:val="000000"/>
                <w:szCs w:val="24"/>
                <w:lang w:eastAsia="es-EC"/>
              </w:rPr>
              <w:t>Trigo</w:t>
            </w:r>
          </w:p>
        </w:tc>
      </w:tr>
      <w:tr w:rsidR="00F365AD" w:rsidRPr="00BC0D3D" w14:paraId="2A5CB474" w14:textId="77777777" w:rsidTr="007C5391">
        <w:trPr>
          <w:trHeight w:val="300"/>
          <w:jc w:val="center"/>
        </w:trPr>
        <w:tc>
          <w:tcPr>
            <w:tcW w:w="2395" w:type="dxa"/>
            <w:tcBorders>
              <w:top w:val="single" w:sz="12" w:space="0" w:color="auto"/>
            </w:tcBorders>
            <w:shd w:val="clear" w:color="auto" w:fill="auto"/>
            <w:noWrap/>
            <w:vAlign w:val="center"/>
            <w:hideMark/>
          </w:tcPr>
          <w:p w14:paraId="25E0B87F"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Energía (kcal/100 g)</w:t>
            </w:r>
          </w:p>
        </w:tc>
        <w:tc>
          <w:tcPr>
            <w:tcW w:w="1005" w:type="dxa"/>
            <w:tcBorders>
              <w:top w:val="single" w:sz="12" w:space="0" w:color="auto"/>
            </w:tcBorders>
            <w:shd w:val="clear" w:color="auto" w:fill="auto"/>
            <w:noWrap/>
            <w:vAlign w:val="center"/>
            <w:hideMark/>
          </w:tcPr>
          <w:p w14:paraId="3912A2C0"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399,0</w:t>
            </w:r>
          </w:p>
        </w:tc>
        <w:tc>
          <w:tcPr>
            <w:tcW w:w="1200" w:type="dxa"/>
            <w:tcBorders>
              <w:top w:val="single" w:sz="12" w:space="0" w:color="auto"/>
            </w:tcBorders>
            <w:shd w:val="clear" w:color="auto" w:fill="auto"/>
            <w:noWrap/>
            <w:vAlign w:val="center"/>
            <w:hideMark/>
          </w:tcPr>
          <w:p w14:paraId="1AFA6596"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367,0</w:t>
            </w:r>
          </w:p>
        </w:tc>
        <w:tc>
          <w:tcPr>
            <w:tcW w:w="1200" w:type="dxa"/>
            <w:tcBorders>
              <w:top w:val="single" w:sz="12" w:space="0" w:color="auto"/>
            </w:tcBorders>
            <w:shd w:val="clear" w:color="auto" w:fill="auto"/>
            <w:noWrap/>
            <w:vAlign w:val="center"/>
            <w:hideMark/>
          </w:tcPr>
          <w:p w14:paraId="1317EA0F"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408,0</w:t>
            </w:r>
          </w:p>
        </w:tc>
        <w:tc>
          <w:tcPr>
            <w:tcW w:w="1200" w:type="dxa"/>
            <w:tcBorders>
              <w:top w:val="single" w:sz="12" w:space="0" w:color="auto"/>
            </w:tcBorders>
            <w:shd w:val="clear" w:color="auto" w:fill="auto"/>
            <w:noWrap/>
            <w:vAlign w:val="center"/>
            <w:hideMark/>
          </w:tcPr>
          <w:p w14:paraId="177B0EA1"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372,0</w:t>
            </w:r>
          </w:p>
        </w:tc>
        <w:tc>
          <w:tcPr>
            <w:tcW w:w="1200" w:type="dxa"/>
            <w:tcBorders>
              <w:top w:val="single" w:sz="12" w:space="0" w:color="auto"/>
            </w:tcBorders>
            <w:shd w:val="clear" w:color="auto" w:fill="auto"/>
            <w:noWrap/>
            <w:vAlign w:val="center"/>
            <w:hideMark/>
          </w:tcPr>
          <w:p w14:paraId="66ECED69"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392,0</w:t>
            </w:r>
          </w:p>
        </w:tc>
      </w:tr>
      <w:tr w:rsidR="00F365AD" w:rsidRPr="00BC0D3D" w14:paraId="324EEBAB" w14:textId="77777777" w:rsidTr="007C5391">
        <w:trPr>
          <w:trHeight w:val="300"/>
          <w:jc w:val="center"/>
        </w:trPr>
        <w:tc>
          <w:tcPr>
            <w:tcW w:w="2395" w:type="dxa"/>
            <w:shd w:val="clear" w:color="auto" w:fill="auto"/>
            <w:noWrap/>
            <w:vAlign w:val="center"/>
            <w:hideMark/>
          </w:tcPr>
          <w:p w14:paraId="4183A1C7"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Proteína (g/100g)</w:t>
            </w:r>
          </w:p>
        </w:tc>
        <w:tc>
          <w:tcPr>
            <w:tcW w:w="1005" w:type="dxa"/>
            <w:shd w:val="clear" w:color="auto" w:fill="auto"/>
            <w:noWrap/>
            <w:vAlign w:val="center"/>
            <w:hideMark/>
          </w:tcPr>
          <w:p w14:paraId="71E22EC0"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16,5</w:t>
            </w:r>
          </w:p>
        </w:tc>
        <w:tc>
          <w:tcPr>
            <w:tcW w:w="1200" w:type="dxa"/>
            <w:shd w:val="clear" w:color="auto" w:fill="auto"/>
            <w:noWrap/>
            <w:vAlign w:val="center"/>
            <w:hideMark/>
          </w:tcPr>
          <w:p w14:paraId="0D286554"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28,0</w:t>
            </w:r>
          </w:p>
        </w:tc>
        <w:tc>
          <w:tcPr>
            <w:tcW w:w="1200" w:type="dxa"/>
            <w:shd w:val="clear" w:color="auto" w:fill="auto"/>
            <w:noWrap/>
            <w:vAlign w:val="center"/>
            <w:hideMark/>
          </w:tcPr>
          <w:p w14:paraId="61C3F871"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10,2</w:t>
            </w:r>
          </w:p>
        </w:tc>
        <w:tc>
          <w:tcPr>
            <w:tcW w:w="1200" w:type="dxa"/>
            <w:shd w:val="clear" w:color="auto" w:fill="auto"/>
            <w:noWrap/>
            <w:vAlign w:val="center"/>
            <w:hideMark/>
          </w:tcPr>
          <w:p w14:paraId="361EF858"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7,6</w:t>
            </w:r>
          </w:p>
        </w:tc>
        <w:tc>
          <w:tcPr>
            <w:tcW w:w="1200" w:type="dxa"/>
            <w:shd w:val="clear" w:color="auto" w:fill="auto"/>
            <w:noWrap/>
            <w:vAlign w:val="center"/>
            <w:hideMark/>
          </w:tcPr>
          <w:p w14:paraId="5D2A1405"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14,3</w:t>
            </w:r>
          </w:p>
        </w:tc>
      </w:tr>
      <w:tr w:rsidR="00F365AD" w:rsidRPr="00BC0D3D" w14:paraId="614284CE" w14:textId="77777777" w:rsidTr="007C5391">
        <w:trPr>
          <w:trHeight w:val="300"/>
          <w:jc w:val="center"/>
        </w:trPr>
        <w:tc>
          <w:tcPr>
            <w:tcW w:w="2395" w:type="dxa"/>
            <w:shd w:val="clear" w:color="auto" w:fill="auto"/>
            <w:noWrap/>
            <w:vAlign w:val="center"/>
            <w:hideMark/>
          </w:tcPr>
          <w:p w14:paraId="18B3CF86"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Grasa (g/100g)</w:t>
            </w:r>
          </w:p>
        </w:tc>
        <w:tc>
          <w:tcPr>
            <w:tcW w:w="1005" w:type="dxa"/>
            <w:shd w:val="clear" w:color="auto" w:fill="auto"/>
            <w:noWrap/>
            <w:vAlign w:val="center"/>
            <w:hideMark/>
          </w:tcPr>
          <w:p w14:paraId="452CF756"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6,3</w:t>
            </w:r>
          </w:p>
        </w:tc>
        <w:tc>
          <w:tcPr>
            <w:tcW w:w="1200" w:type="dxa"/>
            <w:shd w:val="clear" w:color="auto" w:fill="auto"/>
            <w:noWrap/>
            <w:vAlign w:val="center"/>
            <w:hideMark/>
          </w:tcPr>
          <w:p w14:paraId="691965CC"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1,1</w:t>
            </w:r>
          </w:p>
        </w:tc>
        <w:tc>
          <w:tcPr>
            <w:tcW w:w="1200" w:type="dxa"/>
            <w:shd w:val="clear" w:color="auto" w:fill="auto"/>
            <w:noWrap/>
            <w:vAlign w:val="center"/>
            <w:hideMark/>
          </w:tcPr>
          <w:p w14:paraId="0E632EDC"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4,7</w:t>
            </w:r>
          </w:p>
        </w:tc>
        <w:tc>
          <w:tcPr>
            <w:tcW w:w="1200" w:type="dxa"/>
            <w:shd w:val="clear" w:color="auto" w:fill="auto"/>
            <w:noWrap/>
            <w:vAlign w:val="center"/>
            <w:hideMark/>
          </w:tcPr>
          <w:p w14:paraId="0E09690B"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2,2</w:t>
            </w:r>
          </w:p>
        </w:tc>
        <w:tc>
          <w:tcPr>
            <w:tcW w:w="1200" w:type="dxa"/>
            <w:shd w:val="clear" w:color="auto" w:fill="auto"/>
            <w:noWrap/>
            <w:vAlign w:val="center"/>
            <w:hideMark/>
          </w:tcPr>
          <w:p w14:paraId="1A0F8A8A"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2,3</w:t>
            </w:r>
          </w:p>
        </w:tc>
      </w:tr>
      <w:tr w:rsidR="00F365AD" w:rsidRPr="00BC0D3D" w14:paraId="55FCEBF9" w14:textId="77777777" w:rsidTr="007C5391">
        <w:trPr>
          <w:trHeight w:val="315"/>
          <w:jc w:val="center"/>
        </w:trPr>
        <w:tc>
          <w:tcPr>
            <w:tcW w:w="2395" w:type="dxa"/>
            <w:tcBorders>
              <w:bottom w:val="single" w:sz="12" w:space="0" w:color="auto"/>
            </w:tcBorders>
            <w:shd w:val="clear" w:color="auto" w:fill="auto"/>
            <w:noWrap/>
            <w:vAlign w:val="center"/>
            <w:hideMark/>
          </w:tcPr>
          <w:p w14:paraId="4FEDC746"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Total de carbohidratos</w:t>
            </w:r>
          </w:p>
        </w:tc>
        <w:tc>
          <w:tcPr>
            <w:tcW w:w="1005" w:type="dxa"/>
            <w:tcBorders>
              <w:bottom w:val="single" w:sz="12" w:space="0" w:color="auto"/>
            </w:tcBorders>
            <w:shd w:val="clear" w:color="auto" w:fill="auto"/>
            <w:noWrap/>
            <w:vAlign w:val="center"/>
            <w:hideMark/>
          </w:tcPr>
          <w:p w14:paraId="7002AC9B"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69,0</w:t>
            </w:r>
          </w:p>
        </w:tc>
        <w:tc>
          <w:tcPr>
            <w:tcW w:w="1200" w:type="dxa"/>
            <w:tcBorders>
              <w:bottom w:val="single" w:sz="12" w:space="0" w:color="auto"/>
            </w:tcBorders>
            <w:shd w:val="clear" w:color="auto" w:fill="auto"/>
            <w:noWrap/>
            <w:vAlign w:val="center"/>
            <w:hideMark/>
          </w:tcPr>
          <w:p w14:paraId="31A4B0E4"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61,2</w:t>
            </w:r>
          </w:p>
        </w:tc>
        <w:tc>
          <w:tcPr>
            <w:tcW w:w="1200" w:type="dxa"/>
            <w:tcBorders>
              <w:bottom w:val="single" w:sz="12" w:space="0" w:color="auto"/>
            </w:tcBorders>
            <w:shd w:val="clear" w:color="auto" w:fill="auto"/>
            <w:noWrap/>
            <w:vAlign w:val="center"/>
            <w:hideMark/>
          </w:tcPr>
          <w:p w14:paraId="1622FAF7"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81,1</w:t>
            </w:r>
          </w:p>
        </w:tc>
        <w:tc>
          <w:tcPr>
            <w:tcW w:w="1200" w:type="dxa"/>
            <w:tcBorders>
              <w:bottom w:val="single" w:sz="12" w:space="0" w:color="auto"/>
            </w:tcBorders>
            <w:shd w:val="clear" w:color="auto" w:fill="auto"/>
            <w:noWrap/>
            <w:vAlign w:val="center"/>
            <w:hideMark/>
          </w:tcPr>
          <w:p w14:paraId="57028AEE"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80,4</w:t>
            </w:r>
          </w:p>
        </w:tc>
        <w:tc>
          <w:tcPr>
            <w:tcW w:w="1200" w:type="dxa"/>
            <w:tcBorders>
              <w:bottom w:val="single" w:sz="12" w:space="0" w:color="auto"/>
            </w:tcBorders>
            <w:shd w:val="clear" w:color="auto" w:fill="auto"/>
            <w:noWrap/>
            <w:vAlign w:val="center"/>
            <w:hideMark/>
          </w:tcPr>
          <w:p w14:paraId="1798A4F4" w14:textId="77777777" w:rsidR="00F365AD" w:rsidRPr="00BC0D3D" w:rsidRDefault="00F365AD" w:rsidP="00826A31">
            <w:pPr>
              <w:spacing w:after="0" w:line="240" w:lineRule="auto"/>
              <w:jc w:val="center"/>
              <w:rPr>
                <w:rFonts w:eastAsia="Times New Roman"/>
                <w:color w:val="000000"/>
                <w:szCs w:val="24"/>
                <w:lang w:eastAsia="es-EC"/>
              </w:rPr>
            </w:pPr>
            <w:r w:rsidRPr="00BC0D3D">
              <w:rPr>
                <w:rFonts w:eastAsia="Times New Roman"/>
                <w:color w:val="000000"/>
                <w:szCs w:val="24"/>
                <w:lang w:eastAsia="es-EC"/>
              </w:rPr>
              <w:t>78,4</w:t>
            </w:r>
          </w:p>
        </w:tc>
      </w:tr>
    </w:tbl>
    <w:p w14:paraId="62F5864C" w14:textId="24446216" w:rsidR="00F365AD" w:rsidRPr="00ED1E4D" w:rsidRDefault="00F365AD" w:rsidP="00ED1E4D">
      <w:pPr>
        <w:ind w:left="-354" w:firstLine="1062"/>
        <w:contextualSpacing/>
        <w:jc w:val="left"/>
        <w:rPr>
          <w:sz w:val="18"/>
          <w:szCs w:val="18"/>
          <w:lang w:val="en-US"/>
        </w:rPr>
      </w:pPr>
      <w:r w:rsidRPr="00ED1E4D">
        <w:rPr>
          <w:sz w:val="18"/>
          <w:szCs w:val="18"/>
          <w:lang w:val="en-US"/>
        </w:rPr>
        <w:t xml:space="preserve">Fuente: </w:t>
      </w:r>
      <w:sdt>
        <w:sdtPr>
          <w:rPr>
            <w:sz w:val="18"/>
            <w:szCs w:val="18"/>
          </w:rPr>
          <w:id w:val="2141069770"/>
          <w:citation/>
        </w:sdtPr>
        <w:sdtEndPr/>
        <w:sdtContent>
          <w:r w:rsidRPr="00ED1E4D">
            <w:rPr>
              <w:sz w:val="18"/>
              <w:szCs w:val="18"/>
            </w:rPr>
            <w:fldChar w:fldCharType="begin"/>
          </w:r>
          <w:r w:rsidRPr="00ED1E4D">
            <w:rPr>
              <w:sz w:val="18"/>
              <w:szCs w:val="18"/>
              <w:lang w:val="en-US"/>
            </w:rPr>
            <w:instrText xml:space="preserve">CITATION FAO13 \l 12298 </w:instrText>
          </w:r>
          <w:r w:rsidRPr="00ED1E4D">
            <w:rPr>
              <w:sz w:val="18"/>
              <w:szCs w:val="18"/>
            </w:rPr>
            <w:fldChar w:fldCharType="separate"/>
          </w:r>
          <w:r w:rsidR="00BC1846" w:rsidRPr="00ED1E4D">
            <w:rPr>
              <w:sz w:val="18"/>
              <w:szCs w:val="18"/>
              <w:lang w:val="en-US"/>
            </w:rPr>
            <w:t>(Food and Agriculture Organization to the United Nations, 2013)</w:t>
          </w:r>
          <w:r w:rsidRPr="00ED1E4D">
            <w:rPr>
              <w:sz w:val="18"/>
              <w:szCs w:val="18"/>
            </w:rPr>
            <w:fldChar w:fldCharType="end"/>
          </w:r>
        </w:sdtContent>
      </w:sdt>
    </w:p>
    <w:p w14:paraId="1FE745D9" w14:textId="77777777" w:rsidR="004E0958" w:rsidRPr="00ED1E4D" w:rsidRDefault="004E0958" w:rsidP="00F365AD">
      <w:pPr>
        <w:contextualSpacing/>
        <w:rPr>
          <w:lang w:val="en-US"/>
        </w:rPr>
      </w:pPr>
    </w:p>
    <w:p w14:paraId="002DFF75" w14:textId="77777777" w:rsidR="00F365AD" w:rsidRDefault="00F365AD" w:rsidP="00F365AD">
      <w:pPr>
        <w:contextualSpacing/>
      </w:pPr>
      <w:r>
        <w:t xml:space="preserve">En un estudio publicado por la FAO </w:t>
      </w:r>
      <w:sdt>
        <w:sdtPr>
          <w:id w:val="615097226"/>
          <w:citation/>
        </w:sdtPr>
        <w:sdtEndPr/>
        <w:sdtContent>
          <w:r>
            <w:fldChar w:fldCharType="begin"/>
          </w:r>
          <w:r>
            <w:instrText xml:space="preserve">CITATION FAO13 \n  \t  \l 12298 </w:instrText>
          </w:r>
          <w:r>
            <w:fldChar w:fldCharType="separate"/>
          </w:r>
          <w:r w:rsidR="00BC1846">
            <w:rPr>
              <w:noProof/>
            </w:rPr>
            <w:t>(2013)</w:t>
          </w:r>
          <w:r>
            <w:fldChar w:fldCharType="end"/>
          </w:r>
        </w:sdtContent>
      </w:sdt>
      <w:r>
        <w:t xml:space="preserve"> al respecto del Año Internacional de la Quinua, destaca que el cereal “es una fuente importante de proteínas de calidad, fibra dietética, grasas polinsaturadas y minerales”. Las proteínas que contiene cuentan con 8 aminoácidos esenciales para el desarrollo de niños y adultos, a saber: isoleucina, leucina, lisina, metionina, fenilalanina, treonina, triptófano y valina.</w:t>
      </w:r>
    </w:p>
    <w:p w14:paraId="7FADE9EA" w14:textId="1901AEF8" w:rsidR="00ED1E4D" w:rsidRDefault="00F365AD" w:rsidP="00F365AD">
      <w:pPr>
        <w:contextualSpacing/>
      </w:pPr>
      <w:r>
        <w:t>En relación al contenido de fibra dietética, importante para facilitar la digestión y el trabajo intestinal, la quinua presenta valores mayores a la mayoría de granos pero menor a las legumbres. Dentro de las grasas con las que cuenta, destacan el Omega 3 y 6, no producidos por el propio organismo, esenciales para la absorción de vitaminas liposolubles. Los minerales con los que cuenta este cereal son: hierro, magnesio y zinc. Las cantidades de los mismos son mayores que otros alimentos comparables, como se observa a continuación:</w:t>
      </w:r>
    </w:p>
    <w:p w14:paraId="70A21DFB" w14:textId="77777777" w:rsidR="00ED1E4D" w:rsidRDefault="00ED1E4D">
      <w:pPr>
        <w:spacing w:line="276" w:lineRule="auto"/>
        <w:jc w:val="left"/>
      </w:pPr>
      <w:r>
        <w:br w:type="page"/>
      </w:r>
    </w:p>
    <w:p w14:paraId="4DF3C1FA" w14:textId="77777777" w:rsidR="00F365AD" w:rsidRPr="00E45EFB" w:rsidRDefault="00F365AD" w:rsidP="00F365AD">
      <w:pPr>
        <w:pStyle w:val="Descripcin"/>
        <w:keepNext/>
        <w:jc w:val="center"/>
        <w:rPr>
          <w:b/>
          <w:i w:val="0"/>
          <w:color w:val="auto"/>
          <w:sz w:val="24"/>
          <w:szCs w:val="24"/>
        </w:rPr>
      </w:pPr>
      <w:bookmarkStart w:id="26" w:name="_Toc446973200"/>
      <w:r w:rsidRPr="00E45EFB">
        <w:rPr>
          <w:b/>
          <w:i w:val="0"/>
          <w:color w:val="auto"/>
          <w:sz w:val="24"/>
          <w:szCs w:val="24"/>
        </w:rPr>
        <w:lastRenderedPageBreak/>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2</w:t>
      </w:r>
      <w:r w:rsidRPr="00E45EFB">
        <w:rPr>
          <w:b/>
          <w:i w:val="0"/>
          <w:color w:val="auto"/>
          <w:sz w:val="24"/>
          <w:szCs w:val="24"/>
        </w:rPr>
        <w:fldChar w:fldCharType="end"/>
      </w:r>
      <w:r w:rsidRPr="00E45EFB">
        <w:rPr>
          <w:b/>
          <w:i w:val="0"/>
          <w:color w:val="auto"/>
          <w:sz w:val="24"/>
          <w:szCs w:val="24"/>
        </w:rPr>
        <w:t>: Contenido mineral en la quinua y alimentos seleccionados por cada 100g de peso en seco</w:t>
      </w:r>
      <w:bookmarkEnd w:id="26"/>
    </w:p>
    <w:tbl>
      <w:tblPr>
        <w:tblW w:w="7140" w:type="dxa"/>
        <w:jc w:val="center"/>
        <w:tblBorders>
          <w:bottom w:val="single" w:sz="12" w:space="0" w:color="auto"/>
        </w:tblBorders>
        <w:tblCellMar>
          <w:left w:w="70" w:type="dxa"/>
          <w:right w:w="70" w:type="dxa"/>
        </w:tblCellMar>
        <w:tblLook w:val="04A0" w:firstRow="1" w:lastRow="0" w:firstColumn="1" w:lastColumn="0" w:noHBand="0" w:noVBand="1"/>
      </w:tblPr>
      <w:tblGrid>
        <w:gridCol w:w="2340"/>
        <w:gridCol w:w="1200"/>
        <w:gridCol w:w="1200"/>
        <w:gridCol w:w="1200"/>
        <w:gridCol w:w="1200"/>
      </w:tblGrid>
      <w:tr w:rsidR="00F365AD" w:rsidRPr="009E6E6C" w14:paraId="4725B9CE" w14:textId="77777777" w:rsidTr="007C5391">
        <w:trPr>
          <w:trHeight w:val="315"/>
          <w:jc w:val="center"/>
        </w:trPr>
        <w:tc>
          <w:tcPr>
            <w:tcW w:w="2340" w:type="dxa"/>
            <w:tcBorders>
              <w:top w:val="single" w:sz="12" w:space="0" w:color="auto"/>
              <w:bottom w:val="single" w:sz="12" w:space="0" w:color="auto"/>
            </w:tcBorders>
            <w:shd w:val="clear" w:color="auto" w:fill="auto"/>
            <w:noWrap/>
            <w:vAlign w:val="bottom"/>
            <w:hideMark/>
          </w:tcPr>
          <w:p w14:paraId="1B656160"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w:t>
            </w:r>
          </w:p>
        </w:tc>
        <w:tc>
          <w:tcPr>
            <w:tcW w:w="1200" w:type="dxa"/>
            <w:tcBorders>
              <w:top w:val="single" w:sz="12" w:space="0" w:color="auto"/>
              <w:bottom w:val="single" w:sz="12" w:space="0" w:color="auto"/>
            </w:tcBorders>
            <w:shd w:val="clear" w:color="auto" w:fill="auto"/>
            <w:noWrap/>
            <w:vAlign w:val="bottom"/>
            <w:hideMark/>
          </w:tcPr>
          <w:p w14:paraId="1B555347" w14:textId="77777777" w:rsidR="00F365AD" w:rsidRPr="009E6E6C" w:rsidRDefault="00F365AD" w:rsidP="00826A31">
            <w:pPr>
              <w:spacing w:after="0" w:line="240" w:lineRule="auto"/>
              <w:jc w:val="center"/>
              <w:rPr>
                <w:rFonts w:eastAsia="Times New Roman"/>
                <w:b/>
                <w:bCs/>
                <w:color w:val="000000"/>
                <w:szCs w:val="24"/>
                <w:lang w:eastAsia="es-EC"/>
              </w:rPr>
            </w:pPr>
            <w:r w:rsidRPr="009E6E6C">
              <w:rPr>
                <w:rFonts w:eastAsia="Times New Roman"/>
                <w:b/>
                <w:bCs/>
                <w:color w:val="000000"/>
                <w:szCs w:val="24"/>
                <w:lang w:eastAsia="es-EC"/>
              </w:rPr>
              <w:t xml:space="preserve"> Quinua </w:t>
            </w:r>
          </w:p>
        </w:tc>
        <w:tc>
          <w:tcPr>
            <w:tcW w:w="1200" w:type="dxa"/>
            <w:tcBorders>
              <w:top w:val="single" w:sz="12" w:space="0" w:color="auto"/>
              <w:bottom w:val="single" w:sz="12" w:space="0" w:color="auto"/>
            </w:tcBorders>
            <w:shd w:val="clear" w:color="auto" w:fill="auto"/>
            <w:noWrap/>
            <w:vAlign w:val="bottom"/>
            <w:hideMark/>
          </w:tcPr>
          <w:p w14:paraId="3368957F" w14:textId="77777777" w:rsidR="00F365AD" w:rsidRPr="009E6E6C" w:rsidRDefault="00F365AD" w:rsidP="00826A31">
            <w:pPr>
              <w:spacing w:after="0" w:line="240" w:lineRule="auto"/>
              <w:jc w:val="center"/>
              <w:rPr>
                <w:rFonts w:eastAsia="Times New Roman"/>
                <w:b/>
                <w:bCs/>
                <w:color w:val="000000"/>
                <w:szCs w:val="24"/>
                <w:lang w:eastAsia="es-EC"/>
              </w:rPr>
            </w:pPr>
            <w:r w:rsidRPr="009E6E6C">
              <w:rPr>
                <w:rFonts w:eastAsia="Times New Roman"/>
                <w:b/>
                <w:bCs/>
                <w:color w:val="000000"/>
                <w:szCs w:val="24"/>
                <w:lang w:eastAsia="es-EC"/>
              </w:rPr>
              <w:t xml:space="preserve"> Maíz </w:t>
            </w:r>
          </w:p>
        </w:tc>
        <w:tc>
          <w:tcPr>
            <w:tcW w:w="1200" w:type="dxa"/>
            <w:tcBorders>
              <w:top w:val="single" w:sz="12" w:space="0" w:color="auto"/>
              <w:bottom w:val="single" w:sz="12" w:space="0" w:color="auto"/>
            </w:tcBorders>
            <w:shd w:val="clear" w:color="auto" w:fill="auto"/>
            <w:noWrap/>
            <w:vAlign w:val="bottom"/>
            <w:hideMark/>
          </w:tcPr>
          <w:p w14:paraId="4E3C06A6" w14:textId="77777777" w:rsidR="00F365AD" w:rsidRPr="009E6E6C" w:rsidRDefault="00F365AD" w:rsidP="00826A31">
            <w:pPr>
              <w:spacing w:after="0" w:line="240" w:lineRule="auto"/>
              <w:jc w:val="center"/>
              <w:rPr>
                <w:rFonts w:eastAsia="Times New Roman"/>
                <w:b/>
                <w:bCs/>
                <w:color w:val="000000"/>
                <w:szCs w:val="24"/>
                <w:lang w:eastAsia="es-EC"/>
              </w:rPr>
            </w:pPr>
            <w:r w:rsidRPr="009E6E6C">
              <w:rPr>
                <w:rFonts w:eastAsia="Times New Roman"/>
                <w:b/>
                <w:bCs/>
                <w:color w:val="000000"/>
                <w:szCs w:val="24"/>
                <w:lang w:eastAsia="es-EC"/>
              </w:rPr>
              <w:t xml:space="preserve"> Arroz </w:t>
            </w:r>
          </w:p>
        </w:tc>
        <w:tc>
          <w:tcPr>
            <w:tcW w:w="1200" w:type="dxa"/>
            <w:tcBorders>
              <w:top w:val="single" w:sz="12" w:space="0" w:color="auto"/>
              <w:bottom w:val="single" w:sz="12" w:space="0" w:color="auto"/>
            </w:tcBorders>
            <w:shd w:val="clear" w:color="auto" w:fill="auto"/>
            <w:noWrap/>
            <w:vAlign w:val="bottom"/>
            <w:hideMark/>
          </w:tcPr>
          <w:p w14:paraId="6FD7DC27" w14:textId="77777777" w:rsidR="00F365AD" w:rsidRPr="009E6E6C" w:rsidRDefault="00F365AD" w:rsidP="00826A31">
            <w:pPr>
              <w:spacing w:after="0" w:line="240" w:lineRule="auto"/>
              <w:jc w:val="center"/>
              <w:rPr>
                <w:rFonts w:eastAsia="Times New Roman"/>
                <w:b/>
                <w:bCs/>
                <w:color w:val="000000"/>
                <w:szCs w:val="24"/>
                <w:lang w:eastAsia="es-EC"/>
              </w:rPr>
            </w:pPr>
            <w:r w:rsidRPr="009E6E6C">
              <w:rPr>
                <w:rFonts w:eastAsia="Times New Roman"/>
                <w:b/>
                <w:bCs/>
                <w:color w:val="000000"/>
                <w:szCs w:val="24"/>
                <w:lang w:eastAsia="es-EC"/>
              </w:rPr>
              <w:t xml:space="preserve"> Trigo </w:t>
            </w:r>
          </w:p>
        </w:tc>
      </w:tr>
      <w:tr w:rsidR="00F365AD" w:rsidRPr="009E6E6C" w14:paraId="4DCA15A2" w14:textId="77777777" w:rsidTr="007C5391">
        <w:trPr>
          <w:trHeight w:val="315"/>
          <w:jc w:val="center"/>
        </w:trPr>
        <w:tc>
          <w:tcPr>
            <w:tcW w:w="2340" w:type="dxa"/>
            <w:tcBorders>
              <w:top w:val="single" w:sz="12" w:space="0" w:color="auto"/>
            </w:tcBorders>
            <w:shd w:val="clear" w:color="auto" w:fill="auto"/>
            <w:noWrap/>
            <w:vAlign w:val="bottom"/>
            <w:hideMark/>
          </w:tcPr>
          <w:p w14:paraId="0D55F49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Calcio </w:t>
            </w:r>
          </w:p>
        </w:tc>
        <w:tc>
          <w:tcPr>
            <w:tcW w:w="1200" w:type="dxa"/>
            <w:tcBorders>
              <w:top w:val="single" w:sz="12" w:space="0" w:color="auto"/>
            </w:tcBorders>
            <w:shd w:val="clear" w:color="auto" w:fill="auto"/>
            <w:noWrap/>
            <w:vAlign w:val="bottom"/>
            <w:hideMark/>
          </w:tcPr>
          <w:p w14:paraId="35944B9F"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148,7 </w:t>
            </w:r>
          </w:p>
        </w:tc>
        <w:tc>
          <w:tcPr>
            <w:tcW w:w="1200" w:type="dxa"/>
            <w:tcBorders>
              <w:top w:val="single" w:sz="12" w:space="0" w:color="auto"/>
            </w:tcBorders>
            <w:shd w:val="clear" w:color="auto" w:fill="auto"/>
            <w:noWrap/>
            <w:vAlign w:val="bottom"/>
            <w:hideMark/>
          </w:tcPr>
          <w:p w14:paraId="1525F0A6"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17,1 </w:t>
            </w:r>
          </w:p>
        </w:tc>
        <w:tc>
          <w:tcPr>
            <w:tcW w:w="1200" w:type="dxa"/>
            <w:tcBorders>
              <w:top w:val="single" w:sz="12" w:space="0" w:color="auto"/>
            </w:tcBorders>
            <w:shd w:val="clear" w:color="auto" w:fill="auto"/>
            <w:noWrap/>
            <w:vAlign w:val="bottom"/>
            <w:hideMark/>
          </w:tcPr>
          <w:p w14:paraId="6B8DDAA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6,9 </w:t>
            </w:r>
          </w:p>
        </w:tc>
        <w:tc>
          <w:tcPr>
            <w:tcW w:w="1200" w:type="dxa"/>
            <w:tcBorders>
              <w:top w:val="single" w:sz="12" w:space="0" w:color="auto"/>
            </w:tcBorders>
            <w:shd w:val="clear" w:color="auto" w:fill="auto"/>
            <w:noWrap/>
            <w:vAlign w:val="bottom"/>
            <w:hideMark/>
          </w:tcPr>
          <w:p w14:paraId="3C0959E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50,3 </w:t>
            </w:r>
          </w:p>
        </w:tc>
      </w:tr>
      <w:tr w:rsidR="00F365AD" w:rsidRPr="009E6E6C" w14:paraId="79AE2DB2" w14:textId="77777777" w:rsidTr="007C5391">
        <w:trPr>
          <w:trHeight w:val="315"/>
          <w:jc w:val="center"/>
        </w:trPr>
        <w:tc>
          <w:tcPr>
            <w:tcW w:w="2340" w:type="dxa"/>
            <w:shd w:val="clear" w:color="auto" w:fill="auto"/>
            <w:noWrap/>
            <w:vAlign w:val="bottom"/>
            <w:hideMark/>
          </w:tcPr>
          <w:p w14:paraId="5CACBC38"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Hierro </w:t>
            </w:r>
          </w:p>
        </w:tc>
        <w:tc>
          <w:tcPr>
            <w:tcW w:w="1200" w:type="dxa"/>
            <w:shd w:val="clear" w:color="auto" w:fill="auto"/>
            <w:noWrap/>
            <w:vAlign w:val="bottom"/>
            <w:hideMark/>
          </w:tcPr>
          <w:p w14:paraId="69BD9E69"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13,2 </w:t>
            </w:r>
          </w:p>
        </w:tc>
        <w:tc>
          <w:tcPr>
            <w:tcW w:w="1200" w:type="dxa"/>
            <w:shd w:val="clear" w:color="auto" w:fill="auto"/>
            <w:noWrap/>
            <w:vAlign w:val="bottom"/>
            <w:hideMark/>
          </w:tcPr>
          <w:p w14:paraId="2A731BD4"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2,1 </w:t>
            </w:r>
          </w:p>
        </w:tc>
        <w:tc>
          <w:tcPr>
            <w:tcW w:w="1200" w:type="dxa"/>
            <w:shd w:val="clear" w:color="auto" w:fill="auto"/>
            <w:noWrap/>
            <w:vAlign w:val="bottom"/>
            <w:hideMark/>
          </w:tcPr>
          <w:p w14:paraId="1CFF6D4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0,7 </w:t>
            </w:r>
          </w:p>
        </w:tc>
        <w:tc>
          <w:tcPr>
            <w:tcW w:w="1200" w:type="dxa"/>
            <w:shd w:val="clear" w:color="auto" w:fill="auto"/>
            <w:noWrap/>
            <w:vAlign w:val="bottom"/>
            <w:hideMark/>
          </w:tcPr>
          <w:p w14:paraId="0E0F3D45"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3,8 </w:t>
            </w:r>
          </w:p>
        </w:tc>
      </w:tr>
      <w:tr w:rsidR="00F365AD" w:rsidRPr="009E6E6C" w14:paraId="229B74C6" w14:textId="77777777" w:rsidTr="007C5391">
        <w:trPr>
          <w:trHeight w:val="315"/>
          <w:jc w:val="center"/>
        </w:trPr>
        <w:tc>
          <w:tcPr>
            <w:tcW w:w="2340" w:type="dxa"/>
            <w:shd w:val="clear" w:color="auto" w:fill="auto"/>
            <w:noWrap/>
            <w:vAlign w:val="bottom"/>
            <w:hideMark/>
          </w:tcPr>
          <w:p w14:paraId="2A1BF74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Magnesio </w:t>
            </w:r>
          </w:p>
        </w:tc>
        <w:tc>
          <w:tcPr>
            <w:tcW w:w="1200" w:type="dxa"/>
            <w:shd w:val="clear" w:color="auto" w:fill="auto"/>
            <w:noWrap/>
            <w:vAlign w:val="bottom"/>
            <w:hideMark/>
          </w:tcPr>
          <w:p w14:paraId="0DE9608B"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249,6 </w:t>
            </w:r>
          </w:p>
        </w:tc>
        <w:tc>
          <w:tcPr>
            <w:tcW w:w="1200" w:type="dxa"/>
            <w:shd w:val="clear" w:color="auto" w:fill="auto"/>
            <w:noWrap/>
            <w:vAlign w:val="bottom"/>
            <w:hideMark/>
          </w:tcPr>
          <w:p w14:paraId="4D296580"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137,1 </w:t>
            </w:r>
          </w:p>
        </w:tc>
        <w:tc>
          <w:tcPr>
            <w:tcW w:w="1200" w:type="dxa"/>
            <w:shd w:val="clear" w:color="auto" w:fill="auto"/>
            <w:noWrap/>
            <w:vAlign w:val="bottom"/>
            <w:hideMark/>
          </w:tcPr>
          <w:p w14:paraId="4827B165"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73,5 </w:t>
            </w:r>
          </w:p>
        </w:tc>
        <w:tc>
          <w:tcPr>
            <w:tcW w:w="1200" w:type="dxa"/>
            <w:shd w:val="clear" w:color="auto" w:fill="auto"/>
            <w:noWrap/>
            <w:vAlign w:val="bottom"/>
            <w:hideMark/>
          </w:tcPr>
          <w:p w14:paraId="35CD5DFD"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169,4 </w:t>
            </w:r>
          </w:p>
        </w:tc>
      </w:tr>
      <w:tr w:rsidR="00F365AD" w:rsidRPr="009E6E6C" w14:paraId="35327571" w14:textId="77777777" w:rsidTr="007C5391">
        <w:trPr>
          <w:trHeight w:val="330"/>
          <w:jc w:val="center"/>
        </w:trPr>
        <w:tc>
          <w:tcPr>
            <w:tcW w:w="2340" w:type="dxa"/>
            <w:shd w:val="clear" w:color="auto" w:fill="auto"/>
            <w:noWrap/>
            <w:vAlign w:val="bottom"/>
            <w:hideMark/>
          </w:tcPr>
          <w:p w14:paraId="40DB9CCE"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Fósforo </w:t>
            </w:r>
          </w:p>
        </w:tc>
        <w:tc>
          <w:tcPr>
            <w:tcW w:w="1200" w:type="dxa"/>
            <w:shd w:val="clear" w:color="auto" w:fill="auto"/>
            <w:noWrap/>
            <w:vAlign w:val="bottom"/>
            <w:hideMark/>
          </w:tcPr>
          <w:p w14:paraId="441B729D"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383,7 </w:t>
            </w:r>
          </w:p>
        </w:tc>
        <w:tc>
          <w:tcPr>
            <w:tcW w:w="1200" w:type="dxa"/>
            <w:shd w:val="clear" w:color="auto" w:fill="auto"/>
            <w:noWrap/>
            <w:vAlign w:val="bottom"/>
            <w:hideMark/>
          </w:tcPr>
          <w:p w14:paraId="6C08BA76"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292,6 </w:t>
            </w:r>
          </w:p>
        </w:tc>
        <w:tc>
          <w:tcPr>
            <w:tcW w:w="1200" w:type="dxa"/>
            <w:shd w:val="clear" w:color="auto" w:fill="auto"/>
            <w:noWrap/>
            <w:vAlign w:val="bottom"/>
            <w:hideMark/>
          </w:tcPr>
          <w:p w14:paraId="25E6415F"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137,8 </w:t>
            </w:r>
          </w:p>
        </w:tc>
        <w:tc>
          <w:tcPr>
            <w:tcW w:w="1200" w:type="dxa"/>
            <w:shd w:val="clear" w:color="auto" w:fill="auto"/>
            <w:noWrap/>
            <w:vAlign w:val="bottom"/>
            <w:hideMark/>
          </w:tcPr>
          <w:p w14:paraId="0D66A0C6"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467,7 </w:t>
            </w:r>
          </w:p>
        </w:tc>
      </w:tr>
      <w:tr w:rsidR="00F365AD" w:rsidRPr="009E6E6C" w14:paraId="048BE49B" w14:textId="77777777" w:rsidTr="007C5391">
        <w:trPr>
          <w:trHeight w:val="315"/>
          <w:jc w:val="center"/>
        </w:trPr>
        <w:tc>
          <w:tcPr>
            <w:tcW w:w="2340" w:type="dxa"/>
            <w:shd w:val="clear" w:color="auto" w:fill="auto"/>
            <w:noWrap/>
            <w:vAlign w:val="bottom"/>
            <w:hideMark/>
          </w:tcPr>
          <w:p w14:paraId="6BD03BA7"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Potasio </w:t>
            </w:r>
          </w:p>
        </w:tc>
        <w:tc>
          <w:tcPr>
            <w:tcW w:w="1200" w:type="dxa"/>
            <w:shd w:val="clear" w:color="auto" w:fill="auto"/>
            <w:noWrap/>
            <w:vAlign w:val="bottom"/>
            <w:hideMark/>
          </w:tcPr>
          <w:p w14:paraId="2E8D5A13"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926,7 </w:t>
            </w:r>
          </w:p>
        </w:tc>
        <w:tc>
          <w:tcPr>
            <w:tcW w:w="1200" w:type="dxa"/>
            <w:shd w:val="clear" w:color="auto" w:fill="auto"/>
            <w:noWrap/>
            <w:vAlign w:val="bottom"/>
            <w:hideMark/>
          </w:tcPr>
          <w:p w14:paraId="7FC54DA9"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377,1 </w:t>
            </w:r>
          </w:p>
        </w:tc>
        <w:tc>
          <w:tcPr>
            <w:tcW w:w="1200" w:type="dxa"/>
            <w:shd w:val="clear" w:color="auto" w:fill="auto"/>
            <w:noWrap/>
            <w:vAlign w:val="bottom"/>
            <w:hideMark/>
          </w:tcPr>
          <w:p w14:paraId="4F414687"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118,3 </w:t>
            </w:r>
          </w:p>
        </w:tc>
        <w:tc>
          <w:tcPr>
            <w:tcW w:w="1200" w:type="dxa"/>
            <w:shd w:val="clear" w:color="auto" w:fill="auto"/>
            <w:noWrap/>
            <w:vAlign w:val="bottom"/>
            <w:hideMark/>
          </w:tcPr>
          <w:p w14:paraId="163B85E2"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578,3 </w:t>
            </w:r>
          </w:p>
        </w:tc>
      </w:tr>
      <w:tr w:rsidR="00F365AD" w:rsidRPr="009E6E6C" w14:paraId="67A8ACDE" w14:textId="77777777" w:rsidTr="007C5391">
        <w:trPr>
          <w:trHeight w:val="330"/>
          <w:jc w:val="center"/>
        </w:trPr>
        <w:tc>
          <w:tcPr>
            <w:tcW w:w="2340" w:type="dxa"/>
            <w:shd w:val="clear" w:color="auto" w:fill="auto"/>
            <w:noWrap/>
            <w:vAlign w:val="bottom"/>
            <w:hideMark/>
          </w:tcPr>
          <w:p w14:paraId="05CDB5F3"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Zinc </w:t>
            </w:r>
          </w:p>
        </w:tc>
        <w:tc>
          <w:tcPr>
            <w:tcW w:w="1200" w:type="dxa"/>
            <w:shd w:val="clear" w:color="auto" w:fill="auto"/>
            <w:noWrap/>
            <w:vAlign w:val="bottom"/>
            <w:hideMark/>
          </w:tcPr>
          <w:p w14:paraId="3FC9E220"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4,4 </w:t>
            </w:r>
          </w:p>
        </w:tc>
        <w:tc>
          <w:tcPr>
            <w:tcW w:w="1200" w:type="dxa"/>
            <w:shd w:val="clear" w:color="auto" w:fill="auto"/>
            <w:noWrap/>
            <w:vAlign w:val="bottom"/>
            <w:hideMark/>
          </w:tcPr>
          <w:p w14:paraId="3EF4BDF7"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2,9 </w:t>
            </w:r>
          </w:p>
        </w:tc>
        <w:tc>
          <w:tcPr>
            <w:tcW w:w="1200" w:type="dxa"/>
            <w:shd w:val="clear" w:color="auto" w:fill="auto"/>
            <w:noWrap/>
            <w:vAlign w:val="bottom"/>
            <w:hideMark/>
          </w:tcPr>
          <w:p w14:paraId="4E288C7D"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0,6 </w:t>
            </w:r>
          </w:p>
        </w:tc>
        <w:tc>
          <w:tcPr>
            <w:tcW w:w="1200" w:type="dxa"/>
            <w:shd w:val="clear" w:color="auto" w:fill="auto"/>
            <w:noWrap/>
            <w:vAlign w:val="bottom"/>
            <w:hideMark/>
          </w:tcPr>
          <w:p w14:paraId="04A27680" w14:textId="77777777" w:rsidR="00F365AD" w:rsidRPr="009E6E6C" w:rsidRDefault="00F365AD" w:rsidP="00826A31">
            <w:pPr>
              <w:spacing w:after="0" w:line="240" w:lineRule="auto"/>
              <w:jc w:val="center"/>
              <w:rPr>
                <w:rFonts w:eastAsia="Times New Roman"/>
                <w:color w:val="000000"/>
                <w:szCs w:val="24"/>
                <w:lang w:eastAsia="es-EC"/>
              </w:rPr>
            </w:pPr>
            <w:r w:rsidRPr="009E6E6C">
              <w:rPr>
                <w:rFonts w:eastAsia="Times New Roman"/>
                <w:color w:val="000000"/>
                <w:szCs w:val="24"/>
                <w:lang w:eastAsia="es-EC"/>
              </w:rPr>
              <w:t xml:space="preserve">            4,7 </w:t>
            </w:r>
          </w:p>
        </w:tc>
      </w:tr>
    </w:tbl>
    <w:p w14:paraId="4CFCAC78" w14:textId="47E549AC" w:rsidR="00F365AD" w:rsidRPr="00ED1E4D" w:rsidRDefault="00B70183" w:rsidP="004E0958">
      <w:pPr>
        <w:ind w:left="-352" w:firstLine="352"/>
        <w:contextualSpacing/>
        <w:jc w:val="left"/>
        <w:rPr>
          <w:sz w:val="18"/>
          <w:szCs w:val="18"/>
          <w:lang w:val="en-US"/>
        </w:rPr>
      </w:pPr>
      <w:r w:rsidRPr="004E0958">
        <w:rPr>
          <w:sz w:val="18"/>
          <w:szCs w:val="18"/>
        </w:rPr>
        <w:t xml:space="preserve">                </w:t>
      </w:r>
      <w:r w:rsidR="003E5431">
        <w:rPr>
          <w:sz w:val="18"/>
          <w:szCs w:val="18"/>
        </w:rPr>
        <w:t xml:space="preserve">          </w:t>
      </w:r>
      <w:r w:rsidR="00F365AD" w:rsidRPr="00ED1E4D">
        <w:rPr>
          <w:sz w:val="18"/>
          <w:szCs w:val="18"/>
          <w:lang w:val="en-US"/>
        </w:rPr>
        <w:t>*Valores en mg</w:t>
      </w:r>
    </w:p>
    <w:p w14:paraId="1471600C" w14:textId="42483249" w:rsidR="00F365AD" w:rsidRPr="00ED1E4D" w:rsidRDefault="003E5431" w:rsidP="00ED1E4D">
      <w:pPr>
        <w:ind w:firstLine="708"/>
        <w:contextualSpacing/>
        <w:jc w:val="left"/>
        <w:rPr>
          <w:sz w:val="16"/>
          <w:szCs w:val="18"/>
          <w:lang w:val="en-US"/>
        </w:rPr>
      </w:pPr>
      <w:r>
        <w:rPr>
          <w:sz w:val="18"/>
          <w:szCs w:val="18"/>
          <w:lang w:val="en-US"/>
        </w:rPr>
        <w:t xml:space="preserve">           </w:t>
      </w:r>
      <w:r w:rsidR="00F365AD" w:rsidRPr="00ED1E4D">
        <w:rPr>
          <w:sz w:val="18"/>
          <w:szCs w:val="18"/>
          <w:lang w:val="en-US"/>
        </w:rPr>
        <w:t xml:space="preserve">Fuente: </w:t>
      </w:r>
      <w:sdt>
        <w:sdtPr>
          <w:rPr>
            <w:sz w:val="18"/>
            <w:szCs w:val="18"/>
          </w:rPr>
          <w:id w:val="601072655"/>
          <w:citation/>
        </w:sdtPr>
        <w:sdtEndPr>
          <w:rPr>
            <w:sz w:val="16"/>
          </w:rPr>
        </w:sdtEndPr>
        <w:sdtContent>
          <w:r w:rsidR="00F365AD" w:rsidRPr="00ED1E4D">
            <w:rPr>
              <w:sz w:val="18"/>
              <w:szCs w:val="18"/>
            </w:rPr>
            <w:fldChar w:fldCharType="begin"/>
          </w:r>
          <w:r w:rsidR="00F365AD" w:rsidRPr="00ED1E4D">
            <w:rPr>
              <w:sz w:val="18"/>
              <w:szCs w:val="18"/>
              <w:lang w:val="en-US"/>
            </w:rPr>
            <w:instrText xml:space="preserve">CITATION FAO13 \l 12298 </w:instrText>
          </w:r>
          <w:r w:rsidR="00F365AD" w:rsidRPr="00ED1E4D">
            <w:rPr>
              <w:sz w:val="18"/>
              <w:szCs w:val="18"/>
            </w:rPr>
            <w:fldChar w:fldCharType="separate"/>
          </w:r>
          <w:r w:rsidR="00BC1846" w:rsidRPr="00ED1E4D">
            <w:rPr>
              <w:sz w:val="18"/>
              <w:szCs w:val="18"/>
              <w:lang w:val="en-US"/>
            </w:rPr>
            <w:t>(Food and Agriculture Organization to the United Nations, 2013)</w:t>
          </w:r>
          <w:r w:rsidR="00F365AD" w:rsidRPr="00ED1E4D">
            <w:rPr>
              <w:sz w:val="18"/>
              <w:szCs w:val="18"/>
            </w:rPr>
            <w:fldChar w:fldCharType="end"/>
          </w:r>
        </w:sdtContent>
      </w:sdt>
    </w:p>
    <w:p w14:paraId="163786B4" w14:textId="77777777" w:rsidR="004E0958" w:rsidRPr="00ED1E4D" w:rsidRDefault="004E0958" w:rsidP="00F365AD">
      <w:pPr>
        <w:contextualSpacing/>
        <w:rPr>
          <w:lang w:val="en-US"/>
        </w:rPr>
      </w:pPr>
    </w:p>
    <w:p w14:paraId="5C7E67C7" w14:textId="77777777" w:rsidR="00F365AD" w:rsidRDefault="00F365AD" w:rsidP="00F365AD">
      <w:pPr>
        <w:contextualSpacing/>
      </w:pPr>
      <w:r>
        <w:t xml:space="preserve">Por último, la quinua destaca por ser una fuente importante de vitaminas B2 (riboflavina) y ácido fólico en comparación con otros granos. Además tiene presencia de tiamina y niacina. En estado natural, posee cantidades significativas de vitamina E </w:t>
      </w:r>
      <w:sdt>
        <w:sdtPr>
          <w:id w:val="1545785082"/>
          <w:citation/>
        </w:sdtPr>
        <w:sdtEndPr/>
        <w:sdtContent>
          <w:r>
            <w:fldChar w:fldCharType="begin"/>
          </w:r>
          <w:r>
            <w:instrText xml:space="preserve">CITATION FAO13 \l 12298 </w:instrText>
          </w:r>
          <w:r>
            <w:fldChar w:fldCharType="separate"/>
          </w:r>
          <w:r w:rsidR="00BC1846">
            <w:rPr>
              <w:noProof/>
            </w:rPr>
            <w:t>(Food and Agriculture Organization to the United Nations, 2013)</w:t>
          </w:r>
          <w:r>
            <w:fldChar w:fldCharType="end"/>
          </w:r>
        </w:sdtContent>
      </w:sdt>
      <w:r>
        <w:t>.</w:t>
      </w:r>
    </w:p>
    <w:p w14:paraId="786018B4" w14:textId="77777777" w:rsidR="00F365AD" w:rsidRPr="00E45EFB" w:rsidRDefault="00F365AD" w:rsidP="00E45EFB">
      <w:pPr>
        <w:pStyle w:val="Ttulo4"/>
        <w:numPr>
          <w:ilvl w:val="2"/>
          <w:numId w:val="11"/>
        </w:numPr>
        <w:ind w:left="505" w:hanging="505"/>
        <w:rPr>
          <w:i w:val="0"/>
        </w:rPr>
      </w:pPr>
      <w:r w:rsidRPr="00E45EFB">
        <w:rPr>
          <w:i w:val="0"/>
        </w:rPr>
        <w:t>Partida arancelaria</w:t>
      </w:r>
    </w:p>
    <w:p w14:paraId="19A0A24F" w14:textId="77777777" w:rsidR="00BE102B" w:rsidRPr="00E45EFB" w:rsidRDefault="00BE102B" w:rsidP="00BE102B">
      <w:pPr>
        <w:pStyle w:val="TtulodeTDC"/>
        <w:rPr>
          <w:i w:val="0"/>
        </w:rPr>
      </w:pPr>
      <w:bookmarkStart w:id="27" w:name="_Toc446973201"/>
      <w:r w:rsidRPr="00E45EFB">
        <w:rPr>
          <w:i w:val="0"/>
        </w:rPr>
        <w:t xml:space="preserve">Tabla </w:t>
      </w:r>
      <w:r w:rsidR="00CB1C2A" w:rsidRPr="00E45EFB">
        <w:rPr>
          <w:i w:val="0"/>
        </w:rPr>
        <w:fldChar w:fldCharType="begin"/>
      </w:r>
      <w:r w:rsidR="00CB1C2A" w:rsidRPr="00E45EFB">
        <w:rPr>
          <w:i w:val="0"/>
        </w:rPr>
        <w:instrText xml:space="preserve"> SEQ Tabla \* ARABIC </w:instrText>
      </w:r>
      <w:r w:rsidR="00CB1C2A" w:rsidRPr="00E45EFB">
        <w:rPr>
          <w:i w:val="0"/>
        </w:rPr>
        <w:fldChar w:fldCharType="separate"/>
      </w:r>
      <w:r w:rsidR="00B828B8">
        <w:rPr>
          <w:i w:val="0"/>
          <w:noProof/>
        </w:rPr>
        <w:t>3</w:t>
      </w:r>
      <w:r w:rsidR="00CB1C2A" w:rsidRPr="00E45EFB">
        <w:rPr>
          <w:i w:val="0"/>
          <w:noProof/>
        </w:rPr>
        <w:fldChar w:fldCharType="end"/>
      </w:r>
      <w:r w:rsidRPr="00E45EFB">
        <w:rPr>
          <w:i w:val="0"/>
        </w:rPr>
        <w:t>: Partida Arancelaria de la Quinua</w:t>
      </w:r>
      <w:bookmarkEnd w:id="27"/>
    </w:p>
    <w:tbl>
      <w:tblPr>
        <w:tblStyle w:val="Tablaconcuadrcula"/>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4414"/>
        <w:gridCol w:w="4414"/>
      </w:tblGrid>
      <w:tr w:rsidR="00F365AD" w14:paraId="2ECDF419" w14:textId="77777777" w:rsidTr="00826A31">
        <w:tc>
          <w:tcPr>
            <w:tcW w:w="4414" w:type="dxa"/>
          </w:tcPr>
          <w:p w14:paraId="427F8059" w14:textId="77777777" w:rsidR="00F365AD" w:rsidRPr="00A7239C" w:rsidRDefault="00F365AD" w:rsidP="00826A31">
            <w:pPr>
              <w:rPr>
                <w:b/>
              </w:rPr>
            </w:pPr>
            <w:r w:rsidRPr="00A7239C">
              <w:rPr>
                <w:b/>
              </w:rPr>
              <w:t>Sección II:</w:t>
            </w:r>
          </w:p>
        </w:tc>
        <w:tc>
          <w:tcPr>
            <w:tcW w:w="4414" w:type="dxa"/>
          </w:tcPr>
          <w:p w14:paraId="306BB365" w14:textId="77777777" w:rsidR="00F365AD" w:rsidRDefault="00F365AD" w:rsidP="00826A31">
            <w:r>
              <w:t>PRODUCTOS DEL REINO VEGETAL</w:t>
            </w:r>
          </w:p>
        </w:tc>
      </w:tr>
      <w:tr w:rsidR="00F365AD" w14:paraId="59839AB7" w14:textId="77777777" w:rsidTr="00826A31">
        <w:tc>
          <w:tcPr>
            <w:tcW w:w="4414" w:type="dxa"/>
          </w:tcPr>
          <w:p w14:paraId="3BFF852E" w14:textId="100E1A9C" w:rsidR="00BB00C8" w:rsidRPr="00A7239C" w:rsidRDefault="00F365AD" w:rsidP="00826A31">
            <w:pPr>
              <w:rPr>
                <w:b/>
              </w:rPr>
            </w:pPr>
            <w:r w:rsidRPr="00A7239C">
              <w:rPr>
                <w:b/>
              </w:rPr>
              <w:t>Capítulo 10:</w:t>
            </w:r>
          </w:p>
        </w:tc>
        <w:tc>
          <w:tcPr>
            <w:tcW w:w="4414" w:type="dxa"/>
          </w:tcPr>
          <w:p w14:paraId="54A5037C" w14:textId="77777777" w:rsidR="00F365AD" w:rsidRDefault="00F365AD" w:rsidP="00826A31">
            <w:r>
              <w:t>Cereales</w:t>
            </w:r>
          </w:p>
        </w:tc>
      </w:tr>
      <w:tr w:rsidR="00F365AD" w14:paraId="69504967" w14:textId="77777777" w:rsidTr="00826A31">
        <w:tc>
          <w:tcPr>
            <w:tcW w:w="4414" w:type="dxa"/>
          </w:tcPr>
          <w:p w14:paraId="28D34330" w14:textId="77777777" w:rsidR="00F365AD" w:rsidRPr="00A7239C" w:rsidRDefault="00F365AD" w:rsidP="00826A31">
            <w:pPr>
              <w:rPr>
                <w:b/>
              </w:rPr>
            </w:pPr>
            <w:r w:rsidRPr="00A7239C">
              <w:rPr>
                <w:b/>
              </w:rPr>
              <w:t>Partida Sistema Armonizado 1008:</w:t>
            </w:r>
          </w:p>
        </w:tc>
        <w:tc>
          <w:tcPr>
            <w:tcW w:w="4414" w:type="dxa"/>
          </w:tcPr>
          <w:p w14:paraId="4BC540B5" w14:textId="77777777" w:rsidR="00F365AD" w:rsidRDefault="00F365AD" w:rsidP="00826A31">
            <w:r>
              <w:t>Alforfón, mijo y alpiste; los demás cereales</w:t>
            </w:r>
          </w:p>
        </w:tc>
      </w:tr>
      <w:tr w:rsidR="00F365AD" w14:paraId="61EB365A" w14:textId="77777777" w:rsidTr="00826A31">
        <w:tc>
          <w:tcPr>
            <w:tcW w:w="4414" w:type="dxa"/>
          </w:tcPr>
          <w:p w14:paraId="481CD29A" w14:textId="77777777" w:rsidR="00F365AD" w:rsidRPr="00A7239C" w:rsidRDefault="00F365AD" w:rsidP="00826A31">
            <w:pPr>
              <w:rPr>
                <w:b/>
              </w:rPr>
            </w:pPr>
            <w:r w:rsidRPr="00A7239C">
              <w:rPr>
                <w:b/>
              </w:rPr>
              <w:t>Subpartida Sistema Armonizado 100850:</w:t>
            </w:r>
          </w:p>
        </w:tc>
        <w:tc>
          <w:tcPr>
            <w:tcW w:w="4414" w:type="dxa"/>
          </w:tcPr>
          <w:p w14:paraId="14C84427" w14:textId="77777777" w:rsidR="00F365AD" w:rsidRDefault="00F365AD" w:rsidP="00826A31">
            <w:r>
              <w:t>Quinua “Chenopodium quinoa”</w:t>
            </w:r>
          </w:p>
        </w:tc>
      </w:tr>
    </w:tbl>
    <w:p w14:paraId="1790FEA7" w14:textId="77777777" w:rsidR="00F365AD" w:rsidRPr="00ED1E4D" w:rsidRDefault="00F365AD" w:rsidP="00ED1E4D">
      <w:pPr>
        <w:rPr>
          <w:sz w:val="20"/>
          <w:szCs w:val="18"/>
        </w:rPr>
      </w:pPr>
      <w:r w:rsidRPr="00ED1E4D">
        <w:rPr>
          <w:sz w:val="18"/>
          <w:szCs w:val="18"/>
        </w:rPr>
        <w:t xml:space="preserve">Fuente: </w:t>
      </w:r>
      <w:sdt>
        <w:sdtPr>
          <w:rPr>
            <w:sz w:val="18"/>
            <w:szCs w:val="18"/>
          </w:rPr>
          <w:id w:val="830882646"/>
          <w:citation/>
        </w:sdtPr>
        <w:sdtEndPr/>
        <w:sdtContent>
          <w:r w:rsidRPr="00ED1E4D">
            <w:rPr>
              <w:sz w:val="18"/>
              <w:szCs w:val="18"/>
            </w:rPr>
            <w:fldChar w:fldCharType="begin"/>
          </w:r>
          <w:r w:rsidRPr="00ED1E4D">
            <w:rPr>
              <w:sz w:val="18"/>
              <w:szCs w:val="18"/>
            </w:rPr>
            <w:instrText xml:space="preserve">CITATION ITC15 \l 12298 </w:instrText>
          </w:r>
          <w:r w:rsidRPr="00ED1E4D">
            <w:rPr>
              <w:sz w:val="18"/>
              <w:szCs w:val="18"/>
            </w:rPr>
            <w:fldChar w:fldCharType="separate"/>
          </w:r>
          <w:r w:rsidR="00BC1846" w:rsidRPr="00ED1E4D">
            <w:rPr>
              <w:sz w:val="18"/>
              <w:szCs w:val="18"/>
            </w:rPr>
            <w:t>(Centro de Comercio Internacional, 2015)</w:t>
          </w:r>
          <w:r w:rsidRPr="00ED1E4D">
            <w:rPr>
              <w:sz w:val="18"/>
              <w:szCs w:val="18"/>
            </w:rPr>
            <w:fldChar w:fldCharType="end"/>
          </w:r>
        </w:sdtContent>
      </w:sdt>
    </w:p>
    <w:p w14:paraId="30860BFC" w14:textId="77777777" w:rsidR="00F365AD" w:rsidRPr="00E45EFB" w:rsidRDefault="00F365AD" w:rsidP="00750F71">
      <w:pPr>
        <w:pStyle w:val="Ttulo4"/>
        <w:numPr>
          <w:ilvl w:val="2"/>
          <w:numId w:val="11"/>
        </w:numPr>
        <w:spacing w:before="0" w:after="200"/>
        <w:ind w:left="505" w:hanging="505"/>
        <w:contextualSpacing/>
        <w:rPr>
          <w:i w:val="0"/>
        </w:rPr>
      </w:pPr>
      <w:r w:rsidRPr="00E45EFB">
        <w:rPr>
          <w:i w:val="0"/>
        </w:rPr>
        <w:t>Comercio mundial de la quinua</w:t>
      </w:r>
    </w:p>
    <w:p w14:paraId="218688AF" w14:textId="2D1B2F99" w:rsidR="00F365AD" w:rsidRDefault="00F365AD" w:rsidP="00750F71">
      <w:pPr>
        <w:contextualSpacing/>
      </w:pPr>
      <w:r w:rsidRPr="00103630">
        <w:t xml:space="preserve">El comercio mundial de la Quinua ha crecido a pasos agigantados en los últimos años. La ALADI </w:t>
      </w:r>
      <w:r w:rsidR="008A3A71">
        <w:t xml:space="preserve">(Asociación Latinoamericana de Integración) </w:t>
      </w:r>
      <w:r w:rsidRPr="00103630">
        <w:t xml:space="preserve">en conjunto con la FAO </w:t>
      </w:r>
      <w:sdt>
        <w:sdtPr>
          <w:id w:val="173000514"/>
          <w:citation/>
        </w:sdtPr>
        <w:sdtEndPr/>
        <w:sdtContent>
          <w:r w:rsidRPr="00103630">
            <w:fldChar w:fldCharType="begin"/>
          </w:r>
          <w:r w:rsidRPr="00103630">
            <w:instrText xml:space="preserve">CITATION ALA14 \n  \t  \l 12298 </w:instrText>
          </w:r>
          <w:r w:rsidRPr="00103630">
            <w:fldChar w:fldCharType="separate"/>
          </w:r>
          <w:r w:rsidR="00BC1846">
            <w:rPr>
              <w:noProof/>
            </w:rPr>
            <w:t>(2014)</w:t>
          </w:r>
          <w:r w:rsidRPr="00103630">
            <w:fldChar w:fldCharType="end"/>
          </w:r>
        </w:sdtContent>
      </w:sdt>
      <w:r w:rsidRPr="00103630">
        <w:t xml:space="preserve"> muestran que el repunte de las exportaciones de este cereal entre los países que conforman este bloque empezó en el año 2006 a causa del cambio de los hábitos de consumo de países como Estados Unidos y aquellos que conforman la Unión Europea debido a la promoción de sus beneficios a nivel nutricional </w:t>
      </w:r>
      <w:sdt>
        <w:sdtPr>
          <w:id w:val="1936091508"/>
          <w:citation/>
        </w:sdtPr>
        <w:sdtEndPr/>
        <w:sdtContent>
          <w:r w:rsidRPr="00103630">
            <w:fldChar w:fldCharType="begin"/>
          </w:r>
          <w:r>
            <w:instrText xml:space="preserve">CITATION Age14 \l 12298 </w:instrText>
          </w:r>
          <w:r w:rsidRPr="00103630">
            <w:fldChar w:fldCharType="separate"/>
          </w:r>
          <w:r w:rsidR="00BC1846">
            <w:rPr>
              <w:noProof/>
            </w:rPr>
            <w:t>(Agencia Pública de Noticias del Ecuador y Suramérica, 2014)</w:t>
          </w:r>
          <w:r w:rsidRPr="00103630">
            <w:fldChar w:fldCharType="end"/>
          </w:r>
        </w:sdtContent>
      </w:sdt>
      <w:r w:rsidRPr="00103630">
        <w:t xml:space="preserve">. </w:t>
      </w:r>
    </w:p>
    <w:p w14:paraId="413655A6" w14:textId="77777777" w:rsidR="00F365AD" w:rsidRPr="00103630" w:rsidRDefault="00F365AD" w:rsidP="00750F71">
      <w:pPr>
        <w:contextualSpacing/>
      </w:pPr>
      <w:r w:rsidRPr="00103630">
        <w:lastRenderedPageBreak/>
        <w:t>El comercio mundial de quinua ascendió a 463 millones de dólares para el año 2014. Existe una concentración marcada tanto en los países exportadores como importadores como se puede ver a continuación:</w:t>
      </w:r>
    </w:p>
    <w:p w14:paraId="5C80A45C" w14:textId="77777777" w:rsidR="00F365AD" w:rsidRPr="00E45EFB" w:rsidRDefault="00F365AD" w:rsidP="00F365AD">
      <w:pPr>
        <w:pStyle w:val="Descripcin"/>
        <w:keepNext/>
        <w:ind w:left="-354"/>
        <w:jc w:val="center"/>
        <w:rPr>
          <w:b/>
          <w:i w:val="0"/>
          <w:sz w:val="24"/>
          <w:szCs w:val="24"/>
        </w:rPr>
      </w:pPr>
      <w:bookmarkStart w:id="28" w:name="_Toc446973202"/>
      <w:r w:rsidRPr="00E45EFB">
        <w:rPr>
          <w:b/>
          <w:i w:val="0"/>
          <w:color w:val="auto"/>
          <w:sz w:val="24"/>
          <w:szCs w:val="24"/>
        </w:rPr>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4</w:t>
      </w:r>
      <w:r w:rsidRPr="00E45EFB">
        <w:rPr>
          <w:b/>
          <w:i w:val="0"/>
          <w:color w:val="auto"/>
          <w:sz w:val="24"/>
          <w:szCs w:val="24"/>
        </w:rPr>
        <w:fldChar w:fldCharType="end"/>
      </w:r>
      <w:r w:rsidRPr="00E45EFB">
        <w:rPr>
          <w:b/>
          <w:i w:val="0"/>
          <w:color w:val="auto"/>
          <w:sz w:val="24"/>
          <w:szCs w:val="24"/>
        </w:rPr>
        <w:t>: Principales exportadores de quinua, 2014</w:t>
      </w:r>
      <w:bookmarkEnd w:id="28"/>
    </w:p>
    <w:tbl>
      <w:tblPr>
        <w:tblW w:w="3640" w:type="dxa"/>
        <w:jc w:val="center"/>
        <w:tblBorders>
          <w:top w:val="single" w:sz="12" w:space="0" w:color="auto"/>
        </w:tblBorders>
        <w:tblCellMar>
          <w:left w:w="70" w:type="dxa"/>
          <w:right w:w="70" w:type="dxa"/>
        </w:tblCellMar>
        <w:tblLook w:val="04A0" w:firstRow="1" w:lastRow="0" w:firstColumn="1" w:lastColumn="0" w:noHBand="0" w:noVBand="1"/>
      </w:tblPr>
      <w:tblGrid>
        <w:gridCol w:w="1200"/>
        <w:gridCol w:w="1394"/>
        <w:gridCol w:w="1200"/>
      </w:tblGrid>
      <w:tr w:rsidR="00F365AD" w:rsidRPr="00A96BD2" w14:paraId="0226554C" w14:textId="77777777" w:rsidTr="007C5391">
        <w:trPr>
          <w:trHeight w:val="330"/>
          <w:jc w:val="center"/>
        </w:trPr>
        <w:tc>
          <w:tcPr>
            <w:tcW w:w="1200" w:type="dxa"/>
            <w:tcBorders>
              <w:top w:val="single" w:sz="12" w:space="0" w:color="auto"/>
              <w:bottom w:val="single" w:sz="12" w:space="0" w:color="auto"/>
            </w:tcBorders>
            <w:shd w:val="clear" w:color="auto" w:fill="auto"/>
            <w:noWrap/>
            <w:vAlign w:val="bottom"/>
            <w:hideMark/>
          </w:tcPr>
          <w:p w14:paraId="4E2E3C35" w14:textId="77777777" w:rsidR="00F365AD" w:rsidRPr="00103630" w:rsidRDefault="00F365AD" w:rsidP="00826A31">
            <w:pPr>
              <w:spacing w:after="0" w:line="240" w:lineRule="auto"/>
              <w:ind w:left="60"/>
              <w:rPr>
                <w:rFonts w:ascii="Calibri" w:eastAsia="Times New Roman" w:hAnsi="Calibri"/>
                <w:color w:val="000000"/>
                <w:lang w:eastAsia="es-EC"/>
              </w:rPr>
            </w:pPr>
          </w:p>
        </w:tc>
        <w:tc>
          <w:tcPr>
            <w:tcW w:w="1240" w:type="dxa"/>
            <w:tcBorders>
              <w:top w:val="single" w:sz="12" w:space="0" w:color="auto"/>
              <w:bottom w:val="single" w:sz="12" w:space="0" w:color="auto"/>
            </w:tcBorders>
            <w:shd w:val="clear" w:color="auto" w:fill="auto"/>
            <w:noWrap/>
            <w:vAlign w:val="bottom"/>
            <w:hideMark/>
          </w:tcPr>
          <w:p w14:paraId="5EC88E7A" w14:textId="77777777" w:rsidR="00F365AD" w:rsidRPr="00103630" w:rsidRDefault="00F365AD" w:rsidP="00826A31">
            <w:pPr>
              <w:spacing w:after="0" w:line="240" w:lineRule="auto"/>
              <w:ind w:left="60"/>
              <w:jc w:val="center"/>
              <w:rPr>
                <w:rFonts w:eastAsia="Times New Roman"/>
                <w:b/>
                <w:bCs/>
                <w:color w:val="000000"/>
                <w:szCs w:val="24"/>
                <w:lang w:eastAsia="es-EC"/>
              </w:rPr>
            </w:pPr>
            <w:r w:rsidRPr="00103630">
              <w:rPr>
                <w:rFonts w:eastAsia="Times New Roman"/>
                <w:b/>
                <w:bCs/>
                <w:color w:val="000000"/>
                <w:szCs w:val="24"/>
                <w:lang w:eastAsia="es-EC"/>
              </w:rPr>
              <w:t>2014</w:t>
            </w:r>
          </w:p>
        </w:tc>
        <w:tc>
          <w:tcPr>
            <w:tcW w:w="1200" w:type="dxa"/>
            <w:tcBorders>
              <w:top w:val="single" w:sz="12" w:space="0" w:color="auto"/>
              <w:bottom w:val="single" w:sz="12" w:space="0" w:color="auto"/>
            </w:tcBorders>
            <w:shd w:val="clear" w:color="auto" w:fill="auto"/>
            <w:noWrap/>
            <w:vAlign w:val="bottom"/>
            <w:hideMark/>
          </w:tcPr>
          <w:p w14:paraId="4F0EB443" w14:textId="77777777" w:rsidR="00F365AD" w:rsidRPr="00103630" w:rsidRDefault="00F365AD" w:rsidP="00826A31">
            <w:pPr>
              <w:spacing w:after="0" w:line="240" w:lineRule="auto"/>
              <w:ind w:left="60"/>
              <w:jc w:val="center"/>
              <w:rPr>
                <w:rFonts w:eastAsia="Times New Roman"/>
                <w:b/>
                <w:bCs/>
                <w:color w:val="000000"/>
                <w:szCs w:val="24"/>
                <w:lang w:eastAsia="es-EC"/>
              </w:rPr>
            </w:pPr>
            <w:r w:rsidRPr="00103630">
              <w:rPr>
                <w:rFonts w:eastAsia="Times New Roman"/>
                <w:b/>
                <w:bCs/>
                <w:color w:val="000000"/>
                <w:szCs w:val="24"/>
                <w:lang w:eastAsia="es-EC"/>
              </w:rPr>
              <w:t>%</w:t>
            </w:r>
          </w:p>
        </w:tc>
      </w:tr>
      <w:tr w:rsidR="00F365AD" w:rsidRPr="00A96BD2" w14:paraId="40C57046" w14:textId="77777777" w:rsidTr="007C5391">
        <w:trPr>
          <w:trHeight w:val="315"/>
          <w:jc w:val="center"/>
        </w:trPr>
        <w:tc>
          <w:tcPr>
            <w:tcW w:w="1200" w:type="dxa"/>
            <w:tcBorders>
              <w:top w:val="single" w:sz="12" w:space="0" w:color="auto"/>
            </w:tcBorders>
            <w:shd w:val="clear" w:color="auto" w:fill="auto"/>
            <w:noWrap/>
            <w:vAlign w:val="bottom"/>
            <w:hideMark/>
          </w:tcPr>
          <w:p w14:paraId="13A2E7C1"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ALADI</w:t>
            </w:r>
          </w:p>
        </w:tc>
        <w:tc>
          <w:tcPr>
            <w:tcW w:w="1240" w:type="dxa"/>
            <w:tcBorders>
              <w:top w:val="single" w:sz="12" w:space="0" w:color="auto"/>
            </w:tcBorders>
            <w:shd w:val="clear" w:color="auto" w:fill="auto"/>
            <w:noWrap/>
            <w:vAlign w:val="bottom"/>
            <w:hideMark/>
          </w:tcPr>
          <w:p w14:paraId="6BA191DB" w14:textId="77777777" w:rsidR="00F365AD" w:rsidRPr="00103630" w:rsidRDefault="00F365AD" w:rsidP="00826A31">
            <w:pPr>
              <w:spacing w:after="0" w:line="240" w:lineRule="auto"/>
              <w:ind w:left="474"/>
              <w:rPr>
                <w:rFonts w:eastAsia="Times New Roman"/>
                <w:color w:val="000000"/>
                <w:szCs w:val="24"/>
                <w:lang w:eastAsia="es-EC"/>
              </w:rPr>
            </w:pPr>
            <w:r w:rsidRPr="00103630">
              <w:rPr>
                <w:rFonts w:eastAsia="Times New Roman"/>
                <w:color w:val="000000"/>
                <w:szCs w:val="24"/>
                <w:lang w:eastAsia="es-EC"/>
              </w:rPr>
              <w:t xml:space="preserve">396.849 </w:t>
            </w:r>
          </w:p>
        </w:tc>
        <w:tc>
          <w:tcPr>
            <w:tcW w:w="1200" w:type="dxa"/>
            <w:tcBorders>
              <w:top w:val="single" w:sz="12" w:space="0" w:color="auto"/>
            </w:tcBorders>
            <w:shd w:val="clear" w:color="auto" w:fill="auto"/>
            <w:noWrap/>
            <w:vAlign w:val="bottom"/>
            <w:hideMark/>
          </w:tcPr>
          <w:p w14:paraId="30657EFD"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86%</w:t>
            </w:r>
          </w:p>
        </w:tc>
      </w:tr>
      <w:tr w:rsidR="00F365AD" w:rsidRPr="00A96BD2" w14:paraId="466ADADC" w14:textId="77777777" w:rsidTr="007C5391">
        <w:trPr>
          <w:trHeight w:val="315"/>
          <w:jc w:val="center"/>
        </w:trPr>
        <w:tc>
          <w:tcPr>
            <w:tcW w:w="1200" w:type="dxa"/>
            <w:shd w:val="clear" w:color="auto" w:fill="auto"/>
            <w:noWrap/>
            <w:vAlign w:val="bottom"/>
            <w:hideMark/>
          </w:tcPr>
          <w:p w14:paraId="71710864"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EEUU</w:t>
            </w:r>
          </w:p>
        </w:tc>
        <w:tc>
          <w:tcPr>
            <w:tcW w:w="1240" w:type="dxa"/>
            <w:shd w:val="clear" w:color="auto" w:fill="auto"/>
            <w:noWrap/>
            <w:vAlign w:val="bottom"/>
            <w:hideMark/>
          </w:tcPr>
          <w:p w14:paraId="185BD1CD" w14:textId="77777777" w:rsidR="00F365AD" w:rsidRPr="00103630" w:rsidRDefault="00F365AD" w:rsidP="00826A31">
            <w:pPr>
              <w:spacing w:after="0" w:line="240" w:lineRule="auto"/>
              <w:ind w:left="474"/>
              <w:rPr>
                <w:rFonts w:eastAsia="Times New Roman"/>
                <w:color w:val="000000"/>
                <w:szCs w:val="24"/>
                <w:lang w:eastAsia="es-EC"/>
              </w:rPr>
            </w:pPr>
            <w:r w:rsidRPr="00103630">
              <w:rPr>
                <w:rFonts w:eastAsia="Times New Roman"/>
                <w:color w:val="000000"/>
                <w:szCs w:val="24"/>
                <w:lang w:eastAsia="es-EC"/>
              </w:rPr>
              <w:t xml:space="preserve">31.786 </w:t>
            </w:r>
          </w:p>
        </w:tc>
        <w:tc>
          <w:tcPr>
            <w:tcW w:w="1200" w:type="dxa"/>
            <w:shd w:val="clear" w:color="auto" w:fill="auto"/>
            <w:noWrap/>
            <w:vAlign w:val="bottom"/>
            <w:hideMark/>
          </w:tcPr>
          <w:p w14:paraId="158C677D"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7%</w:t>
            </w:r>
          </w:p>
        </w:tc>
      </w:tr>
      <w:tr w:rsidR="00F365AD" w:rsidRPr="00A96BD2" w14:paraId="674575D1" w14:textId="77777777" w:rsidTr="007C5391">
        <w:trPr>
          <w:trHeight w:val="315"/>
          <w:jc w:val="center"/>
        </w:trPr>
        <w:tc>
          <w:tcPr>
            <w:tcW w:w="1200" w:type="dxa"/>
            <w:shd w:val="clear" w:color="auto" w:fill="auto"/>
            <w:noWrap/>
            <w:vAlign w:val="bottom"/>
            <w:hideMark/>
          </w:tcPr>
          <w:p w14:paraId="0C5B0975"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UE</w:t>
            </w:r>
          </w:p>
        </w:tc>
        <w:tc>
          <w:tcPr>
            <w:tcW w:w="1240" w:type="dxa"/>
            <w:shd w:val="clear" w:color="auto" w:fill="auto"/>
            <w:noWrap/>
            <w:vAlign w:val="bottom"/>
            <w:hideMark/>
          </w:tcPr>
          <w:p w14:paraId="1B8697AF" w14:textId="77777777" w:rsidR="00F365AD" w:rsidRPr="00103630" w:rsidRDefault="00F365AD" w:rsidP="00826A31">
            <w:pPr>
              <w:spacing w:after="0" w:line="240" w:lineRule="auto"/>
              <w:ind w:left="474"/>
              <w:rPr>
                <w:rFonts w:eastAsia="Times New Roman"/>
                <w:color w:val="000000"/>
                <w:szCs w:val="24"/>
                <w:lang w:eastAsia="es-EC"/>
              </w:rPr>
            </w:pPr>
            <w:r w:rsidRPr="00103630">
              <w:rPr>
                <w:rFonts w:eastAsia="Times New Roman"/>
                <w:color w:val="000000"/>
                <w:szCs w:val="24"/>
                <w:lang w:eastAsia="es-EC"/>
              </w:rPr>
              <w:t xml:space="preserve">23.585 </w:t>
            </w:r>
          </w:p>
        </w:tc>
        <w:tc>
          <w:tcPr>
            <w:tcW w:w="1200" w:type="dxa"/>
            <w:shd w:val="clear" w:color="auto" w:fill="auto"/>
            <w:noWrap/>
            <w:vAlign w:val="bottom"/>
            <w:hideMark/>
          </w:tcPr>
          <w:p w14:paraId="1575E7AC"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5%</w:t>
            </w:r>
          </w:p>
        </w:tc>
      </w:tr>
      <w:tr w:rsidR="00F365AD" w:rsidRPr="00A96BD2" w14:paraId="58BDBF4C" w14:textId="77777777" w:rsidTr="007C5391">
        <w:trPr>
          <w:trHeight w:val="330"/>
          <w:jc w:val="center"/>
        </w:trPr>
        <w:tc>
          <w:tcPr>
            <w:tcW w:w="1200" w:type="dxa"/>
            <w:tcBorders>
              <w:bottom w:val="nil"/>
            </w:tcBorders>
            <w:shd w:val="clear" w:color="auto" w:fill="auto"/>
            <w:noWrap/>
            <w:vAlign w:val="bottom"/>
            <w:hideMark/>
          </w:tcPr>
          <w:p w14:paraId="6EC5C5F0"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OTROS</w:t>
            </w:r>
          </w:p>
        </w:tc>
        <w:tc>
          <w:tcPr>
            <w:tcW w:w="1240" w:type="dxa"/>
            <w:tcBorders>
              <w:bottom w:val="nil"/>
            </w:tcBorders>
            <w:shd w:val="clear" w:color="auto" w:fill="auto"/>
            <w:noWrap/>
            <w:vAlign w:val="bottom"/>
            <w:hideMark/>
          </w:tcPr>
          <w:p w14:paraId="3447816C" w14:textId="77777777" w:rsidR="00F365AD" w:rsidRPr="00103630" w:rsidRDefault="00F365AD" w:rsidP="00826A31">
            <w:pPr>
              <w:spacing w:after="0" w:line="240" w:lineRule="auto"/>
              <w:ind w:left="474"/>
              <w:rPr>
                <w:rFonts w:eastAsia="Times New Roman"/>
                <w:color w:val="000000"/>
                <w:szCs w:val="24"/>
                <w:lang w:eastAsia="es-EC"/>
              </w:rPr>
            </w:pPr>
            <w:r w:rsidRPr="00103630">
              <w:rPr>
                <w:rFonts w:eastAsia="Times New Roman"/>
                <w:color w:val="000000"/>
                <w:szCs w:val="24"/>
                <w:lang w:eastAsia="es-EC"/>
              </w:rPr>
              <w:t xml:space="preserve">11.759 </w:t>
            </w:r>
          </w:p>
        </w:tc>
        <w:tc>
          <w:tcPr>
            <w:tcW w:w="1200" w:type="dxa"/>
            <w:tcBorders>
              <w:bottom w:val="nil"/>
            </w:tcBorders>
            <w:shd w:val="clear" w:color="auto" w:fill="auto"/>
            <w:noWrap/>
            <w:vAlign w:val="bottom"/>
            <w:hideMark/>
          </w:tcPr>
          <w:p w14:paraId="363CE22E"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3%</w:t>
            </w:r>
          </w:p>
        </w:tc>
      </w:tr>
      <w:tr w:rsidR="00F365AD" w:rsidRPr="00A96BD2" w14:paraId="4BD76876" w14:textId="77777777" w:rsidTr="007C5391">
        <w:trPr>
          <w:trHeight w:val="330"/>
          <w:jc w:val="center"/>
        </w:trPr>
        <w:tc>
          <w:tcPr>
            <w:tcW w:w="1200" w:type="dxa"/>
            <w:tcBorders>
              <w:top w:val="nil"/>
              <w:bottom w:val="single" w:sz="12" w:space="0" w:color="auto"/>
            </w:tcBorders>
            <w:shd w:val="clear" w:color="auto" w:fill="auto"/>
            <w:noWrap/>
            <w:vAlign w:val="bottom"/>
            <w:hideMark/>
          </w:tcPr>
          <w:p w14:paraId="0260B67B"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TOTAL</w:t>
            </w:r>
          </w:p>
        </w:tc>
        <w:tc>
          <w:tcPr>
            <w:tcW w:w="1240" w:type="dxa"/>
            <w:tcBorders>
              <w:top w:val="nil"/>
              <w:bottom w:val="single" w:sz="12" w:space="0" w:color="auto"/>
            </w:tcBorders>
            <w:shd w:val="clear" w:color="auto" w:fill="auto"/>
            <w:noWrap/>
            <w:vAlign w:val="bottom"/>
            <w:hideMark/>
          </w:tcPr>
          <w:p w14:paraId="5345476D" w14:textId="77777777" w:rsidR="00F365AD" w:rsidRPr="00103630" w:rsidRDefault="00F365AD" w:rsidP="00826A31">
            <w:pPr>
              <w:spacing w:after="0" w:line="240" w:lineRule="auto"/>
              <w:ind w:left="474"/>
              <w:rPr>
                <w:rFonts w:eastAsia="Times New Roman"/>
                <w:color w:val="000000"/>
                <w:szCs w:val="24"/>
                <w:lang w:eastAsia="es-EC"/>
              </w:rPr>
            </w:pPr>
            <w:r w:rsidRPr="00103630">
              <w:rPr>
                <w:rFonts w:eastAsia="Times New Roman"/>
                <w:color w:val="000000"/>
                <w:szCs w:val="24"/>
                <w:lang w:eastAsia="es-EC"/>
              </w:rPr>
              <w:t xml:space="preserve">463.979 </w:t>
            </w:r>
          </w:p>
        </w:tc>
        <w:tc>
          <w:tcPr>
            <w:tcW w:w="1200" w:type="dxa"/>
            <w:tcBorders>
              <w:top w:val="nil"/>
              <w:bottom w:val="single" w:sz="12" w:space="0" w:color="auto"/>
            </w:tcBorders>
            <w:shd w:val="clear" w:color="auto" w:fill="auto"/>
            <w:noWrap/>
            <w:vAlign w:val="bottom"/>
            <w:hideMark/>
          </w:tcPr>
          <w:p w14:paraId="23D20A07" w14:textId="77777777" w:rsidR="00F365AD" w:rsidRPr="00103630" w:rsidRDefault="00F365AD" w:rsidP="00826A31">
            <w:pPr>
              <w:spacing w:after="0" w:line="240" w:lineRule="auto"/>
              <w:ind w:left="60"/>
              <w:rPr>
                <w:rFonts w:eastAsia="Times New Roman"/>
                <w:color w:val="000000"/>
                <w:szCs w:val="24"/>
                <w:lang w:eastAsia="es-EC"/>
              </w:rPr>
            </w:pPr>
          </w:p>
        </w:tc>
      </w:tr>
    </w:tbl>
    <w:p w14:paraId="21CF605E" w14:textId="3B70A1C4" w:rsidR="00F365AD" w:rsidRPr="00ED1E4D" w:rsidRDefault="00ED1E4D" w:rsidP="00ED1E4D">
      <w:pPr>
        <w:contextualSpacing/>
        <w:rPr>
          <w:sz w:val="18"/>
          <w:szCs w:val="18"/>
        </w:rPr>
      </w:pPr>
      <w:r>
        <w:rPr>
          <w:sz w:val="18"/>
          <w:szCs w:val="18"/>
        </w:rPr>
        <w:t xml:space="preserve"> </w:t>
      </w:r>
      <w:r>
        <w:rPr>
          <w:sz w:val="18"/>
          <w:szCs w:val="18"/>
        </w:rPr>
        <w:tab/>
      </w:r>
      <w:r>
        <w:rPr>
          <w:sz w:val="18"/>
          <w:szCs w:val="18"/>
        </w:rPr>
        <w:tab/>
      </w:r>
      <w:r>
        <w:rPr>
          <w:sz w:val="18"/>
          <w:szCs w:val="18"/>
        </w:rPr>
        <w:tab/>
      </w:r>
      <w:r>
        <w:rPr>
          <w:sz w:val="18"/>
          <w:szCs w:val="18"/>
        </w:rPr>
        <w:tab/>
      </w:r>
      <w:r w:rsidR="00F365AD" w:rsidRPr="00ED1E4D">
        <w:rPr>
          <w:sz w:val="18"/>
          <w:szCs w:val="18"/>
        </w:rPr>
        <w:t>*Valores en miles de dólares</w:t>
      </w:r>
    </w:p>
    <w:p w14:paraId="2BB0C666" w14:textId="6AFA9FDD" w:rsidR="00F365AD" w:rsidRPr="00ED1E4D" w:rsidRDefault="00ED1E4D" w:rsidP="004E0958">
      <w:pPr>
        <w:ind w:left="-352" w:firstLine="354"/>
        <w:contextualSpacing/>
        <w:jc w:val="center"/>
        <w:rPr>
          <w:sz w:val="18"/>
          <w:szCs w:val="18"/>
        </w:rPr>
      </w:pPr>
      <w:r>
        <w:rPr>
          <w:sz w:val="18"/>
          <w:szCs w:val="18"/>
        </w:rPr>
        <w:t xml:space="preserve">   </w:t>
      </w:r>
      <w:r w:rsidR="00F365AD" w:rsidRPr="00ED1E4D">
        <w:rPr>
          <w:sz w:val="18"/>
          <w:szCs w:val="18"/>
        </w:rPr>
        <w:t xml:space="preserve">Fuente: </w:t>
      </w:r>
      <w:sdt>
        <w:sdtPr>
          <w:rPr>
            <w:sz w:val="18"/>
            <w:szCs w:val="18"/>
          </w:rPr>
          <w:id w:val="1297649062"/>
          <w:citation/>
        </w:sdtPr>
        <w:sdtEndPr/>
        <w:sdtContent>
          <w:r w:rsidR="00F365AD" w:rsidRPr="00ED1E4D">
            <w:rPr>
              <w:sz w:val="18"/>
              <w:szCs w:val="18"/>
            </w:rPr>
            <w:fldChar w:fldCharType="begin"/>
          </w:r>
          <w:r w:rsidR="00F365AD" w:rsidRPr="00ED1E4D">
            <w:rPr>
              <w:sz w:val="18"/>
              <w:szCs w:val="18"/>
            </w:rPr>
            <w:instrText xml:space="preserve">CITATION ITC15 \l 12298 </w:instrText>
          </w:r>
          <w:r w:rsidR="00F365AD" w:rsidRPr="00ED1E4D">
            <w:rPr>
              <w:sz w:val="18"/>
              <w:szCs w:val="18"/>
            </w:rPr>
            <w:fldChar w:fldCharType="separate"/>
          </w:r>
          <w:r w:rsidR="00BC1846" w:rsidRPr="00ED1E4D">
            <w:rPr>
              <w:noProof/>
              <w:sz w:val="18"/>
              <w:szCs w:val="18"/>
            </w:rPr>
            <w:t>(Centro de Comercio Internacional, 2015)</w:t>
          </w:r>
          <w:r w:rsidR="00F365AD" w:rsidRPr="00ED1E4D">
            <w:rPr>
              <w:sz w:val="18"/>
              <w:szCs w:val="18"/>
            </w:rPr>
            <w:fldChar w:fldCharType="end"/>
          </w:r>
        </w:sdtContent>
      </w:sdt>
    </w:p>
    <w:p w14:paraId="0535C658" w14:textId="77777777" w:rsidR="004E0958" w:rsidRDefault="004E0958" w:rsidP="00F365AD">
      <w:pPr>
        <w:contextualSpacing/>
      </w:pPr>
    </w:p>
    <w:p w14:paraId="37B7FF23" w14:textId="074DB225" w:rsidR="00F365AD" w:rsidRDefault="00F365AD" w:rsidP="00F365AD">
      <w:pPr>
        <w:contextualSpacing/>
      </w:pPr>
      <w:r w:rsidRPr="00103630">
        <w:t>La ALADI</w:t>
      </w:r>
      <w:r w:rsidR="008A3A71">
        <w:t xml:space="preserve"> </w:t>
      </w:r>
      <w:r w:rsidRPr="00103630">
        <w:t>es aquella que lidera las exportaciones de Quinua con el 86%, y dentro de ella los países que mayor monto representan son Perú con US$196.637</w:t>
      </w:r>
      <w:r w:rsidR="003E164F">
        <w:t xml:space="preserve"> millones</w:t>
      </w:r>
      <w:r w:rsidRPr="00103630">
        <w:t xml:space="preserve">, seguido muy de cerca por Bolivia con US$196.405 </w:t>
      </w:r>
      <w:r w:rsidR="003E164F">
        <w:t xml:space="preserve">millones </w:t>
      </w:r>
      <w:r w:rsidRPr="00103630">
        <w:t>y con un monto mucho menor, Ecuador con US$3.387</w:t>
      </w:r>
      <w:r w:rsidR="003E164F">
        <w:t xml:space="preserve"> millones</w:t>
      </w:r>
      <w:r w:rsidRPr="00103630">
        <w:t xml:space="preserve">. Los otros exportadores de importancia son Estados Unidos y países de la Unión Europea, aunque en este caso la mayor parte de las ventas corresponden a reexportaciones.  </w:t>
      </w:r>
    </w:p>
    <w:p w14:paraId="767DD996" w14:textId="696A7E78" w:rsidR="00F365AD" w:rsidRPr="00E45EFB" w:rsidRDefault="00F365AD" w:rsidP="00F365AD">
      <w:pPr>
        <w:ind w:left="-354"/>
        <w:jc w:val="center"/>
        <w:rPr>
          <w:b/>
          <w:szCs w:val="24"/>
        </w:rPr>
      </w:pPr>
      <w:bookmarkStart w:id="29" w:name="_Toc446973203"/>
      <w:r w:rsidRPr="00E45EFB">
        <w:rPr>
          <w:b/>
          <w:szCs w:val="24"/>
        </w:rPr>
        <w:t xml:space="preserve">Tabla </w:t>
      </w:r>
      <w:r w:rsidRPr="00E45EFB">
        <w:rPr>
          <w:b/>
          <w:szCs w:val="24"/>
        </w:rPr>
        <w:fldChar w:fldCharType="begin"/>
      </w:r>
      <w:r w:rsidRPr="00E45EFB">
        <w:rPr>
          <w:b/>
          <w:szCs w:val="24"/>
        </w:rPr>
        <w:instrText xml:space="preserve"> SEQ Tabla \* ARABIC </w:instrText>
      </w:r>
      <w:r w:rsidRPr="00E45EFB">
        <w:rPr>
          <w:b/>
          <w:szCs w:val="24"/>
        </w:rPr>
        <w:fldChar w:fldCharType="separate"/>
      </w:r>
      <w:r w:rsidR="00B828B8">
        <w:rPr>
          <w:b/>
          <w:noProof/>
          <w:szCs w:val="24"/>
        </w:rPr>
        <w:t>5</w:t>
      </w:r>
      <w:r w:rsidRPr="00E45EFB">
        <w:rPr>
          <w:b/>
          <w:szCs w:val="24"/>
        </w:rPr>
        <w:fldChar w:fldCharType="end"/>
      </w:r>
      <w:r w:rsidRPr="00E45EFB">
        <w:rPr>
          <w:b/>
          <w:szCs w:val="24"/>
        </w:rPr>
        <w:t>: Principales importadores de quinua, 2014</w:t>
      </w:r>
      <w:bookmarkEnd w:id="29"/>
    </w:p>
    <w:tbl>
      <w:tblPr>
        <w:tblW w:w="4354" w:type="dxa"/>
        <w:jc w:val="center"/>
        <w:tblBorders>
          <w:bottom w:val="single" w:sz="12" w:space="0" w:color="auto"/>
        </w:tblBorders>
        <w:tblCellMar>
          <w:left w:w="70" w:type="dxa"/>
          <w:right w:w="70" w:type="dxa"/>
        </w:tblCellMar>
        <w:tblLook w:val="04A0" w:firstRow="1" w:lastRow="0" w:firstColumn="1" w:lastColumn="0" w:noHBand="0" w:noVBand="1"/>
      </w:tblPr>
      <w:tblGrid>
        <w:gridCol w:w="1715"/>
        <w:gridCol w:w="1418"/>
        <w:gridCol w:w="1221"/>
      </w:tblGrid>
      <w:tr w:rsidR="00F365AD" w:rsidRPr="00917CE5" w14:paraId="699043E4" w14:textId="77777777" w:rsidTr="00ED1E4D">
        <w:trPr>
          <w:trHeight w:val="286"/>
          <w:jc w:val="center"/>
        </w:trPr>
        <w:tc>
          <w:tcPr>
            <w:tcW w:w="1715" w:type="dxa"/>
            <w:tcBorders>
              <w:top w:val="single" w:sz="12" w:space="0" w:color="auto"/>
              <w:bottom w:val="single" w:sz="12" w:space="0" w:color="auto"/>
            </w:tcBorders>
            <w:shd w:val="clear" w:color="auto" w:fill="auto"/>
            <w:noWrap/>
            <w:vAlign w:val="bottom"/>
            <w:hideMark/>
          </w:tcPr>
          <w:p w14:paraId="55113804" w14:textId="77777777" w:rsidR="00F365AD" w:rsidRPr="00103630" w:rsidRDefault="00F365AD" w:rsidP="00826A31">
            <w:pPr>
              <w:spacing w:after="0" w:line="240" w:lineRule="auto"/>
              <w:ind w:left="60"/>
              <w:rPr>
                <w:rFonts w:ascii="Calibri" w:eastAsia="Times New Roman" w:hAnsi="Calibri"/>
                <w:color w:val="000000"/>
                <w:lang w:eastAsia="es-EC"/>
              </w:rPr>
            </w:pPr>
          </w:p>
        </w:tc>
        <w:tc>
          <w:tcPr>
            <w:tcW w:w="1418" w:type="dxa"/>
            <w:tcBorders>
              <w:top w:val="single" w:sz="12" w:space="0" w:color="auto"/>
              <w:bottom w:val="single" w:sz="12" w:space="0" w:color="auto"/>
            </w:tcBorders>
            <w:shd w:val="clear" w:color="auto" w:fill="auto"/>
            <w:noWrap/>
            <w:vAlign w:val="bottom"/>
            <w:hideMark/>
          </w:tcPr>
          <w:p w14:paraId="109EDA48" w14:textId="77777777" w:rsidR="00F365AD" w:rsidRPr="00103630" w:rsidRDefault="00F365AD" w:rsidP="00826A31">
            <w:pPr>
              <w:spacing w:after="0" w:line="240" w:lineRule="auto"/>
              <w:ind w:left="60"/>
              <w:jc w:val="center"/>
              <w:rPr>
                <w:rFonts w:eastAsia="Times New Roman"/>
                <w:b/>
                <w:bCs/>
                <w:color w:val="000000"/>
                <w:szCs w:val="24"/>
                <w:lang w:eastAsia="es-EC"/>
              </w:rPr>
            </w:pPr>
            <w:r w:rsidRPr="00103630">
              <w:rPr>
                <w:rFonts w:eastAsia="Times New Roman"/>
                <w:b/>
                <w:bCs/>
                <w:color w:val="000000"/>
                <w:szCs w:val="24"/>
                <w:lang w:eastAsia="es-EC"/>
              </w:rPr>
              <w:t>2014</w:t>
            </w:r>
          </w:p>
        </w:tc>
        <w:tc>
          <w:tcPr>
            <w:tcW w:w="1221" w:type="dxa"/>
            <w:tcBorders>
              <w:top w:val="single" w:sz="12" w:space="0" w:color="auto"/>
              <w:bottom w:val="single" w:sz="12" w:space="0" w:color="auto"/>
            </w:tcBorders>
            <w:shd w:val="clear" w:color="auto" w:fill="auto"/>
            <w:noWrap/>
            <w:vAlign w:val="bottom"/>
            <w:hideMark/>
          </w:tcPr>
          <w:p w14:paraId="3928B40E" w14:textId="77777777" w:rsidR="00F365AD" w:rsidRPr="00103630" w:rsidRDefault="00F365AD" w:rsidP="00826A31">
            <w:pPr>
              <w:spacing w:after="0" w:line="240" w:lineRule="auto"/>
              <w:ind w:left="60"/>
              <w:jc w:val="center"/>
              <w:rPr>
                <w:rFonts w:eastAsia="Times New Roman"/>
                <w:b/>
                <w:bCs/>
                <w:color w:val="000000"/>
                <w:szCs w:val="24"/>
                <w:lang w:eastAsia="es-EC"/>
              </w:rPr>
            </w:pPr>
            <w:r w:rsidRPr="00103630">
              <w:rPr>
                <w:rFonts w:eastAsia="Times New Roman"/>
                <w:b/>
                <w:bCs/>
                <w:color w:val="000000"/>
                <w:szCs w:val="24"/>
                <w:lang w:eastAsia="es-EC"/>
              </w:rPr>
              <w:t>%</w:t>
            </w:r>
          </w:p>
        </w:tc>
      </w:tr>
      <w:tr w:rsidR="00F365AD" w:rsidRPr="00917CE5" w14:paraId="5AAEF176" w14:textId="77777777" w:rsidTr="00ED1E4D">
        <w:trPr>
          <w:trHeight w:val="273"/>
          <w:jc w:val="center"/>
        </w:trPr>
        <w:tc>
          <w:tcPr>
            <w:tcW w:w="1715" w:type="dxa"/>
            <w:tcBorders>
              <w:top w:val="single" w:sz="12" w:space="0" w:color="auto"/>
            </w:tcBorders>
            <w:shd w:val="clear" w:color="auto" w:fill="auto"/>
            <w:noWrap/>
            <w:vAlign w:val="bottom"/>
            <w:hideMark/>
          </w:tcPr>
          <w:p w14:paraId="5E89749E"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EEUU</w:t>
            </w:r>
          </w:p>
        </w:tc>
        <w:tc>
          <w:tcPr>
            <w:tcW w:w="1418" w:type="dxa"/>
            <w:tcBorders>
              <w:top w:val="single" w:sz="12" w:space="0" w:color="auto"/>
            </w:tcBorders>
            <w:shd w:val="clear" w:color="auto" w:fill="auto"/>
            <w:noWrap/>
            <w:vAlign w:val="bottom"/>
            <w:hideMark/>
          </w:tcPr>
          <w:p w14:paraId="5A4BB5BA"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156.268 </w:t>
            </w:r>
          </w:p>
        </w:tc>
        <w:tc>
          <w:tcPr>
            <w:tcW w:w="1221" w:type="dxa"/>
            <w:tcBorders>
              <w:top w:val="single" w:sz="12" w:space="0" w:color="auto"/>
            </w:tcBorders>
            <w:shd w:val="clear" w:color="auto" w:fill="auto"/>
            <w:noWrap/>
            <w:vAlign w:val="bottom"/>
            <w:hideMark/>
          </w:tcPr>
          <w:p w14:paraId="258782BA"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41%</w:t>
            </w:r>
          </w:p>
        </w:tc>
      </w:tr>
      <w:tr w:rsidR="00F365AD" w:rsidRPr="00917CE5" w14:paraId="5A6266D3" w14:textId="77777777" w:rsidTr="00ED1E4D">
        <w:trPr>
          <w:trHeight w:val="273"/>
          <w:jc w:val="center"/>
        </w:trPr>
        <w:tc>
          <w:tcPr>
            <w:tcW w:w="1715" w:type="dxa"/>
            <w:shd w:val="clear" w:color="auto" w:fill="auto"/>
            <w:noWrap/>
            <w:vAlign w:val="bottom"/>
            <w:hideMark/>
          </w:tcPr>
          <w:p w14:paraId="0472182F"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Canadá</w:t>
            </w:r>
          </w:p>
        </w:tc>
        <w:tc>
          <w:tcPr>
            <w:tcW w:w="1418" w:type="dxa"/>
            <w:shd w:val="clear" w:color="auto" w:fill="auto"/>
            <w:noWrap/>
            <w:vAlign w:val="bottom"/>
            <w:hideMark/>
          </w:tcPr>
          <w:p w14:paraId="28166E29"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54.508 </w:t>
            </w:r>
          </w:p>
        </w:tc>
        <w:tc>
          <w:tcPr>
            <w:tcW w:w="1221" w:type="dxa"/>
            <w:shd w:val="clear" w:color="auto" w:fill="auto"/>
            <w:noWrap/>
            <w:vAlign w:val="bottom"/>
            <w:hideMark/>
          </w:tcPr>
          <w:p w14:paraId="7F8CDF60"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14%</w:t>
            </w:r>
          </w:p>
        </w:tc>
      </w:tr>
      <w:tr w:rsidR="00F365AD" w:rsidRPr="00917CE5" w14:paraId="73D06AEA" w14:textId="77777777" w:rsidTr="00ED1E4D">
        <w:trPr>
          <w:trHeight w:val="273"/>
          <w:jc w:val="center"/>
        </w:trPr>
        <w:tc>
          <w:tcPr>
            <w:tcW w:w="1715" w:type="dxa"/>
            <w:shd w:val="clear" w:color="auto" w:fill="auto"/>
            <w:noWrap/>
            <w:vAlign w:val="bottom"/>
            <w:hideMark/>
          </w:tcPr>
          <w:p w14:paraId="0C0F9DB9"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Francia</w:t>
            </w:r>
          </w:p>
        </w:tc>
        <w:tc>
          <w:tcPr>
            <w:tcW w:w="1418" w:type="dxa"/>
            <w:shd w:val="clear" w:color="auto" w:fill="auto"/>
            <w:noWrap/>
            <w:vAlign w:val="bottom"/>
            <w:hideMark/>
          </w:tcPr>
          <w:p w14:paraId="4E22795B"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29.787 </w:t>
            </w:r>
          </w:p>
        </w:tc>
        <w:tc>
          <w:tcPr>
            <w:tcW w:w="1221" w:type="dxa"/>
            <w:shd w:val="clear" w:color="auto" w:fill="auto"/>
            <w:noWrap/>
            <w:vAlign w:val="bottom"/>
            <w:hideMark/>
          </w:tcPr>
          <w:p w14:paraId="1B9665E9"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8%</w:t>
            </w:r>
          </w:p>
        </w:tc>
      </w:tr>
      <w:tr w:rsidR="00F365AD" w:rsidRPr="00917CE5" w14:paraId="61F8E7CC" w14:textId="77777777" w:rsidTr="00ED1E4D">
        <w:trPr>
          <w:trHeight w:val="273"/>
          <w:jc w:val="center"/>
        </w:trPr>
        <w:tc>
          <w:tcPr>
            <w:tcW w:w="1715" w:type="dxa"/>
            <w:shd w:val="clear" w:color="auto" w:fill="auto"/>
            <w:noWrap/>
            <w:vAlign w:val="bottom"/>
            <w:hideMark/>
          </w:tcPr>
          <w:p w14:paraId="1DA299F5"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Países Bajos</w:t>
            </w:r>
          </w:p>
        </w:tc>
        <w:tc>
          <w:tcPr>
            <w:tcW w:w="1418" w:type="dxa"/>
            <w:shd w:val="clear" w:color="auto" w:fill="auto"/>
            <w:noWrap/>
            <w:vAlign w:val="bottom"/>
            <w:hideMark/>
          </w:tcPr>
          <w:p w14:paraId="01F904BB"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20.281 </w:t>
            </w:r>
          </w:p>
        </w:tc>
        <w:tc>
          <w:tcPr>
            <w:tcW w:w="1221" w:type="dxa"/>
            <w:shd w:val="clear" w:color="auto" w:fill="auto"/>
            <w:noWrap/>
            <w:vAlign w:val="bottom"/>
            <w:hideMark/>
          </w:tcPr>
          <w:p w14:paraId="49371A4D"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5%</w:t>
            </w:r>
          </w:p>
        </w:tc>
      </w:tr>
      <w:tr w:rsidR="00F365AD" w:rsidRPr="00917CE5" w14:paraId="07CFA466" w14:textId="77777777" w:rsidTr="00ED1E4D">
        <w:trPr>
          <w:trHeight w:val="273"/>
          <w:jc w:val="center"/>
        </w:trPr>
        <w:tc>
          <w:tcPr>
            <w:tcW w:w="1715" w:type="dxa"/>
            <w:shd w:val="clear" w:color="auto" w:fill="auto"/>
            <w:noWrap/>
            <w:vAlign w:val="bottom"/>
            <w:hideMark/>
          </w:tcPr>
          <w:p w14:paraId="24E15633"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Alemania</w:t>
            </w:r>
          </w:p>
        </w:tc>
        <w:tc>
          <w:tcPr>
            <w:tcW w:w="1418" w:type="dxa"/>
            <w:shd w:val="clear" w:color="auto" w:fill="auto"/>
            <w:noWrap/>
            <w:vAlign w:val="bottom"/>
            <w:hideMark/>
          </w:tcPr>
          <w:p w14:paraId="73B4BB3D"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19.611 </w:t>
            </w:r>
          </w:p>
        </w:tc>
        <w:tc>
          <w:tcPr>
            <w:tcW w:w="1221" w:type="dxa"/>
            <w:shd w:val="clear" w:color="auto" w:fill="auto"/>
            <w:noWrap/>
            <w:vAlign w:val="bottom"/>
            <w:hideMark/>
          </w:tcPr>
          <w:p w14:paraId="778015C2"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5%</w:t>
            </w:r>
          </w:p>
        </w:tc>
      </w:tr>
      <w:tr w:rsidR="00F365AD" w:rsidRPr="00917CE5" w14:paraId="6A11B2AE" w14:textId="77777777" w:rsidTr="00ED1E4D">
        <w:trPr>
          <w:trHeight w:val="273"/>
          <w:jc w:val="center"/>
        </w:trPr>
        <w:tc>
          <w:tcPr>
            <w:tcW w:w="1715" w:type="dxa"/>
            <w:shd w:val="clear" w:color="auto" w:fill="auto"/>
            <w:noWrap/>
            <w:vAlign w:val="bottom"/>
            <w:hideMark/>
          </w:tcPr>
          <w:p w14:paraId="43E28657"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Australia</w:t>
            </w:r>
          </w:p>
        </w:tc>
        <w:tc>
          <w:tcPr>
            <w:tcW w:w="1418" w:type="dxa"/>
            <w:shd w:val="clear" w:color="auto" w:fill="auto"/>
            <w:noWrap/>
            <w:vAlign w:val="bottom"/>
            <w:hideMark/>
          </w:tcPr>
          <w:p w14:paraId="644894AA"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19.205 </w:t>
            </w:r>
          </w:p>
        </w:tc>
        <w:tc>
          <w:tcPr>
            <w:tcW w:w="1221" w:type="dxa"/>
            <w:shd w:val="clear" w:color="auto" w:fill="auto"/>
            <w:noWrap/>
            <w:vAlign w:val="bottom"/>
            <w:hideMark/>
          </w:tcPr>
          <w:p w14:paraId="4F7C2E86"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5%</w:t>
            </w:r>
          </w:p>
        </w:tc>
      </w:tr>
      <w:tr w:rsidR="00F365AD" w:rsidRPr="00917CE5" w14:paraId="01CC2306" w14:textId="77777777" w:rsidTr="00ED1E4D">
        <w:trPr>
          <w:trHeight w:val="273"/>
          <w:jc w:val="center"/>
        </w:trPr>
        <w:tc>
          <w:tcPr>
            <w:tcW w:w="1715" w:type="dxa"/>
            <w:shd w:val="clear" w:color="auto" w:fill="auto"/>
            <w:noWrap/>
            <w:vAlign w:val="bottom"/>
            <w:hideMark/>
          </w:tcPr>
          <w:p w14:paraId="44009B8C"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Reino Unido</w:t>
            </w:r>
          </w:p>
        </w:tc>
        <w:tc>
          <w:tcPr>
            <w:tcW w:w="1418" w:type="dxa"/>
            <w:shd w:val="clear" w:color="auto" w:fill="auto"/>
            <w:noWrap/>
            <w:vAlign w:val="bottom"/>
            <w:hideMark/>
          </w:tcPr>
          <w:p w14:paraId="665C17A2"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14.836 </w:t>
            </w:r>
          </w:p>
        </w:tc>
        <w:tc>
          <w:tcPr>
            <w:tcW w:w="1221" w:type="dxa"/>
            <w:shd w:val="clear" w:color="auto" w:fill="auto"/>
            <w:noWrap/>
            <w:vAlign w:val="bottom"/>
            <w:hideMark/>
          </w:tcPr>
          <w:p w14:paraId="76039085"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4%</w:t>
            </w:r>
          </w:p>
        </w:tc>
      </w:tr>
      <w:tr w:rsidR="00F365AD" w:rsidRPr="00917CE5" w14:paraId="53389428" w14:textId="77777777" w:rsidTr="00ED1E4D">
        <w:trPr>
          <w:trHeight w:val="273"/>
          <w:jc w:val="center"/>
        </w:trPr>
        <w:tc>
          <w:tcPr>
            <w:tcW w:w="1715" w:type="dxa"/>
            <w:shd w:val="clear" w:color="auto" w:fill="auto"/>
            <w:noWrap/>
            <w:vAlign w:val="bottom"/>
            <w:hideMark/>
          </w:tcPr>
          <w:p w14:paraId="0F685574"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Italia</w:t>
            </w:r>
          </w:p>
        </w:tc>
        <w:tc>
          <w:tcPr>
            <w:tcW w:w="1418" w:type="dxa"/>
            <w:shd w:val="clear" w:color="auto" w:fill="auto"/>
            <w:noWrap/>
            <w:vAlign w:val="bottom"/>
            <w:hideMark/>
          </w:tcPr>
          <w:p w14:paraId="30A3066E"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10.568 </w:t>
            </w:r>
          </w:p>
        </w:tc>
        <w:tc>
          <w:tcPr>
            <w:tcW w:w="1221" w:type="dxa"/>
            <w:shd w:val="clear" w:color="auto" w:fill="auto"/>
            <w:noWrap/>
            <w:vAlign w:val="bottom"/>
            <w:hideMark/>
          </w:tcPr>
          <w:p w14:paraId="793A78C8"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3%</w:t>
            </w:r>
          </w:p>
        </w:tc>
      </w:tr>
      <w:tr w:rsidR="00F365AD" w:rsidRPr="00917CE5" w14:paraId="243C6ABF" w14:textId="77777777" w:rsidTr="00ED1E4D">
        <w:trPr>
          <w:trHeight w:val="273"/>
          <w:jc w:val="center"/>
        </w:trPr>
        <w:tc>
          <w:tcPr>
            <w:tcW w:w="1715" w:type="dxa"/>
            <w:shd w:val="clear" w:color="auto" w:fill="auto"/>
            <w:noWrap/>
            <w:vAlign w:val="bottom"/>
            <w:hideMark/>
          </w:tcPr>
          <w:p w14:paraId="3C9893FB"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ALADI</w:t>
            </w:r>
          </w:p>
        </w:tc>
        <w:tc>
          <w:tcPr>
            <w:tcW w:w="1418" w:type="dxa"/>
            <w:shd w:val="clear" w:color="auto" w:fill="auto"/>
            <w:noWrap/>
            <w:vAlign w:val="bottom"/>
            <w:hideMark/>
          </w:tcPr>
          <w:p w14:paraId="4471C8AB" w14:textId="77777777" w:rsidR="00F365AD" w:rsidRPr="00103630" w:rsidRDefault="00F365AD" w:rsidP="00826A31">
            <w:pPr>
              <w:spacing w:after="0" w:line="240" w:lineRule="auto"/>
              <w:jc w:val="right"/>
              <w:rPr>
                <w:rFonts w:eastAsia="Times New Roman"/>
                <w:color w:val="000000"/>
                <w:szCs w:val="24"/>
                <w:lang w:eastAsia="es-EC"/>
              </w:rPr>
            </w:pPr>
            <w:r>
              <w:rPr>
                <w:rFonts w:eastAsia="Times New Roman"/>
                <w:color w:val="000000"/>
                <w:szCs w:val="24"/>
                <w:lang w:eastAsia="es-EC"/>
              </w:rPr>
              <w:t xml:space="preserve">          </w:t>
            </w:r>
            <w:r w:rsidRPr="00103630">
              <w:rPr>
                <w:rFonts w:eastAsia="Times New Roman"/>
                <w:color w:val="000000"/>
                <w:szCs w:val="24"/>
                <w:lang w:eastAsia="es-EC"/>
              </w:rPr>
              <w:t>7.509</w:t>
            </w:r>
          </w:p>
        </w:tc>
        <w:tc>
          <w:tcPr>
            <w:tcW w:w="1221" w:type="dxa"/>
            <w:shd w:val="clear" w:color="auto" w:fill="auto"/>
            <w:noWrap/>
            <w:vAlign w:val="bottom"/>
            <w:hideMark/>
          </w:tcPr>
          <w:p w14:paraId="5C2C22B5"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2%</w:t>
            </w:r>
          </w:p>
        </w:tc>
      </w:tr>
      <w:tr w:rsidR="00F365AD" w:rsidRPr="00917CE5" w14:paraId="7A5AAACF" w14:textId="77777777" w:rsidTr="00ED1E4D">
        <w:trPr>
          <w:trHeight w:val="286"/>
          <w:jc w:val="center"/>
        </w:trPr>
        <w:tc>
          <w:tcPr>
            <w:tcW w:w="1715" w:type="dxa"/>
            <w:shd w:val="clear" w:color="auto" w:fill="auto"/>
            <w:noWrap/>
            <w:vAlign w:val="bottom"/>
            <w:hideMark/>
          </w:tcPr>
          <w:p w14:paraId="3CD7F7EE"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OTROS</w:t>
            </w:r>
          </w:p>
        </w:tc>
        <w:tc>
          <w:tcPr>
            <w:tcW w:w="1418" w:type="dxa"/>
            <w:shd w:val="clear" w:color="auto" w:fill="auto"/>
            <w:noWrap/>
            <w:vAlign w:val="bottom"/>
            <w:hideMark/>
          </w:tcPr>
          <w:p w14:paraId="444F376F" w14:textId="77777777" w:rsidR="00F365AD" w:rsidRPr="00103630" w:rsidRDefault="00F365AD" w:rsidP="00826A31">
            <w:pPr>
              <w:spacing w:after="0" w:line="240" w:lineRule="auto"/>
              <w:ind w:left="474"/>
              <w:jc w:val="right"/>
              <w:rPr>
                <w:rFonts w:eastAsia="Times New Roman"/>
                <w:color w:val="000000"/>
                <w:szCs w:val="24"/>
                <w:lang w:eastAsia="es-EC"/>
              </w:rPr>
            </w:pPr>
            <w:r w:rsidRPr="00103630">
              <w:rPr>
                <w:rFonts w:eastAsia="Times New Roman"/>
                <w:color w:val="000000"/>
                <w:szCs w:val="24"/>
                <w:lang w:eastAsia="es-EC"/>
              </w:rPr>
              <w:t xml:space="preserve">48.667 </w:t>
            </w:r>
          </w:p>
        </w:tc>
        <w:tc>
          <w:tcPr>
            <w:tcW w:w="1221" w:type="dxa"/>
            <w:shd w:val="clear" w:color="auto" w:fill="auto"/>
            <w:noWrap/>
            <w:vAlign w:val="bottom"/>
            <w:hideMark/>
          </w:tcPr>
          <w:p w14:paraId="2E0E6C3A" w14:textId="77777777" w:rsidR="00F365AD" w:rsidRPr="00103630" w:rsidRDefault="00F365AD" w:rsidP="00826A31">
            <w:pPr>
              <w:spacing w:after="0" w:line="240" w:lineRule="auto"/>
              <w:ind w:left="60"/>
              <w:jc w:val="right"/>
              <w:rPr>
                <w:rFonts w:eastAsia="Times New Roman"/>
                <w:color w:val="000000"/>
                <w:szCs w:val="24"/>
                <w:lang w:eastAsia="es-EC"/>
              </w:rPr>
            </w:pPr>
            <w:r w:rsidRPr="00103630">
              <w:rPr>
                <w:rFonts w:eastAsia="Times New Roman"/>
                <w:color w:val="000000"/>
                <w:szCs w:val="24"/>
                <w:lang w:eastAsia="es-EC"/>
              </w:rPr>
              <w:t>13%</w:t>
            </w:r>
          </w:p>
        </w:tc>
      </w:tr>
      <w:tr w:rsidR="00F365AD" w:rsidRPr="00917CE5" w14:paraId="6CC3606F" w14:textId="77777777" w:rsidTr="00ED1E4D">
        <w:trPr>
          <w:trHeight w:val="286"/>
          <w:jc w:val="center"/>
        </w:trPr>
        <w:tc>
          <w:tcPr>
            <w:tcW w:w="1715" w:type="dxa"/>
            <w:shd w:val="clear" w:color="auto" w:fill="auto"/>
            <w:noWrap/>
            <w:vAlign w:val="bottom"/>
            <w:hideMark/>
          </w:tcPr>
          <w:p w14:paraId="0357BAD1" w14:textId="77777777" w:rsidR="00F365AD" w:rsidRPr="00103630" w:rsidRDefault="00F365AD" w:rsidP="00826A31">
            <w:pPr>
              <w:spacing w:after="0" w:line="240" w:lineRule="auto"/>
              <w:ind w:left="60"/>
              <w:rPr>
                <w:rFonts w:eastAsia="Times New Roman"/>
                <w:b/>
                <w:bCs/>
                <w:color w:val="000000"/>
                <w:szCs w:val="24"/>
                <w:lang w:eastAsia="es-EC"/>
              </w:rPr>
            </w:pPr>
            <w:r w:rsidRPr="00103630">
              <w:rPr>
                <w:rFonts w:eastAsia="Times New Roman"/>
                <w:b/>
                <w:bCs/>
                <w:color w:val="000000"/>
                <w:szCs w:val="24"/>
                <w:lang w:eastAsia="es-EC"/>
              </w:rPr>
              <w:t>TOTAL</w:t>
            </w:r>
          </w:p>
        </w:tc>
        <w:tc>
          <w:tcPr>
            <w:tcW w:w="1418" w:type="dxa"/>
            <w:shd w:val="clear" w:color="auto" w:fill="auto"/>
            <w:noWrap/>
            <w:vAlign w:val="bottom"/>
            <w:hideMark/>
          </w:tcPr>
          <w:p w14:paraId="57A6A1E4" w14:textId="77777777" w:rsidR="00F365AD" w:rsidRPr="00103630" w:rsidRDefault="00F365AD" w:rsidP="00826A31">
            <w:pPr>
              <w:spacing w:after="0" w:line="240" w:lineRule="auto"/>
              <w:ind w:left="474"/>
              <w:jc w:val="right"/>
              <w:rPr>
                <w:rFonts w:eastAsia="Times New Roman"/>
                <w:b/>
                <w:color w:val="000000"/>
                <w:szCs w:val="24"/>
                <w:lang w:eastAsia="es-EC"/>
              </w:rPr>
            </w:pPr>
            <w:r w:rsidRPr="00103630">
              <w:rPr>
                <w:rFonts w:eastAsia="Times New Roman"/>
                <w:b/>
                <w:color w:val="000000"/>
                <w:szCs w:val="24"/>
                <w:lang w:eastAsia="es-EC"/>
              </w:rPr>
              <w:t xml:space="preserve">381.240 </w:t>
            </w:r>
          </w:p>
        </w:tc>
        <w:tc>
          <w:tcPr>
            <w:tcW w:w="1221" w:type="dxa"/>
            <w:shd w:val="clear" w:color="auto" w:fill="auto"/>
            <w:noWrap/>
            <w:vAlign w:val="bottom"/>
            <w:hideMark/>
          </w:tcPr>
          <w:p w14:paraId="2E9D89FC" w14:textId="77777777" w:rsidR="00F365AD" w:rsidRPr="00103630" w:rsidRDefault="00F365AD" w:rsidP="00826A31">
            <w:pPr>
              <w:spacing w:after="0" w:line="240" w:lineRule="auto"/>
              <w:ind w:left="60"/>
              <w:rPr>
                <w:rFonts w:eastAsia="Times New Roman"/>
                <w:color w:val="000000"/>
                <w:szCs w:val="24"/>
                <w:lang w:eastAsia="es-EC"/>
              </w:rPr>
            </w:pPr>
          </w:p>
        </w:tc>
      </w:tr>
    </w:tbl>
    <w:p w14:paraId="1E578500" w14:textId="0CCB81B1" w:rsidR="00F365AD" w:rsidRPr="00ED1E4D" w:rsidRDefault="00ED1E4D" w:rsidP="00ED1E4D">
      <w:pPr>
        <w:ind w:left="1772" w:firstLine="352"/>
        <w:contextualSpacing/>
        <w:rPr>
          <w:sz w:val="18"/>
          <w:szCs w:val="18"/>
        </w:rPr>
      </w:pPr>
      <w:r>
        <w:rPr>
          <w:sz w:val="18"/>
          <w:szCs w:val="18"/>
        </w:rPr>
        <w:t xml:space="preserve">          </w:t>
      </w:r>
      <w:r w:rsidR="00F365AD" w:rsidRPr="00ED1E4D">
        <w:rPr>
          <w:sz w:val="18"/>
          <w:szCs w:val="18"/>
        </w:rPr>
        <w:t>*Valores en miles de dólares</w:t>
      </w:r>
    </w:p>
    <w:p w14:paraId="25CE311F" w14:textId="225C817E" w:rsidR="004E0958" w:rsidRPr="00ED1E4D" w:rsidRDefault="00F365AD" w:rsidP="00ED1E4D">
      <w:pPr>
        <w:ind w:left="-352"/>
        <w:contextualSpacing/>
        <w:jc w:val="center"/>
        <w:rPr>
          <w:sz w:val="20"/>
          <w:szCs w:val="18"/>
        </w:rPr>
      </w:pPr>
      <w:r w:rsidRPr="00ED1E4D">
        <w:rPr>
          <w:sz w:val="18"/>
          <w:szCs w:val="18"/>
        </w:rPr>
        <w:t xml:space="preserve">Fuente: </w:t>
      </w:r>
      <w:sdt>
        <w:sdtPr>
          <w:rPr>
            <w:sz w:val="18"/>
            <w:szCs w:val="18"/>
          </w:rPr>
          <w:id w:val="-1688827448"/>
          <w:citation/>
        </w:sdtPr>
        <w:sdtEndPr/>
        <w:sdtContent>
          <w:r w:rsidRPr="00ED1E4D">
            <w:rPr>
              <w:sz w:val="18"/>
              <w:szCs w:val="18"/>
            </w:rPr>
            <w:fldChar w:fldCharType="begin"/>
          </w:r>
          <w:r w:rsidRPr="00ED1E4D">
            <w:rPr>
              <w:sz w:val="18"/>
              <w:szCs w:val="18"/>
            </w:rPr>
            <w:instrText xml:space="preserve">CITATION ITC15 \l 12298 </w:instrText>
          </w:r>
          <w:r w:rsidRPr="00ED1E4D">
            <w:rPr>
              <w:sz w:val="18"/>
              <w:szCs w:val="18"/>
            </w:rPr>
            <w:fldChar w:fldCharType="separate"/>
          </w:r>
          <w:r w:rsidR="00BC1846" w:rsidRPr="00ED1E4D">
            <w:rPr>
              <w:noProof/>
              <w:sz w:val="18"/>
              <w:szCs w:val="18"/>
            </w:rPr>
            <w:t>(Centro de Comercio Internacional, 2015)</w:t>
          </w:r>
          <w:r w:rsidRPr="00ED1E4D">
            <w:rPr>
              <w:sz w:val="18"/>
              <w:szCs w:val="18"/>
            </w:rPr>
            <w:fldChar w:fldCharType="end"/>
          </w:r>
        </w:sdtContent>
      </w:sdt>
    </w:p>
    <w:p w14:paraId="1A4BB209" w14:textId="77777777" w:rsidR="004E0958" w:rsidRDefault="004E0958" w:rsidP="00680760"/>
    <w:p w14:paraId="00B45A44" w14:textId="77777777" w:rsidR="00F365AD" w:rsidRPr="00103630" w:rsidRDefault="00F365AD" w:rsidP="00680760">
      <w:r w:rsidRPr="00103630">
        <w:lastRenderedPageBreak/>
        <w:t>EEUU es el principal destino de las exportaciones de quinua con un 41% de participación, que venía de un 53% en años anteriores, lo que implica que el mercado tiende a la diversificación. Canadá es otro de los principales destinos. Dentro de países que conforman la Unión Europea,</w:t>
      </w:r>
      <w:r w:rsidR="007C5391">
        <w:t xml:space="preserve"> Francia es el principal mercado meta</w:t>
      </w:r>
      <w:r w:rsidRPr="00103630">
        <w:t>, seguido por Países Bajos y Alemania. El resto de países que conforman la ALADI son un mercado muy p</w:t>
      </w:r>
      <w:r w:rsidR="007C5391">
        <w:t>equeño para el cereal</w:t>
      </w:r>
      <w:r w:rsidRPr="00103630">
        <w:t xml:space="preserve"> debido a que la mayoría comparten condiciones geográficas que permiten la producción de quinua para abastecer su demanda nacional. </w:t>
      </w:r>
    </w:p>
    <w:p w14:paraId="21F796EE" w14:textId="77777777" w:rsidR="00F365AD" w:rsidRPr="00E45EFB" w:rsidRDefault="00F365AD" w:rsidP="00680760">
      <w:pPr>
        <w:pStyle w:val="Ttulo4"/>
        <w:numPr>
          <w:ilvl w:val="2"/>
          <w:numId w:val="11"/>
        </w:numPr>
        <w:spacing w:after="200"/>
        <w:ind w:left="505" w:hanging="505"/>
        <w:rPr>
          <w:i w:val="0"/>
        </w:rPr>
      </w:pPr>
      <w:r w:rsidRPr="00E45EFB">
        <w:rPr>
          <w:i w:val="0"/>
        </w:rPr>
        <w:t>Evolución del precio de la quinua</w:t>
      </w:r>
    </w:p>
    <w:p w14:paraId="3265F318" w14:textId="77777777" w:rsidR="00F365AD" w:rsidRDefault="00F365AD" w:rsidP="00680760">
      <w:r>
        <w:t>El precio de exportación del producto es posible conocerse mediante la división del valor total exportado del mismo para su unidad de volumen, en este caso, toneladas.</w:t>
      </w:r>
    </w:p>
    <w:p w14:paraId="7FF578AC" w14:textId="7AD49599" w:rsidR="007C5391" w:rsidRPr="0037243B" w:rsidRDefault="00F365AD" w:rsidP="00F365AD">
      <w:r>
        <w:t xml:space="preserve">A continuación se recoge información del precio de exportación de quinua desde el 2005. Hay que tener en cuenta que los años previos al 2012 corresponden a información recogida de memorias de exportación del producto. A partir del 2012 existen registros de </w:t>
      </w:r>
      <w:r w:rsidR="004E0958">
        <w:t xml:space="preserve">la partida arancelaria creada. </w:t>
      </w:r>
    </w:p>
    <w:p w14:paraId="0723542A" w14:textId="77777777" w:rsidR="00F365AD" w:rsidRPr="00E45EFB" w:rsidRDefault="00F365AD" w:rsidP="00F365AD">
      <w:pPr>
        <w:pStyle w:val="Descripcin"/>
        <w:keepNext/>
        <w:jc w:val="center"/>
        <w:rPr>
          <w:b/>
          <w:i w:val="0"/>
          <w:iCs w:val="0"/>
          <w:color w:val="auto"/>
          <w:sz w:val="24"/>
          <w:szCs w:val="24"/>
        </w:rPr>
      </w:pPr>
      <w:bookmarkStart w:id="30" w:name="_Toc446973204"/>
      <w:r w:rsidRPr="00E45EFB">
        <w:rPr>
          <w:b/>
          <w:i w:val="0"/>
          <w:iCs w:val="0"/>
          <w:color w:val="auto"/>
          <w:sz w:val="24"/>
          <w:szCs w:val="24"/>
        </w:rPr>
        <w:t xml:space="preserve">Tabla </w:t>
      </w:r>
      <w:r w:rsidRPr="00E45EFB">
        <w:rPr>
          <w:b/>
          <w:i w:val="0"/>
          <w:iCs w:val="0"/>
          <w:color w:val="auto"/>
          <w:sz w:val="24"/>
          <w:szCs w:val="24"/>
        </w:rPr>
        <w:fldChar w:fldCharType="begin"/>
      </w:r>
      <w:r w:rsidRPr="00E45EFB">
        <w:rPr>
          <w:b/>
          <w:i w:val="0"/>
          <w:iCs w:val="0"/>
          <w:color w:val="auto"/>
          <w:sz w:val="24"/>
          <w:szCs w:val="24"/>
        </w:rPr>
        <w:instrText xml:space="preserve"> SEQ Tabla \* ARABIC </w:instrText>
      </w:r>
      <w:r w:rsidRPr="00E45EFB">
        <w:rPr>
          <w:b/>
          <w:i w:val="0"/>
          <w:iCs w:val="0"/>
          <w:color w:val="auto"/>
          <w:sz w:val="24"/>
          <w:szCs w:val="24"/>
        </w:rPr>
        <w:fldChar w:fldCharType="separate"/>
      </w:r>
      <w:r w:rsidR="00B828B8">
        <w:rPr>
          <w:b/>
          <w:i w:val="0"/>
          <w:iCs w:val="0"/>
          <w:noProof/>
          <w:color w:val="auto"/>
          <w:sz w:val="24"/>
          <w:szCs w:val="24"/>
        </w:rPr>
        <w:t>6</w:t>
      </w:r>
      <w:r w:rsidRPr="00E45EFB">
        <w:rPr>
          <w:b/>
          <w:i w:val="0"/>
          <w:iCs w:val="0"/>
          <w:color w:val="auto"/>
          <w:sz w:val="24"/>
          <w:szCs w:val="24"/>
        </w:rPr>
        <w:fldChar w:fldCharType="end"/>
      </w:r>
      <w:r w:rsidRPr="00E45EFB">
        <w:rPr>
          <w:b/>
          <w:i w:val="0"/>
          <w:iCs w:val="0"/>
          <w:color w:val="auto"/>
          <w:sz w:val="24"/>
          <w:szCs w:val="24"/>
        </w:rPr>
        <w:t>: Evolución histórica del precio de exportación de la quinua</w:t>
      </w:r>
      <w:bookmarkEnd w:id="30"/>
    </w:p>
    <w:tbl>
      <w:tblPr>
        <w:tblW w:w="2400" w:type="dxa"/>
        <w:jc w:val="center"/>
        <w:tblBorders>
          <w:bottom w:val="single" w:sz="12" w:space="0" w:color="auto"/>
        </w:tblBorders>
        <w:tblCellMar>
          <w:left w:w="70" w:type="dxa"/>
          <w:right w:w="70" w:type="dxa"/>
        </w:tblCellMar>
        <w:tblLook w:val="04A0" w:firstRow="1" w:lastRow="0" w:firstColumn="1" w:lastColumn="0" w:noHBand="0" w:noVBand="1"/>
      </w:tblPr>
      <w:tblGrid>
        <w:gridCol w:w="1200"/>
        <w:gridCol w:w="1200"/>
      </w:tblGrid>
      <w:tr w:rsidR="00F365AD" w:rsidRPr="009E0626" w14:paraId="7CEF2F62" w14:textId="77777777" w:rsidTr="007C5391">
        <w:trPr>
          <w:trHeight w:val="300"/>
          <w:jc w:val="center"/>
        </w:trPr>
        <w:tc>
          <w:tcPr>
            <w:tcW w:w="1200" w:type="dxa"/>
            <w:tcBorders>
              <w:top w:val="single" w:sz="12" w:space="0" w:color="auto"/>
              <w:bottom w:val="single" w:sz="12" w:space="0" w:color="auto"/>
            </w:tcBorders>
            <w:shd w:val="clear" w:color="auto" w:fill="auto"/>
            <w:noWrap/>
            <w:vAlign w:val="bottom"/>
            <w:hideMark/>
          </w:tcPr>
          <w:p w14:paraId="716079E4" w14:textId="77777777" w:rsidR="00F365AD" w:rsidRPr="001A67B0" w:rsidRDefault="00F365AD" w:rsidP="00826A31">
            <w:pPr>
              <w:spacing w:after="0" w:line="240" w:lineRule="auto"/>
              <w:jc w:val="center"/>
              <w:rPr>
                <w:rFonts w:eastAsia="Times New Roman"/>
                <w:b/>
                <w:bCs/>
                <w:color w:val="000000"/>
                <w:lang w:eastAsia="es-EC"/>
              </w:rPr>
            </w:pPr>
            <w:r w:rsidRPr="001A67B0">
              <w:rPr>
                <w:rFonts w:eastAsia="Times New Roman"/>
                <w:b/>
                <w:bCs/>
                <w:color w:val="000000"/>
                <w:lang w:eastAsia="es-EC"/>
              </w:rPr>
              <w:t>Año</w:t>
            </w:r>
          </w:p>
        </w:tc>
        <w:tc>
          <w:tcPr>
            <w:tcW w:w="1200" w:type="dxa"/>
            <w:tcBorders>
              <w:top w:val="single" w:sz="12" w:space="0" w:color="auto"/>
              <w:bottom w:val="single" w:sz="12" w:space="0" w:color="auto"/>
            </w:tcBorders>
            <w:shd w:val="clear" w:color="auto" w:fill="auto"/>
            <w:noWrap/>
            <w:vAlign w:val="bottom"/>
            <w:hideMark/>
          </w:tcPr>
          <w:p w14:paraId="1D31073B" w14:textId="77777777" w:rsidR="00F365AD" w:rsidRPr="001A67B0" w:rsidRDefault="00F365AD" w:rsidP="00826A31">
            <w:pPr>
              <w:spacing w:after="0" w:line="240" w:lineRule="auto"/>
              <w:jc w:val="center"/>
              <w:rPr>
                <w:rFonts w:eastAsia="Times New Roman"/>
                <w:b/>
                <w:bCs/>
                <w:color w:val="000000"/>
                <w:lang w:eastAsia="es-EC"/>
              </w:rPr>
            </w:pPr>
            <w:r w:rsidRPr="001A67B0">
              <w:rPr>
                <w:rFonts w:eastAsia="Times New Roman"/>
                <w:b/>
                <w:bCs/>
                <w:color w:val="000000"/>
                <w:lang w:eastAsia="es-EC"/>
              </w:rPr>
              <w:t>Precio</w:t>
            </w:r>
          </w:p>
        </w:tc>
      </w:tr>
      <w:tr w:rsidR="00F365AD" w:rsidRPr="009E0626" w14:paraId="6C61F5E8" w14:textId="77777777" w:rsidTr="007C5391">
        <w:trPr>
          <w:trHeight w:val="300"/>
          <w:jc w:val="center"/>
        </w:trPr>
        <w:tc>
          <w:tcPr>
            <w:tcW w:w="1200" w:type="dxa"/>
            <w:tcBorders>
              <w:top w:val="single" w:sz="12" w:space="0" w:color="auto"/>
            </w:tcBorders>
            <w:shd w:val="clear" w:color="auto" w:fill="auto"/>
            <w:noWrap/>
            <w:vAlign w:val="bottom"/>
            <w:hideMark/>
          </w:tcPr>
          <w:p w14:paraId="7EF9B158"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2005</w:t>
            </w:r>
          </w:p>
        </w:tc>
        <w:tc>
          <w:tcPr>
            <w:tcW w:w="1200" w:type="dxa"/>
            <w:tcBorders>
              <w:top w:val="single" w:sz="12" w:space="0" w:color="auto"/>
            </w:tcBorders>
            <w:shd w:val="clear" w:color="auto" w:fill="auto"/>
            <w:noWrap/>
            <w:vAlign w:val="bottom"/>
            <w:hideMark/>
          </w:tcPr>
          <w:p w14:paraId="4C1568CA"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1.183</w:t>
            </w:r>
          </w:p>
        </w:tc>
      </w:tr>
      <w:tr w:rsidR="00F365AD" w:rsidRPr="009E0626" w14:paraId="37296F33" w14:textId="77777777" w:rsidTr="007C5391">
        <w:trPr>
          <w:trHeight w:val="300"/>
          <w:jc w:val="center"/>
        </w:trPr>
        <w:tc>
          <w:tcPr>
            <w:tcW w:w="1200" w:type="dxa"/>
            <w:shd w:val="clear" w:color="auto" w:fill="auto"/>
            <w:noWrap/>
            <w:vAlign w:val="bottom"/>
            <w:hideMark/>
          </w:tcPr>
          <w:p w14:paraId="0523AE09"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2006</w:t>
            </w:r>
          </w:p>
        </w:tc>
        <w:tc>
          <w:tcPr>
            <w:tcW w:w="1200" w:type="dxa"/>
            <w:shd w:val="clear" w:color="auto" w:fill="auto"/>
            <w:noWrap/>
            <w:vAlign w:val="bottom"/>
            <w:hideMark/>
          </w:tcPr>
          <w:p w14:paraId="44D84059"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1.169</w:t>
            </w:r>
          </w:p>
        </w:tc>
      </w:tr>
      <w:tr w:rsidR="00F365AD" w:rsidRPr="009E0626" w14:paraId="2302B9D3" w14:textId="77777777" w:rsidTr="007C5391">
        <w:trPr>
          <w:trHeight w:val="300"/>
          <w:jc w:val="center"/>
        </w:trPr>
        <w:tc>
          <w:tcPr>
            <w:tcW w:w="1200" w:type="dxa"/>
            <w:shd w:val="clear" w:color="auto" w:fill="auto"/>
            <w:noWrap/>
            <w:vAlign w:val="bottom"/>
            <w:hideMark/>
          </w:tcPr>
          <w:p w14:paraId="4B9BBB56"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2007</w:t>
            </w:r>
          </w:p>
        </w:tc>
        <w:tc>
          <w:tcPr>
            <w:tcW w:w="1200" w:type="dxa"/>
            <w:shd w:val="clear" w:color="auto" w:fill="auto"/>
            <w:noWrap/>
            <w:vAlign w:val="bottom"/>
            <w:hideMark/>
          </w:tcPr>
          <w:p w14:paraId="306EBAD8"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1.531</w:t>
            </w:r>
          </w:p>
        </w:tc>
      </w:tr>
      <w:tr w:rsidR="00F365AD" w:rsidRPr="009E0626" w14:paraId="50D0FA89" w14:textId="77777777" w:rsidTr="007C5391">
        <w:trPr>
          <w:trHeight w:val="300"/>
          <w:jc w:val="center"/>
        </w:trPr>
        <w:tc>
          <w:tcPr>
            <w:tcW w:w="1200" w:type="dxa"/>
            <w:shd w:val="clear" w:color="auto" w:fill="auto"/>
            <w:noWrap/>
            <w:vAlign w:val="bottom"/>
            <w:hideMark/>
          </w:tcPr>
          <w:p w14:paraId="3A9FA6D3"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2008</w:t>
            </w:r>
          </w:p>
        </w:tc>
        <w:tc>
          <w:tcPr>
            <w:tcW w:w="1200" w:type="dxa"/>
            <w:shd w:val="clear" w:color="auto" w:fill="auto"/>
            <w:noWrap/>
            <w:vAlign w:val="bottom"/>
            <w:hideMark/>
          </w:tcPr>
          <w:p w14:paraId="19CFB7F5"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1.964</w:t>
            </w:r>
          </w:p>
        </w:tc>
      </w:tr>
      <w:tr w:rsidR="00F365AD" w:rsidRPr="009E0626" w14:paraId="24AED822" w14:textId="77777777" w:rsidTr="007C5391">
        <w:trPr>
          <w:trHeight w:val="300"/>
          <w:jc w:val="center"/>
        </w:trPr>
        <w:tc>
          <w:tcPr>
            <w:tcW w:w="1200" w:type="dxa"/>
            <w:shd w:val="clear" w:color="auto" w:fill="auto"/>
            <w:noWrap/>
            <w:vAlign w:val="bottom"/>
            <w:hideMark/>
          </w:tcPr>
          <w:p w14:paraId="7C282D03"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2009</w:t>
            </w:r>
          </w:p>
        </w:tc>
        <w:tc>
          <w:tcPr>
            <w:tcW w:w="1200" w:type="dxa"/>
            <w:shd w:val="clear" w:color="auto" w:fill="auto"/>
            <w:noWrap/>
            <w:vAlign w:val="bottom"/>
            <w:hideMark/>
          </w:tcPr>
          <w:p w14:paraId="2C53C4BA"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2.718</w:t>
            </w:r>
          </w:p>
        </w:tc>
      </w:tr>
      <w:tr w:rsidR="00F365AD" w:rsidRPr="009E0626" w14:paraId="27F3ED11" w14:textId="77777777" w:rsidTr="007C5391">
        <w:trPr>
          <w:trHeight w:val="300"/>
          <w:jc w:val="center"/>
        </w:trPr>
        <w:tc>
          <w:tcPr>
            <w:tcW w:w="1200" w:type="dxa"/>
            <w:shd w:val="clear" w:color="auto" w:fill="auto"/>
            <w:noWrap/>
            <w:vAlign w:val="bottom"/>
            <w:hideMark/>
          </w:tcPr>
          <w:p w14:paraId="62A64B8B"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2010</w:t>
            </w:r>
          </w:p>
        </w:tc>
        <w:tc>
          <w:tcPr>
            <w:tcW w:w="1200" w:type="dxa"/>
            <w:shd w:val="clear" w:color="auto" w:fill="auto"/>
            <w:noWrap/>
            <w:vAlign w:val="bottom"/>
            <w:hideMark/>
          </w:tcPr>
          <w:p w14:paraId="20AD005E"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2.618</w:t>
            </w:r>
          </w:p>
        </w:tc>
      </w:tr>
      <w:tr w:rsidR="00F365AD" w:rsidRPr="009E0626" w14:paraId="5A555BA2" w14:textId="77777777" w:rsidTr="007C5391">
        <w:trPr>
          <w:trHeight w:val="300"/>
          <w:jc w:val="center"/>
        </w:trPr>
        <w:tc>
          <w:tcPr>
            <w:tcW w:w="1200" w:type="dxa"/>
            <w:shd w:val="clear" w:color="auto" w:fill="auto"/>
            <w:noWrap/>
            <w:vAlign w:val="bottom"/>
            <w:hideMark/>
          </w:tcPr>
          <w:p w14:paraId="53DA73A0"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2011</w:t>
            </w:r>
          </w:p>
        </w:tc>
        <w:tc>
          <w:tcPr>
            <w:tcW w:w="1200" w:type="dxa"/>
            <w:shd w:val="clear" w:color="auto" w:fill="auto"/>
            <w:noWrap/>
            <w:vAlign w:val="bottom"/>
            <w:hideMark/>
          </w:tcPr>
          <w:p w14:paraId="7E92A1C7"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2.520</w:t>
            </w:r>
          </w:p>
        </w:tc>
      </w:tr>
      <w:tr w:rsidR="00F365AD" w:rsidRPr="009E0626" w14:paraId="3E312BD2" w14:textId="77777777" w:rsidTr="007C5391">
        <w:trPr>
          <w:trHeight w:val="300"/>
          <w:jc w:val="center"/>
        </w:trPr>
        <w:tc>
          <w:tcPr>
            <w:tcW w:w="1200" w:type="dxa"/>
            <w:shd w:val="clear" w:color="auto" w:fill="auto"/>
            <w:noWrap/>
            <w:vAlign w:val="bottom"/>
            <w:hideMark/>
          </w:tcPr>
          <w:p w14:paraId="17A937EF"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2012</w:t>
            </w:r>
          </w:p>
        </w:tc>
        <w:tc>
          <w:tcPr>
            <w:tcW w:w="1200" w:type="dxa"/>
            <w:shd w:val="clear" w:color="auto" w:fill="auto"/>
            <w:noWrap/>
            <w:vAlign w:val="bottom"/>
            <w:hideMark/>
          </w:tcPr>
          <w:p w14:paraId="51D39CBF"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3.029</w:t>
            </w:r>
          </w:p>
        </w:tc>
      </w:tr>
      <w:tr w:rsidR="00F365AD" w:rsidRPr="009E0626" w14:paraId="7B41D7A6" w14:textId="77777777" w:rsidTr="007C5391">
        <w:trPr>
          <w:trHeight w:val="300"/>
          <w:jc w:val="center"/>
        </w:trPr>
        <w:tc>
          <w:tcPr>
            <w:tcW w:w="1200" w:type="dxa"/>
            <w:shd w:val="clear" w:color="auto" w:fill="auto"/>
            <w:noWrap/>
            <w:vAlign w:val="bottom"/>
            <w:hideMark/>
          </w:tcPr>
          <w:p w14:paraId="7F6AE85C"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2013</w:t>
            </w:r>
          </w:p>
        </w:tc>
        <w:tc>
          <w:tcPr>
            <w:tcW w:w="1200" w:type="dxa"/>
            <w:shd w:val="clear" w:color="auto" w:fill="auto"/>
            <w:noWrap/>
            <w:vAlign w:val="bottom"/>
            <w:hideMark/>
          </w:tcPr>
          <w:p w14:paraId="4360FFCB"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4.369</w:t>
            </w:r>
          </w:p>
        </w:tc>
      </w:tr>
      <w:tr w:rsidR="00F365AD" w:rsidRPr="009E0626" w14:paraId="0E6F28B5" w14:textId="77777777" w:rsidTr="007C5391">
        <w:trPr>
          <w:trHeight w:val="315"/>
          <w:jc w:val="center"/>
        </w:trPr>
        <w:tc>
          <w:tcPr>
            <w:tcW w:w="1200" w:type="dxa"/>
            <w:shd w:val="clear" w:color="auto" w:fill="auto"/>
            <w:noWrap/>
            <w:vAlign w:val="bottom"/>
            <w:hideMark/>
          </w:tcPr>
          <w:p w14:paraId="27FAF165"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2014</w:t>
            </w:r>
          </w:p>
        </w:tc>
        <w:tc>
          <w:tcPr>
            <w:tcW w:w="1200" w:type="dxa"/>
            <w:shd w:val="clear" w:color="auto" w:fill="auto"/>
            <w:noWrap/>
            <w:vAlign w:val="bottom"/>
            <w:hideMark/>
          </w:tcPr>
          <w:p w14:paraId="610B6D5B" w14:textId="77777777" w:rsidR="00F365AD" w:rsidRPr="001A67B0" w:rsidRDefault="00F365AD" w:rsidP="00826A31">
            <w:pPr>
              <w:spacing w:after="0" w:line="240" w:lineRule="auto"/>
              <w:jc w:val="center"/>
              <w:rPr>
                <w:rFonts w:eastAsia="Times New Roman"/>
                <w:color w:val="000000"/>
                <w:lang w:eastAsia="es-EC"/>
              </w:rPr>
            </w:pPr>
            <w:r w:rsidRPr="001A67B0">
              <w:rPr>
                <w:rFonts w:eastAsia="Times New Roman"/>
                <w:color w:val="000000"/>
                <w:lang w:eastAsia="es-EC"/>
              </w:rPr>
              <w:t>5.944</w:t>
            </w:r>
          </w:p>
        </w:tc>
      </w:tr>
    </w:tbl>
    <w:p w14:paraId="597969C4" w14:textId="77777777" w:rsidR="00F365AD" w:rsidRPr="004E0958" w:rsidRDefault="00F365AD" w:rsidP="004E0958">
      <w:pPr>
        <w:ind w:left="-354"/>
        <w:contextualSpacing/>
        <w:jc w:val="center"/>
        <w:rPr>
          <w:sz w:val="18"/>
          <w:szCs w:val="18"/>
        </w:rPr>
      </w:pPr>
      <w:r w:rsidRPr="004E0958">
        <w:rPr>
          <w:sz w:val="18"/>
          <w:szCs w:val="18"/>
        </w:rPr>
        <w:t>*Valores en USD/Ton</w:t>
      </w:r>
    </w:p>
    <w:p w14:paraId="21DB5F05" w14:textId="77777777" w:rsidR="00F365AD" w:rsidRDefault="00F365AD" w:rsidP="00F365AD">
      <w:pPr>
        <w:contextualSpacing/>
        <w:jc w:val="center"/>
      </w:pPr>
      <w:r w:rsidRPr="004E0958">
        <w:rPr>
          <w:sz w:val="18"/>
          <w:szCs w:val="18"/>
        </w:rPr>
        <w:t xml:space="preserve">Fuente: </w:t>
      </w:r>
      <w:sdt>
        <w:sdtPr>
          <w:rPr>
            <w:sz w:val="18"/>
            <w:szCs w:val="18"/>
          </w:rPr>
          <w:id w:val="-1006818973"/>
          <w:citation/>
        </w:sdtPr>
        <w:sdtEndPr/>
        <w:sdtContent>
          <w:r w:rsidRPr="004E0958">
            <w:rPr>
              <w:sz w:val="18"/>
              <w:szCs w:val="18"/>
            </w:rPr>
            <w:fldChar w:fldCharType="begin"/>
          </w:r>
          <w:r w:rsidRPr="004E0958">
            <w:rPr>
              <w:sz w:val="18"/>
              <w:szCs w:val="18"/>
            </w:rPr>
            <w:instrText xml:space="preserve">CITATION Int14 \l 12298 </w:instrText>
          </w:r>
          <w:r w:rsidRPr="004E0958">
            <w:rPr>
              <w:sz w:val="18"/>
              <w:szCs w:val="18"/>
            </w:rPr>
            <w:fldChar w:fldCharType="separate"/>
          </w:r>
          <w:r w:rsidR="00BC1846" w:rsidRPr="004E0958">
            <w:rPr>
              <w:noProof/>
              <w:sz w:val="18"/>
              <w:szCs w:val="18"/>
            </w:rPr>
            <w:t>(Centro de Comercio Internacional, 2015)</w:t>
          </w:r>
          <w:r w:rsidRPr="004E0958">
            <w:rPr>
              <w:sz w:val="18"/>
              <w:szCs w:val="18"/>
            </w:rPr>
            <w:fldChar w:fldCharType="end"/>
          </w:r>
        </w:sdtContent>
      </w:sdt>
      <w:r w:rsidRPr="004E0958">
        <w:rPr>
          <w:sz w:val="18"/>
          <w:szCs w:val="18"/>
        </w:rPr>
        <w:t xml:space="preserve"> </w:t>
      </w:r>
      <w:sdt>
        <w:sdtPr>
          <w:rPr>
            <w:sz w:val="18"/>
            <w:szCs w:val="18"/>
          </w:rPr>
          <w:id w:val="-634337817"/>
          <w:citation/>
        </w:sdtPr>
        <w:sdtEndPr>
          <w:rPr>
            <w:sz w:val="24"/>
            <w:szCs w:val="22"/>
          </w:rPr>
        </w:sdtEndPr>
        <w:sdtContent>
          <w:r w:rsidRPr="004E0958">
            <w:rPr>
              <w:sz w:val="18"/>
              <w:szCs w:val="18"/>
            </w:rPr>
            <w:fldChar w:fldCharType="begin"/>
          </w:r>
          <w:r w:rsidRPr="004E0958">
            <w:rPr>
              <w:sz w:val="18"/>
              <w:szCs w:val="18"/>
            </w:rPr>
            <w:instrText xml:space="preserve"> CITATION Min13 \l 12298 </w:instrText>
          </w:r>
          <w:r w:rsidRPr="004E0958">
            <w:rPr>
              <w:sz w:val="18"/>
              <w:szCs w:val="18"/>
            </w:rPr>
            <w:fldChar w:fldCharType="separate"/>
          </w:r>
          <w:r w:rsidR="00BC1846" w:rsidRPr="004E0958">
            <w:rPr>
              <w:noProof/>
              <w:sz w:val="18"/>
              <w:szCs w:val="18"/>
            </w:rPr>
            <w:t>(Ministerio de Agricultura, Ganadería, Acuacultura y Pesca, 2013)</w:t>
          </w:r>
          <w:r w:rsidRPr="004E0958">
            <w:rPr>
              <w:sz w:val="18"/>
              <w:szCs w:val="18"/>
            </w:rPr>
            <w:fldChar w:fldCharType="end"/>
          </w:r>
        </w:sdtContent>
      </w:sdt>
    </w:p>
    <w:p w14:paraId="1262EDA6" w14:textId="77777777" w:rsidR="004E0958" w:rsidRDefault="004E0958" w:rsidP="004E0958">
      <w:pPr>
        <w:contextualSpacing/>
      </w:pPr>
    </w:p>
    <w:p w14:paraId="77D8FBFC" w14:textId="77777777" w:rsidR="00F365AD" w:rsidRDefault="00F365AD" w:rsidP="004E0958">
      <w:pPr>
        <w:contextualSpacing/>
      </w:pPr>
      <w:r>
        <w:t xml:space="preserve">Si se revisa la evolución de los precios de la quinua en el período de tiempo considerado se puede notar que ha presentado una tendencia creciente. En un periodo de 10 años el precio ha aumentado en un 402%. Sin embargo, hasta el inicio de la presente década el incremento del </w:t>
      </w:r>
      <w:r>
        <w:lastRenderedPageBreak/>
        <w:t xml:space="preserve">precio era pequeño, situación que cambió a partir del año 2012, siendo desde este último año en el que se ha presentado un mayor impulso a la promoción del producto con actividades como la declaración del 2013 como el Año </w:t>
      </w:r>
      <w:r w:rsidR="007C5391">
        <w:t xml:space="preserve">Internacional </w:t>
      </w:r>
      <w:r>
        <w:t xml:space="preserve">de la Quinua, del que se hablará con mayor detalle en capítulos posteriores. </w:t>
      </w:r>
    </w:p>
    <w:p w14:paraId="5A47E317" w14:textId="77777777" w:rsidR="00F365AD" w:rsidRPr="00E45EFB" w:rsidRDefault="00F365AD" w:rsidP="004E0958">
      <w:pPr>
        <w:pStyle w:val="Ttulo4"/>
        <w:numPr>
          <w:ilvl w:val="2"/>
          <w:numId w:val="11"/>
        </w:numPr>
        <w:spacing w:before="0" w:after="200"/>
        <w:ind w:left="505" w:hanging="505"/>
        <w:contextualSpacing/>
        <w:rPr>
          <w:i w:val="0"/>
        </w:rPr>
      </w:pPr>
      <w:r w:rsidRPr="00E45EFB">
        <w:rPr>
          <w:i w:val="0"/>
        </w:rPr>
        <w:t>Precios mínimos y primas para la quinua de Comercio Justo</w:t>
      </w:r>
    </w:p>
    <w:p w14:paraId="12DFBC9B" w14:textId="77777777" w:rsidR="0075555F" w:rsidRDefault="00F365AD" w:rsidP="004E0958">
      <w:pPr>
        <w:contextualSpacing/>
      </w:pPr>
      <w:r>
        <w:t>La siguiente tabla incluye una lista de precios mínimos y primas aplicables a la quinua cuando se comercializa dentro de la red de Comercio Justo:</w:t>
      </w:r>
    </w:p>
    <w:p w14:paraId="2C533238" w14:textId="788013F8" w:rsidR="00F365AD" w:rsidRPr="004E3B3E" w:rsidRDefault="00F365AD" w:rsidP="0075555F">
      <w:pPr>
        <w:spacing w:line="276" w:lineRule="auto"/>
        <w:jc w:val="left"/>
      </w:pPr>
    </w:p>
    <w:p w14:paraId="0EBA52C2" w14:textId="77777777" w:rsidR="00F365AD" w:rsidRPr="00E45EFB" w:rsidRDefault="00F365AD" w:rsidP="00F365AD">
      <w:pPr>
        <w:pStyle w:val="Descripcin"/>
        <w:keepNext/>
        <w:jc w:val="center"/>
        <w:rPr>
          <w:b/>
          <w:i w:val="0"/>
          <w:iCs w:val="0"/>
          <w:color w:val="auto"/>
          <w:sz w:val="24"/>
          <w:szCs w:val="24"/>
        </w:rPr>
      </w:pPr>
      <w:bookmarkStart w:id="31" w:name="_Toc446973205"/>
      <w:r w:rsidRPr="00E45EFB">
        <w:rPr>
          <w:b/>
          <w:i w:val="0"/>
          <w:iCs w:val="0"/>
          <w:color w:val="auto"/>
          <w:sz w:val="24"/>
          <w:szCs w:val="24"/>
        </w:rPr>
        <w:t xml:space="preserve">Tabla </w:t>
      </w:r>
      <w:r w:rsidRPr="00E45EFB">
        <w:rPr>
          <w:b/>
          <w:i w:val="0"/>
          <w:iCs w:val="0"/>
          <w:color w:val="auto"/>
          <w:sz w:val="24"/>
          <w:szCs w:val="24"/>
        </w:rPr>
        <w:fldChar w:fldCharType="begin"/>
      </w:r>
      <w:r w:rsidRPr="00E45EFB">
        <w:rPr>
          <w:b/>
          <w:i w:val="0"/>
          <w:iCs w:val="0"/>
          <w:color w:val="auto"/>
          <w:sz w:val="24"/>
          <w:szCs w:val="24"/>
        </w:rPr>
        <w:instrText xml:space="preserve"> SEQ Tabla \* ARABIC </w:instrText>
      </w:r>
      <w:r w:rsidRPr="00E45EFB">
        <w:rPr>
          <w:b/>
          <w:i w:val="0"/>
          <w:iCs w:val="0"/>
          <w:color w:val="auto"/>
          <w:sz w:val="24"/>
          <w:szCs w:val="24"/>
        </w:rPr>
        <w:fldChar w:fldCharType="separate"/>
      </w:r>
      <w:r w:rsidR="00B828B8">
        <w:rPr>
          <w:b/>
          <w:i w:val="0"/>
          <w:iCs w:val="0"/>
          <w:noProof/>
          <w:color w:val="auto"/>
          <w:sz w:val="24"/>
          <w:szCs w:val="24"/>
        </w:rPr>
        <w:t>7</w:t>
      </w:r>
      <w:r w:rsidRPr="00E45EFB">
        <w:rPr>
          <w:b/>
          <w:i w:val="0"/>
          <w:iCs w:val="0"/>
          <w:color w:val="auto"/>
          <w:sz w:val="24"/>
          <w:szCs w:val="24"/>
        </w:rPr>
        <w:fldChar w:fldCharType="end"/>
      </w:r>
      <w:r w:rsidRPr="00E45EFB">
        <w:rPr>
          <w:b/>
          <w:i w:val="0"/>
          <w:iCs w:val="0"/>
          <w:color w:val="auto"/>
          <w:sz w:val="24"/>
          <w:szCs w:val="24"/>
        </w:rPr>
        <w:t>: Precios mínimos y primas para la quinua de Comercio Justo</w:t>
      </w:r>
      <w:bookmarkEnd w:id="31"/>
    </w:p>
    <w:tbl>
      <w:tblPr>
        <w:tblW w:w="8925" w:type="dxa"/>
        <w:jc w:val="center"/>
        <w:tblLook w:val="04A0" w:firstRow="1" w:lastRow="0" w:firstColumn="1" w:lastColumn="0" w:noHBand="0" w:noVBand="1"/>
      </w:tblPr>
      <w:tblGrid>
        <w:gridCol w:w="1163"/>
        <w:gridCol w:w="1550"/>
        <w:gridCol w:w="1508"/>
        <w:gridCol w:w="1150"/>
        <w:gridCol w:w="1135"/>
        <w:gridCol w:w="1216"/>
        <w:gridCol w:w="1203"/>
      </w:tblGrid>
      <w:tr w:rsidR="00BB00C8" w:rsidRPr="003B217C" w14:paraId="37FDE68B" w14:textId="77777777" w:rsidTr="003B217C">
        <w:trPr>
          <w:trHeight w:val="600"/>
          <w:jc w:val="center"/>
        </w:trPr>
        <w:tc>
          <w:tcPr>
            <w:tcW w:w="1163" w:type="dxa"/>
            <w:tcBorders>
              <w:top w:val="single" w:sz="12" w:space="0" w:color="auto"/>
              <w:bottom w:val="single" w:sz="12" w:space="0" w:color="auto"/>
            </w:tcBorders>
            <w:shd w:val="clear" w:color="auto" w:fill="auto"/>
            <w:vAlign w:val="center"/>
            <w:hideMark/>
          </w:tcPr>
          <w:p w14:paraId="1D0589BC"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Producto</w:t>
            </w:r>
          </w:p>
        </w:tc>
        <w:tc>
          <w:tcPr>
            <w:tcW w:w="1550" w:type="dxa"/>
            <w:tcBorders>
              <w:top w:val="single" w:sz="12" w:space="0" w:color="auto"/>
              <w:bottom w:val="single" w:sz="12" w:space="0" w:color="auto"/>
            </w:tcBorders>
            <w:shd w:val="clear" w:color="auto" w:fill="auto"/>
            <w:vAlign w:val="center"/>
            <w:hideMark/>
          </w:tcPr>
          <w:p w14:paraId="7881C00B"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Variedad del producto</w:t>
            </w:r>
          </w:p>
        </w:tc>
        <w:tc>
          <w:tcPr>
            <w:tcW w:w="1508" w:type="dxa"/>
            <w:tcBorders>
              <w:top w:val="single" w:sz="12" w:space="0" w:color="auto"/>
              <w:bottom w:val="single" w:sz="12" w:space="0" w:color="auto"/>
            </w:tcBorders>
            <w:shd w:val="clear" w:color="auto" w:fill="auto"/>
            <w:vAlign w:val="center"/>
            <w:hideMark/>
          </w:tcPr>
          <w:p w14:paraId="24B16287"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Precio Aplicado a</w:t>
            </w:r>
          </w:p>
        </w:tc>
        <w:tc>
          <w:tcPr>
            <w:tcW w:w="1150" w:type="dxa"/>
            <w:tcBorders>
              <w:top w:val="single" w:sz="12" w:space="0" w:color="auto"/>
              <w:bottom w:val="single" w:sz="12" w:space="0" w:color="auto"/>
            </w:tcBorders>
            <w:shd w:val="clear" w:color="auto" w:fill="auto"/>
            <w:vAlign w:val="center"/>
            <w:hideMark/>
          </w:tcPr>
          <w:p w14:paraId="441DAAB0"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Medida</w:t>
            </w:r>
          </w:p>
        </w:tc>
        <w:tc>
          <w:tcPr>
            <w:tcW w:w="1135" w:type="dxa"/>
            <w:tcBorders>
              <w:top w:val="single" w:sz="12" w:space="0" w:color="auto"/>
              <w:bottom w:val="single" w:sz="12" w:space="0" w:color="auto"/>
            </w:tcBorders>
            <w:shd w:val="clear" w:color="auto" w:fill="auto"/>
            <w:vAlign w:val="center"/>
            <w:hideMark/>
          </w:tcPr>
          <w:p w14:paraId="4129ED04"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Nivel de Precios</w:t>
            </w:r>
          </w:p>
        </w:tc>
        <w:tc>
          <w:tcPr>
            <w:tcW w:w="1216" w:type="dxa"/>
            <w:tcBorders>
              <w:top w:val="single" w:sz="12" w:space="0" w:color="auto"/>
              <w:bottom w:val="single" w:sz="12" w:space="0" w:color="auto"/>
            </w:tcBorders>
            <w:shd w:val="clear" w:color="auto" w:fill="auto"/>
            <w:vAlign w:val="center"/>
            <w:hideMark/>
          </w:tcPr>
          <w:p w14:paraId="00768C72"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Precio Mínimo Comercio Justo</w:t>
            </w:r>
          </w:p>
        </w:tc>
        <w:tc>
          <w:tcPr>
            <w:tcW w:w="1203" w:type="dxa"/>
            <w:tcBorders>
              <w:top w:val="single" w:sz="12" w:space="0" w:color="auto"/>
              <w:bottom w:val="single" w:sz="12" w:space="0" w:color="auto"/>
            </w:tcBorders>
            <w:shd w:val="clear" w:color="auto" w:fill="auto"/>
            <w:vAlign w:val="center"/>
            <w:hideMark/>
          </w:tcPr>
          <w:p w14:paraId="5EF6AAA8" w14:textId="77777777" w:rsidR="00BB00C8" w:rsidRPr="003B217C" w:rsidRDefault="00BB00C8" w:rsidP="00826A31">
            <w:pPr>
              <w:spacing w:after="0" w:line="240" w:lineRule="auto"/>
              <w:jc w:val="center"/>
              <w:rPr>
                <w:rFonts w:eastAsia="Times New Roman"/>
                <w:b/>
                <w:bCs/>
                <w:color w:val="000000"/>
                <w:szCs w:val="24"/>
              </w:rPr>
            </w:pPr>
            <w:r w:rsidRPr="003B217C">
              <w:rPr>
                <w:rFonts w:eastAsia="Times New Roman"/>
                <w:b/>
                <w:bCs/>
                <w:color w:val="000000"/>
                <w:szCs w:val="24"/>
              </w:rPr>
              <w:t>Válido desde</w:t>
            </w:r>
          </w:p>
        </w:tc>
      </w:tr>
      <w:tr w:rsidR="00BB00C8" w:rsidRPr="003B217C" w14:paraId="2F5BE95E" w14:textId="77777777" w:rsidTr="004E0958">
        <w:trPr>
          <w:trHeight w:val="1050"/>
          <w:jc w:val="center"/>
        </w:trPr>
        <w:tc>
          <w:tcPr>
            <w:tcW w:w="1163" w:type="dxa"/>
            <w:tcBorders>
              <w:top w:val="single" w:sz="12" w:space="0" w:color="auto"/>
            </w:tcBorders>
            <w:shd w:val="clear" w:color="auto" w:fill="auto"/>
            <w:noWrap/>
            <w:vAlign w:val="center"/>
            <w:hideMark/>
          </w:tcPr>
          <w:p w14:paraId="22823CF0"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Quinua (cereales)</w:t>
            </w:r>
          </w:p>
        </w:tc>
        <w:tc>
          <w:tcPr>
            <w:tcW w:w="1550" w:type="dxa"/>
            <w:tcBorders>
              <w:top w:val="single" w:sz="12" w:space="0" w:color="auto"/>
            </w:tcBorders>
            <w:shd w:val="clear" w:color="auto" w:fill="auto"/>
            <w:noWrap/>
            <w:vAlign w:val="center"/>
            <w:hideMark/>
          </w:tcPr>
          <w:p w14:paraId="79687FE0"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Convencional</w:t>
            </w:r>
          </w:p>
        </w:tc>
        <w:tc>
          <w:tcPr>
            <w:tcW w:w="1508" w:type="dxa"/>
            <w:tcBorders>
              <w:top w:val="single" w:sz="12" w:space="0" w:color="auto"/>
            </w:tcBorders>
            <w:shd w:val="clear" w:color="auto" w:fill="auto"/>
            <w:noWrap/>
            <w:vAlign w:val="center"/>
            <w:hideMark/>
          </w:tcPr>
          <w:p w14:paraId="38FEB986"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América del Sur</w:t>
            </w:r>
          </w:p>
        </w:tc>
        <w:tc>
          <w:tcPr>
            <w:tcW w:w="1150" w:type="dxa"/>
            <w:tcBorders>
              <w:top w:val="single" w:sz="12" w:space="0" w:color="auto"/>
            </w:tcBorders>
            <w:shd w:val="clear" w:color="auto" w:fill="auto"/>
            <w:noWrap/>
            <w:vAlign w:val="center"/>
            <w:hideMark/>
          </w:tcPr>
          <w:p w14:paraId="1F201AFB"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USD/Ton</w:t>
            </w:r>
          </w:p>
        </w:tc>
        <w:tc>
          <w:tcPr>
            <w:tcW w:w="1135" w:type="dxa"/>
            <w:tcBorders>
              <w:top w:val="single" w:sz="12" w:space="0" w:color="auto"/>
            </w:tcBorders>
            <w:shd w:val="clear" w:color="auto" w:fill="auto"/>
            <w:noWrap/>
            <w:vAlign w:val="center"/>
            <w:hideMark/>
          </w:tcPr>
          <w:p w14:paraId="2DB7C5BC"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FOB</w:t>
            </w:r>
          </w:p>
        </w:tc>
        <w:tc>
          <w:tcPr>
            <w:tcW w:w="1216" w:type="dxa"/>
            <w:tcBorders>
              <w:top w:val="single" w:sz="12" w:space="0" w:color="auto"/>
            </w:tcBorders>
            <w:shd w:val="clear" w:color="auto" w:fill="auto"/>
            <w:noWrap/>
            <w:vAlign w:val="center"/>
            <w:hideMark/>
          </w:tcPr>
          <w:p w14:paraId="7E2979C3"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2.250</w:t>
            </w:r>
          </w:p>
        </w:tc>
        <w:tc>
          <w:tcPr>
            <w:tcW w:w="1203" w:type="dxa"/>
            <w:tcBorders>
              <w:top w:val="single" w:sz="12" w:space="0" w:color="auto"/>
            </w:tcBorders>
            <w:shd w:val="clear" w:color="auto" w:fill="auto"/>
            <w:noWrap/>
            <w:vAlign w:val="center"/>
            <w:hideMark/>
          </w:tcPr>
          <w:p w14:paraId="18311E16"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01-04-12</w:t>
            </w:r>
          </w:p>
        </w:tc>
      </w:tr>
      <w:tr w:rsidR="00BB00C8" w:rsidRPr="003B217C" w14:paraId="4A704549" w14:textId="77777777" w:rsidTr="004E0958">
        <w:trPr>
          <w:trHeight w:val="996"/>
          <w:jc w:val="center"/>
        </w:trPr>
        <w:tc>
          <w:tcPr>
            <w:tcW w:w="1163" w:type="dxa"/>
            <w:tcBorders>
              <w:bottom w:val="single" w:sz="12" w:space="0" w:color="auto"/>
            </w:tcBorders>
            <w:shd w:val="clear" w:color="auto" w:fill="auto"/>
            <w:noWrap/>
            <w:vAlign w:val="center"/>
            <w:hideMark/>
          </w:tcPr>
          <w:p w14:paraId="7414778A"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Quinua (cereales)</w:t>
            </w:r>
          </w:p>
        </w:tc>
        <w:tc>
          <w:tcPr>
            <w:tcW w:w="1550" w:type="dxa"/>
            <w:tcBorders>
              <w:bottom w:val="single" w:sz="12" w:space="0" w:color="auto"/>
            </w:tcBorders>
            <w:shd w:val="clear" w:color="auto" w:fill="auto"/>
            <w:noWrap/>
            <w:vAlign w:val="center"/>
            <w:hideMark/>
          </w:tcPr>
          <w:p w14:paraId="503AD268"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Orgánica</w:t>
            </w:r>
          </w:p>
        </w:tc>
        <w:tc>
          <w:tcPr>
            <w:tcW w:w="1508" w:type="dxa"/>
            <w:tcBorders>
              <w:bottom w:val="single" w:sz="12" w:space="0" w:color="auto"/>
            </w:tcBorders>
            <w:shd w:val="clear" w:color="auto" w:fill="auto"/>
            <w:noWrap/>
            <w:vAlign w:val="center"/>
            <w:hideMark/>
          </w:tcPr>
          <w:p w14:paraId="7BA6C18F"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América del Sur</w:t>
            </w:r>
          </w:p>
        </w:tc>
        <w:tc>
          <w:tcPr>
            <w:tcW w:w="1150" w:type="dxa"/>
            <w:tcBorders>
              <w:bottom w:val="single" w:sz="12" w:space="0" w:color="auto"/>
            </w:tcBorders>
            <w:shd w:val="clear" w:color="auto" w:fill="auto"/>
            <w:noWrap/>
            <w:vAlign w:val="center"/>
            <w:hideMark/>
          </w:tcPr>
          <w:p w14:paraId="475C8CBA"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USD/Ton</w:t>
            </w:r>
          </w:p>
        </w:tc>
        <w:tc>
          <w:tcPr>
            <w:tcW w:w="1135" w:type="dxa"/>
            <w:tcBorders>
              <w:bottom w:val="single" w:sz="12" w:space="0" w:color="auto"/>
            </w:tcBorders>
            <w:shd w:val="clear" w:color="auto" w:fill="auto"/>
            <w:noWrap/>
            <w:vAlign w:val="center"/>
            <w:hideMark/>
          </w:tcPr>
          <w:p w14:paraId="448F8620"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FOB</w:t>
            </w:r>
          </w:p>
        </w:tc>
        <w:tc>
          <w:tcPr>
            <w:tcW w:w="1216" w:type="dxa"/>
            <w:tcBorders>
              <w:bottom w:val="single" w:sz="12" w:space="0" w:color="auto"/>
            </w:tcBorders>
            <w:shd w:val="clear" w:color="auto" w:fill="auto"/>
            <w:noWrap/>
            <w:vAlign w:val="center"/>
            <w:hideMark/>
          </w:tcPr>
          <w:p w14:paraId="51194933"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2.600</w:t>
            </w:r>
          </w:p>
        </w:tc>
        <w:tc>
          <w:tcPr>
            <w:tcW w:w="1203" w:type="dxa"/>
            <w:tcBorders>
              <w:bottom w:val="single" w:sz="12" w:space="0" w:color="auto"/>
            </w:tcBorders>
            <w:shd w:val="clear" w:color="auto" w:fill="auto"/>
            <w:noWrap/>
            <w:vAlign w:val="center"/>
            <w:hideMark/>
          </w:tcPr>
          <w:p w14:paraId="5219FF9F" w14:textId="77777777" w:rsidR="00BB00C8" w:rsidRPr="003B217C" w:rsidRDefault="00BB00C8" w:rsidP="00826A31">
            <w:pPr>
              <w:spacing w:after="0" w:line="240" w:lineRule="auto"/>
              <w:contextualSpacing/>
              <w:jc w:val="center"/>
              <w:rPr>
                <w:rFonts w:eastAsia="Times New Roman"/>
                <w:color w:val="000000"/>
                <w:szCs w:val="24"/>
              </w:rPr>
            </w:pPr>
            <w:r w:rsidRPr="003B217C">
              <w:rPr>
                <w:rFonts w:eastAsia="Times New Roman"/>
                <w:color w:val="000000"/>
                <w:szCs w:val="24"/>
              </w:rPr>
              <w:t>01-04-12</w:t>
            </w:r>
          </w:p>
        </w:tc>
      </w:tr>
    </w:tbl>
    <w:p w14:paraId="729F9C1E" w14:textId="3DC134B2" w:rsidR="004E0958" w:rsidRDefault="00F365AD" w:rsidP="00F365AD">
      <w:pPr>
        <w:rPr>
          <w:sz w:val="18"/>
          <w:szCs w:val="18"/>
        </w:rPr>
      </w:pPr>
      <w:r w:rsidRPr="004E0958">
        <w:rPr>
          <w:sz w:val="18"/>
          <w:szCs w:val="18"/>
        </w:rPr>
        <w:t xml:space="preserve">Fuente: </w:t>
      </w:r>
      <w:sdt>
        <w:sdtPr>
          <w:rPr>
            <w:sz w:val="18"/>
            <w:szCs w:val="18"/>
          </w:rPr>
          <w:id w:val="2057506287"/>
          <w:citation/>
        </w:sdtPr>
        <w:sdtEndPr/>
        <w:sdtContent>
          <w:r w:rsidRPr="004E0958">
            <w:rPr>
              <w:sz w:val="18"/>
              <w:szCs w:val="18"/>
            </w:rPr>
            <w:fldChar w:fldCharType="begin"/>
          </w:r>
          <w:r w:rsidRPr="004E0958">
            <w:rPr>
              <w:sz w:val="18"/>
              <w:szCs w:val="18"/>
            </w:rPr>
            <w:instrText xml:space="preserve"> CITATION Fai14 \l 12298 </w:instrText>
          </w:r>
          <w:r w:rsidRPr="004E0958">
            <w:rPr>
              <w:sz w:val="18"/>
              <w:szCs w:val="18"/>
            </w:rPr>
            <w:fldChar w:fldCharType="separate"/>
          </w:r>
          <w:r w:rsidR="00BC1846" w:rsidRPr="004E0958">
            <w:rPr>
              <w:noProof/>
              <w:sz w:val="18"/>
              <w:szCs w:val="18"/>
            </w:rPr>
            <w:t>(Fairtrade International, 2014)</w:t>
          </w:r>
          <w:r w:rsidRPr="004E0958">
            <w:rPr>
              <w:sz w:val="18"/>
              <w:szCs w:val="18"/>
            </w:rPr>
            <w:fldChar w:fldCharType="end"/>
          </w:r>
        </w:sdtContent>
      </w:sdt>
    </w:p>
    <w:p w14:paraId="380F5BD1" w14:textId="77777777" w:rsidR="004E0958" w:rsidRPr="004E0958" w:rsidRDefault="004E0958" w:rsidP="00F365AD">
      <w:pPr>
        <w:rPr>
          <w:sz w:val="18"/>
          <w:szCs w:val="18"/>
        </w:rPr>
      </w:pPr>
    </w:p>
    <w:p w14:paraId="4CE3124C" w14:textId="18C27EC6" w:rsidR="00F365AD" w:rsidRDefault="00F365AD" w:rsidP="00F365AD">
      <w:r>
        <w:t>Los precios mínimos de Comercio Justo se han definido para la quinua procesada bajo el régimen aduanero FOB. Para la quinua orgánica, el precio mínimo de Comercio Justo se ha establecido en US</w:t>
      </w:r>
      <w:r w:rsidR="0008258D">
        <w:t>$</w:t>
      </w:r>
      <w:r w:rsidR="0075555F">
        <w:t xml:space="preserve"> </w:t>
      </w:r>
      <w:r>
        <w:t>2.600/ton y para la quinua convencional, aquella que no se categoriza como orgánica, a US</w:t>
      </w:r>
      <w:r w:rsidR="0008258D">
        <w:t>$</w:t>
      </w:r>
      <w:r w:rsidR="0075555F">
        <w:t xml:space="preserve"> </w:t>
      </w:r>
      <w:r>
        <w:t xml:space="preserve">2.250/ton. Los precios se aplican a todos los tipos de quinua. Además, estos precios son aplicados para el comercio realizado con los países de América del Sur </w:t>
      </w:r>
      <w:sdt>
        <w:sdtPr>
          <w:id w:val="-2001879218"/>
          <w:citation/>
        </w:sdtPr>
        <w:sdtEndPr/>
        <w:sdtContent>
          <w:r>
            <w:fldChar w:fldCharType="begin"/>
          </w:r>
          <w:r>
            <w:instrText xml:space="preserve"> CITATION Ins13 \l 12298 </w:instrText>
          </w:r>
          <w:r>
            <w:fldChar w:fldCharType="separate"/>
          </w:r>
          <w:r w:rsidR="00BC1846">
            <w:rPr>
              <w:noProof/>
            </w:rPr>
            <w:t>(Instituto Boliviano de Comercio Exterior, 2013)</w:t>
          </w:r>
          <w:r>
            <w:fldChar w:fldCharType="end"/>
          </w:r>
        </w:sdtContent>
      </w:sdt>
      <w:r>
        <w:t>.</w:t>
      </w:r>
    </w:p>
    <w:p w14:paraId="3E41CFFE" w14:textId="4E053090" w:rsidR="00F365AD" w:rsidRDefault="00BB00C8" w:rsidP="00F365AD">
      <w:r>
        <w:t>Se ha fijado como prima de Comercio Justo</w:t>
      </w:r>
      <w:r w:rsidR="007C5391">
        <w:t xml:space="preserve"> </w:t>
      </w:r>
      <w:r w:rsidR="00F365AD">
        <w:t>un 10% del precio de la quinua orgánica, US</w:t>
      </w:r>
      <w:r w:rsidR="0008258D">
        <w:t>$</w:t>
      </w:r>
      <w:r w:rsidR="00F365AD">
        <w:t xml:space="preserve"> 260/Ton. Esta prima tiene una cláusula que pide que un mínimo del 30% de la misma (US</w:t>
      </w:r>
      <w:r w:rsidR="0008258D">
        <w:t>$</w:t>
      </w:r>
      <w:r w:rsidR="00F365AD">
        <w:t xml:space="preserve"> 78/Ton) sea usada para invertir en medidas de sostenibilidad ambiental que garanticen la producción del cereal a largo plazo. </w:t>
      </w:r>
    </w:p>
    <w:p w14:paraId="7DD509B4" w14:textId="77777777" w:rsidR="00F365AD" w:rsidRDefault="00F365AD" w:rsidP="00680760">
      <w:r>
        <w:lastRenderedPageBreak/>
        <w:t xml:space="preserve">El Instituto Boliviano de Comercio Exterior </w:t>
      </w:r>
      <w:sdt>
        <w:sdtPr>
          <w:id w:val="-193154631"/>
          <w:citation/>
        </w:sdtPr>
        <w:sdtEndPr/>
        <w:sdtContent>
          <w:r w:rsidR="00BB00C8">
            <w:fldChar w:fldCharType="begin"/>
          </w:r>
          <w:r w:rsidR="00BB00C8">
            <w:rPr>
              <w:noProof/>
            </w:rPr>
            <w:instrText xml:space="preserve">CITATION Ins13 \p 21 \n  \t  \l 12298 </w:instrText>
          </w:r>
          <w:r w:rsidR="00BB00C8">
            <w:fldChar w:fldCharType="separate"/>
          </w:r>
          <w:r w:rsidR="00BC1846">
            <w:rPr>
              <w:noProof/>
            </w:rPr>
            <w:t>(2013, pág. 21)</w:t>
          </w:r>
          <w:r w:rsidR="00BB00C8">
            <w:fldChar w:fldCharType="end"/>
          </w:r>
        </w:sdtContent>
      </w:sdt>
      <w:r w:rsidR="00BB00C8">
        <w:t xml:space="preserve"> </w:t>
      </w:r>
      <w:r>
        <w:t xml:space="preserve">afirma que “las condiciones en la comercialización de productos de Comercio Justo describen que cuando el precio del mercado está más alto que el precio mínimo, los productores deben recibir el precio del mercado actual o el precio negociado en un contrato”. </w:t>
      </w:r>
    </w:p>
    <w:p w14:paraId="70E234B3" w14:textId="77777777" w:rsidR="0094321B" w:rsidRPr="00E45EFB" w:rsidRDefault="0094321B" w:rsidP="00680760">
      <w:pPr>
        <w:pStyle w:val="Ttulo4"/>
        <w:numPr>
          <w:ilvl w:val="2"/>
          <w:numId w:val="11"/>
        </w:numPr>
        <w:spacing w:after="200"/>
        <w:ind w:left="505" w:hanging="505"/>
        <w:rPr>
          <w:i w:val="0"/>
        </w:rPr>
      </w:pPr>
      <w:r w:rsidRPr="00E45EFB">
        <w:rPr>
          <w:i w:val="0"/>
        </w:rPr>
        <w:t>Cadena de valor de la quinua</w:t>
      </w:r>
    </w:p>
    <w:p w14:paraId="310CB00A" w14:textId="77777777" w:rsidR="0094321B" w:rsidRDefault="0094321B" w:rsidP="00680760">
      <w:r>
        <w:t xml:space="preserve">La cadena de valor de este cereal es similar en todos los países productores. Empieza con el trabajo siembra y cosecha de pequeños campesinos que generan una oferta atomizada, que es comercializada en pequeños volúmenes y con alta heterogeneidad en cuanto a calidad y características físicas. </w:t>
      </w:r>
      <w:r w:rsidR="00DD2E1B">
        <w:t>Estos pequeños productores han considerado la asociación como respuesta a la demanda internacional, sin embargo, todavía hay que mejorar en temas de infraestructura y capacidad de negociación. Casos puntuales los asociados a CABOLQUI en Bolivia han logrado mejores condiciones del precio, llegando a recibir hasta el 70% de los precios FOB</w:t>
      </w:r>
      <w:r w:rsidR="00DD2E1B" w:rsidRPr="00DD2E1B">
        <w:t xml:space="preserve"> </w:t>
      </w:r>
      <w:sdt>
        <w:sdtPr>
          <w:id w:val="1474021852"/>
          <w:citation/>
        </w:sdtPr>
        <w:sdtEndPr/>
        <w:sdtContent>
          <w:r w:rsidR="00DD2E1B">
            <w:fldChar w:fldCharType="begin"/>
          </w:r>
          <w:r w:rsidR="00DD2E1B">
            <w:instrText xml:space="preserve"> CITATION Baz14 \l 12298 </w:instrText>
          </w:r>
          <w:r w:rsidR="00DD2E1B">
            <w:fldChar w:fldCharType="separate"/>
          </w:r>
          <w:r w:rsidR="00BC1846">
            <w:rPr>
              <w:noProof/>
            </w:rPr>
            <w:t>(Bazile, Bertero, &amp; Nieto, 2014)</w:t>
          </w:r>
          <w:r w:rsidR="00DD2E1B">
            <w:fldChar w:fldCharType="end"/>
          </w:r>
        </w:sdtContent>
      </w:sdt>
      <w:r w:rsidR="00DD2E1B">
        <w:t>.</w:t>
      </w:r>
      <w:r w:rsidR="00DD2E1B" w:rsidRPr="00DD2E1B">
        <w:t xml:space="preserve"> </w:t>
      </w:r>
    </w:p>
    <w:p w14:paraId="4ECA3098" w14:textId="77777777" w:rsidR="00A62090" w:rsidRDefault="00DD2E1B" w:rsidP="00DD2E1B">
      <w:r>
        <w:t xml:space="preserve">El segundo nivel de la cadena lo constituyen empresas de acopio y procesamiento básico a nivel local, para dirigir la producción a mercados regionales e internacionales. </w:t>
      </w:r>
      <w:r w:rsidR="00A62090">
        <w:t>Este nivel va de la mano con la industrialización de la quinua orgánica o convencional para realizar otros productos con valor agregado para comerciar al destino final, sea nacional o internacional</w:t>
      </w:r>
      <w:r w:rsidR="00A0425D">
        <w:t xml:space="preserve"> (Bazile et al., 2014)</w:t>
      </w:r>
      <w:r w:rsidR="00A62090">
        <w:t>.</w:t>
      </w:r>
    </w:p>
    <w:p w14:paraId="3DB72391" w14:textId="77777777" w:rsidR="00A62090" w:rsidRDefault="00A62090" w:rsidP="00DD2E1B">
      <w:r>
        <w:t>El cuarto nivel que constituye la comercialización puede ser tanto interna como externa. Interna se da a través de los pequeños productores que venden directamente el cereal en ferias y mercados, o empresas más grandes lo realizan a través de sus cadenas de distribución o mayoristas</w:t>
      </w:r>
      <w:r w:rsidR="00A0425D">
        <w:t xml:space="preserve"> (Bazile et al., 2014)</w:t>
      </w:r>
      <w:r>
        <w:t>.</w:t>
      </w:r>
    </w:p>
    <w:p w14:paraId="35DC3E2E" w14:textId="77777777" w:rsidR="00A62090" w:rsidRDefault="00A62090" w:rsidP="00DD2E1B">
      <w:r>
        <w:t>La comercialización externa</w:t>
      </w:r>
      <w:r w:rsidR="00DD2E1B">
        <w:t xml:space="preserve"> exige estándares de calidad y homogenización del producto, que ha impulsado la aparición de intermediarios que acortan la cadena de comercialización, consolidando la producción para mejorar la calidad e inocuidad de la misma, disminuyendo los costos de transacción. </w:t>
      </w:r>
      <w:r>
        <w:t>La mayoría de exportadores terminan la cadena de valor entregando los productos a intermediarios de mercado destino que continúen la distribución hasta cliente final. Pocas organizaciones como ANAPQUI han logrado un poder de negociación que les permita entregar directamente a mayoristas en mercado destino</w:t>
      </w:r>
      <w:r w:rsidR="00A0425D">
        <w:t xml:space="preserve"> (Bazile et al., 2014).</w:t>
      </w:r>
    </w:p>
    <w:p w14:paraId="5D4A2FA5" w14:textId="77777777" w:rsidR="007C5391" w:rsidRDefault="00DD2E1B" w:rsidP="00DD2E1B">
      <w:r>
        <w:lastRenderedPageBreak/>
        <w:t xml:space="preserve">En el estudio de Bazile et al., </w:t>
      </w:r>
      <w:sdt>
        <w:sdtPr>
          <w:id w:val="2126416938"/>
          <w:citation/>
        </w:sdtPr>
        <w:sdtEndPr/>
        <w:sdtContent>
          <w:r>
            <w:fldChar w:fldCharType="begin"/>
          </w:r>
          <w:r>
            <w:instrText xml:space="preserve">CITATION Baz14 \p 389 \n  \t  \l 12298 </w:instrText>
          </w:r>
          <w:r>
            <w:fldChar w:fldCharType="separate"/>
          </w:r>
          <w:r w:rsidR="00BC1846">
            <w:rPr>
              <w:noProof/>
            </w:rPr>
            <w:t>(2014, pág. 389)</w:t>
          </w:r>
          <w:r>
            <w:fldChar w:fldCharType="end"/>
          </w:r>
        </w:sdtContent>
      </w:sdt>
      <w:r>
        <w:t xml:space="preserve"> se afirma que </w:t>
      </w:r>
    </w:p>
    <w:p w14:paraId="0212AAFB" w14:textId="77777777" w:rsidR="00DD2E1B" w:rsidRPr="00ED1E4D" w:rsidRDefault="00DD2E1B" w:rsidP="007C5391">
      <w:pPr>
        <w:ind w:left="708"/>
      </w:pPr>
      <w:r w:rsidRPr="00ED1E4D">
        <w:t>“no existen estudios detallados que permitan cuantificar la forma en que los recursos son distribuidos entre los diferentes eslabones de la cadena de valor, aun cuando es válido suponer que no difiera significativamente de otras cadenas de valor en las que el grueso de los ingresos es capturado por los comerciantes y transformadores agroindustriales.”</w:t>
      </w:r>
    </w:p>
    <w:p w14:paraId="21361117" w14:textId="77777777" w:rsidR="00F365AD" w:rsidRDefault="00A0425D" w:rsidP="00F365AD">
      <w:r>
        <w:t>Además se sugiere el establecimiento de políticas públicas que perfeccionen los canales de intermediación y procesamiento del producto (Bazile et al., 2014):</w:t>
      </w:r>
    </w:p>
    <w:p w14:paraId="323A51C9" w14:textId="77777777" w:rsidR="00A0425D" w:rsidRDefault="00A0425D" w:rsidP="00A0425D">
      <w:pPr>
        <w:ind w:left="708"/>
      </w:pPr>
      <w:r>
        <w:t xml:space="preserve">Apoyo a la consolidación de formas asociativas de los productores y el soporte técnico, financiero e institucional para mejorar el acopio y tratamiento del cereal y la integración de estos en la cadena de valor. </w:t>
      </w:r>
    </w:p>
    <w:p w14:paraId="02605FDE" w14:textId="77777777" w:rsidR="00A0425D" w:rsidRDefault="00A0425D" w:rsidP="00A0425D">
      <w:pPr>
        <w:ind w:left="708"/>
      </w:pPr>
      <w:r>
        <w:t>La implementación de programas que vinculen de forma más estable y ventajosa a los productores, como proveedores para la generación de mercado secundario que agregue valor.</w:t>
      </w:r>
    </w:p>
    <w:p w14:paraId="464A84F1" w14:textId="77777777" w:rsidR="00A0425D" w:rsidRDefault="00A0425D" w:rsidP="00A0425D">
      <w:pPr>
        <w:ind w:left="708"/>
      </w:pPr>
      <w:r>
        <w:t>El desarrollo de programas gubernamentales de estímulo al consumo interno de quinua.</w:t>
      </w:r>
    </w:p>
    <w:p w14:paraId="33DADB5C" w14:textId="77777777" w:rsidR="00A0425D" w:rsidRPr="00103630" w:rsidRDefault="00A0425D" w:rsidP="00A0425D">
      <w:pPr>
        <w:ind w:left="708"/>
      </w:pPr>
      <w:r>
        <w:t>La realización de estudios detallados de la cadena de valor de la quinua y de su p</w:t>
      </w:r>
      <w:r w:rsidR="007C5391">
        <w:t>roceso de transformación para</w:t>
      </w:r>
      <w:r>
        <w:t xml:space="preserve"> contribuir a una mejor focalización de los requerimientos y prioridades de políticas públicas</w:t>
      </w:r>
      <w:r w:rsidR="007C5391">
        <w:t>, haciéndolos más funcionales</w:t>
      </w:r>
      <w:r>
        <w:t>.</w:t>
      </w:r>
    </w:p>
    <w:p w14:paraId="6E1E1FAD" w14:textId="77777777" w:rsidR="00A0425D" w:rsidRDefault="00A0425D">
      <w:pPr>
        <w:spacing w:line="276" w:lineRule="auto"/>
        <w:jc w:val="left"/>
      </w:pPr>
      <w:r>
        <w:br w:type="page"/>
      </w:r>
    </w:p>
    <w:p w14:paraId="14B22616" w14:textId="77777777" w:rsidR="00F365AD" w:rsidRDefault="00F365AD" w:rsidP="004E0958">
      <w:pPr>
        <w:contextualSpacing/>
      </w:pPr>
    </w:p>
    <w:p w14:paraId="116BE5BF" w14:textId="77777777" w:rsidR="00F365AD" w:rsidRDefault="00F365AD" w:rsidP="004E0958">
      <w:pPr>
        <w:contextualSpacing/>
      </w:pPr>
    </w:p>
    <w:p w14:paraId="73599C5C" w14:textId="77777777" w:rsidR="00F365AD" w:rsidRPr="00BC5F8E" w:rsidRDefault="00F365AD" w:rsidP="004E0958">
      <w:pPr>
        <w:contextualSpacing/>
      </w:pPr>
    </w:p>
    <w:p w14:paraId="4FD07CAB" w14:textId="77777777" w:rsidR="00C909E7" w:rsidRDefault="00300DF9" w:rsidP="004E0958">
      <w:pPr>
        <w:pStyle w:val="Ttulo1"/>
        <w:spacing w:before="0" w:after="200"/>
        <w:contextualSpacing/>
      </w:pPr>
      <w:bookmarkStart w:id="32" w:name="_Toc446973150"/>
      <w:r w:rsidRPr="00BC5F8E">
        <w:t>MARCO METODOLÓGICO</w:t>
      </w:r>
      <w:bookmarkEnd w:id="32"/>
    </w:p>
    <w:p w14:paraId="0C4B80B8" w14:textId="77777777" w:rsidR="00C909E7" w:rsidRPr="00BC5F8E" w:rsidRDefault="00C909E7" w:rsidP="004E0958">
      <w:pPr>
        <w:pStyle w:val="Ttulo2"/>
        <w:numPr>
          <w:ilvl w:val="0"/>
          <w:numId w:val="5"/>
        </w:numPr>
        <w:spacing w:before="0" w:after="200"/>
        <w:ind w:firstLine="0"/>
        <w:contextualSpacing/>
      </w:pPr>
      <w:bookmarkStart w:id="33" w:name="_Toc446973151"/>
      <w:r w:rsidRPr="00BC5F8E">
        <w:t>Tipo de investigación</w:t>
      </w:r>
      <w:bookmarkEnd w:id="33"/>
    </w:p>
    <w:p w14:paraId="4795C917" w14:textId="77777777" w:rsidR="00C909E7" w:rsidRDefault="00E82A9C" w:rsidP="004E0958">
      <w:pPr>
        <w:contextualSpacing/>
      </w:pPr>
      <w:r>
        <w:t xml:space="preserve">Según Muñoz Razo </w:t>
      </w:r>
      <w:sdt>
        <w:sdtPr>
          <w:id w:val="-1014754716"/>
          <w:citation/>
        </w:sdtPr>
        <w:sdtEndPr/>
        <w:sdtContent>
          <w:r w:rsidR="00BB6E45">
            <w:fldChar w:fldCharType="begin"/>
          </w:r>
          <w:r w:rsidR="007F1978">
            <w:instrText xml:space="preserve">CITATION Muñ98 \n  \t  \l 12298 </w:instrText>
          </w:r>
          <w:r w:rsidR="00BB6E45">
            <w:fldChar w:fldCharType="separate"/>
          </w:r>
          <w:r w:rsidR="00BC1846" w:rsidRPr="00BC1846">
            <w:rPr>
              <w:noProof/>
            </w:rPr>
            <w:t>(1998)</w:t>
          </w:r>
          <w:r w:rsidR="00BB6E45">
            <w:fldChar w:fldCharType="end"/>
          </w:r>
        </w:sdtContent>
      </w:sdt>
      <w:r w:rsidR="00BB6E45">
        <w:t xml:space="preserve"> distingue tres clases de investigación: Investigación documental, Investigación de campo e Investigación combinada. </w:t>
      </w:r>
      <w:r w:rsidR="00D8492C">
        <w:t xml:space="preserve">Define la investigación documental como “la recopilación de información y el análisis de los resultados </w:t>
      </w:r>
      <w:r w:rsidR="00EB7043">
        <w:t xml:space="preserve">que </w:t>
      </w:r>
      <w:r w:rsidR="00D8492C">
        <w:t xml:space="preserve">tienen un grado de carácter documental muy alto, apoyando lo encontrado con muy poca investigación de campo” </w:t>
      </w:r>
      <w:sdt>
        <w:sdtPr>
          <w:id w:val="-212196740"/>
          <w:citation/>
        </w:sdtPr>
        <w:sdtEndPr/>
        <w:sdtContent>
          <w:r w:rsidR="00BB00C8">
            <w:fldChar w:fldCharType="begin"/>
          </w:r>
          <w:r w:rsidR="00BB00C8">
            <w:instrText xml:space="preserve">CITATION Muñ98 \p 93 \t  \l 12298 </w:instrText>
          </w:r>
          <w:r w:rsidR="00BB00C8">
            <w:fldChar w:fldCharType="separate"/>
          </w:r>
          <w:r w:rsidR="00BC1846" w:rsidRPr="00BC1846">
            <w:rPr>
              <w:noProof/>
            </w:rPr>
            <w:t>(Muñoz Razo, 1998, pág. 93)</w:t>
          </w:r>
          <w:r w:rsidR="00BB00C8">
            <w:fldChar w:fldCharType="end"/>
          </w:r>
        </w:sdtContent>
      </w:sdt>
      <w:r w:rsidR="00D8492C">
        <w:t>. Este tipo de investigaciones generalmente son teóricas, abstractas y poco susceptibles a comprobarse por medios físicos.</w:t>
      </w:r>
    </w:p>
    <w:p w14:paraId="585064AD" w14:textId="77777777" w:rsidR="00D8492C" w:rsidRDefault="00D8492C" w:rsidP="004E0958">
      <w:pPr>
        <w:contextualSpacing/>
      </w:pPr>
      <w:r>
        <w:t xml:space="preserve">Por otro lado, el autor define una investigación de campo como aquella que en su ejecución “tanto el levantamiento de información como el análisis, comprobaciones, aplicaciones prácticas, conocimientos y métodos utilizados para obtener conclusiones, se realizan en el medio en el que se desenvuelve el fenómeno o hecho en estudio” </w:t>
      </w:r>
      <w:sdt>
        <w:sdtPr>
          <w:id w:val="1198745735"/>
          <w:citation/>
        </w:sdtPr>
        <w:sdtEndPr/>
        <w:sdtContent>
          <w:r w:rsidR="00BB00C8">
            <w:fldChar w:fldCharType="begin"/>
          </w:r>
          <w:r w:rsidR="00BB00C8">
            <w:instrText xml:space="preserve">CITATION Muñ98 \p 93 \t  \l 12298 </w:instrText>
          </w:r>
          <w:r w:rsidR="00BB00C8">
            <w:fldChar w:fldCharType="separate"/>
          </w:r>
          <w:r w:rsidR="00BC1846" w:rsidRPr="00BC1846">
            <w:rPr>
              <w:noProof/>
            </w:rPr>
            <w:t>(Muñoz Razo, 1998, pág. 93)</w:t>
          </w:r>
          <w:r w:rsidR="00BB00C8">
            <w:fldChar w:fldCharType="end"/>
          </w:r>
        </w:sdtContent>
      </w:sdt>
      <w:r>
        <w:t xml:space="preserve">. </w:t>
      </w:r>
    </w:p>
    <w:p w14:paraId="1F331B37" w14:textId="3824EEF0" w:rsidR="00D8492C" w:rsidRDefault="00D8492C" w:rsidP="004E0958">
      <w:pPr>
        <w:contextualSpacing/>
      </w:pPr>
      <w:r>
        <w:t xml:space="preserve">Por último, la investigación combinada es aquella en “la que se combinan en forma más o menos equitativa los dos tipos de investigación antes señalados, mimos que pueden variar su tendencia según las condiciones y necesidades de la propia investigación” </w:t>
      </w:r>
      <w:sdt>
        <w:sdtPr>
          <w:id w:val="2074995650"/>
          <w:citation/>
        </w:sdtPr>
        <w:sdtEndPr/>
        <w:sdtContent>
          <w:r w:rsidR="00BB00C8">
            <w:fldChar w:fldCharType="begin"/>
          </w:r>
          <w:r w:rsidR="00BB00C8">
            <w:instrText xml:space="preserve">CITATION Muñ98 \p 93 \t  \l 12298 </w:instrText>
          </w:r>
          <w:r w:rsidR="00BB00C8">
            <w:fldChar w:fldCharType="separate"/>
          </w:r>
          <w:r w:rsidR="00BC1846" w:rsidRPr="00BC1846">
            <w:rPr>
              <w:noProof/>
            </w:rPr>
            <w:t>(Muñoz Razo, 1998, pág. 93)</w:t>
          </w:r>
          <w:r w:rsidR="00BB00C8">
            <w:fldChar w:fldCharType="end"/>
          </w:r>
        </w:sdtContent>
      </w:sdt>
      <w:r>
        <w:t>.</w:t>
      </w:r>
      <w:r w:rsidR="009B329F">
        <w:t xml:space="preserve"> El autor afirma que esta clasificación puede subdividirse a su vez entre tendente más a campo o más a lo documental según se incline más a un aspecto práctico o teórico dependiendo de las necesidades de información. </w:t>
      </w:r>
    </w:p>
    <w:p w14:paraId="6CE5564B" w14:textId="5BB6D635" w:rsidR="00BB00C8" w:rsidRPr="00C909E7" w:rsidRDefault="00D8492C" w:rsidP="004E0958">
      <w:pPr>
        <w:contextualSpacing/>
      </w:pPr>
      <w:r>
        <w:t>Esta investigación se puede incluir dentro de la categoría de documental porque la información que será utilizada para el análisis de las estrategias empleadas por los países objetos de la investigación se obtendrá de documentos y fichas publica</w:t>
      </w:r>
      <w:r w:rsidR="009B329F">
        <w:t>das por institucion</w:t>
      </w:r>
      <w:r w:rsidR="00BB00C8">
        <w:t xml:space="preserve">es oficiales, siendo </w:t>
      </w:r>
      <w:r w:rsidR="009B329F">
        <w:t xml:space="preserve"> de </w:t>
      </w:r>
      <w:r>
        <w:t xml:space="preserve">carácter </w:t>
      </w:r>
      <w:r w:rsidR="009B329F">
        <w:t xml:space="preserve">teórico. </w:t>
      </w:r>
    </w:p>
    <w:p w14:paraId="352C7275" w14:textId="77777777" w:rsidR="00300DF9" w:rsidRDefault="00C909E7" w:rsidP="004E0958">
      <w:pPr>
        <w:pStyle w:val="Ttulo2"/>
        <w:numPr>
          <w:ilvl w:val="0"/>
          <w:numId w:val="5"/>
        </w:numPr>
        <w:spacing w:before="0" w:after="200"/>
        <w:ind w:firstLine="0"/>
        <w:contextualSpacing/>
      </w:pPr>
      <w:bookmarkStart w:id="34" w:name="_Toc446973152"/>
      <w:r w:rsidRPr="00BC5F8E">
        <w:t>Diseño de la investigación</w:t>
      </w:r>
      <w:bookmarkEnd w:id="34"/>
    </w:p>
    <w:p w14:paraId="052FCC0C" w14:textId="77777777" w:rsidR="001A7051" w:rsidRDefault="008D3F35" w:rsidP="004E0958">
      <w:pPr>
        <w:contextualSpacing/>
      </w:pPr>
      <w:r>
        <w:t xml:space="preserve">Gómez </w:t>
      </w:r>
      <w:sdt>
        <w:sdtPr>
          <w:id w:val="674535263"/>
          <w:citation/>
        </w:sdtPr>
        <w:sdtEndPr/>
        <w:sdtContent>
          <w:r>
            <w:fldChar w:fldCharType="begin"/>
          </w:r>
          <w:r>
            <w:instrText xml:space="preserve">CITATION Góm06 \n  \t  \l 12298 </w:instrText>
          </w:r>
          <w:r>
            <w:fldChar w:fldCharType="separate"/>
          </w:r>
          <w:r w:rsidR="00BC1846" w:rsidRPr="00BC1846">
            <w:rPr>
              <w:noProof/>
            </w:rPr>
            <w:t>(2006)</w:t>
          </w:r>
          <w:r>
            <w:fldChar w:fldCharType="end"/>
          </w:r>
        </w:sdtContent>
      </w:sdt>
      <w:r w:rsidR="001A7051">
        <w:t xml:space="preserve"> clasifica en dos tipos los diseños de la investigación: investigación experimental e investigación no experimental. A su vez hace una subdivisión del primer tipo: </w:t>
      </w:r>
      <w:r w:rsidR="001A7051">
        <w:lastRenderedPageBreak/>
        <w:t>preexperimentos, experimentos “puros” y cuasiexperimentos. La investigación no experimental, por su parte, se divide en diseños transeccionales o transversales y diseños longitudinales.</w:t>
      </w:r>
    </w:p>
    <w:p w14:paraId="15B39E29" w14:textId="77777777" w:rsidR="001A7051" w:rsidRDefault="001A7051" w:rsidP="004E0958">
      <w:pPr>
        <w:contextualSpacing/>
      </w:pPr>
      <w:r>
        <w:t>Un diseño experimental se refiere a “un estudio en el que se manipulan intencionalmente una o más variables independientes (…), para analizar las consecuencias que la manipulación tienen sobre una o más variables dependientes dentro de una situación de control creada por el investigador”</w:t>
      </w:r>
      <w:r w:rsidR="007C5391">
        <w:t xml:space="preserve"> </w:t>
      </w:r>
      <w:sdt>
        <w:sdtPr>
          <w:id w:val="396093292"/>
          <w:citation/>
        </w:sdtPr>
        <w:sdtEndPr/>
        <w:sdtContent>
          <w:r w:rsidR="007C5391">
            <w:fldChar w:fldCharType="begin"/>
          </w:r>
          <w:r w:rsidR="007C5391">
            <w:instrText xml:space="preserve">CITATION Góm06 \p 87 \l 12298 </w:instrText>
          </w:r>
          <w:r w:rsidR="007C5391">
            <w:fldChar w:fldCharType="separate"/>
          </w:r>
          <w:r w:rsidR="00BC1846" w:rsidRPr="00BC1846">
            <w:rPr>
              <w:noProof/>
            </w:rPr>
            <w:t>(Gómez, 2006, pág. 87)</w:t>
          </w:r>
          <w:r w:rsidR="007C5391">
            <w:fldChar w:fldCharType="end"/>
          </w:r>
        </w:sdtContent>
      </w:sdt>
      <w:r>
        <w:t>.</w:t>
      </w:r>
    </w:p>
    <w:p w14:paraId="26C74E68" w14:textId="77777777" w:rsidR="000F6FC5" w:rsidRDefault="001A7051" w:rsidP="004E0958">
      <w:pPr>
        <w:contextualSpacing/>
      </w:pPr>
      <w:r>
        <w:t xml:space="preserve">El diseño no experimental consiste en “una investigación que se realiza sin manipular deliberadamente variables” </w:t>
      </w:r>
      <w:sdt>
        <w:sdtPr>
          <w:id w:val="-111366076"/>
          <w:citation/>
        </w:sdtPr>
        <w:sdtEndPr/>
        <w:sdtContent>
          <w:r w:rsidR="007C5391">
            <w:fldChar w:fldCharType="begin"/>
          </w:r>
          <w:r w:rsidR="007C5391">
            <w:instrText xml:space="preserve">CITATION Góm06 \p 101 \l 12298 </w:instrText>
          </w:r>
          <w:r w:rsidR="007C5391">
            <w:fldChar w:fldCharType="separate"/>
          </w:r>
          <w:r w:rsidR="00BC1846" w:rsidRPr="00BC1846">
            <w:rPr>
              <w:noProof/>
            </w:rPr>
            <w:t>(Gómez, 2006, pág. 101)</w:t>
          </w:r>
          <w:r w:rsidR="007C5391">
            <w:fldChar w:fldCharType="end"/>
          </w:r>
        </w:sdtContent>
      </w:sdt>
      <w:r>
        <w:t>. El autor afirma que únicamente se o</w:t>
      </w:r>
      <w:r w:rsidR="000F6FC5">
        <w:t>bservan</w:t>
      </w:r>
      <w:r>
        <w:t xml:space="preserve"> fenómenos </w:t>
      </w:r>
      <w:r w:rsidR="000F6FC5">
        <w:t xml:space="preserve">tal como suceden en situaciones ya existentes </w:t>
      </w:r>
      <w:r>
        <w:t xml:space="preserve">para someterlos a posterior análisis.  </w:t>
      </w:r>
    </w:p>
    <w:p w14:paraId="4717B882" w14:textId="77777777" w:rsidR="000F6FC5" w:rsidRDefault="000F6FC5" w:rsidP="004E0958">
      <w:pPr>
        <w:contextualSpacing/>
      </w:pPr>
      <w:r>
        <w:t xml:space="preserve">La presente investigación se clasifica dentro del tipo de diseño no experimental ya que no se manipularán variables para obtener conclusiones sino que se analizará tal y como están planteadas </w:t>
      </w:r>
      <w:r w:rsidR="006F496C">
        <w:t>la información publicada por las instituciones</w:t>
      </w:r>
      <w:r>
        <w:t xml:space="preserve"> para pasar a un proceso comparativo y conclusivo de las mismas. </w:t>
      </w:r>
    </w:p>
    <w:p w14:paraId="740E2D10" w14:textId="77777777" w:rsidR="000F6FC5" w:rsidRDefault="000F6FC5" w:rsidP="004E0958">
      <w:pPr>
        <w:contextualSpacing/>
      </w:pPr>
      <w:r>
        <w:t xml:space="preserve">A su vez, Gómez </w:t>
      </w:r>
      <w:sdt>
        <w:sdtPr>
          <w:id w:val="1281610799"/>
          <w:citation/>
        </w:sdtPr>
        <w:sdtEndPr/>
        <w:sdtContent>
          <w:r>
            <w:fldChar w:fldCharType="begin"/>
          </w:r>
          <w:r>
            <w:instrText xml:space="preserve">CITATION Góm06 \n  \t  \l 12298 </w:instrText>
          </w:r>
          <w:r>
            <w:fldChar w:fldCharType="separate"/>
          </w:r>
          <w:r w:rsidR="00BC1846" w:rsidRPr="00BC1846">
            <w:rPr>
              <w:noProof/>
            </w:rPr>
            <w:t>(2006)</w:t>
          </w:r>
          <w:r>
            <w:fldChar w:fldCharType="end"/>
          </w:r>
        </w:sdtContent>
      </w:sdt>
      <w:r>
        <w:t xml:space="preserve"> divide el diseño no experimental, por un lado, en transeccional que recoge los datos en un solo momento para describir y analizar la incidencia de las variables en ese momento dado. Este tipo, a su vez,</w:t>
      </w:r>
      <w:r w:rsidR="00137950">
        <w:t xml:space="preserve"> se subdivide en exploratorio, </w:t>
      </w:r>
      <w:r>
        <w:t>descriptivo</w:t>
      </w:r>
      <w:r w:rsidR="00137950">
        <w:t xml:space="preserve"> y correlacional-causal</w:t>
      </w:r>
      <w:r>
        <w:t>. Exploratorio</w:t>
      </w:r>
      <w:r w:rsidR="00137950">
        <w:t>,</w:t>
      </w:r>
      <w:r>
        <w:t xml:space="preserve"> </w:t>
      </w:r>
      <w:r w:rsidR="00E45EAF">
        <w:t>cuando se trata de una aproximación inicial al fenómeno a estud</w:t>
      </w:r>
      <w:r w:rsidR="00137950">
        <w:t xml:space="preserve">iar en un momento específico; </w:t>
      </w:r>
      <w:r w:rsidR="00E45EAF">
        <w:t>descriptivo</w:t>
      </w:r>
      <w:r w:rsidR="00137950">
        <w:t>,</w:t>
      </w:r>
      <w:r w:rsidR="00E45EAF">
        <w:t xml:space="preserve"> cuando el objetivo es determinar la incidencia </w:t>
      </w:r>
      <w:r w:rsidR="00137950">
        <w:t xml:space="preserve">y los valores en que se manifiestan las variables o proporcionar una visión de un fenómeno o situación; y correlacional-causal, cuando describen relaciones entre categorías, conceptos o variables en un momento específico. </w:t>
      </w:r>
      <w:r w:rsidR="00EC6815">
        <w:t xml:space="preserve">Por otro lado, el diseño no experimental puede ser también longitudinal, cuando la investigación se centra en estudiar la evolución de una o más variables o las relaciones entre ellas. </w:t>
      </w:r>
    </w:p>
    <w:p w14:paraId="5EE3B6D9" w14:textId="77777777" w:rsidR="003F6F07" w:rsidRDefault="00137950" w:rsidP="004E0958">
      <w:pPr>
        <w:contextualSpacing/>
      </w:pPr>
      <w:r>
        <w:t>Dentro de la clasificación antes planteada, el presente estudio se clasifica como una investigación no experimental</w:t>
      </w:r>
      <w:r w:rsidR="006C77F6">
        <w:t xml:space="preserve"> longitudinal</w:t>
      </w:r>
      <w:r w:rsidR="00EC6815">
        <w:t xml:space="preserve"> porque se ana</w:t>
      </w:r>
      <w:r w:rsidR="006C77F6">
        <w:t>lizarán la evolución de las variables planteadas en diversos años, específicamente del 2012 al 2014</w:t>
      </w:r>
      <w:r w:rsidR="00EC6815">
        <w:t>. Al no ser una aproximación inicial al fenómeno ni una relación entre varias variables sino que el estudio</w:t>
      </w:r>
      <w:r w:rsidR="006C77F6">
        <w:t xml:space="preserve"> consiste en una visión general del proceso exportador entre </w:t>
      </w:r>
      <w:r w:rsidR="00EC6815">
        <w:t>Bolivia y Ecuador para establecer una comparación entre l</w:t>
      </w:r>
      <w:r w:rsidR="006C77F6">
        <w:t>os mismos</w:t>
      </w:r>
      <w:r w:rsidR="00EC6815">
        <w:t xml:space="preserve">, la investigación es no experimental </w:t>
      </w:r>
      <w:r w:rsidR="00EC29FA">
        <w:t>longitudinal</w:t>
      </w:r>
      <w:r w:rsidR="00C357A0">
        <w:t xml:space="preserve"> descriptiva</w:t>
      </w:r>
      <w:r w:rsidR="00EC6815">
        <w:t xml:space="preserve">. </w:t>
      </w:r>
    </w:p>
    <w:p w14:paraId="60EA7C5F" w14:textId="77777777" w:rsidR="00C909E7" w:rsidRPr="00BC5F8E" w:rsidRDefault="00C909E7" w:rsidP="004E0958">
      <w:pPr>
        <w:pStyle w:val="Ttulo2"/>
        <w:numPr>
          <w:ilvl w:val="0"/>
          <w:numId w:val="5"/>
        </w:numPr>
        <w:spacing w:before="0" w:after="200"/>
        <w:ind w:firstLine="0"/>
        <w:contextualSpacing/>
      </w:pPr>
      <w:bookmarkStart w:id="35" w:name="_Toc446973153"/>
      <w:r w:rsidRPr="00BC5F8E">
        <w:lastRenderedPageBreak/>
        <w:t>Población</w:t>
      </w:r>
      <w:bookmarkEnd w:id="35"/>
    </w:p>
    <w:p w14:paraId="1EB224AD" w14:textId="77777777" w:rsidR="003F6F07" w:rsidRDefault="00D62F4E" w:rsidP="004E0958">
      <w:pPr>
        <w:contextualSpacing/>
      </w:pPr>
      <w:r>
        <w:t>La población es documental</w:t>
      </w:r>
      <w:r w:rsidR="007F1978">
        <w:t xml:space="preserve"> se define como un conjunto de fuentes de diversos tipos de los que se obtiene información secundaria para después analizar y aplicar de ser el caso </w:t>
      </w:r>
      <w:sdt>
        <w:sdtPr>
          <w:id w:val="-2077581120"/>
          <w:citation/>
        </w:sdtPr>
        <w:sdtEndPr/>
        <w:sdtContent>
          <w:r w:rsidR="007F1978">
            <w:fldChar w:fldCharType="begin"/>
          </w:r>
          <w:r w:rsidR="007F1978">
            <w:instrText xml:space="preserve"> CITATION Góm06 \l 12298 </w:instrText>
          </w:r>
          <w:r w:rsidR="007F1978">
            <w:fldChar w:fldCharType="separate"/>
          </w:r>
          <w:r w:rsidR="00BC1846" w:rsidRPr="00BC1846">
            <w:rPr>
              <w:noProof/>
            </w:rPr>
            <w:t>(Gómez, 2006)</w:t>
          </w:r>
          <w:r w:rsidR="007F1978">
            <w:fldChar w:fldCharType="end"/>
          </w:r>
        </w:sdtContent>
      </w:sdt>
      <w:r>
        <w:t xml:space="preserve">. </w:t>
      </w:r>
      <w:r w:rsidR="00D13D8F">
        <w:t>Para ampliar y corroborar la información obtenida a través de documentos oficiales, se realizará</w:t>
      </w:r>
      <w:r w:rsidR="006C77F6">
        <w:t xml:space="preserve"> una  entrevista </w:t>
      </w:r>
      <w:r w:rsidR="00D13D8F">
        <w:t>a fuente</w:t>
      </w:r>
      <w:r w:rsidR="00F7607D">
        <w:t>s</w:t>
      </w:r>
      <w:r w:rsidR="00D13D8F">
        <w:t xml:space="preserve"> primarias de información como </w:t>
      </w:r>
      <w:r w:rsidR="0075555F">
        <w:t>es el representante legal de una empresa ecuatoriana exportadora de quinua</w:t>
      </w:r>
      <w:r w:rsidR="006C77F6">
        <w:t>.</w:t>
      </w:r>
    </w:p>
    <w:p w14:paraId="3335C45C" w14:textId="77777777" w:rsidR="00C909E7" w:rsidRPr="00BC5F8E" w:rsidRDefault="00C909E7" w:rsidP="004E0958">
      <w:pPr>
        <w:pStyle w:val="Ttulo2"/>
        <w:numPr>
          <w:ilvl w:val="0"/>
          <w:numId w:val="5"/>
        </w:numPr>
        <w:spacing w:before="0" w:after="200"/>
        <w:ind w:firstLine="0"/>
        <w:contextualSpacing/>
      </w:pPr>
      <w:bookmarkStart w:id="36" w:name="_Toc446973154"/>
      <w:r w:rsidRPr="00BC5F8E">
        <w:t>Técnica de observación</w:t>
      </w:r>
      <w:bookmarkEnd w:id="36"/>
    </w:p>
    <w:p w14:paraId="30BACA26" w14:textId="77777777" w:rsidR="00EC6815" w:rsidRDefault="00EC6815" w:rsidP="004E0958">
      <w:pPr>
        <w:contextualSpacing/>
      </w:pPr>
      <w:r>
        <w:t xml:space="preserve">Rodríguez Moguel </w:t>
      </w:r>
      <w:sdt>
        <w:sdtPr>
          <w:id w:val="883065092"/>
          <w:citation/>
        </w:sdtPr>
        <w:sdtEndPr/>
        <w:sdtContent>
          <w:r>
            <w:fldChar w:fldCharType="begin"/>
          </w:r>
          <w:r w:rsidR="007F1978">
            <w:instrText xml:space="preserve">CITATION Rod05 \n  \t  \l 12298 </w:instrText>
          </w:r>
          <w:r>
            <w:fldChar w:fldCharType="separate"/>
          </w:r>
          <w:r w:rsidR="00BC1846" w:rsidRPr="00BC1846">
            <w:rPr>
              <w:noProof/>
            </w:rPr>
            <w:t>(2005)</w:t>
          </w:r>
          <w:r>
            <w:fldChar w:fldCharType="end"/>
          </w:r>
        </w:sdtContent>
      </w:sdt>
      <w:r w:rsidR="000C7F0F">
        <w:t xml:space="preserve"> divide la observación en </w:t>
      </w:r>
      <w:r w:rsidR="002D3ACB">
        <w:t xml:space="preserve">directa e indirecta. La primera es aquella en la que el investigador toma los datos por su propia observación. La segunda se da cuando el investigador confirma datos obtenidos de terceros como testimonios de la fuente principal. A su vez la observación directa se divide en </w:t>
      </w:r>
      <w:r w:rsidR="000C7F0F">
        <w:t xml:space="preserve">participante y no participante. La observación participante es aquella en la que el investigador tiene un papel determinado dentro de la comunidad de la que se refiere el estudio. La observación no participante permite al investigador una </w:t>
      </w:r>
      <w:r w:rsidR="000C7F0F" w:rsidRPr="00591C63">
        <w:t>observación</w:t>
      </w:r>
      <w:r w:rsidR="000C7F0F">
        <w:t xml:space="preserve"> directa sin ocupar una función dentro de la comunidad de la que se refiere el estudio. </w:t>
      </w:r>
    </w:p>
    <w:p w14:paraId="08E9EDA6" w14:textId="77777777" w:rsidR="003F6F07" w:rsidRDefault="002D3ACB" w:rsidP="004E0958">
      <w:pPr>
        <w:contextualSpacing/>
      </w:pPr>
      <w:r>
        <w:t>Este estudio utiliza la técnica de observación directa no participante ya que se tomarán los dat</w:t>
      </w:r>
      <w:r w:rsidR="009F5CA6">
        <w:t>os de primera mano</w:t>
      </w:r>
      <w:r>
        <w:t xml:space="preserve"> sin que se tenga un papel fundamental dentro del obj</w:t>
      </w:r>
      <w:r w:rsidR="003F6F07">
        <w:t xml:space="preserve">eto de estudio. </w:t>
      </w:r>
    </w:p>
    <w:p w14:paraId="114EA49E" w14:textId="77777777" w:rsidR="00300DF9" w:rsidRDefault="00C909E7" w:rsidP="004E0958">
      <w:pPr>
        <w:pStyle w:val="Ttulo2"/>
        <w:numPr>
          <w:ilvl w:val="0"/>
          <w:numId w:val="5"/>
        </w:numPr>
        <w:spacing w:before="0" w:after="200"/>
        <w:ind w:firstLine="0"/>
        <w:contextualSpacing/>
      </w:pPr>
      <w:bookmarkStart w:id="37" w:name="_Toc446973155"/>
      <w:r w:rsidRPr="00BC5F8E">
        <w:t>Validez de la investigación</w:t>
      </w:r>
      <w:bookmarkEnd w:id="37"/>
    </w:p>
    <w:p w14:paraId="5F66C7D2" w14:textId="2FCEDCCC" w:rsidR="00BE102B" w:rsidRDefault="009F5CA6" w:rsidP="004E0958">
      <w:pPr>
        <w:contextualSpacing/>
      </w:pPr>
      <w:r>
        <w:t>L</w:t>
      </w:r>
      <w:r w:rsidR="00665183">
        <w:t>as fuentes que sirvan como referente para la investigación documental serán vali</w:t>
      </w:r>
      <w:r w:rsidR="00D13D8F">
        <w:t>dadas y guiadas por el director del proyecto.</w:t>
      </w:r>
    </w:p>
    <w:p w14:paraId="050CB569" w14:textId="77777777" w:rsidR="00300DF9" w:rsidRPr="00BC5F8E" w:rsidRDefault="00C909E7" w:rsidP="004E0958">
      <w:pPr>
        <w:pStyle w:val="Ttulo2"/>
        <w:numPr>
          <w:ilvl w:val="0"/>
          <w:numId w:val="5"/>
        </w:numPr>
        <w:spacing w:before="0" w:after="200"/>
        <w:ind w:firstLine="0"/>
        <w:contextualSpacing/>
      </w:pPr>
      <w:bookmarkStart w:id="38" w:name="_Toc446973156"/>
      <w:r w:rsidRPr="00BC5F8E">
        <w:t>Técnica de análisis de datos</w:t>
      </w:r>
      <w:bookmarkEnd w:id="38"/>
    </w:p>
    <w:p w14:paraId="539822C2" w14:textId="77777777" w:rsidR="008757DE" w:rsidRDefault="008757DE" w:rsidP="004E0958">
      <w:pPr>
        <w:contextualSpacing/>
      </w:pPr>
      <w:r>
        <w:t xml:space="preserve">El análisis de los datos, según un artículo publicado por la Facultad de Ciencias Económicas de la Universidad de la República </w:t>
      </w:r>
      <w:sdt>
        <w:sdtPr>
          <w:id w:val="-2020991074"/>
          <w:citation/>
        </w:sdtPr>
        <w:sdtEndPr/>
        <w:sdtContent>
          <w:r>
            <w:fldChar w:fldCharType="begin"/>
          </w:r>
          <w:r>
            <w:instrText xml:space="preserve">CITATION Uni08 \n  \t  \l 12298 </w:instrText>
          </w:r>
          <w:r>
            <w:fldChar w:fldCharType="separate"/>
          </w:r>
          <w:r w:rsidR="00BC1846" w:rsidRPr="00BC1846">
            <w:rPr>
              <w:noProof/>
            </w:rPr>
            <w:t>(2008)</w:t>
          </w:r>
          <w:r>
            <w:fldChar w:fldCharType="end"/>
          </w:r>
        </w:sdtContent>
      </w:sdt>
      <w:r>
        <w:t xml:space="preserve">, se refiere a la realización </w:t>
      </w:r>
      <w:r w:rsidR="00BC3889">
        <w:t>de las operaciones que elaborará</w:t>
      </w:r>
      <w:r w:rsidR="0075555F">
        <w:t xml:space="preserve"> el investigador con dichos </w:t>
      </w:r>
      <w:r>
        <w:t xml:space="preserve">datos para alcanzar sus objetivos de estudio. </w:t>
      </w:r>
    </w:p>
    <w:p w14:paraId="0E7A4D5D" w14:textId="77777777" w:rsidR="008757DE" w:rsidRDefault="008757DE" w:rsidP="004E0958">
      <w:pPr>
        <w:contextualSpacing/>
      </w:pPr>
      <w:r>
        <w:t xml:space="preserve">Además se aclara que existen dos técnicas de análisis de datos: cualitativa y cuantitativa. Cualitativa es aquella en la que los datos se presentan de manera verbal como entrevistas, notas o documentos. Cuantitativa es aquella en la que los datos se muestran de forma numérica. </w:t>
      </w:r>
    </w:p>
    <w:p w14:paraId="04F696F2" w14:textId="77777777" w:rsidR="008757DE" w:rsidRDefault="008757DE" w:rsidP="004E0958">
      <w:pPr>
        <w:contextualSpacing/>
      </w:pPr>
      <w:r>
        <w:lastRenderedPageBreak/>
        <w:t>El presente estudio usará una técnica cualitativa para el análisis de datos dada la naturaleza documental de los mismos. Se realizará mediante cuatro pasos propuestos por la Universidad de la República</w:t>
      </w:r>
      <w:r w:rsidR="0075555F">
        <w:t xml:space="preserve"> </w:t>
      </w:r>
      <w:sdt>
        <w:sdtPr>
          <w:id w:val="-1732756730"/>
          <w:citation/>
        </w:sdtPr>
        <w:sdtEndPr/>
        <w:sdtContent>
          <w:r w:rsidR="0075555F">
            <w:fldChar w:fldCharType="begin"/>
          </w:r>
          <w:r w:rsidR="0075555F">
            <w:instrText xml:space="preserve">CITATION Uni08 \n  \t  \l 12298 </w:instrText>
          </w:r>
          <w:r w:rsidR="0075555F">
            <w:fldChar w:fldCharType="separate"/>
          </w:r>
          <w:r w:rsidR="00BC1846" w:rsidRPr="00BC1846">
            <w:rPr>
              <w:noProof/>
            </w:rPr>
            <w:t>(2008)</w:t>
          </w:r>
          <w:r w:rsidR="0075555F">
            <w:fldChar w:fldCharType="end"/>
          </w:r>
        </w:sdtContent>
      </w:sdt>
      <w:r>
        <w:t>:</w:t>
      </w:r>
    </w:p>
    <w:p w14:paraId="03097133" w14:textId="77777777" w:rsidR="008757DE" w:rsidRDefault="008757DE" w:rsidP="004E0958">
      <w:pPr>
        <w:ind w:left="708"/>
        <w:contextualSpacing/>
      </w:pPr>
      <w:r>
        <w:t>Preparar y describir el material bruto: Preparar la b</w:t>
      </w:r>
      <w:r w:rsidR="009F5CA6">
        <w:t>ase documental</w:t>
      </w:r>
      <w:r w:rsidR="00BC3889">
        <w:t>.</w:t>
      </w:r>
    </w:p>
    <w:p w14:paraId="1C48563F" w14:textId="77777777" w:rsidR="00BC3889" w:rsidRDefault="008757DE" w:rsidP="004E0958">
      <w:pPr>
        <w:ind w:left="708"/>
        <w:contextualSpacing/>
      </w:pPr>
      <w:r>
        <w:t>Reducir los datos: Despeja</w:t>
      </w:r>
      <w:r w:rsidR="00BC3889">
        <w:t xml:space="preserve">r </w:t>
      </w:r>
      <w:r>
        <w:t>las variables de interés dentro de la investigación</w:t>
      </w:r>
      <w:r w:rsidR="00BC3889">
        <w:t xml:space="preserve"> a través de un proceso de inducción</w:t>
      </w:r>
      <w:r w:rsidR="009F5CA6">
        <w:t>.</w:t>
      </w:r>
    </w:p>
    <w:p w14:paraId="1E216284" w14:textId="77777777" w:rsidR="0068708D" w:rsidRDefault="00BC3889" w:rsidP="004E0958">
      <w:pPr>
        <w:ind w:left="708"/>
        <w:contextualSpacing/>
      </w:pPr>
      <w:r>
        <w:t xml:space="preserve">Elegir y aplicar los métodos de análisis: Aplicar un método iterativo, que aborda los datos con mínima formalización teórica y construcción sistemática de una explicación. </w:t>
      </w:r>
    </w:p>
    <w:p w14:paraId="01CD3235" w14:textId="77777777" w:rsidR="005A1309" w:rsidRDefault="00BC3889" w:rsidP="004E0958">
      <w:pPr>
        <w:ind w:left="708"/>
        <w:contextualSpacing/>
      </w:pPr>
      <w:r w:rsidRPr="0068708D">
        <w:t xml:space="preserve">Realizar un análisis transversal: Verificar si hay réplica de resultados entre varios casos o situaciones. </w:t>
      </w:r>
    </w:p>
    <w:p w14:paraId="380BBCF9" w14:textId="77777777" w:rsidR="005A1309" w:rsidRDefault="005A1309">
      <w:pPr>
        <w:spacing w:line="276" w:lineRule="auto"/>
        <w:jc w:val="left"/>
      </w:pPr>
      <w:r>
        <w:br w:type="page"/>
      </w:r>
    </w:p>
    <w:p w14:paraId="355D6C42" w14:textId="77777777" w:rsidR="001A67B0" w:rsidRDefault="001A67B0" w:rsidP="004E0958">
      <w:pPr>
        <w:contextualSpacing/>
      </w:pPr>
    </w:p>
    <w:p w14:paraId="5C0EFB9D" w14:textId="77777777" w:rsidR="001A67B0" w:rsidRPr="001A67B0" w:rsidRDefault="001A67B0" w:rsidP="004E0958">
      <w:pPr>
        <w:contextualSpacing/>
        <w:rPr>
          <w:lang w:eastAsia="es-EC"/>
        </w:rPr>
      </w:pPr>
    </w:p>
    <w:p w14:paraId="71BA0FCD" w14:textId="77777777" w:rsidR="004E0958" w:rsidRDefault="004E0958" w:rsidP="00ED1E4D"/>
    <w:p w14:paraId="45D7957E" w14:textId="77777777" w:rsidR="005A1309" w:rsidRDefault="005A1309" w:rsidP="004E0958">
      <w:pPr>
        <w:pStyle w:val="Ttulo1"/>
        <w:spacing w:before="0" w:after="200"/>
        <w:contextualSpacing/>
      </w:pPr>
      <w:bookmarkStart w:id="39" w:name="_Toc446973157"/>
      <w:r>
        <w:t>HALLAZGOS</w:t>
      </w:r>
      <w:bookmarkEnd w:id="39"/>
    </w:p>
    <w:p w14:paraId="7A8EEC58" w14:textId="77777777" w:rsidR="005A1309" w:rsidRDefault="005A1309" w:rsidP="004E0958">
      <w:pPr>
        <w:pStyle w:val="Ttulo2"/>
        <w:numPr>
          <w:ilvl w:val="0"/>
          <w:numId w:val="12"/>
        </w:numPr>
        <w:spacing w:before="0" w:after="200"/>
        <w:contextualSpacing/>
        <w:rPr>
          <w:lang w:eastAsia="es-EC"/>
        </w:rPr>
      </w:pPr>
      <w:bookmarkStart w:id="40" w:name="_Toc446973158"/>
      <w:r>
        <w:rPr>
          <w:lang w:eastAsia="es-EC"/>
        </w:rPr>
        <w:t>Francia como mercado destino</w:t>
      </w:r>
      <w:bookmarkEnd w:id="40"/>
    </w:p>
    <w:p w14:paraId="580DE98C" w14:textId="77777777" w:rsidR="005A1309" w:rsidRDefault="005A1309" w:rsidP="004E0958">
      <w:pPr>
        <w:contextualSpacing/>
      </w:pPr>
      <w:r>
        <w:t>Como se pudo constatar en la sección anterior, los países que conforman la Unión Europea son unos de los principales destinos para la exportación de quinua desde países andinos. En el cuadro anexo se puede observar las cifras de importación por país desde el 2012 hasta el 2014.</w:t>
      </w:r>
    </w:p>
    <w:p w14:paraId="28C58A2F" w14:textId="798FEC37" w:rsidR="005A1309" w:rsidRPr="00E45EFB" w:rsidRDefault="005A1309" w:rsidP="005A1309">
      <w:pPr>
        <w:pStyle w:val="Descripcin"/>
        <w:keepNext/>
        <w:jc w:val="center"/>
        <w:rPr>
          <w:b/>
          <w:i w:val="0"/>
          <w:color w:val="auto"/>
          <w:sz w:val="24"/>
          <w:szCs w:val="24"/>
        </w:rPr>
      </w:pPr>
      <w:bookmarkStart w:id="41" w:name="_Toc446973206"/>
      <w:r w:rsidRPr="00E45EFB">
        <w:rPr>
          <w:b/>
          <w:i w:val="0"/>
          <w:color w:val="auto"/>
          <w:sz w:val="24"/>
          <w:szCs w:val="24"/>
        </w:rPr>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8</w:t>
      </w:r>
      <w:r w:rsidRPr="00E45EFB">
        <w:rPr>
          <w:b/>
          <w:i w:val="0"/>
          <w:color w:val="auto"/>
          <w:sz w:val="24"/>
          <w:szCs w:val="24"/>
        </w:rPr>
        <w:fldChar w:fldCharType="end"/>
      </w:r>
      <w:r w:rsidRPr="00E45EFB">
        <w:rPr>
          <w:b/>
          <w:i w:val="0"/>
          <w:color w:val="auto"/>
          <w:sz w:val="24"/>
          <w:szCs w:val="24"/>
        </w:rPr>
        <w:t>: Valor de las importaciones de quinua de la UE 15</w:t>
      </w:r>
      <w:bookmarkEnd w:id="41"/>
    </w:p>
    <w:tbl>
      <w:tblPr>
        <w:tblW w:w="5120" w:type="dxa"/>
        <w:jc w:val="center"/>
        <w:tblCellMar>
          <w:left w:w="70" w:type="dxa"/>
          <w:right w:w="70" w:type="dxa"/>
        </w:tblCellMar>
        <w:tblLook w:val="04A0" w:firstRow="1" w:lastRow="0" w:firstColumn="1" w:lastColumn="0" w:noHBand="0" w:noVBand="1"/>
      </w:tblPr>
      <w:tblGrid>
        <w:gridCol w:w="1545"/>
        <w:gridCol w:w="1082"/>
        <w:gridCol w:w="1147"/>
        <w:gridCol w:w="1346"/>
      </w:tblGrid>
      <w:tr w:rsidR="005A1309" w:rsidRPr="00ED6C11" w14:paraId="713A60B4" w14:textId="77777777" w:rsidTr="0026749E">
        <w:trPr>
          <w:trHeight w:val="330"/>
          <w:jc w:val="center"/>
        </w:trPr>
        <w:tc>
          <w:tcPr>
            <w:tcW w:w="1545" w:type="dxa"/>
            <w:vMerge w:val="restart"/>
            <w:tcBorders>
              <w:top w:val="single" w:sz="12" w:space="0" w:color="auto"/>
            </w:tcBorders>
            <w:shd w:val="clear" w:color="auto" w:fill="auto"/>
            <w:noWrap/>
            <w:vAlign w:val="bottom"/>
            <w:hideMark/>
          </w:tcPr>
          <w:p w14:paraId="3D52FD3F" w14:textId="77777777" w:rsidR="005A1309" w:rsidRPr="00ED6C11" w:rsidRDefault="005A1309" w:rsidP="005A1309">
            <w:pPr>
              <w:spacing w:after="0" w:line="240" w:lineRule="auto"/>
              <w:jc w:val="center"/>
              <w:rPr>
                <w:rFonts w:eastAsia="Times New Roman"/>
                <w:color w:val="000000"/>
                <w:szCs w:val="24"/>
                <w:lang w:eastAsia="es-EC"/>
              </w:rPr>
            </w:pPr>
            <w:r w:rsidRPr="00ED6C11">
              <w:rPr>
                <w:rFonts w:eastAsia="Times New Roman"/>
                <w:color w:val="000000"/>
                <w:szCs w:val="24"/>
                <w:lang w:eastAsia="es-EC"/>
              </w:rPr>
              <w:t> </w:t>
            </w:r>
          </w:p>
        </w:tc>
        <w:tc>
          <w:tcPr>
            <w:tcW w:w="3575" w:type="dxa"/>
            <w:gridSpan w:val="3"/>
            <w:tcBorders>
              <w:top w:val="single" w:sz="12" w:space="0" w:color="auto"/>
            </w:tcBorders>
            <w:shd w:val="clear" w:color="auto" w:fill="auto"/>
            <w:noWrap/>
            <w:vAlign w:val="bottom"/>
            <w:hideMark/>
          </w:tcPr>
          <w:p w14:paraId="33CA415D" w14:textId="77777777" w:rsidR="005A1309" w:rsidRPr="00ED6C11" w:rsidRDefault="005A1309" w:rsidP="005A1309">
            <w:pPr>
              <w:spacing w:after="0" w:line="240" w:lineRule="auto"/>
              <w:jc w:val="center"/>
              <w:rPr>
                <w:rFonts w:eastAsia="Times New Roman"/>
                <w:b/>
                <w:bCs/>
                <w:color w:val="000000"/>
                <w:szCs w:val="24"/>
                <w:lang w:eastAsia="es-EC"/>
              </w:rPr>
            </w:pPr>
            <w:r w:rsidRPr="00ED6C11">
              <w:rPr>
                <w:rFonts w:eastAsia="Times New Roman"/>
                <w:b/>
                <w:bCs/>
                <w:color w:val="000000"/>
                <w:szCs w:val="24"/>
                <w:lang w:eastAsia="es-EC"/>
              </w:rPr>
              <w:t>Años</w:t>
            </w:r>
          </w:p>
        </w:tc>
      </w:tr>
      <w:tr w:rsidR="005A1309" w:rsidRPr="00ED6C11" w14:paraId="204821BA" w14:textId="77777777" w:rsidTr="0026749E">
        <w:trPr>
          <w:trHeight w:val="315"/>
          <w:jc w:val="center"/>
        </w:trPr>
        <w:tc>
          <w:tcPr>
            <w:tcW w:w="1545" w:type="dxa"/>
            <w:vMerge/>
            <w:tcBorders>
              <w:bottom w:val="single" w:sz="12" w:space="0" w:color="auto"/>
            </w:tcBorders>
            <w:vAlign w:val="center"/>
            <w:hideMark/>
          </w:tcPr>
          <w:p w14:paraId="679CC403" w14:textId="77777777" w:rsidR="005A1309" w:rsidRPr="00ED6C11" w:rsidRDefault="005A1309" w:rsidP="005A1309">
            <w:pPr>
              <w:spacing w:after="0" w:line="240" w:lineRule="auto"/>
              <w:rPr>
                <w:rFonts w:eastAsia="Times New Roman"/>
                <w:color w:val="000000"/>
                <w:szCs w:val="24"/>
                <w:lang w:eastAsia="es-EC"/>
              </w:rPr>
            </w:pPr>
          </w:p>
        </w:tc>
        <w:tc>
          <w:tcPr>
            <w:tcW w:w="1082" w:type="dxa"/>
            <w:tcBorders>
              <w:bottom w:val="single" w:sz="12" w:space="0" w:color="auto"/>
            </w:tcBorders>
            <w:shd w:val="clear" w:color="auto" w:fill="auto"/>
            <w:noWrap/>
            <w:vAlign w:val="bottom"/>
            <w:hideMark/>
          </w:tcPr>
          <w:p w14:paraId="04189337" w14:textId="77777777" w:rsidR="005A1309" w:rsidRPr="00ED6C11" w:rsidRDefault="005A1309" w:rsidP="005A1309">
            <w:pPr>
              <w:spacing w:after="0" w:line="240" w:lineRule="auto"/>
              <w:jc w:val="center"/>
              <w:rPr>
                <w:rFonts w:eastAsia="Times New Roman"/>
                <w:b/>
                <w:bCs/>
                <w:color w:val="000000"/>
                <w:szCs w:val="24"/>
                <w:lang w:eastAsia="es-EC"/>
              </w:rPr>
            </w:pPr>
            <w:r w:rsidRPr="00ED6C11">
              <w:rPr>
                <w:rFonts w:eastAsia="Times New Roman"/>
                <w:b/>
                <w:bCs/>
                <w:color w:val="000000"/>
                <w:szCs w:val="24"/>
                <w:lang w:eastAsia="es-EC"/>
              </w:rPr>
              <w:t>2012</w:t>
            </w:r>
          </w:p>
        </w:tc>
        <w:tc>
          <w:tcPr>
            <w:tcW w:w="1147" w:type="dxa"/>
            <w:tcBorders>
              <w:bottom w:val="single" w:sz="12" w:space="0" w:color="auto"/>
            </w:tcBorders>
            <w:shd w:val="clear" w:color="auto" w:fill="auto"/>
            <w:noWrap/>
            <w:vAlign w:val="bottom"/>
            <w:hideMark/>
          </w:tcPr>
          <w:p w14:paraId="3DD45C94" w14:textId="77777777" w:rsidR="005A1309" w:rsidRPr="00ED6C11" w:rsidRDefault="005A1309" w:rsidP="005A1309">
            <w:pPr>
              <w:spacing w:after="0" w:line="240" w:lineRule="auto"/>
              <w:jc w:val="center"/>
              <w:rPr>
                <w:rFonts w:eastAsia="Times New Roman"/>
                <w:b/>
                <w:bCs/>
                <w:color w:val="000000"/>
                <w:szCs w:val="24"/>
                <w:lang w:eastAsia="es-EC"/>
              </w:rPr>
            </w:pPr>
            <w:r w:rsidRPr="00ED6C11">
              <w:rPr>
                <w:rFonts w:eastAsia="Times New Roman"/>
                <w:b/>
                <w:bCs/>
                <w:color w:val="000000"/>
                <w:szCs w:val="24"/>
                <w:lang w:eastAsia="es-EC"/>
              </w:rPr>
              <w:t>2013</w:t>
            </w:r>
          </w:p>
        </w:tc>
        <w:tc>
          <w:tcPr>
            <w:tcW w:w="1346" w:type="dxa"/>
            <w:tcBorders>
              <w:bottom w:val="single" w:sz="12" w:space="0" w:color="auto"/>
            </w:tcBorders>
            <w:shd w:val="clear" w:color="auto" w:fill="auto"/>
            <w:noWrap/>
            <w:vAlign w:val="bottom"/>
            <w:hideMark/>
          </w:tcPr>
          <w:p w14:paraId="16F06B11" w14:textId="77777777" w:rsidR="005A1309" w:rsidRPr="00ED6C11" w:rsidRDefault="005A1309" w:rsidP="005A1309">
            <w:pPr>
              <w:spacing w:after="0" w:line="240" w:lineRule="auto"/>
              <w:jc w:val="center"/>
              <w:rPr>
                <w:rFonts w:eastAsia="Times New Roman"/>
                <w:b/>
                <w:bCs/>
                <w:color w:val="000000"/>
                <w:szCs w:val="24"/>
                <w:lang w:eastAsia="es-EC"/>
              </w:rPr>
            </w:pPr>
            <w:r w:rsidRPr="00ED6C11">
              <w:rPr>
                <w:rFonts w:eastAsia="Times New Roman"/>
                <w:b/>
                <w:bCs/>
                <w:color w:val="000000"/>
                <w:szCs w:val="24"/>
                <w:lang w:eastAsia="es-EC"/>
              </w:rPr>
              <w:t>2014</w:t>
            </w:r>
          </w:p>
        </w:tc>
      </w:tr>
      <w:tr w:rsidR="005A1309" w:rsidRPr="00ED6C11" w14:paraId="0B85B0C7" w14:textId="77777777" w:rsidTr="0026749E">
        <w:trPr>
          <w:trHeight w:val="315"/>
          <w:jc w:val="center"/>
        </w:trPr>
        <w:tc>
          <w:tcPr>
            <w:tcW w:w="1545" w:type="dxa"/>
            <w:tcBorders>
              <w:top w:val="single" w:sz="12" w:space="0" w:color="auto"/>
            </w:tcBorders>
            <w:shd w:val="clear" w:color="auto" w:fill="auto"/>
            <w:noWrap/>
            <w:vAlign w:val="bottom"/>
            <w:hideMark/>
          </w:tcPr>
          <w:p w14:paraId="0A42990B"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Francia</w:t>
            </w:r>
          </w:p>
        </w:tc>
        <w:tc>
          <w:tcPr>
            <w:tcW w:w="1082" w:type="dxa"/>
            <w:tcBorders>
              <w:top w:val="single" w:sz="12" w:space="0" w:color="auto"/>
            </w:tcBorders>
            <w:shd w:val="clear" w:color="auto" w:fill="auto"/>
            <w:noWrap/>
            <w:vAlign w:val="bottom"/>
            <w:hideMark/>
          </w:tcPr>
          <w:p w14:paraId="37F5DE83"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11.847</w:t>
            </w:r>
          </w:p>
        </w:tc>
        <w:tc>
          <w:tcPr>
            <w:tcW w:w="1147" w:type="dxa"/>
            <w:tcBorders>
              <w:top w:val="single" w:sz="12" w:space="0" w:color="auto"/>
            </w:tcBorders>
            <w:shd w:val="clear" w:color="auto" w:fill="auto"/>
            <w:noWrap/>
            <w:vAlign w:val="bottom"/>
            <w:hideMark/>
          </w:tcPr>
          <w:p w14:paraId="6E66252C"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17.864</w:t>
            </w:r>
          </w:p>
        </w:tc>
        <w:tc>
          <w:tcPr>
            <w:tcW w:w="1346" w:type="dxa"/>
            <w:tcBorders>
              <w:top w:val="single" w:sz="12" w:space="0" w:color="auto"/>
            </w:tcBorders>
            <w:shd w:val="clear" w:color="auto" w:fill="auto"/>
            <w:noWrap/>
            <w:vAlign w:val="bottom"/>
            <w:hideMark/>
          </w:tcPr>
          <w:p w14:paraId="5FAD042A"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29.787</w:t>
            </w:r>
          </w:p>
        </w:tc>
      </w:tr>
      <w:tr w:rsidR="005A1309" w:rsidRPr="00ED6C11" w14:paraId="6AB1A395" w14:textId="77777777" w:rsidTr="0026749E">
        <w:trPr>
          <w:trHeight w:val="315"/>
          <w:jc w:val="center"/>
        </w:trPr>
        <w:tc>
          <w:tcPr>
            <w:tcW w:w="1545" w:type="dxa"/>
            <w:shd w:val="clear" w:color="auto" w:fill="auto"/>
            <w:noWrap/>
            <w:vAlign w:val="bottom"/>
            <w:hideMark/>
          </w:tcPr>
          <w:p w14:paraId="22DB7CE4"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Países Bajos</w:t>
            </w:r>
          </w:p>
        </w:tc>
        <w:tc>
          <w:tcPr>
            <w:tcW w:w="1082" w:type="dxa"/>
            <w:shd w:val="clear" w:color="auto" w:fill="auto"/>
            <w:noWrap/>
            <w:vAlign w:val="bottom"/>
            <w:hideMark/>
          </w:tcPr>
          <w:p w14:paraId="5952EBF3"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4.992</w:t>
            </w:r>
          </w:p>
        </w:tc>
        <w:tc>
          <w:tcPr>
            <w:tcW w:w="1147" w:type="dxa"/>
            <w:shd w:val="clear" w:color="auto" w:fill="auto"/>
            <w:noWrap/>
            <w:vAlign w:val="bottom"/>
            <w:hideMark/>
          </w:tcPr>
          <w:p w14:paraId="5D32C129"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9.725</w:t>
            </w:r>
          </w:p>
        </w:tc>
        <w:tc>
          <w:tcPr>
            <w:tcW w:w="1346" w:type="dxa"/>
            <w:shd w:val="clear" w:color="auto" w:fill="auto"/>
            <w:noWrap/>
            <w:vAlign w:val="bottom"/>
            <w:hideMark/>
          </w:tcPr>
          <w:p w14:paraId="7F2933B5"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20.281</w:t>
            </w:r>
          </w:p>
        </w:tc>
      </w:tr>
      <w:tr w:rsidR="005A1309" w:rsidRPr="00ED6C11" w14:paraId="1D3D5DC6" w14:textId="77777777" w:rsidTr="0026749E">
        <w:trPr>
          <w:trHeight w:val="330"/>
          <w:jc w:val="center"/>
        </w:trPr>
        <w:tc>
          <w:tcPr>
            <w:tcW w:w="1545" w:type="dxa"/>
            <w:shd w:val="clear" w:color="auto" w:fill="auto"/>
            <w:noWrap/>
            <w:vAlign w:val="bottom"/>
            <w:hideMark/>
          </w:tcPr>
          <w:p w14:paraId="3BDD7CA5"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Alemania</w:t>
            </w:r>
          </w:p>
        </w:tc>
        <w:tc>
          <w:tcPr>
            <w:tcW w:w="1082" w:type="dxa"/>
            <w:shd w:val="clear" w:color="auto" w:fill="auto"/>
            <w:noWrap/>
            <w:vAlign w:val="bottom"/>
            <w:hideMark/>
          </w:tcPr>
          <w:p w14:paraId="3B03A6E6"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2.916</w:t>
            </w:r>
          </w:p>
        </w:tc>
        <w:tc>
          <w:tcPr>
            <w:tcW w:w="1147" w:type="dxa"/>
            <w:shd w:val="clear" w:color="auto" w:fill="auto"/>
            <w:noWrap/>
            <w:vAlign w:val="bottom"/>
            <w:hideMark/>
          </w:tcPr>
          <w:p w14:paraId="1626A10C"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4.998</w:t>
            </w:r>
          </w:p>
        </w:tc>
        <w:tc>
          <w:tcPr>
            <w:tcW w:w="1346" w:type="dxa"/>
            <w:shd w:val="clear" w:color="auto" w:fill="auto"/>
            <w:noWrap/>
            <w:vAlign w:val="bottom"/>
            <w:hideMark/>
          </w:tcPr>
          <w:p w14:paraId="62FCF484"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19.611</w:t>
            </w:r>
          </w:p>
        </w:tc>
      </w:tr>
      <w:tr w:rsidR="005A1309" w:rsidRPr="00ED6C11" w14:paraId="69244812" w14:textId="77777777" w:rsidTr="0026749E">
        <w:trPr>
          <w:trHeight w:val="330"/>
          <w:jc w:val="center"/>
        </w:trPr>
        <w:tc>
          <w:tcPr>
            <w:tcW w:w="1545" w:type="dxa"/>
            <w:shd w:val="clear" w:color="auto" w:fill="auto"/>
            <w:noWrap/>
            <w:vAlign w:val="bottom"/>
            <w:hideMark/>
          </w:tcPr>
          <w:p w14:paraId="56432508"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Reino Unido</w:t>
            </w:r>
          </w:p>
        </w:tc>
        <w:tc>
          <w:tcPr>
            <w:tcW w:w="1082" w:type="dxa"/>
            <w:shd w:val="clear" w:color="auto" w:fill="auto"/>
            <w:noWrap/>
            <w:vAlign w:val="bottom"/>
            <w:hideMark/>
          </w:tcPr>
          <w:p w14:paraId="68F09545"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2.244</w:t>
            </w:r>
          </w:p>
        </w:tc>
        <w:tc>
          <w:tcPr>
            <w:tcW w:w="1147" w:type="dxa"/>
            <w:shd w:val="clear" w:color="auto" w:fill="auto"/>
            <w:noWrap/>
            <w:vAlign w:val="bottom"/>
            <w:hideMark/>
          </w:tcPr>
          <w:p w14:paraId="709B7173"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7.024</w:t>
            </w:r>
          </w:p>
        </w:tc>
        <w:tc>
          <w:tcPr>
            <w:tcW w:w="1346" w:type="dxa"/>
            <w:shd w:val="clear" w:color="auto" w:fill="auto"/>
            <w:noWrap/>
            <w:vAlign w:val="bottom"/>
            <w:hideMark/>
          </w:tcPr>
          <w:p w14:paraId="165C2C83"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14.836</w:t>
            </w:r>
          </w:p>
        </w:tc>
      </w:tr>
      <w:tr w:rsidR="005A1309" w:rsidRPr="00ED6C11" w14:paraId="5A2220F8" w14:textId="77777777" w:rsidTr="0026749E">
        <w:trPr>
          <w:trHeight w:val="315"/>
          <w:jc w:val="center"/>
        </w:trPr>
        <w:tc>
          <w:tcPr>
            <w:tcW w:w="1545" w:type="dxa"/>
            <w:shd w:val="clear" w:color="auto" w:fill="auto"/>
            <w:noWrap/>
            <w:vAlign w:val="bottom"/>
            <w:hideMark/>
          </w:tcPr>
          <w:p w14:paraId="2FEDDA5E"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Italia</w:t>
            </w:r>
          </w:p>
        </w:tc>
        <w:tc>
          <w:tcPr>
            <w:tcW w:w="1082" w:type="dxa"/>
            <w:shd w:val="clear" w:color="auto" w:fill="auto"/>
            <w:noWrap/>
            <w:vAlign w:val="bottom"/>
            <w:hideMark/>
          </w:tcPr>
          <w:p w14:paraId="52DF1D57"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1.867</w:t>
            </w:r>
          </w:p>
        </w:tc>
        <w:tc>
          <w:tcPr>
            <w:tcW w:w="1147" w:type="dxa"/>
            <w:shd w:val="clear" w:color="auto" w:fill="auto"/>
            <w:noWrap/>
            <w:vAlign w:val="bottom"/>
            <w:hideMark/>
          </w:tcPr>
          <w:p w14:paraId="54758099"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4.243</w:t>
            </w:r>
          </w:p>
        </w:tc>
        <w:tc>
          <w:tcPr>
            <w:tcW w:w="1346" w:type="dxa"/>
            <w:shd w:val="clear" w:color="auto" w:fill="auto"/>
            <w:noWrap/>
            <w:vAlign w:val="bottom"/>
            <w:hideMark/>
          </w:tcPr>
          <w:p w14:paraId="3AD3604C"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10.568</w:t>
            </w:r>
          </w:p>
        </w:tc>
      </w:tr>
      <w:tr w:rsidR="005A1309" w:rsidRPr="00ED6C11" w14:paraId="5E81F512" w14:textId="77777777" w:rsidTr="0026749E">
        <w:trPr>
          <w:trHeight w:val="315"/>
          <w:jc w:val="center"/>
        </w:trPr>
        <w:tc>
          <w:tcPr>
            <w:tcW w:w="1545" w:type="dxa"/>
            <w:shd w:val="clear" w:color="auto" w:fill="auto"/>
            <w:noWrap/>
            <w:vAlign w:val="bottom"/>
            <w:hideMark/>
          </w:tcPr>
          <w:p w14:paraId="6A57B05E"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España</w:t>
            </w:r>
          </w:p>
        </w:tc>
        <w:tc>
          <w:tcPr>
            <w:tcW w:w="1082" w:type="dxa"/>
            <w:shd w:val="clear" w:color="auto" w:fill="auto"/>
            <w:noWrap/>
            <w:vAlign w:val="bottom"/>
            <w:hideMark/>
          </w:tcPr>
          <w:p w14:paraId="41160407"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547</w:t>
            </w:r>
          </w:p>
        </w:tc>
        <w:tc>
          <w:tcPr>
            <w:tcW w:w="1147" w:type="dxa"/>
            <w:shd w:val="clear" w:color="auto" w:fill="auto"/>
            <w:noWrap/>
            <w:vAlign w:val="bottom"/>
            <w:hideMark/>
          </w:tcPr>
          <w:p w14:paraId="04A56061"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2.252</w:t>
            </w:r>
          </w:p>
        </w:tc>
        <w:tc>
          <w:tcPr>
            <w:tcW w:w="1346" w:type="dxa"/>
            <w:shd w:val="clear" w:color="auto" w:fill="auto"/>
            <w:noWrap/>
            <w:vAlign w:val="bottom"/>
            <w:hideMark/>
          </w:tcPr>
          <w:p w14:paraId="576F28ED"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5.698</w:t>
            </w:r>
          </w:p>
        </w:tc>
      </w:tr>
      <w:tr w:rsidR="005A1309" w:rsidRPr="00ED6C11" w14:paraId="1A4ADF4C" w14:textId="77777777" w:rsidTr="0026749E">
        <w:trPr>
          <w:trHeight w:val="315"/>
          <w:jc w:val="center"/>
        </w:trPr>
        <w:tc>
          <w:tcPr>
            <w:tcW w:w="1545" w:type="dxa"/>
            <w:shd w:val="clear" w:color="auto" w:fill="auto"/>
            <w:noWrap/>
            <w:vAlign w:val="bottom"/>
            <w:hideMark/>
          </w:tcPr>
          <w:p w14:paraId="3AA39FBC"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Bélgica</w:t>
            </w:r>
          </w:p>
        </w:tc>
        <w:tc>
          <w:tcPr>
            <w:tcW w:w="1082" w:type="dxa"/>
            <w:shd w:val="clear" w:color="auto" w:fill="auto"/>
            <w:noWrap/>
            <w:vAlign w:val="bottom"/>
            <w:hideMark/>
          </w:tcPr>
          <w:p w14:paraId="3233D43A"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482</w:t>
            </w:r>
          </w:p>
        </w:tc>
        <w:tc>
          <w:tcPr>
            <w:tcW w:w="1147" w:type="dxa"/>
            <w:shd w:val="clear" w:color="auto" w:fill="auto"/>
            <w:noWrap/>
            <w:vAlign w:val="bottom"/>
            <w:hideMark/>
          </w:tcPr>
          <w:p w14:paraId="09618240"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901</w:t>
            </w:r>
          </w:p>
        </w:tc>
        <w:tc>
          <w:tcPr>
            <w:tcW w:w="1346" w:type="dxa"/>
            <w:shd w:val="clear" w:color="auto" w:fill="auto"/>
            <w:noWrap/>
            <w:vAlign w:val="bottom"/>
            <w:hideMark/>
          </w:tcPr>
          <w:p w14:paraId="7CCE882B"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4.548</w:t>
            </w:r>
          </w:p>
        </w:tc>
      </w:tr>
      <w:tr w:rsidR="005A1309" w:rsidRPr="00ED6C11" w14:paraId="7231A583" w14:textId="77777777" w:rsidTr="0026749E">
        <w:trPr>
          <w:trHeight w:val="330"/>
          <w:jc w:val="center"/>
        </w:trPr>
        <w:tc>
          <w:tcPr>
            <w:tcW w:w="1545" w:type="dxa"/>
            <w:shd w:val="clear" w:color="auto" w:fill="auto"/>
            <w:noWrap/>
            <w:vAlign w:val="bottom"/>
            <w:hideMark/>
          </w:tcPr>
          <w:p w14:paraId="45651BE2"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Demás UE 15</w:t>
            </w:r>
          </w:p>
        </w:tc>
        <w:tc>
          <w:tcPr>
            <w:tcW w:w="1082" w:type="dxa"/>
            <w:shd w:val="clear" w:color="auto" w:fill="auto"/>
            <w:noWrap/>
            <w:vAlign w:val="bottom"/>
            <w:hideMark/>
          </w:tcPr>
          <w:p w14:paraId="52EB8C8F"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2.359</w:t>
            </w:r>
          </w:p>
        </w:tc>
        <w:tc>
          <w:tcPr>
            <w:tcW w:w="1147" w:type="dxa"/>
            <w:shd w:val="clear" w:color="auto" w:fill="auto"/>
            <w:noWrap/>
            <w:vAlign w:val="bottom"/>
            <w:hideMark/>
          </w:tcPr>
          <w:p w14:paraId="317C3386"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4.222</w:t>
            </w:r>
          </w:p>
        </w:tc>
        <w:tc>
          <w:tcPr>
            <w:tcW w:w="1346" w:type="dxa"/>
            <w:shd w:val="clear" w:color="auto" w:fill="auto"/>
            <w:noWrap/>
            <w:vAlign w:val="bottom"/>
            <w:hideMark/>
          </w:tcPr>
          <w:p w14:paraId="04D172E6" w14:textId="77777777" w:rsidR="005A1309" w:rsidRPr="00ED6C11" w:rsidRDefault="005A1309" w:rsidP="005A1309">
            <w:pPr>
              <w:spacing w:after="0" w:line="240" w:lineRule="auto"/>
              <w:jc w:val="right"/>
              <w:rPr>
                <w:rFonts w:eastAsia="Times New Roman"/>
                <w:color w:val="000000"/>
                <w:szCs w:val="24"/>
                <w:lang w:eastAsia="es-EC"/>
              </w:rPr>
            </w:pPr>
            <w:r w:rsidRPr="00ED6C11">
              <w:rPr>
                <w:rFonts w:eastAsia="Times New Roman"/>
                <w:color w:val="000000"/>
                <w:szCs w:val="24"/>
                <w:lang w:eastAsia="es-EC"/>
              </w:rPr>
              <w:t>8.490</w:t>
            </w:r>
          </w:p>
        </w:tc>
      </w:tr>
      <w:tr w:rsidR="005A1309" w:rsidRPr="00ED6C11" w14:paraId="7EE5571F" w14:textId="77777777" w:rsidTr="0026749E">
        <w:trPr>
          <w:trHeight w:val="330"/>
          <w:jc w:val="center"/>
        </w:trPr>
        <w:tc>
          <w:tcPr>
            <w:tcW w:w="1545" w:type="dxa"/>
            <w:tcBorders>
              <w:bottom w:val="single" w:sz="12" w:space="0" w:color="auto"/>
            </w:tcBorders>
            <w:shd w:val="clear" w:color="auto" w:fill="auto"/>
            <w:noWrap/>
            <w:vAlign w:val="bottom"/>
            <w:hideMark/>
          </w:tcPr>
          <w:p w14:paraId="75A78920" w14:textId="77777777" w:rsidR="005A1309" w:rsidRPr="00ED6C11" w:rsidRDefault="005A1309" w:rsidP="005A1309">
            <w:pPr>
              <w:spacing w:after="0" w:line="240" w:lineRule="auto"/>
              <w:rPr>
                <w:rFonts w:eastAsia="Times New Roman"/>
                <w:b/>
                <w:bCs/>
                <w:color w:val="000000"/>
                <w:szCs w:val="24"/>
                <w:lang w:eastAsia="es-EC"/>
              </w:rPr>
            </w:pPr>
            <w:r w:rsidRPr="00ED6C11">
              <w:rPr>
                <w:rFonts w:eastAsia="Times New Roman"/>
                <w:b/>
                <w:bCs/>
                <w:color w:val="000000"/>
                <w:szCs w:val="24"/>
                <w:lang w:eastAsia="es-EC"/>
              </w:rPr>
              <w:t>TOTAL</w:t>
            </w:r>
          </w:p>
        </w:tc>
        <w:tc>
          <w:tcPr>
            <w:tcW w:w="1082" w:type="dxa"/>
            <w:tcBorders>
              <w:bottom w:val="single" w:sz="12" w:space="0" w:color="auto"/>
            </w:tcBorders>
            <w:shd w:val="clear" w:color="auto" w:fill="auto"/>
            <w:noWrap/>
            <w:vAlign w:val="bottom"/>
            <w:hideMark/>
          </w:tcPr>
          <w:p w14:paraId="37447840" w14:textId="77777777" w:rsidR="005A1309" w:rsidRPr="00ED6C11" w:rsidRDefault="005A1309" w:rsidP="005A1309">
            <w:pPr>
              <w:spacing w:after="0" w:line="240" w:lineRule="auto"/>
              <w:jc w:val="right"/>
              <w:rPr>
                <w:rFonts w:eastAsia="Times New Roman"/>
                <w:b/>
                <w:bCs/>
                <w:color w:val="000000"/>
                <w:szCs w:val="24"/>
                <w:lang w:eastAsia="es-EC"/>
              </w:rPr>
            </w:pPr>
            <w:r w:rsidRPr="00ED6C11">
              <w:rPr>
                <w:rFonts w:eastAsia="Times New Roman"/>
                <w:b/>
                <w:bCs/>
                <w:color w:val="000000"/>
                <w:szCs w:val="24"/>
                <w:lang w:eastAsia="es-EC"/>
              </w:rPr>
              <w:t>27.254</w:t>
            </w:r>
          </w:p>
        </w:tc>
        <w:tc>
          <w:tcPr>
            <w:tcW w:w="1147" w:type="dxa"/>
            <w:tcBorders>
              <w:bottom w:val="single" w:sz="12" w:space="0" w:color="auto"/>
            </w:tcBorders>
            <w:shd w:val="clear" w:color="auto" w:fill="auto"/>
            <w:noWrap/>
            <w:vAlign w:val="bottom"/>
            <w:hideMark/>
          </w:tcPr>
          <w:p w14:paraId="58C6112E" w14:textId="77777777" w:rsidR="005A1309" w:rsidRPr="00ED6C11" w:rsidRDefault="005A1309" w:rsidP="005A1309">
            <w:pPr>
              <w:spacing w:after="0" w:line="240" w:lineRule="auto"/>
              <w:jc w:val="right"/>
              <w:rPr>
                <w:rFonts w:eastAsia="Times New Roman"/>
                <w:b/>
                <w:bCs/>
                <w:color w:val="000000"/>
                <w:szCs w:val="24"/>
                <w:lang w:eastAsia="es-EC"/>
              </w:rPr>
            </w:pPr>
            <w:r w:rsidRPr="00ED6C11">
              <w:rPr>
                <w:rFonts w:eastAsia="Times New Roman"/>
                <w:b/>
                <w:bCs/>
                <w:color w:val="000000"/>
                <w:szCs w:val="24"/>
                <w:lang w:eastAsia="es-EC"/>
              </w:rPr>
              <w:t>51.229</w:t>
            </w:r>
          </w:p>
        </w:tc>
        <w:tc>
          <w:tcPr>
            <w:tcW w:w="1346" w:type="dxa"/>
            <w:tcBorders>
              <w:bottom w:val="single" w:sz="12" w:space="0" w:color="auto"/>
            </w:tcBorders>
            <w:shd w:val="clear" w:color="auto" w:fill="auto"/>
            <w:noWrap/>
            <w:vAlign w:val="bottom"/>
            <w:hideMark/>
          </w:tcPr>
          <w:p w14:paraId="418DFB0F" w14:textId="77777777" w:rsidR="005A1309" w:rsidRPr="00ED6C11" w:rsidRDefault="005A1309" w:rsidP="005A1309">
            <w:pPr>
              <w:spacing w:after="0" w:line="240" w:lineRule="auto"/>
              <w:jc w:val="right"/>
              <w:rPr>
                <w:rFonts w:eastAsia="Times New Roman"/>
                <w:b/>
                <w:bCs/>
                <w:color w:val="000000"/>
                <w:szCs w:val="24"/>
                <w:lang w:eastAsia="es-EC"/>
              </w:rPr>
            </w:pPr>
            <w:r w:rsidRPr="00ED6C11">
              <w:rPr>
                <w:rFonts w:eastAsia="Times New Roman"/>
                <w:b/>
                <w:bCs/>
                <w:color w:val="000000"/>
                <w:szCs w:val="24"/>
                <w:lang w:eastAsia="es-EC"/>
              </w:rPr>
              <w:t>113.819</w:t>
            </w:r>
          </w:p>
        </w:tc>
      </w:tr>
    </w:tbl>
    <w:p w14:paraId="3F4C36F3" w14:textId="77777777" w:rsidR="005A1309" w:rsidRPr="004E0958" w:rsidRDefault="005A1309" w:rsidP="00ED1E4D">
      <w:pPr>
        <w:ind w:left="1416" w:firstLine="708"/>
        <w:contextualSpacing/>
        <w:jc w:val="left"/>
        <w:rPr>
          <w:sz w:val="18"/>
          <w:szCs w:val="18"/>
        </w:rPr>
      </w:pPr>
      <w:r w:rsidRPr="004E0958">
        <w:rPr>
          <w:sz w:val="18"/>
          <w:szCs w:val="18"/>
        </w:rPr>
        <w:t>*Valores en miles de dólares</w:t>
      </w:r>
    </w:p>
    <w:p w14:paraId="69E4D753" w14:textId="77777777" w:rsidR="005A1309" w:rsidRPr="004E0958" w:rsidRDefault="005A1309" w:rsidP="00ED1E4D">
      <w:pPr>
        <w:ind w:left="1416" w:firstLine="708"/>
        <w:contextualSpacing/>
        <w:jc w:val="left"/>
        <w:rPr>
          <w:sz w:val="18"/>
          <w:szCs w:val="18"/>
        </w:rPr>
      </w:pPr>
      <w:r w:rsidRPr="004E0958">
        <w:rPr>
          <w:sz w:val="18"/>
          <w:szCs w:val="18"/>
        </w:rPr>
        <w:t xml:space="preserve">Fuente: </w:t>
      </w:r>
      <w:sdt>
        <w:sdtPr>
          <w:rPr>
            <w:sz w:val="18"/>
            <w:szCs w:val="18"/>
          </w:rPr>
          <w:id w:val="-66501471"/>
          <w:citation/>
        </w:sdtPr>
        <w:sdtEndPr/>
        <w:sdtContent>
          <w:r w:rsidRPr="004E0958">
            <w:rPr>
              <w:sz w:val="18"/>
              <w:szCs w:val="18"/>
            </w:rPr>
            <w:fldChar w:fldCharType="begin"/>
          </w:r>
          <w:r w:rsidRPr="004E0958">
            <w:rPr>
              <w:sz w:val="18"/>
              <w:szCs w:val="18"/>
            </w:rPr>
            <w:instrText xml:space="preserve">CITATION ITC15 \l 12298 </w:instrText>
          </w:r>
          <w:r w:rsidRPr="004E0958">
            <w:rPr>
              <w:sz w:val="18"/>
              <w:szCs w:val="18"/>
            </w:rPr>
            <w:fldChar w:fldCharType="separate"/>
          </w:r>
          <w:r w:rsidR="00BC1846" w:rsidRPr="004E0958">
            <w:rPr>
              <w:noProof/>
              <w:sz w:val="18"/>
              <w:szCs w:val="18"/>
            </w:rPr>
            <w:t>(Centro de Comercio Internacional, 2015)</w:t>
          </w:r>
          <w:r w:rsidRPr="004E0958">
            <w:rPr>
              <w:sz w:val="18"/>
              <w:szCs w:val="18"/>
            </w:rPr>
            <w:fldChar w:fldCharType="end"/>
          </w:r>
        </w:sdtContent>
      </w:sdt>
    </w:p>
    <w:p w14:paraId="51442160" w14:textId="77777777" w:rsidR="004E0958" w:rsidRDefault="004E0958" w:rsidP="004E0958">
      <w:pPr>
        <w:tabs>
          <w:tab w:val="left" w:pos="5985"/>
        </w:tabs>
        <w:contextualSpacing/>
      </w:pPr>
    </w:p>
    <w:p w14:paraId="0B257D32" w14:textId="77777777" w:rsidR="005A1309" w:rsidRDefault="005A1309" w:rsidP="004E0958">
      <w:pPr>
        <w:tabs>
          <w:tab w:val="left" w:pos="5985"/>
        </w:tabs>
        <w:contextualSpacing/>
      </w:pPr>
      <w:r>
        <w:t>Se</w:t>
      </w:r>
      <w:r w:rsidR="00617BA0">
        <w:t xml:space="preserve"> puede notar </w:t>
      </w:r>
      <w:r>
        <w:t>un crecimiento</w:t>
      </w:r>
      <w:r w:rsidR="00617BA0">
        <w:t xml:space="preserve"> general</w:t>
      </w:r>
      <w:r>
        <w:t xml:space="preserve"> del monto de las exportac</w:t>
      </w:r>
      <w:r w:rsidR="00617BA0">
        <w:t>iones de casi un 50% a nivel total de la UE 15</w:t>
      </w:r>
      <w:r>
        <w:t xml:space="preserve">. Francia es el principal destino de la exportación del cereal dentro de la Unión Europea. Representa el 26% del total importado. Del 2012 al 2013 registró un crecimiento del 34% frente a un 40% desde este último año hasta el 2014. </w:t>
      </w:r>
    </w:p>
    <w:p w14:paraId="3840AC2C" w14:textId="77777777" w:rsidR="005A1309" w:rsidRDefault="005A1309" w:rsidP="004E0958">
      <w:pPr>
        <w:pStyle w:val="Ttulo3"/>
        <w:numPr>
          <w:ilvl w:val="1"/>
          <w:numId w:val="13"/>
        </w:numPr>
        <w:spacing w:before="0" w:after="200"/>
        <w:ind w:left="431" w:hanging="431"/>
        <w:contextualSpacing/>
      </w:pPr>
      <w:bookmarkStart w:id="42" w:name="_Toc446973159"/>
      <w:r>
        <w:t>Estadísticas de importación</w:t>
      </w:r>
      <w:bookmarkEnd w:id="42"/>
    </w:p>
    <w:p w14:paraId="2419F8FD" w14:textId="77777777" w:rsidR="005A1309" w:rsidRDefault="005A1309" w:rsidP="004E0958">
      <w:pPr>
        <w:tabs>
          <w:tab w:val="left" w:pos="5985"/>
        </w:tabs>
        <w:contextualSpacing/>
      </w:pPr>
      <w:r>
        <w:t>Los principales proveedores de Quinua a Francia se recogen en el cuadro a continuación:</w:t>
      </w:r>
    </w:p>
    <w:p w14:paraId="3CEF1B80" w14:textId="77777777" w:rsidR="008A3A71" w:rsidRDefault="008A3A71" w:rsidP="00680760">
      <w:pPr>
        <w:tabs>
          <w:tab w:val="left" w:pos="5985"/>
        </w:tabs>
      </w:pPr>
    </w:p>
    <w:p w14:paraId="1371D60F" w14:textId="77777777" w:rsidR="005A1309" w:rsidRPr="00E45EFB" w:rsidRDefault="005A1309" w:rsidP="005A1309">
      <w:pPr>
        <w:pStyle w:val="Descripcin"/>
        <w:keepNext/>
        <w:jc w:val="center"/>
        <w:rPr>
          <w:b/>
          <w:i w:val="0"/>
          <w:color w:val="auto"/>
          <w:sz w:val="24"/>
          <w:szCs w:val="24"/>
        </w:rPr>
      </w:pPr>
      <w:bookmarkStart w:id="43" w:name="_Toc446973207"/>
      <w:r w:rsidRPr="00E45EFB">
        <w:rPr>
          <w:b/>
          <w:i w:val="0"/>
          <w:color w:val="auto"/>
          <w:sz w:val="24"/>
          <w:szCs w:val="24"/>
        </w:rPr>
        <w:lastRenderedPageBreak/>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9</w:t>
      </w:r>
      <w:r w:rsidRPr="00E45EFB">
        <w:rPr>
          <w:b/>
          <w:i w:val="0"/>
          <w:color w:val="auto"/>
          <w:sz w:val="24"/>
          <w:szCs w:val="24"/>
        </w:rPr>
        <w:fldChar w:fldCharType="end"/>
      </w:r>
      <w:r w:rsidRPr="00E45EFB">
        <w:rPr>
          <w:b/>
          <w:i w:val="0"/>
          <w:color w:val="auto"/>
          <w:sz w:val="24"/>
          <w:szCs w:val="24"/>
        </w:rPr>
        <w:t>: Importación de Quinua de Francia</w:t>
      </w:r>
      <w:bookmarkEnd w:id="43"/>
    </w:p>
    <w:tbl>
      <w:tblPr>
        <w:tblW w:w="8680" w:type="dxa"/>
        <w:tblBorders>
          <w:bottom w:val="single" w:sz="12" w:space="0" w:color="auto"/>
        </w:tblBorders>
        <w:tblCellMar>
          <w:left w:w="70" w:type="dxa"/>
          <w:right w:w="70" w:type="dxa"/>
        </w:tblCellMar>
        <w:tblLook w:val="04A0" w:firstRow="1" w:lastRow="0" w:firstColumn="1" w:lastColumn="0" w:noHBand="0" w:noVBand="1"/>
      </w:tblPr>
      <w:tblGrid>
        <w:gridCol w:w="1480"/>
        <w:gridCol w:w="1317"/>
        <w:gridCol w:w="1081"/>
        <w:gridCol w:w="1316"/>
        <w:gridCol w:w="1080"/>
        <w:gridCol w:w="1316"/>
        <w:gridCol w:w="1090"/>
      </w:tblGrid>
      <w:tr w:rsidR="00A575B2" w:rsidRPr="00A575B2" w14:paraId="4FACB6F0" w14:textId="77777777" w:rsidTr="0026749E">
        <w:trPr>
          <w:trHeight w:val="330"/>
        </w:trPr>
        <w:tc>
          <w:tcPr>
            <w:tcW w:w="1480" w:type="dxa"/>
            <w:vMerge w:val="restart"/>
            <w:tcBorders>
              <w:top w:val="single" w:sz="12" w:space="0" w:color="auto"/>
              <w:bottom w:val="single" w:sz="12" w:space="0" w:color="auto"/>
            </w:tcBorders>
            <w:shd w:val="clear" w:color="auto" w:fill="auto"/>
            <w:noWrap/>
            <w:vAlign w:val="bottom"/>
            <w:hideMark/>
          </w:tcPr>
          <w:p w14:paraId="112DB041" w14:textId="77777777" w:rsidR="00A575B2" w:rsidRPr="00A575B2" w:rsidRDefault="00A575B2" w:rsidP="00A575B2">
            <w:pPr>
              <w:spacing w:after="0" w:line="240" w:lineRule="auto"/>
              <w:jc w:val="center"/>
              <w:rPr>
                <w:rFonts w:eastAsia="Times New Roman"/>
                <w:color w:val="000000"/>
                <w:szCs w:val="24"/>
                <w:lang w:eastAsia="es-EC"/>
              </w:rPr>
            </w:pPr>
            <w:r w:rsidRPr="00A575B2">
              <w:rPr>
                <w:rFonts w:eastAsia="Times New Roman"/>
                <w:color w:val="000000"/>
                <w:szCs w:val="24"/>
                <w:lang w:eastAsia="es-EC"/>
              </w:rPr>
              <w:t> </w:t>
            </w:r>
          </w:p>
        </w:tc>
        <w:tc>
          <w:tcPr>
            <w:tcW w:w="7200" w:type="dxa"/>
            <w:gridSpan w:val="6"/>
            <w:tcBorders>
              <w:top w:val="single" w:sz="12" w:space="0" w:color="auto"/>
              <w:bottom w:val="nil"/>
            </w:tcBorders>
            <w:shd w:val="clear" w:color="auto" w:fill="auto"/>
            <w:noWrap/>
            <w:vAlign w:val="bottom"/>
            <w:hideMark/>
          </w:tcPr>
          <w:p w14:paraId="20CF66F0"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Años</w:t>
            </w:r>
          </w:p>
        </w:tc>
      </w:tr>
      <w:tr w:rsidR="00A575B2" w:rsidRPr="00A575B2" w14:paraId="243BBF8B" w14:textId="77777777" w:rsidTr="0026749E">
        <w:trPr>
          <w:trHeight w:val="315"/>
        </w:trPr>
        <w:tc>
          <w:tcPr>
            <w:tcW w:w="1480" w:type="dxa"/>
            <w:vMerge/>
            <w:tcBorders>
              <w:bottom w:val="single" w:sz="12" w:space="0" w:color="auto"/>
            </w:tcBorders>
            <w:vAlign w:val="center"/>
            <w:hideMark/>
          </w:tcPr>
          <w:p w14:paraId="2FF30668" w14:textId="77777777" w:rsidR="00A575B2" w:rsidRPr="00A575B2" w:rsidRDefault="00A575B2" w:rsidP="00A575B2">
            <w:pPr>
              <w:spacing w:after="0" w:line="240" w:lineRule="auto"/>
              <w:jc w:val="left"/>
              <w:rPr>
                <w:rFonts w:eastAsia="Times New Roman"/>
                <w:color w:val="000000"/>
                <w:szCs w:val="24"/>
                <w:lang w:eastAsia="es-EC"/>
              </w:rPr>
            </w:pPr>
          </w:p>
        </w:tc>
        <w:tc>
          <w:tcPr>
            <w:tcW w:w="2398" w:type="dxa"/>
            <w:gridSpan w:val="2"/>
            <w:tcBorders>
              <w:bottom w:val="single" w:sz="12" w:space="0" w:color="auto"/>
            </w:tcBorders>
            <w:shd w:val="clear" w:color="auto" w:fill="auto"/>
            <w:noWrap/>
            <w:vAlign w:val="bottom"/>
            <w:hideMark/>
          </w:tcPr>
          <w:p w14:paraId="194988DE"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2012</w:t>
            </w:r>
          </w:p>
        </w:tc>
        <w:tc>
          <w:tcPr>
            <w:tcW w:w="2396" w:type="dxa"/>
            <w:gridSpan w:val="2"/>
            <w:tcBorders>
              <w:bottom w:val="single" w:sz="12" w:space="0" w:color="auto"/>
            </w:tcBorders>
            <w:shd w:val="clear" w:color="auto" w:fill="auto"/>
            <w:noWrap/>
            <w:vAlign w:val="bottom"/>
            <w:hideMark/>
          </w:tcPr>
          <w:p w14:paraId="35147242"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2013</w:t>
            </w:r>
          </w:p>
        </w:tc>
        <w:tc>
          <w:tcPr>
            <w:tcW w:w="2406" w:type="dxa"/>
            <w:gridSpan w:val="2"/>
            <w:tcBorders>
              <w:bottom w:val="single" w:sz="12" w:space="0" w:color="auto"/>
            </w:tcBorders>
            <w:shd w:val="clear" w:color="auto" w:fill="auto"/>
            <w:noWrap/>
            <w:vAlign w:val="bottom"/>
            <w:hideMark/>
          </w:tcPr>
          <w:p w14:paraId="6C701DFF"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2014</w:t>
            </w:r>
          </w:p>
        </w:tc>
      </w:tr>
      <w:tr w:rsidR="00A575B2" w:rsidRPr="00A575B2" w14:paraId="3E72D765" w14:textId="77777777" w:rsidTr="0026749E">
        <w:trPr>
          <w:trHeight w:val="315"/>
        </w:trPr>
        <w:tc>
          <w:tcPr>
            <w:tcW w:w="1480" w:type="dxa"/>
            <w:tcBorders>
              <w:top w:val="single" w:sz="12" w:space="0" w:color="auto"/>
            </w:tcBorders>
            <w:shd w:val="clear" w:color="auto" w:fill="auto"/>
            <w:noWrap/>
            <w:vAlign w:val="bottom"/>
            <w:hideMark/>
          </w:tcPr>
          <w:p w14:paraId="232FED5F" w14:textId="77777777" w:rsidR="00A575B2" w:rsidRPr="00A575B2" w:rsidRDefault="00A575B2" w:rsidP="00A575B2">
            <w:pPr>
              <w:spacing w:after="0" w:line="240" w:lineRule="auto"/>
              <w:jc w:val="center"/>
              <w:rPr>
                <w:rFonts w:eastAsia="Times New Roman"/>
                <w:color w:val="000000"/>
                <w:szCs w:val="24"/>
                <w:lang w:eastAsia="es-EC"/>
              </w:rPr>
            </w:pPr>
            <w:r w:rsidRPr="00A575B2">
              <w:rPr>
                <w:rFonts w:eastAsia="Times New Roman"/>
                <w:color w:val="000000"/>
                <w:szCs w:val="24"/>
                <w:lang w:eastAsia="es-EC"/>
              </w:rPr>
              <w:t> </w:t>
            </w:r>
          </w:p>
        </w:tc>
        <w:tc>
          <w:tcPr>
            <w:tcW w:w="1317" w:type="dxa"/>
            <w:tcBorders>
              <w:top w:val="single" w:sz="12" w:space="0" w:color="auto"/>
            </w:tcBorders>
            <w:shd w:val="clear" w:color="auto" w:fill="auto"/>
            <w:noWrap/>
            <w:vAlign w:val="bottom"/>
            <w:hideMark/>
          </w:tcPr>
          <w:p w14:paraId="00B21FFF"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USD</w:t>
            </w:r>
            <w:r w:rsidR="003E164F">
              <w:rPr>
                <w:rFonts w:eastAsia="Times New Roman"/>
                <w:b/>
                <w:bCs/>
                <w:color w:val="000000"/>
                <w:szCs w:val="24"/>
                <w:lang w:eastAsia="es-EC"/>
              </w:rPr>
              <w:t>*</w:t>
            </w:r>
            <w:r w:rsidRPr="00A575B2">
              <w:rPr>
                <w:rFonts w:eastAsia="Times New Roman"/>
                <w:b/>
                <w:bCs/>
                <w:color w:val="000000"/>
                <w:szCs w:val="24"/>
                <w:lang w:eastAsia="es-EC"/>
              </w:rPr>
              <w:t xml:space="preserve"> </w:t>
            </w:r>
          </w:p>
        </w:tc>
        <w:tc>
          <w:tcPr>
            <w:tcW w:w="1081" w:type="dxa"/>
            <w:tcBorders>
              <w:top w:val="single" w:sz="12" w:space="0" w:color="auto"/>
            </w:tcBorders>
            <w:shd w:val="clear" w:color="auto" w:fill="auto"/>
            <w:noWrap/>
            <w:vAlign w:val="bottom"/>
            <w:hideMark/>
          </w:tcPr>
          <w:p w14:paraId="4C821BE1"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Ton</w:t>
            </w:r>
          </w:p>
        </w:tc>
        <w:tc>
          <w:tcPr>
            <w:tcW w:w="1316" w:type="dxa"/>
            <w:tcBorders>
              <w:top w:val="single" w:sz="12" w:space="0" w:color="auto"/>
            </w:tcBorders>
            <w:shd w:val="clear" w:color="auto" w:fill="auto"/>
            <w:noWrap/>
            <w:vAlign w:val="bottom"/>
            <w:hideMark/>
          </w:tcPr>
          <w:p w14:paraId="367460F4"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USD</w:t>
            </w:r>
            <w:r w:rsidR="003E164F">
              <w:rPr>
                <w:rFonts w:eastAsia="Times New Roman"/>
                <w:b/>
                <w:bCs/>
                <w:color w:val="000000"/>
                <w:szCs w:val="24"/>
                <w:lang w:eastAsia="es-EC"/>
              </w:rPr>
              <w:t>*</w:t>
            </w:r>
            <w:r w:rsidRPr="00A575B2">
              <w:rPr>
                <w:rFonts w:eastAsia="Times New Roman"/>
                <w:b/>
                <w:bCs/>
                <w:color w:val="000000"/>
                <w:szCs w:val="24"/>
                <w:lang w:eastAsia="es-EC"/>
              </w:rPr>
              <w:t xml:space="preserve"> </w:t>
            </w:r>
          </w:p>
        </w:tc>
        <w:tc>
          <w:tcPr>
            <w:tcW w:w="1080" w:type="dxa"/>
            <w:tcBorders>
              <w:top w:val="single" w:sz="12" w:space="0" w:color="auto"/>
            </w:tcBorders>
            <w:shd w:val="clear" w:color="auto" w:fill="auto"/>
            <w:noWrap/>
            <w:vAlign w:val="bottom"/>
            <w:hideMark/>
          </w:tcPr>
          <w:p w14:paraId="29B84A42"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Ton</w:t>
            </w:r>
          </w:p>
        </w:tc>
        <w:tc>
          <w:tcPr>
            <w:tcW w:w="1316" w:type="dxa"/>
            <w:tcBorders>
              <w:top w:val="single" w:sz="12" w:space="0" w:color="auto"/>
            </w:tcBorders>
            <w:shd w:val="clear" w:color="auto" w:fill="auto"/>
            <w:noWrap/>
            <w:vAlign w:val="bottom"/>
            <w:hideMark/>
          </w:tcPr>
          <w:p w14:paraId="1E0582BF"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USD</w:t>
            </w:r>
            <w:r w:rsidR="003E164F">
              <w:rPr>
                <w:rFonts w:eastAsia="Times New Roman"/>
                <w:b/>
                <w:bCs/>
                <w:color w:val="000000"/>
                <w:szCs w:val="24"/>
                <w:lang w:eastAsia="es-EC"/>
              </w:rPr>
              <w:t>*</w:t>
            </w:r>
            <w:r w:rsidRPr="00A575B2">
              <w:rPr>
                <w:rFonts w:eastAsia="Times New Roman"/>
                <w:b/>
                <w:bCs/>
                <w:color w:val="000000"/>
                <w:szCs w:val="24"/>
                <w:lang w:eastAsia="es-EC"/>
              </w:rPr>
              <w:t xml:space="preserve"> </w:t>
            </w:r>
          </w:p>
        </w:tc>
        <w:tc>
          <w:tcPr>
            <w:tcW w:w="1090" w:type="dxa"/>
            <w:tcBorders>
              <w:top w:val="single" w:sz="12" w:space="0" w:color="auto"/>
            </w:tcBorders>
            <w:shd w:val="clear" w:color="auto" w:fill="auto"/>
            <w:noWrap/>
            <w:vAlign w:val="bottom"/>
            <w:hideMark/>
          </w:tcPr>
          <w:p w14:paraId="547598C6" w14:textId="77777777" w:rsidR="00A575B2" w:rsidRPr="00A575B2" w:rsidRDefault="00A575B2" w:rsidP="00A575B2">
            <w:pPr>
              <w:spacing w:after="0" w:line="240" w:lineRule="auto"/>
              <w:jc w:val="center"/>
              <w:rPr>
                <w:rFonts w:eastAsia="Times New Roman"/>
                <w:b/>
                <w:bCs/>
                <w:color w:val="000000"/>
                <w:szCs w:val="24"/>
                <w:lang w:eastAsia="es-EC"/>
              </w:rPr>
            </w:pPr>
            <w:r w:rsidRPr="00A575B2">
              <w:rPr>
                <w:rFonts w:eastAsia="Times New Roman"/>
                <w:b/>
                <w:bCs/>
                <w:color w:val="000000"/>
                <w:szCs w:val="24"/>
                <w:lang w:eastAsia="es-EC"/>
              </w:rPr>
              <w:t>Ton</w:t>
            </w:r>
          </w:p>
        </w:tc>
      </w:tr>
      <w:tr w:rsidR="00A575B2" w:rsidRPr="00A575B2" w14:paraId="64EA542D" w14:textId="77777777" w:rsidTr="0026749E">
        <w:trPr>
          <w:trHeight w:val="315"/>
        </w:trPr>
        <w:tc>
          <w:tcPr>
            <w:tcW w:w="1480" w:type="dxa"/>
            <w:shd w:val="clear" w:color="auto" w:fill="auto"/>
            <w:noWrap/>
            <w:vAlign w:val="bottom"/>
            <w:hideMark/>
          </w:tcPr>
          <w:p w14:paraId="56BE1402"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Bolivia</w:t>
            </w:r>
          </w:p>
        </w:tc>
        <w:tc>
          <w:tcPr>
            <w:tcW w:w="1317" w:type="dxa"/>
            <w:shd w:val="clear" w:color="auto" w:fill="auto"/>
            <w:noWrap/>
            <w:vAlign w:val="bottom"/>
            <w:hideMark/>
          </w:tcPr>
          <w:p w14:paraId="55127428"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9.655</w:t>
            </w:r>
          </w:p>
        </w:tc>
        <w:tc>
          <w:tcPr>
            <w:tcW w:w="1081" w:type="dxa"/>
            <w:shd w:val="clear" w:color="auto" w:fill="auto"/>
            <w:noWrap/>
            <w:vAlign w:val="bottom"/>
            <w:hideMark/>
          </w:tcPr>
          <w:p w14:paraId="3FFEFDCB"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2.883</w:t>
            </w:r>
          </w:p>
        </w:tc>
        <w:tc>
          <w:tcPr>
            <w:tcW w:w="1316" w:type="dxa"/>
            <w:shd w:val="clear" w:color="auto" w:fill="auto"/>
            <w:noWrap/>
            <w:vAlign w:val="bottom"/>
            <w:hideMark/>
          </w:tcPr>
          <w:p w14:paraId="345B37BA"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14.282</w:t>
            </w:r>
          </w:p>
        </w:tc>
        <w:tc>
          <w:tcPr>
            <w:tcW w:w="1080" w:type="dxa"/>
            <w:shd w:val="clear" w:color="auto" w:fill="auto"/>
            <w:noWrap/>
            <w:vAlign w:val="bottom"/>
            <w:hideMark/>
          </w:tcPr>
          <w:p w14:paraId="2A75B263"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3.439</w:t>
            </w:r>
          </w:p>
        </w:tc>
        <w:tc>
          <w:tcPr>
            <w:tcW w:w="1316" w:type="dxa"/>
            <w:shd w:val="clear" w:color="auto" w:fill="auto"/>
            <w:noWrap/>
            <w:vAlign w:val="bottom"/>
            <w:hideMark/>
          </w:tcPr>
          <w:p w14:paraId="00495550"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19.268</w:t>
            </w:r>
          </w:p>
        </w:tc>
        <w:tc>
          <w:tcPr>
            <w:tcW w:w="1090" w:type="dxa"/>
            <w:shd w:val="clear" w:color="auto" w:fill="auto"/>
            <w:noWrap/>
            <w:vAlign w:val="bottom"/>
            <w:hideMark/>
          </w:tcPr>
          <w:p w14:paraId="185A8D45"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2.696</w:t>
            </w:r>
          </w:p>
        </w:tc>
      </w:tr>
      <w:tr w:rsidR="00A575B2" w:rsidRPr="00A575B2" w14:paraId="7D9A6468" w14:textId="77777777" w:rsidTr="0026749E">
        <w:trPr>
          <w:trHeight w:val="330"/>
        </w:trPr>
        <w:tc>
          <w:tcPr>
            <w:tcW w:w="1480" w:type="dxa"/>
            <w:shd w:val="clear" w:color="auto" w:fill="auto"/>
            <w:noWrap/>
            <w:vAlign w:val="bottom"/>
            <w:hideMark/>
          </w:tcPr>
          <w:p w14:paraId="0CAC2ED4"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Perú</w:t>
            </w:r>
          </w:p>
        </w:tc>
        <w:tc>
          <w:tcPr>
            <w:tcW w:w="1317" w:type="dxa"/>
            <w:shd w:val="clear" w:color="auto" w:fill="auto"/>
            <w:noWrap/>
            <w:vAlign w:val="bottom"/>
            <w:hideMark/>
          </w:tcPr>
          <w:p w14:paraId="448D36F5"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341</w:t>
            </w:r>
          </w:p>
        </w:tc>
        <w:tc>
          <w:tcPr>
            <w:tcW w:w="1081" w:type="dxa"/>
            <w:shd w:val="clear" w:color="auto" w:fill="auto"/>
            <w:noWrap/>
            <w:vAlign w:val="bottom"/>
            <w:hideMark/>
          </w:tcPr>
          <w:p w14:paraId="78823AD4"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121</w:t>
            </w:r>
          </w:p>
        </w:tc>
        <w:tc>
          <w:tcPr>
            <w:tcW w:w="1316" w:type="dxa"/>
            <w:shd w:val="clear" w:color="auto" w:fill="auto"/>
            <w:noWrap/>
            <w:vAlign w:val="bottom"/>
            <w:hideMark/>
          </w:tcPr>
          <w:p w14:paraId="3717D173"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2.130</w:t>
            </w:r>
          </w:p>
        </w:tc>
        <w:tc>
          <w:tcPr>
            <w:tcW w:w="1080" w:type="dxa"/>
            <w:shd w:val="clear" w:color="auto" w:fill="auto"/>
            <w:noWrap/>
            <w:vAlign w:val="bottom"/>
            <w:hideMark/>
          </w:tcPr>
          <w:p w14:paraId="27CAFB20"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570</w:t>
            </w:r>
          </w:p>
        </w:tc>
        <w:tc>
          <w:tcPr>
            <w:tcW w:w="1316" w:type="dxa"/>
            <w:shd w:val="clear" w:color="auto" w:fill="auto"/>
            <w:noWrap/>
            <w:vAlign w:val="bottom"/>
            <w:hideMark/>
          </w:tcPr>
          <w:p w14:paraId="3110C601"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8.003</w:t>
            </w:r>
          </w:p>
        </w:tc>
        <w:tc>
          <w:tcPr>
            <w:tcW w:w="1090" w:type="dxa"/>
            <w:shd w:val="clear" w:color="auto" w:fill="auto"/>
            <w:noWrap/>
            <w:vAlign w:val="bottom"/>
            <w:hideMark/>
          </w:tcPr>
          <w:p w14:paraId="6B88E3DC"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1.423</w:t>
            </w:r>
          </w:p>
        </w:tc>
      </w:tr>
      <w:tr w:rsidR="00A575B2" w:rsidRPr="00A575B2" w14:paraId="1B3E0AC4" w14:textId="77777777" w:rsidTr="0026749E">
        <w:trPr>
          <w:trHeight w:val="330"/>
        </w:trPr>
        <w:tc>
          <w:tcPr>
            <w:tcW w:w="1480" w:type="dxa"/>
            <w:shd w:val="clear" w:color="auto" w:fill="auto"/>
            <w:noWrap/>
            <w:vAlign w:val="bottom"/>
            <w:hideMark/>
          </w:tcPr>
          <w:p w14:paraId="270AE2CB"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Alemania</w:t>
            </w:r>
          </w:p>
        </w:tc>
        <w:tc>
          <w:tcPr>
            <w:tcW w:w="1317" w:type="dxa"/>
            <w:shd w:val="clear" w:color="auto" w:fill="auto"/>
            <w:noWrap/>
            <w:vAlign w:val="bottom"/>
            <w:hideMark/>
          </w:tcPr>
          <w:p w14:paraId="67AB46B5"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1.028</w:t>
            </w:r>
          </w:p>
        </w:tc>
        <w:tc>
          <w:tcPr>
            <w:tcW w:w="1081" w:type="dxa"/>
            <w:shd w:val="clear" w:color="auto" w:fill="auto"/>
            <w:noWrap/>
            <w:vAlign w:val="bottom"/>
            <w:hideMark/>
          </w:tcPr>
          <w:p w14:paraId="30C47A1A"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312</w:t>
            </w:r>
          </w:p>
        </w:tc>
        <w:tc>
          <w:tcPr>
            <w:tcW w:w="1316" w:type="dxa"/>
            <w:shd w:val="clear" w:color="auto" w:fill="auto"/>
            <w:noWrap/>
            <w:vAlign w:val="bottom"/>
            <w:hideMark/>
          </w:tcPr>
          <w:p w14:paraId="7C8D03F2"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717</w:t>
            </w:r>
          </w:p>
        </w:tc>
        <w:tc>
          <w:tcPr>
            <w:tcW w:w="1080" w:type="dxa"/>
            <w:shd w:val="clear" w:color="auto" w:fill="auto"/>
            <w:noWrap/>
            <w:vAlign w:val="bottom"/>
            <w:hideMark/>
          </w:tcPr>
          <w:p w14:paraId="48DD4636"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165</w:t>
            </w:r>
          </w:p>
        </w:tc>
        <w:tc>
          <w:tcPr>
            <w:tcW w:w="1316" w:type="dxa"/>
            <w:shd w:val="clear" w:color="auto" w:fill="auto"/>
            <w:noWrap/>
            <w:vAlign w:val="bottom"/>
            <w:hideMark/>
          </w:tcPr>
          <w:p w14:paraId="6BDB63A6"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1.197</w:t>
            </w:r>
          </w:p>
        </w:tc>
        <w:tc>
          <w:tcPr>
            <w:tcW w:w="1090" w:type="dxa"/>
            <w:shd w:val="clear" w:color="auto" w:fill="auto"/>
            <w:noWrap/>
            <w:vAlign w:val="bottom"/>
            <w:hideMark/>
          </w:tcPr>
          <w:p w14:paraId="5A8AD5EF"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183</w:t>
            </w:r>
          </w:p>
        </w:tc>
      </w:tr>
      <w:tr w:rsidR="00A575B2" w:rsidRPr="00A575B2" w14:paraId="69A6C4C3" w14:textId="77777777" w:rsidTr="0026749E">
        <w:trPr>
          <w:trHeight w:val="315"/>
        </w:trPr>
        <w:tc>
          <w:tcPr>
            <w:tcW w:w="1480" w:type="dxa"/>
            <w:shd w:val="clear" w:color="auto" w:fill="auto"/>
            <w:noWrap/>
            <w:vAlign w:val="bottom"/>
            <w:hideMark/>
          </w:tcPr>
          <w:p w14:paraId="362FCBFC"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Reino Unido</w:t>
            </w:r>
          </w:p>
        </w:tc>
        <w:tc>
          <w:tcPr>
            <w:tcW w:w="1317" w:type="dxa"/>
            <w:shd w:val="clear" w:color="auto" w:fill="auto"/>
            <w:noWrap/>
            <w:vAlign w:val="bottom"/>
            <w:hideMark/>
          </w:tcPr>
          <w:p w14:paraId="62B140A9"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w:t>
            </w:r>
          </w:p>
        </w:tc>
        <w:tc>
          <w:tcPr>
            <w:tcW w:w="1081" w:type="dxa"/>
            <w:shd w:val="clear" w:color="auto" w:fill="auto"/>
            <w:noWrap/>
            <w:vAlign w:val="bottom"/>
            <w:hideMark/>
          </w:tcPr>
          <w:p w14:paraId="450A837D"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0</w:t>
            </w:r>
          </w:p>
        </w:tc>
        <w:tc>
          <w:tcPr>
            <w:tcW w:w="1316" w:type="dxa"/>
            <w:shd w:val="clear" w:color="auto" w:fill="auto"/>
            <w:noWrap/>
            <w:vAlign w:val="bottom"/>
            <w:hideMark/>
          </w:tcPr>
          <w:p w14:paraId="3F63220F"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123</w:t>
            </w:r>
          </w:p>
        </w:tc>
        <w:tc>
          <w:tcPr>
            <w:tcW w:w="1080" w:type="dxa"/>
            <w:shd w:val="clear" w:color="auto" w:fill="auto"/>
            <w:noWrap/>
            <w:vAlign w:val="bottom"/>
            <w:hideMark/>
          </w:tcPr>
          <w:p w14:paraId="591E7682"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22</w:t>
            </w:r>
          </w:p>
        </w:tc>
        <w:tc>
          <w:tcPr>
            <w:tcW w:w="1316" w:type="dxa"/>
            <w:shd w:val="clear" w:color="auto" w:fill="auto"/>
            <w:noWrap/>
            <w:vAlign w:val="bottom"/>
            <w:hideMark/>
          </w:tcPr>
          <w:p w14:paraId="00B549FF"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813</w:t>
            </w:r>
          </w:p>
        </w:tc>
        <w:tc>
          <w:tcPr>
            <w:tcW w:w="1090" w:type="dxa"/>
            <w:shd w:val="clear" w:color="auto" w:fill="auto"/>
            <w:noWrap/>
            <w:vAlign w:val="bottom"/>
            <w:hideMark/>
          </w:tcPr>
          <w:p w14:paraId="45E47D46"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145</w:t>
            </w:r>
          </w:p>
        </w:tc>
      </w:tr>
      <w:tr w:rsidR="00A575B2" w:rsidRPr="00A575B2" w14:paraId="57451CFF" w14:textId="77777777" w:rsidTr="0026749E">
        <w:trPr>
          <w:trHeight w:val="315"/>
        </w:trPr>
        <w:tc>
          <w:tcPr>
            <w:tcW w:w="1480" w:type="dxa"/>
            <w:shd w:val="clear" w:color="auto" w:fill="auto"/>
            <w:noWrap/>
            <w:vAlign w:val="bottom"/>
            <w:hideMark/>
          </w:tcPr>
          <w:p w14:paraId="3DD76C71"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Ecuador</w:t>
            </w:r>
          </w:p>
        </w:tc>
        <w:tc>
          <w:tcPr>
            <w:tcW w:w="1317" w:type="dxa"/>
            <w:shd w:val="clear" w:color="auto" w:fill="auto"/>
            <w:noWrap/>
            <w:vAlign w:val="bottom"/>
            <w:hideMark/>
          </w:tcPr>
          <w:p w14:paraId="0C6811B5"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26</w:t>
            </w:r>
          </w:p>
        </w:tc>
        <w:tc>
          <w:tcPr>
            <w:tcW w:w="1081" w:type="dxa"/>
            <w:shd w:val="clear" w:color="auto" w:fill="auto"/>
            <w:noWrap/>
            <w:vAlign w:val="bottom"/>
            <w:hideMark/>
          </w:tcPr>
          <w:p w14:paraId="0F7BFA63"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8</w:t>
            </w:r>
          </w:p>
        </w:tc>
        <w:tc>
          <w:tcPr>
            <w:tcW w:w="1316" w:type="dxa"/>
            <w:shd w:val="clear" w:color="auto" w:fill="auto"/>
            <w:noWrap/>
            <w:vAlign w:val="bottom"/>
            <w:hideMark/>
          </w:tcPr>
          <w:p w14:paraId="22417332"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52</w:t>
            </w:r>
          </w:p>
        </w:tc>
        <w:tc>
          <w:tcPr>
            <w:tcW w:w="1080" w:type="dxa"/>
            <w:shd w:val="clear" w:color="auto" w:fill="auto"/>
            <w:noWrap/>
            <w:vAlign w:val="bottom"/>
            <w:hideMark/>
          </w:tcPr>
          <w:p w14:paraId="43ED06BA"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13</w:t>
            </w:r>
          </w:p>
        </w:tc>
        <w:tc>
          <w:tcPr>
            <w:tcW w:w="1316" w:type="dxa"/>
            <w:shd w:val="clear" w:color="auto" w:fill="auto"/>
            <w:noWrap/>
            <w:vAlign w:val="bottom"/>
            <w:hideMark/>
          </w:tcPr>
          <w:p w14:paraId="7727E4EF"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360</w:t>
            </w:r>
          </w:p>
        </w:tc>
        <w:tc>
          <w:tcPr>
            <w:tcW w:w="1090" w:type="dxa"/>
            <w:shd w:val="clear" w:color="auto" w:fill="auto"/>
            <w:noWrap/>
            <w:vAlign w:val="bottom"/>
            <w:hideMark/>
          </w:tcPr>
          <w:p w14:paraId="50869D15"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69</w:t>
            </w:r>
          </w:p>
        </w:tc>
      </w:tr>
      <w:tr w:rsidR="00A575B2" w:rsidRPr="00A575B2" w14:paraId="11447AC0" w14:textId="77777777" w:rsidTr="0026749E">
        <w:trPr>
          <w:trHeight w:val="315"/>
        </w:trPr>
        <w:tc>
          <w:tcPr>
            <w:tcW w:w="1480" w:type="dxa"/>
            <w:shd w:val="clear" w:color="auto" w:fill="auto"/>
            <w:noWrap/>
            <w:vAlign w:val="bottom"/>
            <w:hideMark/>
          </w:tcPr>
          <w:p w14:paraId="117651D5"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Otros</w:t>
            </w:r>
          </w:p>
        </w:tc>
        <w:tc>
          <w:tcPr>
            <w:tcW w:w="1317" w:type="dxa"/>
            <w:shd w:val="clear" w:color="auto" w:fill="auto"/>
            <w:noWrap/>
            <w:vAlign w:val="bottom"/>
            <w:hideMark/>
          </w:tcPr>
          <w:p w14:paraId="032E2123"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796</w:t>
            </w:r>
          </w:p>
        </w:tc>
        <w:tc>
          <w:tcPr>
            <w:tcW w:w="1081" w:type="dxa"/>
            <w:shd w:val="clear" w:color="auto" w:fill="auto"/>
            <w:noWrap/>
            <w:vAlign w:val="bottom"/>
            <w:hideMark/>
          </w:tcPr>
          <w:p w14:paraId="1BB9FD81"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233</w:t>
            </w:r>
          </w:p>
        </w:tc>
        <w:tc>
          <w:tcPr>
            <w:tcW w:w="1316" w:type="dxa"/>
            <w:shd w:val="clear" w:color="auto" w:fill="auto"/>
            <w:noWrap/>
            <w:vAlign w:val="bottom"/>
            <w:hideMark/>
          </w:tcPr>
          <w:p w14:paraId="493F03C6"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560</w:t>
            </w:r>
          </w:p>
        </w:tc>
        <w:tc>
          <w:tcPr>
            <w:tcW w:w="1080" w:type="dxa"/>
            <w:shd w:val="clear" w:color="auto" w:fill="auto"/>
            <w:noWrap/>
            <w:vAlign w:val="bottom"/>
            <w:hideMark/>
          </w:tcPr>
          <w:p w14:paraId="11809F78"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183</w:t>
            </w:r>
          </w:p>
        </w:tc>
        <w:tc>
          <w:tcPr>
            <w:tcW w:w="1316" w:type="dxa"/>
            <w:shd w:val="clear" w:color="auto" w:fill="auto"/>
            <w:noWrap/>
            <w:vAlign w:val="bottom"/>
            <w:hideMark/>
          </w:tcPr>
          <w:p w14:paraId="0E727E96"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146</w:t>
            </w:r>
          </w:p>
        </w:tc>
        <w:tc>
          <w:tcPr>
            <w:tcW w:w="1090" w:type="dxa"/>
            <w:shd w:val="clear" w:color="auto" w:fill="auto"/>
            <w:noWrap/>
            <w:vAlign w:val="bottom"/>
            <w:hideMark/>
          </w:tcPr>
          <w:p w14:paraId="596EF89D" w14:textId="77777777" w:rsidR="00A575B2" w:rsidRPr="00A575B2" w:rsidRDefault="00A575B2" w:rsidP="00A575B2">
            <w:pPr>
              <w:spacing w:after="0" w:line="240" w:lineRule="auto"/>
              <w:jc w:val="right"/>
              <w:rPr>
                <w:rFonts w:eastAsia="Times New Roman"/>
                <w:color w:val="000000"/>
                <w:szCs w:val="24"/>
                <w:lang w:eastAsia="es-EC"/>
              </w:rPr>
            </w:pPr>
            <w:r w:rsidRPr="00A575B2">
              <w:rPr>
                <w:rFonts w:eastAsia="Times New Roman"/>
                <w:color w:val="000000"/>
                <w:szCs w:val="24"/>
                <w:lang w:eastAsia="es-EC"/>
              </w:rPr>
              <w:t>17</w:t>
            </w:r>
          </w:p>
        </w:tc>
      </w:tr>
      <w:tr w:rsidR="00A575B2" w:rsidRPr="00A575B2" w14:paraId="0550A424" w14:textId="77777777" w:rsidTr="0026749E">
        <w:trPr>
          <w:trHeight w:val="330"/>
        </w:trPr>
        <w:tc>
          <w:tcPr>
            <w:tcW w:w="1480" w:type="dxa"/>
            <w:shd w:val="clear" w:color="auto" w:fill="auto"/>
            <w:noWrap/>
            <w:vAlign w:val="bottom"/>
            <w:hideMark/>
          </w:tcPr>
          <w:p w14:paraId="0B25D7D1"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Mundo</w:t>
            </w:r>
          </w:p>
        </w:tc>
        <w:tc>
          <w:tcPr>
            <w:tcW w:w="1317" w:type="dxa"/>
            <w:shd w:val="clear" w:color="auto" w:fill="auto"/>
            <w:noWrap/>
            <w:vAlign w:val="bottom"/>
            <w:hideMark/>
          </w:tcPr>
          <w:p w14:paraId="45D52C04"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11.847</w:t>
            </w:r>
          </w:p>
        </w:tc>
        <w:tc>
          <w:tcPr>
            <w:tcW w:w="1081" w:type="dxa"/>
            <w:shd w:val="clear" w:color="auto" w:fill="auto"/>
            <w:noWrap/>
            <w:vAlign w:val="bottom"/>
            <w:hideMark/>
          </w:tcPr>
          <w:p w14:paraId="1E066D0C"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3.557</w:t>
            </w:r>
          </w:p>
        </w:tc>
        <w:tc>
          <w:tcPr>
            <w:tcW w:w="1316" w:type="dxa"/>
            <w:shd w:val="clear" w:color="auto" w:fill="auto"/>
            <w:noWrap/>
            <w:vAlign w:val="bottom"/>
            <w:hideMark/>
          </w:tcPr>
          <w:p w14:paraId="779225CB"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17.864</w:t>
            </w:r>
          </w:p>
        </w:tc>
        <w:tc>
          <w:tcPr>
            <w:tcW w:w="1080" w:type="dxa"/>
            <w:shd w:val="clear" w:color="auto" w:fill="auto"/>
            <w:noWrap/>
            <w:vAlign w:val="bottom"/>
            <w:hideMark/>
          </w:tcPr>
          <w:p w14:paraId="3CC0E50B"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4.392</w:t>
            </w:r>
          </w:p>
        </w:tc>
        <w:tc>
          <w:tcPr>
            <w:tcW w:w="1316" w:type="dxa"/>
            <w:shd w:val="clear" w:color="auto" w:fill="auto"/>
            <w:noWrap/>
            <w:vAlign w:val="bottom"/>
            <w:hideMark/>
          </w:tcPr>
          <w:p w14:paraId="4F1F9A0E"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29.787</w:t>
            </w:r>
          </w:p>
        </w:tc>
        <w:tc>
          <w:tcPr>
            <w:tcW w:w="1090" w:type="dxa"/>
            <w:shd w:val="clear" w:color="auto" w:fill="auto"/>
            <w:noWrap/>
            <w:vAlign w:val="bottom"/>
            <w:hideMark/>
          </w:tcPr>
          <w:p w14:paraId="0A65FABC" w14:textId="77777777" w:rsidR="00A575B2" w:rsidRPr="00A575B2" w:rsidRDefault="00A575B2" w:rsidP="00A575B2">
            <w:pPr>
              <w:spacing w:after="0" w:line="240" w:lineRule="auto"/>
              <w:jc w:val="right"/>
              <w:rPr>
                <w:rFonts w:eastAsia="Times New Roman"/>
                <w:b/>
                <w:bCs/>
                <w:color w:val="000000"/>
                <w:szCs w:val="24"/>
                <w:lang w:eastAsia="es-EC"/>
              </w:rPr>
            </w:pPr>
            <w:r w:rsidRPr="00A575B2">
              <w:rPr>
                <w:rFonts w:eastAsia="Times New Roman"/>
                <w:b/>
                <w:bCs/>
                <w:color w:val="000000"/>
                <w:szCs w:val="24"/>
                <w:lang w:eastAsia="es-EC"/>
              </w:rPr>
              <w:t>4.533</w:t>
            </w:r>
          </w:p>
        </w:tc>
      </w:tr>
      <w:tr w:rsidR="00A575B2" w:rsidRPr="00A575B2" w14:paraId="30F0D8A3" w14:textId="77777777" w:rsidTr="0026749E">
        <w:trPr>
          <w:trHeight w:val="330"/>
        </w:trPr>
        <w:tc>
          <w:tcPr>
            <w:tcW w:w="1480" w:type="dxa"/>
            <w:shd w:val="clear" w:color="auto" w:fill="auto"/>
            <w:noWrap/>
            <w:vAlign w:val="bottom"/>
            <w:hideMark/>
          </w:tcPr>
          <w:p w14:paraId="01B5A225" w14:textId="77777777" w:rsidR="00A575B2" w:rsidRPr="00A575B2" w:rsidRDefault="00A575B2" w:rsidP="00A575B2">
            <w:pPr>
              <w:spacing w:after="0" w:line="240" w:lineRule="auto"/>
              <w:jc w:val="left"/>
              <w:rPr>
                <w:rFonts w:eastAsia="Times New Roman"/>
                <w:b/>
                <w:bCs/>
                <w:color w:val="000000"/>
                <w:szCs w:val="24"/>
                <w:lang w:eastAsia="es-EC"/>
              </w:rPr>
            </w:pPr>
            <w:r w:rsidRPr="00A575B2">
              <w:rPr>
                <w:rFonts w:eastAsia="Times New Roman"/>
                <w:b/>
                <w:bCs/>
                <w:color w:val="000000"/>
                <w:szCs w:val="24"/>
                <w:lang w:eastAsia="es-EC"/>
              </w:rPr>
              <w:t>USD/Ton</w:t>
            </w:r>
          </w:p>
        </w:tc>
        <w:tc>
          <w:tcPr>
            <w:tcW w:w="2398" w:type="dxa"/>
            <w:gridSpan w:val="2"/>
            <w:shd w:val="clear" w:color="auto" w:fill="auto"/>
            <w:noWrap/>
            <w:vAlign w:val="bottom"/>
            <w:hideMark/>
          </w:tcPr>
          <w:p w14:paraId="301A073C" w14:textId="77777777" w:rsidR="00A575B2" w:rsidRPr="00A575B2" w:rsidRDefault="00A575B2" w:rsidP="00A575B2">
            <w:pPr>
              <w:spacing w:after="0" w:line="240" w:lineRule="auto"/>
              <w:jc w:val="center"/>
              <w:rPr>
                <w:rFonts w:eastAsia="Times New Roman"/>
                <w:color w:val="000000"/>
                <w:szCs w:val="24"/>
                <w:lang w:eastAsia="es-EC"/>
              </w:rPr>
            </w:pPr>
            <w:r w:rsidRPr="00A575B2">
              <w:rPr>
                <w:rFonts w:eastAsia="Times New Roman"/>
                <w:color w:val="000000"/>
                <w:szCs w:val="24"/>
                <w:lang w:eastAsia="es-EC"/>
              </w:rPr>
              <w:t xml:space="preserve">                              3,33 </w:t>
            </w:r>
          </w:p>
        </w:tc>
        <w:tc>
          <w:tcPr>
            <w:tcW w:w="2396" w:type="dxa"/>
            <w:gridSpan w:val="2"/>
            <w:shd w:val="clear" w:color="auto" w:fill="auto"/>
            <w:noWrap/>
            <w:vAlign w:val="bottom"/>
            <w:hideMark/>
          </w:tcPr>
          <w:p w14:paraId="71945F90" w14:textId="77777777" w:rsidR="00A575B2" w:rsidRPr="00A575B2" w:rsidRDefault="00A575B2" w:rsidP="00A575B2">
            <w:pPr>
              <w:spacing w:after="0" w:line="240" w:lineRule="auto"/>
              <w:jc w:val="center"/>
              <w:rPr>
                <w:rFonts w:eastAsia="Times New Roman"/>
                <w:color w:val="000000"/>
                <w:szCs w:val="24"/>
                <w:lang w:eastAsia="es-EC"/>
              </w:rPr>
            </w:pPr>
            <w:r w:rsidRPr="00A575B2">
              <w:rPr>
                <w:rFonts w:eastAsia="Times New Roman"/>
                <w:color w:val="000000"/>
                <w:szCs w:val="24"/>
                <w:lang w:eastAsia="es-EC"/>
              </w:rPr>
              <w:t xml:space="preserve">                              4,07 </w:t>
            </w:r>
          </w:p>
        </w:tc>
        <w:tc>
          <w:tcPr>
            <w:tcW w:w="2406" w:type="dxa"/>
            <w:gridSpan w:val="2"/>
            <w:shd w:val="clear" w:color="auto" w:fill="auto"/>
            <w:noWrap/>
            <w:vAlign w:val="bottom"/>
            <w:hideMark/>
          </w:tcPr>
          <w:p w14:paraId="64231531" w14:textId="77777777" w:rsidR="00A575B2" w:rsidRPr="00A575B2" w:rsidRDefault="00A575B2" w:rsidP="00A575B2">
            <w:pPr>
              <w:spacing w:after="0" w:line="240" w:lineRule="auto"/>
              <w:jc w:val="center"/>
              <w:rPr>
                <w:rFonts w:eastAsia="Times New Roman"/>
                <w:color w:val="000000"/>
                <w:szCs w:val="24"/>
                <w:lang w:eastAsia="es-EC"/>
              </w:rPr>
            </w:pPr>
            <w:r w:rsidRPr="00A575B2">
              <w:rPr>
                <w:rFonts w:eastAsia="Times New Roman"/>
                <w:color w:val="000000"/>
                <w:szCs w:val="24"/>
                <w:lang w:eastAsia="es-EC"/>
              </w:rPr>
              <w:t xml:space="preserve">                              6,57 </w:t>
            </w:r>
          </w:p>
        </w:tc>
      </w:tr>
    </w:tbl>
    <w:p w14:paraId="22B3A4E8" w14:textId="77777777" w:rsidR="005A1309" w:rsidRPr="004E0958" w:rsidRDefault="005A1309" w:rsidP="00E45EFB">
      <w:pPr>
        <w:contextualSpacing/>
        <w:rPr>
          <w:sz w:val="18"/>
          <w:szCs w:val="18"/>
        </w:rPr>
      </w:pPr>
      <w:r w:rsidRPr="004E0958">
        <w:rPr>
          <w:sz w:val="18"/>
          <w:szCs w:val="18"/>
        </w:rPr>
        <w:t>*Valores en miles de dólares</w:t>
      </w:r>
    </w:p>
    <w:p w14:paraId="60CA1AE4" w14:textId="77777777" w:rsidR="005A1309" w:rsidRPr="004E0958" w:rsidRDefault="005A1309" w:rsidP="00E45EFB">
      <w:pPr>
        <w:tabs>
          <w:tab w:val="left" w:pos="5985"/>
        </w:tabs>
        <w:contextualSpacing/>
        <w:rPr>
          <w:sz w:val="18"/>
          <w:szCs w:val="18"/>
        </w:rPr>
      </w:pPr>
      <w:r w:rsidRPr="004E0958">
        <w:rPr>
          <w:sz w:val="18"/>
          <w:szCs w:val="18"/>
        </w:rPr>
        <w:t xml:space="preserve">Fuente: </w:t>
      </w:r>
      <w:sdt>
        <w:sdtPr>
          <w:rPr>
            <w:sz w:val="18"/>
            <w:szCs w:val="18"/>
          </w:rPr>
          <w:id w:val="1722631602"/>
          <w:citation/>
        </w:sdtPr>
        <w:sdtEndPr/>
        <w:sdtContent>
          <w:r w:rsidRPr="004E0958">
            <w:rPr>
              <w:sz w:val="18"/>
              <w:szCs w:val="18"/>
            </w:rPr>
            <w:fldChar w:fldCharType="begin"/>
          </w:r>
          <w:r w:rsidRPr="004E0958">
            <w:rPr>
              <w:sz w:val="18"/>
              <w:szCs w:val="18"/>
            </w:rPr>
            <w:instrText xml:space="preserve">CITATION ITC15 \l 12298 </w:instrText>
          </w:r>
          <w:r w:rsidRPr="004E0958">
            <w:rPr>
              <w:sz w:val="18"/>
              <w:szCs w:val="18"/>
            </w:rPr>
            <w:fldChar w:fldCharType="separate"/>
          </w:r>
          <w:r w:rsidR="00BC1846" w:rsidRPr="004E0958">
            <w:rPr>
              <w:noProof/>
              <w:sz w:val="18"/>
              <w:szCs w:val="18"/>
            </w:rPr>
            <w:t>(Centro de Comercio Internacional, 2015)</w:t>
          </w:r>
          <w:r w:rsidRPr="004E0958">
            <w:rPr>
              <w:sz w:val="18"/>
              <w:szCs w:val="18"/>
            </w:rPr>
            <w:fldChar w:fldCharType="end"/>
          </w:r>
        </w:sdtContent>
      </w:sdt>
    </w:p>
    <w:p w14:paraId="44768906" w14:textId="1E269A4F" w:rsidR="005A1309" w:rsidRDefault="004E0958" w:rsidP="005A1309">
      <w:pPr>
        <w:tabs>
          <w:tab w:val="left" w:pos="5985"/>
        </w:tabs>
      </w:pPr>
      <w:r>
        <w:br/>
      </w:r>
      <w:r w:rsidR="005A1309">
        <w:t xml:space="preserve">Bolivia lidera la posta ocupando el 65% del mercado. Perú es el segundo país proveedor del cereal a Francia con el 27% del mercado. Ecuador ostenta el quinto lugar como exportador a este país con 1% de participación de mercado. Tanto Alemania como Reino Unido, más allá de ser productores de quinua, funcionan como revendedores del cereal adquirido de los países latinoamericanos. </w:t>
      </w:r>
    </w:p>
    <w:p w14:paraId="1273901C" w14:textId="77777777" w:rsidR="003E164F" w:rsidRDefault="005A1309" w:rsidP="005A1309">
      <w:pPr>
        <w:tabs>
          <w:tab w:val="left" w:pos="5985"/>
        </w:tabs>
      </w:pPr>
      <w:r>
        <w:t>Los compradores han posicionado la quinua como un producto nutritivo y que cumple con los requisitos de un sistema de producción perteneciente al comercio justo</w:t>
      </w:r>
      <w:r w:rsidR="003E164F">
        <w:t xml:space="preserve">, reflejado en el precio por tonelada importada, que en promedio en los tres años analizados, corresponde al 92% adicional de lo establecido por la red de Comercio Justo. </w:t>
      </w:r>
    </w:p>
    <w:p w14:paraId="766C4F58" w14:textId="77777777" w:rsidR="003E164F" w:rsidRDefault="003E164F" w:rsidP="005A1309">
      <w:pPr>
        <w:tabs>
          <w:tab w:val="left" w:pos="5985"/>
        </w:tabs>
      </w:pPr>
      <w:r>
        <w:t xml:space="preserve">De igual forma, en los tres años analizados, el precio se ha incrementado 97%, lo que resulta atractivo para el ingreso de nuevos exportadores. </w:t>
      </w:r>
    </w:p>
    <w:p w14:paraId="342CE69E" w14:textId="77777777" w:rsidR="003E164F" w:rsidRDefault="002B6D31" w:rsidP="002D2BF0">
      <w:r>
        <w:t>Tom</w:t>
      </w:r>
      <w:r w:rsidR="003E6E6F">
        <w:t xml:space="preserve">ando en cuenta que del 2012 al 2013, </w:t>
      </w:r>
      <w:r>
        <w:t xml:space="preserve">el consumo per cápita de quinua en Francia </w:t>
      </w:r>
      <w:r w:rsidR="003E6E6F">
        <w:t xml:space="preserve">creció en 22,94% y de este último año al 2014, creció 2,77% se podría estimar un crecimiento promedio de 12,86% en el volumen importado. Sin embargo, se va a mantener un escenario conservador que considera el crecimiento del 2013-2014. Con esta premisa, </w:t>
      </w:r>
      <w:r>
        <w:t>la proyección de Toneladas mínimas importadas sería como se recoge a continuación:</w:t>
      </w:r>
    </w:p>
    <w:p w14:paraId="39981AC8" w14:textId="77777777" w:rsidR="002B6D31" w:rsidRPr="00E45EFB" w:rsidRDefault="002B6D31" w:rsidP="002B6D31">
      <w:pPr>
        <w:pStyle w:val="Descripcin"/>
        <w:keepNext/>
        <w:jc w:val="center"/>
        <w:rPr>
          <w:b/>
          <w:i w:val="0"/>
          <w:color w:val="auto"/>
          <w:sz w:val="24"/>
          <w:szCs w:val="24"/>
        </w:rPr>
      </w:pPr>
      <w:bookmarkStart w:id="44" w:name="_Toc446973208"/>
      <w:r w:rsidRPr="00E45EFB">
        <w:rPr>
          <w:b/>
          <w:i w:val="0"/>
          <w:color w:val="auto"/>
          <w:sz w:val="24"/>
          <w:szCs w:val="24"/>
        </w:rPr>
        <w:lastRenderedPageBreak/>
        <w:t xml:space="preserve">Tabla </w:t>
      </w:r>
      <w:r w:rsidRPr="00E45EFB">
        <w:rPr>
          <w:b/>
          <w:i w:val="0"/>
          <w:color w:val="auto"/>
          <w:sz w:val="24"/>
          <w:szCs w:val="24"/>
        </w:rPr>
        <w:fldChar w:fldCharType="begin"/>
      </w:r>
      <w:r w:rsidRPr="00E45EFB">
        <w:rPr>
          <w:b/>
          <w:i w:val="0"/>
          <w:color w:val="auto"/>
          <w:sz w:val="24"/>
          <w:szCs w:val="24"/>
        </w:rPr>
        <w:instrText xml:space="preserve"> SEQ Tabla \* ARABIC </w:instrText>
      </w:r>
      <w:r w:rsidRPr="00E45EFB">
        <w:rPr>
          <w:b/>
          <w:i w:val="0"/>
          <w:color w:val="auto"/>
          <w:sz w:val="24"/>
          <w:szCs w:val="24"/>
        </w:rPr>
        <w:fldChar w:fldCharType="separate"/>
      </w:r>
      <w:r w:rsidR="00B828B8">
        <w:rPr>
          <w:b/>
          <w:i w:val="0"/>
          <w:noProof/>
          <w:color w:val="auto"/>
          <w:sz w:val="24"/>
          <w:szCs w:val="24"/>
        </w:rPr>
        <w:t>10</w:t>
      </w:r>
      <w:r w:rsidRPr="00E45EFB">
        <w:rPr>
          <w:b/>
          <w:i w:val="0"/>
          <w:color w:val="auto"/>
          <w:sz w:val="24"/>
          <w:szCs w:val="24"/>
        </w:rPr>
        <w:fldChar w:fldCharType="end"/>
      </w:r>
      <w:r w:rsidRPr="00E45EFB">
        <w:rPr>
          <w:b/>
          <w:i w:val="0"/>
          <w:color w:val="auto"/>
          <w:sz w:val="24"/>
          <w:szCs w:val="24"/>
        </w:rPr>
        <w:t>: Proyección de Toneladas importadas por Francia</w:t>
      </w:r>
      <w:bookmarkEnd w:id="44"/>
    </w:p>
    <w:tbl>
      <w:tblPr>
        <w:tblStyle w:val="Tesis"/>
        <w:tblW w:w="8060" w:type="dxa"/>
        <w:tblLook w:val="04A0" w:firstRow="1" w:lastRow="0" w:firstColumn="1" w:lastColumn="0" w:noHBand="0" w:noVBand="1"/>
      </w:tblPr>
      <w:tblGrid>
        <w:gridCol w:w="1660"/>
        <w:gridCol w:w="960"/>
        <w:gridCol w:w="960"/>
        <w:gridCol w:w="960"/>
        <w:gridCol w:w="880"/>
        <w:gridCol w:w="880"/>
        <w:gridCol w:w="880"/>
        <w:gridCol w:w="880"/>
      </w:tblGrid>
      <w:tr w:rsidR="003E6E6F" w:rsidRPr="003E6E6F" w14:paraId="63E506A4" w14:textId="77777777" w:rsidTr="003E6E6F">
        <w:trPr>
          <w:trHeight w:val="315"/>
        </w:trPr>
        <w:tc>
          <w:tcPr>
            <w:tcW w:w="1660" w:type="dxa"/>
            <w:tcBorders>
              <w:top w:val="single" w:sz="12" w:space="0" w:color="auto"/>
              <w:bottom w:val="single" w:sz="12" w:space="0" w:color="auto"/>
            </w:tcBorders>
            <w:noWrap/>
            <w:hideMark/>
          </w:tcPr>
          <w:p w14:paraId="1B484D44" w14:textId="77777777" w:rsidR="003E6E6F" w:rsidRPr="003E6E6F" w:rsidRDefault="003E6E6F" w:rsidP="003E6E6F">
            <w:pPr>
              <w:spacing w:line="240" w:lineRule="auto"/>
              <w:jc w:val="left"/>
              <w:rPr>
                <w:rFonts w:ascii="Calibri" w:eastAsia="Times New Roman" w:hAnsi="Calibri"/>
                <w:color w:val="000000"/>
                <w:sz w:val="22"/>
                <w:lang w:eastAsia="es-EC"/>
              </w:rPr>
            </w:pPr>
            <w:r w:rsidRPr="003E6E6F">
              <w:rPr>
                <w:rFonts w:ascii="Calibri" w:eastAsia="Times New Roman" w:hAnsi="Calibri"/>
                <w:color w:val="000000"/>
                <w:sz w:val="22"/>
                <w:lang w:eastAsia="es-EC"/>
              </w:rPr>
              <w:t> </w:t>
            </w:r>
          </w:p>
        </w:tc>
        <w:tc>
          <w:tcPr>
            <w:tcW w:w="960" w:type="dxa"/>
            <w:tcBorders>
              <w:top w:val="single" w:sz="12" w:space="0" w:color="auto"/>
              <w:bottom w:val="single" w:sz="12" w:space="0" w:color="auto"/>
            </w:tcBorders>
            <w:noWrap/>
            <w:hideMark/>
          </w:tcPr>
          <w:p w14:paraId="3FC8DEAE"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2012</w:t>
            </w:r>
          </w:p>
        </w:tc>
        <w:tc>
          <w:tcPr>
            <w:tcW w:w="960" w:type="dxa"/>
            <w:tcBorders>
              <w:top w:val="single" w:sz="12" w:space="0" w:color="auto"/>
              <w:bottom w:val="single" w:sz="12" w:space="0" w:color="auto"/>
            </w:tcBorders>
            <w:noWrap/>
            <w:hideMark/>
          </w:tcPr>
          <w:p w14:paraId="18137CCD"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2013</w:t>
            </w:r>
          </w:p>
        </w:tc>
        <w:tc>
          <w:tcPr>
            <w:tcW w:w="960" w:type="dxa"/>
            <w:tcBorders>
              <w:top w:val="single" w:sz="12" w:space="0" w:color="auto"/>
              <w:bottom w:val="single" w:sz="12" w:space="0" w:color="auto"/>
            </w:tcBorders>
            <w:noWrap/>
            <w:hideMark/>
          </w:tcPr>
          <w:p w14:paraId="3EA771CE"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2014</w:t>
            </w:r>
          </w:p>
        </w:tc>
        <w:tc>
          <w:tcPr>
            <w:tcW w:w="880" w:type="dxa"/>
            <w:tcBorders>
              <w:top w:val="single" w:sz="12" w:space="0" w:color="auto"/>
              <w:bottom w:val="single" w:sz="12" w:space="0" w:color="auto"/>
            </w:tcBorders>
            <w:noWrap/>
            <w:hideMark/>
          </w:tcPr>
          <w:p w14:paraId="38C5C18E"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2015</w:t>
            </w:r>
          </w:p>
        </w:tc>
        <w:tc>
          <w:tcPr>
            <w:tcW w:w="880" w:type="dxa"/>
            <w:tcBorders>
              <w:top w:val="single" w:sz="12" w:space="0" w:color="auto"/>
              <w:bottom w:val="single" w:sz="12" w:space="0" w:color="auto"/>
            </w:tcBorders>
            <w:noWrap/>
            <w:hideMark/>
          </w:tcPr>
          <w:p w14:paraId="159F36A3"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2016</w:t>
            </w:r>
          </w:p>
        </w:tc>
        <w:tc>
          <w:tcPr>
            <w:tcW w:w="880" w:type="dxa"/>
            <w:tcBorders>
              <w:top w:val="single" w:sz="12" w:space="0" w:color="auto"/>
              <w:bottom w:val="single" w:sz="12" w:space="0" w:color="auto"/>
            </w:tcBorders>
            <w:noWrap/>
            <w:hideMark/>
          </w:tcPr>
          <w:p w14:paraId="17FFBAB9"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2017</w:t>
            </w:r>
          </w:p>
        </w:tc>
        <w:tc>
          <w:tcPr>
            <w:tcW w:w="880" w:type="dxa"/>
            <w:tcBorders>
              <w:top w:val="single" w:sz="12" w:space="0" w:color="auto"/>
              <w:bottom w:val="single" w:sz="12" w:space="0" w:color="auto"/>
            </w:tcBorders>
            <w:noWrap/>
            <w:hideMark/>
          </w:tcPr>
          <w:p w14:paraId="48AB04D4"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2018</w:t>
            </w:r>
          </w:p>
        </w:tc>
      </w:tr>
      <w:tr w:rsidR="003E6E6F" w:rsidRPr="003E6E6F" w14:paraId="5D327023" w14:textId="77777777" w:rsidTr="003E6E6F">
        <w:trPr>
          <w:trHeight w:val="315"/>
        </w:trPr>
        <w:tc>
          <w:tcPr>
            <w:tcW w:w="1660" w:type="dxa"/>
            <w:tcBorders>
              <w:top w:val="single" w:sz="12" w:space="0" w:color="auto"/>
              <w:bottom w:val="nil"/>
            </w:tcBorders>
            <w:noWrap/>
            <w:hideMark/>
          </w:tcPr>
          <w:p w14:paraId="643CA24F"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Población</w:t>
            </w:r>
          </w:p>
        </w:tc>
        <w:tc>
          <w:tcPr>
            <w:tcW w:w="960" w:type="dxa"/>
            <w:tcBorders>
              <w:top w:val="single" w:sz="12" w:space="0" w:color="auto"/>
              <w:bottom w:val="nil"/>
            </w:tcBorders>
            <w:noWrap/>
            <w:hideMark/>
          </w:tcPr>
          <w:p w14:paraId="052B9DA6"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65.640</w:t>
            </w:r>
          </w:p>
        </w:tc>
        <w:tc>
          <w:tcPr>
            <w:tcW w:w="960" w:type="dxa"/>
            <w:tcBorders>
              <w:top w:val="single" w:sz="12" w:space="0" w:color="auto"/>
              <w:bottom w:val="nil"/>
            </w:tcBorders>
            <w:noWrap/>
            <w:hideMark/>
          </w:tcPr>
          <w:p w14:paraId="754BA0D3"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65.925</w:t>
            </w:r>
          </w:p>
        </w:tc>
        <w:tc>
          <w:tcPr>
            <w:tcW w:w="960" w:type="dxa"/>
            <w:tcBorders>
              <w:top w:val="single" w:sz="12" w:space="0" w:color="auto"/>
              <w:bottom w:val="nil"/>
            </w:tcBorders>
            <w:noWrap/>
            <w:hideMark/>
          </w:tcPr>
          <w:p w14:paraId="7165AF58"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66.207</w:t>
            </w:r>
          </w:p>
        </w:tc>
        <w:tc>
          <w:tcPr>
            <w:tcW w:w="880" w:type="dxa"/>
            <w:tcBorders>
              <w:top w:val="single" w:sz="12" w:space="0" w:color="auto"/>
              <w:bottom w:val="nil"/>
            </w:tcBorders>
            <w:noWrap/>
            <w:hideMark/>
          </w:tcPr>
          <w:p w14:paraId="6504A400"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66.380</w:t>
            </w:r>
          </w:p>
        </w:tc>
        <w:tc>
          <w:tcPr>
            <w:tcW w:w="880" w:type="dxa"/>
            <w:tcBorders>
              <w:top w:val="single" w:sz="12" w:space="0" w:color="auto"/>
              <w:bottom w:val="nil"/>
            </w:tcBorders>
            <w:noWrap/>
            <w:hideMark/>
          </w:tcPr>
          <w:p w14:paraId="7E147687"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66.630</w:t>
            </w:r>
          </w:p>
        </w:tc>
        <w:tc>
          <w:tcPr>
            <w:tcW w:w="880" w:type="dxa"/>
            <w:tcBorders>
              <w:top w:val="single" w:sz="12" w:space="0" w:color="auto"/>
              <w:bottom w:val="nil"/>
            </w:tcBorders>
            <w:noWrap/>
            <w:hideMark/>
          </w:tcPr>
          <w:p w14:paraId="721413C6"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66.914</w:t>
            </w:r>
          </w:p>
        </w:tc>
        <w:tc>
          <w:tcPr>
            <w:tcW w:w="880" w:type="dxa"/>
            <w:tcBorders>
              <w:top w:val="single" w:sz="12" w:space="0" w:color="auto"/>
              <w:bottom w:val="nil"/>
            </w:tcBorders>
            <w:noWrap/>
            <w:hideMark/>
          </w:tcPr>
          <w:p w14:paraId="07478127"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67.200</w:t>
            </w:r>
          </w:p>
        </w:tc>
      </w:tr>
      <w:tr w:rsidR="003E6E6F" w:rsidRPr="003E6E6F" w14:paraId="55F15524" w14:textId="77777777" w:rsidTr="003E6E6F">
        <w:trPr>
          <w:trHeight w:val="330"/>
        </w:trPr>
        <w:tc>
          <w:tcPr>
            <w:tcW w:w="1660" w:type="dxa"/>
            <w:tcBorders>
              <w:top w:val="nil"/>
              <w:bottom w:val="single" w:sz="12" w:space="0" w:color="auto"/>
            </w:tcBorders>
            <w:noWrap/>
            <w:hideMark/>
          </w:tcPr>
          <w:p w14:paraId="7304C6AE" w14:textId="77777777" w:rsidR="003E6E6F" w:rsidRPr="003E6E6F" w:rsidRDefault="003E6E6F" w:rsidP="003E6E6F">
            <w:pPr>
              <w:spacing w:line="240" w:lineRule="auto"/>
              <w:jc w:val="center"/>
              <w:rPr>
                <w:rFonts w:eastAsia="Times New Roman"/>
                <w:b/>
                <w:bCs/>
                <w:color w:val="000000"/>
                <w:szCs w:val="24"/>
                <w:lang w:eastAsia="es-EC"/>
              </w:rPr>
            </w:pPr>
            <w:r w:rsidRPr="003E6E6F">
              <w:rPr>
                <w:rFonts w:eastAsia="Times New Roman"/>
                <w:b/>
                <w:bCs/>
                <w:color w:val="000000"/>
                <w:szCs w:val="24"/>
                <w:lang w:eastAsia="es-EC"/>
              </w:rPr>
              <w:t>Toneladas</w:t>
            </w:r>
          </w:p>
        </w:tc>
        <w:tc>
          <w:tcPr>
            <w:tcW w:w="960" w:type="dxa"/>
            <w:tcBorders>
              <w:top w:val="nil"/>
              <w:bottom w:val="single" w:sz="12" w:space="0" w:color="auto"/>
            </w:tcBorders>
            <w:noWrap/>
            <w:hideMark/>
          </w:tcPr>
          <w:p w14:paraId="1946E47E"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3,557</w:t>
            </w:r>
          </w:p>
        </w:tc>
        <w:tc>
          <w:tcPr>
            <w:tcW w:w="960" w:type="dxa"/>
            <w:tcBorders>
              <w:top w:val="nil"/>
              <w:bottom w:val="single" w:sz="12" w:space="0" w:color="auto"/>
            </w:tcBorders>
            <w:noWrap/>
            <w:hideMark/>
          </w:tcPr>
          <w:p w14:paraId="4FB8832C"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4,392</w:t>
            </w:r>
          </w:p>
        </w:tc>
        <w:tc>
          <w:tcPr>
            <w:tcW w:w="960" w:type="dxa"/>
            <w:tcBorders>
              <w:top w:val="nil"/>
              <w:bottom w:val="single" w:sz="12" w:space="0" w:color="auto"/>
            </w:tcBorders>
            <w:noWrap/>
            <w:hideMark/>
          </w:tcPr>
          <w:p w14:paraId="748D212C"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4,533</w:t>
            </w:r>
          </w:p>
        </w:tc>
        <w:tc>
          <w:tcPr>
            <w:tcW w:w="880" w:type="dxa"/>
            <w:tcBorders>
              <w:top w:val="nil"/>
              <w:bottom w:val="single" w:sz="12" w:space="0" w:color="auto"/>
            </w:tcBorders>
            <w:noWrap/>
            <w:hideMark/>
          </w:tcPr>
          <w:p w14:paraId="653E8E4B"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4,659</w:t>
            </w:r>
          </w:p>
        </w:tc>
        <w:tc>
          <w:tcPr>
            <w:tcW w:w="880" w:type="dxa"/>
            <w:tcBorders>
              <w:top w:val="nil"/>
              <w:bottom w:val="single" w:sz="12" w:space="0" w:color="auto"/>
            </w:tcBorders>
            <w:noWrap/>
            <w:hideMark/>
          </w:tcPr>
          <w:p w14:paraId="2BE5B015"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4,788</w:t>
            </w:r>
          </w:p>
        </w:tc>
        <w:tc>
          <w:tcPr>
            <w:tcW w:w="880" w:type="dxa"/>
            <w:tcBorders>
              <w:top w:val="nil"/>
              <w:bottom w:val="single" w:sz="12" w:space="0" w:color="auto"/>
            </w:tcBorders>
            <w:noWrap/>
            <w:hideMark/>
          </w:tcPr>
          <w:p w14:paraId="25A0F17E"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4,920</w:t>
            </w:r>
          </w:p>
        </w:tc>
        <w:tc>
          <w:tcPr>
            <w:tcW w:w="880" w:type="dxa"/>
            <w:tcBorders>
              <w:top w:val="nil"/>
              <w:bottom w:val="single" w:sz="12" w:space="0" w:color="auto"/>
            </w:tcBorders>
            <w:noWrap/>
            <w:hideMark/>
          </w:tcPr>
          <w:p w14:paraId="2A5D3CC7" w14:textId="77777777" w:rsidR="003E6E6F" w:rsidRPr="003E6E6F" w:rsidRDefault="003E6E6F" w:rsidP="003E6E6F">
            <w:pPr>
              <w:spacing w:line="240" w:lineRule="auto"/>
              <w:jc w:val="right"/>
              <w:rPr>
                <w:rFonts w:eastAsia="Times New Roman"/>
                <w:color w:val="000000"/>
                <w:szCs w:val="24"/>
                <w:lang w:eastAsia="es-EC"/>
              </w:rPr>
            </w:pPr>
            <w:r w:rsidRPr="003E6E6F">
              <w:rPr>
                <w:rFonts w:eastAsia="Times New Roman"/>
                <w:color w:val="000000"/>
                <w:szCs w:val="24"/>
                <w:lang w:eastAsia="es-EC"/>
              </w:rPr>
              <w:t>5,057</w:t>
            </w:r>
          </w:p>
        </w:tc>
      </w:tr>
    </w:tbl>
    <w:p w14:paraId="265C1E6C" w14:textId="77777777" w:rsidR="002B6D31" w:rsidRDefault="002B6D31">
      <w:pPr>
        <w:spacing w:line="276" w:lineRule="auto"/>
        <w:jc w:val="left"/>
        <w:rPr>
          <w:rFonts w:eastAsiaTheme="majorEastAsia" w:cstheme="majorBidi"/>
          <w:b/>
          <w:szCs w:val="24"/>
        </w:rPr>
      </w:pPr>
    </w:p>
    <w:p w14:paraId="4726996D" w14:textId="77777777" w:rsidR="00CA027A" w:rsidRPr="00CA027A" w:rsidRDefault="00CA027A" w:rsidP="00CA027A">
      <w:pPr>
        <w:pStyle w:val="Prrafodelista"/>
        <w:keepNext/>
        <w:keepLines/>
        <w:numPr>
          <w:ilvl w:val="0"/>
          <w:numId w:val="6"/>
        </w:numPr>
        <w:spacing w:before="40" w:after="0"/>
        <w:contextualSpacing w:val="0"/>
        <w:outlineLvl w:val="2"/>
        <w:rPr>
          <w:rFonts w:eastAsiaTheme="majorEastAsia" w:cstheme="majorBidi"/>
          <w:b/>
          <w:vanish/>
          <w:szCs w:val="24"/>
        </w:rPr>
      </w:pPr>
      <w:bookmarkStart w:id="45" w:name="_Toc446914974"/>
      <w:bookmarkStart w:id="46" w:name="_Toc446973160"/>
      <w:bookmarkEnd w:id="45"/>
      <w:bookmarkEnd w:id="46"/>
    </w:p>
    <w:p w14:paraId="4C6514D3" w14:textId="77777777" w:rsidR="00CA027A" w:rsidRPr="00CA027A" w:rsidRDefault="00CA027A" w:rsidP="00CA027A">
      <w:pPr>
        <w:pStyle w:val="Prrafodelista"/>
        <w:keepNext/>
        <w:keepLines/>
        <w:numPr>
          <w:ilvl w:val="1"/>
          <w:numId w:val="6"/>
        </w:numPr>
        <w:spacing w:before="40" w:after="0"/>
        <w:contextualSpacing w:val="0"/>
        <w:outlineLvl w:val="2"/>
        <w:rPr>
          <w:rFonts w:eastAsiaTheme="majorEastAsia" w:cstheme="majorBidi"/>
          <w:b/>
          <w:vanish/>
          <w:szCs w:val="24"/>
        </w:rPr>
      </w:pPr>
      <w:bookmarkStart w:id="47" w:name="_Toc446914975"/>
      <w:bookmarkStart w:id="48" w:name="_Toc446973161"/>
      <w:bookmarkEnd w:id="47"/>
      <w:bookmarkEnd w:id="48"/>
    </w:p>
    <w:p w14:paraId="3707CEA1" w14:textId="2ED8C0B1" w:rsidR="005A1309" w:rsidRDefault="005A1309" w:rsidP="004E0958">
      <w:pPr>
        <w:pStyle w:val="Ttulo3"/>
        <w:numPr>
          <w:ilvl w:val="1"/>
          <w:numId w:val="6"/>
        </w:numPr>
        <w:spacing w:before="0" w:after="200"/>
        <w:ind w:left="431" w:hanging="431"/>
        <w:contextualSpacing/>
      </w:pPr>
      <w:bookmarkStart w:id="49" w:name="_Toc446973162"/>
      <w:r>
        <w:t>Análisis FODA del mercado francés para la quinua</w:t>
      </w:r>
      <w:bookmarkEnd w:id="49"/>
    </w:p>
    <w:p w14:paraId="418ED593" w14:textId="12D40B8C" w:rsidR="005A1309" w:rsidRPr="00BA3BF1" w:rsidRDefault="005A1309" w:rsidP="004E0958">
      <w:pPr>
        <w:pStyle w:val="Ttulo4"/>
        <w:numPr>
          <w:ilvl w:val="2"/>
          <w:numId w:val="6"/>
        </w:numPr>
        <w:spacing w:before="0" w:after="200"/>
        <w:ind w:left="505" w:hanging="505"/>
        <w:contextualSpacing/>
        <w:rPr>
          <w:i w:val="0"/>
        </w:rPr>
      </w:pPr>
      <w:r w:rsidRPr="00BA3BF1">
        <w:rPr>
          <w:i w:val="0"/>
        </w:rPr>
        <w:t>Fortalezas</w:t>
      </w:r>
    </w:p>
    <w:p w14:paraId="1FA42F23" w14:textId="77777777" w:rsidR="005A1309" w:rsidRDefault="005A1309" w:rsidP="004E0958">
      <w:pPr>
        <w:pStyle w:val="Prrafodelista"/>
        <w:numPr>
          <w:ilvl w:val="0"/>
          <w:numId w:val="7"/>
        </w:numPr>
      </w:pPr>
      <w:r>
        <w:t xml:space="preserve">La quinua se comercializa en Francia desde los años 90, sin embargo, la distribución a través de cadenas de hipermercados y supermercados ha sido un gran impulso para el consumo del cereal </w:t>
      </w:r>
      <w:sdt>
        <w:sdtPr>
          <w:id w:val="1145787350"/>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78B1172C" w14:textId="77777777" w:rsidR="005A1309" w:rsidRDefault="005A1309" w:rsidP="004E0958">
      <w:pPr>
        <w:pStyle w:val="Prrafodelista"/>
        <w:numPr>
          <w:ilvl w:val="0"/>
          <w:numId w:val="7"/>
        </w:numPr>
      </w:pPr>
      <w:r>
        <w:t xml:space="preserve">La comercialización del cereal se introdujo como alternativa libre de gluten. Es así como se ha considerado como una opción de carbohidrato diferente al arroz o las pastas </w:t>
      </w:r>
      <w:sdt>
        <w:sdtPr>
          <w:id w:val="1820612493"/>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 Los celíacos o vegetarianos son segmentos interesantes para la venta de quinua, aunque en los últimos años, ha pasado de ser un producto de nicho a tener aceptación general.</w:t>
      </w:r>
    </w:p>
    <w:p w14:paraId="3CD2DB6F" w14:textId="77777777" w:rsidR="005A1309" w:rsidRDefault="005A1309" w:rsidP="004E0958">
      <w:pPr>
        <w:pStyle w:val="Prrafodelista"/>
        <w:numPr>
          <w:ilvl w:val="0"/>
          <w:numId w:val="7"/>
        </w:numPr>
      </w:pPr>
      <w:r>
        <w:t xml:space="preserve">Francia es el mayor mercado para la quinua dentro de la Unión Europea. Se consume en todos las regiones del país y no se dirige a un sector en específico de la población, aunque su uso y preparación pueden ser variados </w:t>
      </w:r>
      <w:sdt>
        <w:sdtPr>
          <w:id w:val="653573440"/>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00391342" w14:textId="77777777" w:rsidR="005A1309" w:rsidRDefault="005A1309" w:rsidP="004E0958">
      <w:pPr>
        <w:pStyle w:val="Prrafodelista"/>
        <w:numPr>
          <w:ilvl w:val="0"/>
          <w:numId w:val="7"/>
        </w:numPr>
      </w:pPr>
      <w:r>
        <w:t xml:space="preserve">Más del 80% de la quinua que se comercializa en Francia es de denominación orgánica y aproximadamente un 40% de la misma debe tener certificación de Comercio Justo </w:t>
      </w:r>
      <w:sdt>
        <w:sdtPr>
          <w:id w:val="-1147586063"/>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w:t>
      </w:r>
    </w:p>
    <w:p w14:paraId="28A48DF7" w14:textId="77777777" w:rsidR="005A1309" w:rsidRDefault="005A1309" w:rsidP="004E0958">
      <w:pPr>
        <w:pStyle w:val="Prrafodelista"/>
        <w:numPr>
          <w:ilvl w:val="0"/>
          <w:numId w:val="7"/>
        </w:numPr>
      </w:pPr>
      <w:r>
        <w:t xml:space="preserve">La quinua se ha convertido en un ingrediente esencial dentro de la gastronomía francesa por lo que se encuentra presente en muchos de los libros de cocina que se venden </w:t>
      </w:r>
      <w:sdt>
        <w:sdtPr>
          <w:id w:val="1643379639"/>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 xml:space="preserve">. </w:t>
      </w:r>
    </w:p>
    <w:p w14:paraId="4BE6FF0B" w14:textId="77777777" w:rsidR="005A1309" w:rsidRDefault="005A1309" w:rsidP="004E0958">
      <w:pPr>
        <w:pStyle w:val="Prrafodelista"/>
        <w:numPr>
          <w:ilvl w:val="0"/>
          <w:numId w:val="7"/>
        </w:numPr>
      </w:pPr>
      <w:r>
        <w:t xml:space="preserve"> La quinua se comercializa y consume en formas variadas: galletas, barras, ensaladas, mezclada con otros cereales, etc. </w:t>
      </w:r>
      <w:sdt>
        <w:sdtPr>
          <w:id w:val="2066759067"/>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77D327B4" w14:textId="77777777" w:rsidR="005A1309" w:rsidRDefault="005A1309" w:rsidP="004E0958">
      <w:pPr>
        <w:pStyle w:val="Prrafodelista"/>
        <w:numPr>
          <w:ilvl w:val="0"/>
          <w:numId w:val="7"/>
        </w:numPr>
      </w:pPr>
      <w:r>
        <w:t xml:space="preserve">Dada la tendencia al consumo de productos orgánicos, una cantidad creciente de minoristas están incursionando en la misma. Aquellos de mayor tamaño como Grupo </w:t>
      </w:r>
      <w:r>
        <w:lastRenderedPageBreak/>
        <w:t xml:space="preserve">Carrefour o Lecrec han realizado estrategias de promoción en punto de venta para la quinua, mostrando sus beneficios y formas de preparación </w:t>
      </w:r>
      <w:sdt>
        <w:sdtPr>
          <w:id w:val="38413205"/>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w:t>
      </w:r>
    </w:p>
    <w:p w14:paraId="7AA71501" w14:textId="77777777" w:rsidR="005A1309" w:rsidRDefault="005A1309" w:rsidP="004E0958">
      <w:pPr>
        <w:pStyle w:val="Prrafodelista"/>
        <w:numPr>
          <w:ilvl w:val="0"/>
          <w:numId w:val="7"/>
        </w:numPr>
      </w:pPr>
      <w:r>
        <w:t xml:space="preserve">Los minoristas/distribuidores, para asegurar su stock, han optado por realizar alianzas directas con exportadores </w:t>
      </w:r>
      <w:sdt>
        <w:sdtPr>
          <w:id w:val="-1632543917"/>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76DDC7DD" w14:textId="77777777" w:rsidR="005A1309" w:rsidRPr="00BA3BF1" w:rsidRDefault="005A1309" w:rsidP="004E0958">
      <w:pPr>
        <w:pStyle w:val="Ttulo4"/>
        <w:numPr>
          <w:ilvl w:val="2"/>
          <w:numId w:val="6"/>
        </w:numPr>
        <w:spacing w:before="0" w:after="200"/>
        <w:ind w:left="505" w:hanging="505"/>
        <w:contextualSpacing/>
        <w:rPr>
          <w:i w:val="0"/>
        </w:rPr>
      </w:pPr>
      <w:r w:rsidRPr="00BA3BF1">
        <w:rPr>
          <w:i w:val="0"/>
        </w:rPr>
        <w:t>Debilidades</w:t>
      </w:r>
    </w:p>
    <w:p w14:paraId="354956E8" w14:textId="77777777" w:rsidR="005A1309" w:rsidRDefault="005A1309" w:rsidP="004E0958">
      <w:pPr>
        <w:pStyle w:val="Prrafodelista"/>
        <w:numPr>
          <w:ilvl w:val="0"/>
          <w:numId w:val="8"/>
        </w:numPr>
      </w:pPr>
      <w:r>
        <w:t xml:space="preserve">Los consumidores está dispuestos a comprar quinua siempre que no se lo relacione necesariamente con alimento vegetariano </w:t>
      </w:r>
      <w:sdt>
        <w:sdtPr>
          <w:id w:val="-370143079"/>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5997D23A" w14:textId="77777777" w:rsidR="005A1309" w:rsidRDefault="005A1309" w:rsidP="004E0958">
      <w:pPr>
        <w:pStyle w:val="Prrafodelista"/>
        <w:numPr>
          <w:ilvl w:val="0"/>
          <w:numId w:val="8"/>
        </w:numPr>
      </w:pPr>
      <w:r>
        <w:t xml:space="preserve">El mercado francés de quinua se encuentra concentrado en dos países exportadores principalmente, Bolivia y Perú, por tanto existe mayor complicación para el ingreso de nueva oferta. Además, la dependencia a estos países implica que, en caso de existir algún factor tanto externo como interno que afecte a la oferta del cereal, puede influir en el precio del mismo. </w:t>
      </w:r>
    </w:p>
    <w:p w14:paraId="3068F401" w14:textId="77777777" w:rsidR="005A1309" w:rsidRDefault="005A1309" w:rsidP="004E0958">
      <w:pPr>
        <w:pStyle w:val="Prrafodelista"/>
        <w:numPr>
          <w:ilvl w:val="0"/>
          <w:numId w:val="8"/>
        </w:numPr>
      </w:pPr>
      <w:r>
        <w:t>Los importadores buscan la certificación de comercio justo. De no conseguirlo, pueden verse limitadas las ventas</w:t>
      </w:r>
      <w:r w:rsidR="0026749E">
        <w:t>.</w:t>
      </w:r>
      <w:r>
        <w:t xml:space="preserve"> </w:t>
      </w:r>
      <w:sdt>
        <w:sdtPr>
          <w:id w:val="-178815787"/>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4565AAA5" w14:textId="77777777" w:rsidR="005A1309" w:rsidRDefault="005A1309" w:rsidP="004E0958">
      <w:pPr>
        <w:pStyle w:val="Prrafodelista"/>
        <w:numPr>
          <w:ilvl w:val="0"/>
          <w:numId w:val="8"/>
        </w:numPr>
      </w:pPr>
      <w:r>
        <w:t xml:space="preserve">Según estudios realizados por el minorista Carrefour, introducir al mercado productos que contienen quinua no siempre es una tarea sencilla debido a que la variedad es todavía limitada y el consumidor percibe ciertos productos a base del cereal como que no tienen muy buen sabor. Sin embargo, esta percepción ha ido cambiando progresivamente </w:t>
      </w:r>
      <w:sdt>
        <w:sdtPr>
          <w:id w:val="1555588942"/>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68506570" w14:textId="77777777" w:rsidR="005A1309" w:rsidRPr="00BA3BF1" w:rsidRDefault="005A1309" w:rsidP="004E0958">
      <w:pPr>
        <w:pStyle w:val="Ttulo4"/>
        <w:numPr>
          <w:ilvl w:val="2"/>
          <w:numId w:val="6"/>
        </w:numPr>
        <w:spacing w:before="0" w:after="200"/>
        <w:ind w:left="505" w:hanging="505"/>
        <w:contextualSpacing/>
        <w:rPr>
          <w:i w:val="0"/>
        </w:rPr>
      </w:pPr>
      <w:r w:rsidRPr="00BA3BF1">
        <w:rPr>
          <w:i w:val="0"/>
        </w:rPr>
        <w:t>Oportunidades</w:t>
      </w:r>
    </w:p>
    <w:p w14:paraId="6F50704C" w14:textId="77777777" w:rsidR="005A1309" w:rsidRDefault="005A1309" w:rsidP="004E0958">
      <w:pPr>
        <w:pStyle w:val="Prrafodelista"/>
        <w:numPr>
          <w:ilvl w:val="0"/>
          <w:numId w:val="9"/>
        </w:numPr>
      </w:pPr>
      <w:r>
        <w:t xml:space="preserve">Los consumidores franceses mantienen un creciente interés en salud y nutrición. Las mejoras en salud de los productos orgánicos y libres de gluten favorecen la generación de oportunidades en estos segmentos </w:t>
      </w:r>
      <w:sdt>
        <w:sdtPr>
          <w:id w:val="129377796"/>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 xml:space="preserve">.  </w:t>
      </w:r>
    </w:p>
    <w:p w14:paraId="7BF1020D" w14:textId="77777777" w:rsidR="005A1309" w:rsidRDefault="005A1309" w:rsidP="004E0958">
      <w:pPr>
        <w:pStyle w:val="Prrafodelista"/>
        <w:numPr>
          <w:ilvl w:val="0"/>
          <w:numId w:val="9"/>
        </w:numPr>
      </w:pPr>
      <w:r>
        <w:t>Existe gran disposición de los consumidores por adquirir aquellos productos que tengan características de orgánicos y de comercio justo, pero la promoción de los mismos debe dirigirse en mayor medida por sus beneficios y versatilidad de uso para revertir la preconcepción de que los productos nutritivos no tienen buen sabor o son únicamente para personas vegetarianas.</w:t>
      </w:r>
    </w:p>
    <w:p w14:paraId="67E8A308" w14:textId="77777777" w:rsidR="005A1309" w:rsidRDefault="005A1309" w:rsidP="004E0958">
      <w:pPr>
        <w:pStyle w:val="Prrafodelista"/>
        <w:numPr>
          <w:ilvl w:val="0"/>
          <w:numId w:val="9"/>
        </w:numPr>
      </w:pPr>
      <w:r>
        <w:lastRenderedPageBreak/>
        <w:t xml:space="preserve">Los minoristas que distribuyen quinua están dispuestos a adquirir mayor cantidad y variedad de productos a base de quinua. Las mayores oportunidades del mercado se encuentran en la venta de semillas de quinua, desarrollo de cereales para el desayuno y platos de acompañamiento </w:t>
      </w:r>
      <w:sdt>
        <w:sdtPr>
          <w:id w:val="734667243"/>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w:t>
      </w:r>
    </w:p>
    <w:p w14:paraId="62C362EA" w14:textId="77777777" w:rsidR="005A1309" w:rsidRDefault="005A1309" w:rsidP="004E0958">
      <w:pPr>
        <w:pStyle w:val="Prrafodelista"/>
        <w:numPr>
          <w:ilvl w:val="0"/>
          <w:numId w:val="9"/>
        </w:numPr>
      </w:pPr>
      <w:r>
        <w:t xml:space="preserve">Los fabricantes de alimentos están desarrollando un número mayor de presentaciones de alimentos que contienen quinua, por lo que los exportadores pueden desarrollar productos que se adapten a las necesidades de la cocina francesa </w:t>
      </w:r>
      <w:sdt>
        <w:sdtPr>
          <w:id w:val="-236475774"/>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 xml:space="preserve">. </w:t>
      </w:r>
    </w:p>
    <w:p w14:paraId="7CB69241" w14:textId="77777777" w:rsidR="005A1309" w:rsidRPr="00BA3BF1" w:rsidRDefault="005A1309" w:rsidP="004E0958">
      <w:pPr>
        <w:pStyle w:val="Ttulo4"/>
        <w:numPr>
          <w:ilvl w:val="2"/>
          <w:numId w:val="6"/>
        </w:numPr>
        <w:spacing w:before="0" w:after="200"/>
        <w:ind w:left="505" w:hanging="505"/>
        <w:contextualSpacing/>
        <w:rPr>
          <w:i w:val="0"/>
        </w:rPr>
      </w:pPr>
      <w:r w:rsidRPr="00BA3BF1">
        <w:rPr>
          <w:i w:val="0"/>
        </w:rPr>
        <w:t>Amenazas</w:t>
      </w:r>
    </w:p>
    <w:p w14:paraId="0315D35C" w14:textId="77777777" w:rsidR="005A1309" w:rsidRDefault="005A1309" w:rsidP="004E0958">
      <w:pPr>
        <w:pStyle w:val="Prrafodelista"/>
        <w:numPr>
          <w:ilvl w:val="0"/>
          <w:numId w:val="10"/>
        </w:numPr>
      </w:pPr>
      <w:r>
        <w:t xml:space="preserve">Debe darse un salto para la quinua, de colocarse únicamente dentro de las categorías de productos orgánicos a las perchas con los otros cereales. Caso contrario se limitará su crecimiento en el mercado </w:t>
      </w:r>
      <w:sdt>
        <w:sdtPr>
          <w:id w:val="-1633467650"/>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775A1AC1" w14:textId="77777777" w:rsidR="005A1309" w:rsidRPr="00914152" w:rsidRDefault="005A1309" w:rsidP="004E0958">
      <w:pPr>
        <w:pStyle w:val="Prrafodelista"/>
        <w:numPr>
          <w:ilvl w:val="0"/>
          <w:numId w:val="10"/>
        </w:numPr>
      </w:pPr>
      <w:r>
        <w:t xml:space="preserve">Es necesario fortalecer la creación de valor de la quinua para no venderla en su mayoría como materia prima, debido a que otros importadores dentro de Europa como Alemania o Países Bajos están introduciendo al mercado francés productos derivados de la quinua que también compiten por un espacio en la dieta de los consumidores </w:t>
      </w:r>
      <w:sdt>
        <w:sdtPr>
          <w:id w:val="-225293558"/>
          <w:citation/>
        </w:sdtPr>
        <w:sdtEndPr/>
        <w:sdtContent>
          <w:r>
            <w:fldChar w:fldCharType="begin"/>
          </w:r>
          <w:r>
            <w:instrText xml:space="preserve"> CITATION PRO13 \l 12298 </w:instrText>
          </w:r>
          <w:r>
            <w:fldChar w:fldCharType="separate"/>
          </w:r>
          <w:r w:rsidR="00BC1846">
            <w:rPr>
              <w:noProof/>
            </w:rPr>
            <w:t>(PROECUADOR, 2013)</w:t>
          </w:r>
          <w:r>
            <w:fldChar w:fldCharType="end"/>
          </w:r>
        </w:sdtContent>
      </w:sdt>
      <w:r>
        <w:t xml:space="preserve">.  </w:t>
      </w:r>
    </w:p>
    <w:p w14:paraId="56C15001" w14:textId="737D8455" w:rsidR="00E049BB" w:rsidRDefault="00E049BB" w:rsidP="004E0958">
      <w:pPr>
        <w:pStyle w:val="Ttulo3"/>
        <w:numPr>
          <w:ilvl w:val="1"/>
          <w:numId w:val="6"/>
        </w:numPr>
        <w:spacing w:before="0" w:after="200"/>
        <w:ind w:left="431" w:hanging="431"/>
        <w:contextualSpacing/>
      </w:pPr>
      <w:bookmarkStart w:id="50" w:name="_Toc446973163"/>
      <w:r>
        <w:t>Condiciones Arancelarias para exportación de Quinua a Francia</w:t>
      </w:r>
      <w:bookmarkEnd w:id="50"/>
    </w:p>
    <w:p w14:paraId="51272AE0" w14:textId="77777777" w:rsidR="00BE102B" w:rsidRDefault="00E049BB" w:rsidP="004E0958">
      <w:pPr>
        <w:contextualSpacing/>
      </w:pPr>
      <w:r>
        <w:t>Los aranceles aplicados a la partida arancelaria correspondiente a la Quinua en el mercado destino son los siguientes:</w:t>
      </w:r>
    </w:p>
    <w:p w14:paraId="66A4BE85" w14:textId="77777777" w:rsidR="00BE102B" w:rsidRDefault="00BE102B" w:rsidP="00BE102B">
      <w:r>
        <w:br w:type="page"/>
      </w:r>
    </w:p>
    <w:p w14:paraId="592DEAC7" w14:textId="77777777" w:rsidR="00BE102B" w:rsidRPr="00BA3BF1" w:rsidRDefault="00BE102B" w:rsidP="00BE102B">
      <w:pPr>
        <w:pStyle w:val="TtulodeTDC"/>
        <w:rPr>
          <w:i w:val="0"/>
        </w:rPr>
      </w:pPr>
      <w:bookmarkStart w:id="51" w:name="_Toc446973209"/>
      <w:r w:rsidRPr="00BA3BF1">
        <w:rPr>
          <w:i w:val="0"/>
        </w:rPr>
        <w:lastRenderedPageBreak/>
        <w:t xml:space="preserve">Tabla </w:t>
      </w:r>
      <w:r w:rsidR="00CB1C2A" w:rsidRPr="00BA3BF1">
        <w:rPr>
          <w:i w:val="0"/>
        </w:rPr>
        <w:fldChar w:fldCharType="begin"/>
      </w:r>
      <w:r w:rsidR="00CB1C2A" w:rsidRPr="00BA3BF1">
        <w:rPr>
          <w:i w:val="0"/>
        </w:rPr>
        <w:instrText xml:space="preserve"> SEQ Tabla \* ARABIC </w:instrText>
      </w:r>
      <w:r w:rsidR="00CB1C2A" w:rsidRPr="00BA3BF1">
        <w:rPr>
          <w:i w:val="0"/>
        </w:rPr>
        <w:fldChar w:fldCharType="separate"/>
      </w:r>
      <w:r w:rsidR="00B828B8">
        <w:rPr>
          <w:i w:val="0"/>
          <w:noProof/>
        </w:rPr>
        <w:t>11</w:t>
      </w:r>
      <w:r w:rsidR="00CB1C2A" w:rsidRPr="00BA3BF1">
        <w:rPr>
          <w:i w:val="0"/>
          <w:noProof/>
        </w:rPr>
        <w:fldChar w:fldCharType="end"/>
      </w:r>
      <w:r w:rsidRPr="00BA3BF1">
        <w:rPr>
          <w:i w:val="0"/>
        </w:rPr>
        <w:t>: Condiciones Arancelarias para Exportación de Quinua a Francia</w:t>
      </w:r>
      <w:bookmarkEnd w:id="51"/>
    </w:p>
    <w:tbl>
      <w:tblPr>
        <w:tblW w:w="7060" w:type="dxa"/>
        <w:jc w:val="center"/>
        <w:tblBorders>
          <w:bottom w:val="single" w:sz="12" w:space="0" w:color="auto"/>
        </w:tblBorders>
        <w:tblCellMar>
          <w:left w:w="70" w:type="dxa"/>
          <w:right w:w="70" w:type="dxa"/>
        </w:tblCellMar>
        <w:tblLook w:val="04A0" w:firstRow="1" w:lastRow="0" w:firstColumn="1" w:lastColumn="0" w:noHBand="0" w:noVBand="1"/>
      </w:tblPr>
      <w:tblGrid>
        <w:gridCol w:w="1600"/>
        <w:gridCol w:w="2213"/>
        <w:gridCol w:w="1907"/>
        <w:gridCol w:w="1340"/>
      </w:tblGrid>
      <w:tr w:rsidR="00E049BB" w:rsidRPr="00E049BB" w14:paraId="5FF1064B" w14:textId="77777777" w:rsidTr="0026749E">
        <w:trPr>
          <w:trHeight w:val="690"/>
          <w:jc w:val="center"/>
        </w:trPr>
        <w:tc>
          <w:tcPr>
            <w:tcW w:w="1600" w:type="dxa"/>
            <w:tcBorders>
              <w:top w:val="single" w:sz="12" w:space="0" w:color="auto"/>
              <w:bottom w:val="single" w:sz="12" w:space="0" w:color="auto"/>
            </w:tcBorders>
            <w:shd w:val="clear" w:color="auto" w:fill="auto"/>
            <w:vAlign w:val="center"/>
            <w:hideMark/>
          </w:tcPr>
          <w:p w14:paraId="5194B4CD" w14:textId="77777777" w:rsidR="00E049BB" w:rsidRPr="00E049BB" w:rsidRDefault="00E049BB" w:rsidP="00E049BB">
            <w:pPr>
              <w:spacing w:after="0" w:line="240" w:lineRule="auto"/>
              <w:jc w:val="center"/>
              <w:rPr>
                <w:rFonts w:eastAsia="Times New Roman"/>
                <w:b/>
                <w:bCs/>
                <w:color w:val="000000"/>
                <w:szCs w:val="24"/>
                <w:lang w:val="es-ES" w:eastAsia="es-EC"/>
              </w:rPr>
            </w:pPr>
            <w:r w:rsidRPr="00E049BB">
              <w:rPr>
                <w:rFonts w:eastAsia="Times New Roman"/>
                <w:b/>
                <w:bCs/>
                <w:color w:val="000000"/>
                <w:szCs w:val="24"/>
                <w:lang w:val="es-ES" w:eastAsia="es-EC"/>
              </w:rPr>
              <w:t>Origen</w:t>
            </w:r>
          </w:p>
        </w:tc>
        <w:tc>
          <w:tcPr>
            <w:tcW w:w="2213" w:type="dxa"/>
            <w:tcBorders>
              <w:top w:val="single" w:sz="12" w:space="0" w:color="auto"/>
              <w:bottom w:val="single" w:sz="12" w:space="0" w:color="auto"/>
            </w:tcBorders>
            <w:shd w:val="clear" w:color="auto" w:fill="auto"/>
            <w:vAlign w:val="center"/>
            <w:hideMark/>
          </w:tcPr>
          <w:p w14:paraId="50E8F483" w14:textId="77777777" w:rsidR="00E049BB" w:rsidRPr="00E049BB" w:rsidRDefault="00E049BB" w:rsidP="00E049BB">
            <w:pPr>
              <w:spacing w:after="0" w:line="240" w:lineRule="auto"/>
              <w:jc w:val="center"/>
              <w:rPr>
                <w:rFonts w:eastAsia="Times New Roman"/>
                <w:b/>
                <w:bCs/>
                <w:color w:val="000000"/>
                <w:szCs w:val="24"/>
                <w:lang w:val="es-ES" w:eastAsia="es-EC"/>
              </w:rPr>
            </w:pPr>
            <w:r w:rsidRPr="00E049BB">
              <w:rPr>
                <w:rFonts w:eastAsia="Times New Roman"/>
                <w:b/>
                <w:bCs/>
                <w:color w:val="000000"/>
                <w:szCs w:val="24"/>
                <w:lang w:val="es-ES" w:eastAsia="es-EC"/>
              </w:rPr>
              <w:t>Tipo de medida</w:t>
            </w:r>
          </w:p>
        </w:tc>
        <w:tc>
          <w:tcPr>
            <w:tcW w:w="1907" w:type="dxa"/>
            <w:tcBorders>
              <w:top w:val="single" w:sz="12" w:space="0" w:color="auto"/>
              <w:bottom w:val="single" w:sz="12" w:space="0" w:color="auto"/>
            </w:tcBorders>
            <w:shd w:val="clear" w:color="auto" w:fill="auto"/>
            <w:vAlign w:val="center"/>
            <w:hideMark/>
          </w:tcPr>
          <w:p w14:paraId="13F92FD7" w14:textId="77777777" w:rsidR="00E049BB" w:rsidRPr="00E049BB" w:rsidRDefault="00E049BB" w:rsidP="00E049BB">
            <w:pPr>
              <w:spacing w:after="0" w:line="240" w:lineRule="auto"/>
              <w:jc w:val="center"/>
              <w:rPr>
                <w:rFonts w:eastAsia="Times New Roman"/>
                <w:b/>
                <w:bCs/>
                <w:color w:val="000000"/>
                <w:szCs w:val="24"/>
                <w:lang w:val="es-ES" w:eastAsia="es-EC"/>
              </w:rPr>
            </w:pPr>
            <w:r w:rsidRPr="00E049BB">
              <w:rPr>
                <w:rFonts w:eastAsia="Times New Roman"/>
                <w:b/>
                <w:bCs/>
                <w:color w:val="000000"/>
                <w:szCs w:val="24"/>
                <w:lang w:val="es-ES" w:eastAsia="es-EC"/>
              </w:rPr>
              <w:t>Derecho de aduana</w:t>
            </w:r>
          </w:p>
        </w:tc>
        <w:tc>
          <w:tcPr>
            <w:tcW w:w="1340" w:type="dxa"/>
            <w:tcBorders>
              <w:top w:val="single" w:sz="12" w:space="0" w:color="auto"/>
              <w:bottom w:val="single" w:sz="12" w:space="0" w:color="auto"/>
            </w:tcBorders>
            <w:shd w:val="clear" w:color="auto" w:fill="auto"/>
            <w:vAlign w:val="center"/>
            <w:hideMark/>
          </w:tcPr>
          <w:p w14:paraId="59AD144F" w14:textId="77777777" w:rsidR="00E049BB" w:rsidRPr="00E049BB" w:rsidRDefault="00E049BB" w:rsidP="00E049BB">
            <w:pPr>
              <w:spacing w:after="0" w:line="240" w:lineRule="auto"/>
              <w:jc w:val="center"/>
              <w:rPr>
                <w:rFonts w:eastAsia="Times New Roman"/>
                <w:b/>
                <w:bCs/>
                <w:color w:val="000000"/>
                <w:szCs w:val="24"/>
                <w:lang w:val="es-ES" w:eastAsia="es-EC"/>
              </w:rPr>
            </w:pPr>
            <w:r w:rsidRPr="00E049BB">
              <w:rPr>
                <w:rFonts w:eastAsia="Times New Roman"/>
                <w:b/>
                <w:bCs/>
                <w:color w:val="000000"/>
                <w:szCs w:val="24"/>
                <w:lang w:val="es-ES" w:eastAsia="es-EC"/>
              </w:rPr>
              <w:t>Legislación europea</w:t>
            </w:r>
          </w:p>
        </w:tc>
      </w:tr>
      <w:tr w:rsidR="00E049BB" w:rsidRPr="00E049BB" w14:paraId="697BA196" w14:textId="77777777" w:rsidTr="0026749E">
        <w:trPr>
          <w:trHeight w:val="945"/>
          <w:jc w:val="center"/>
        </w:trPr>
        <w:tc>
          <w:tcPr>
            <w:tcW w:w="1600" w:type="dxa"/>
            <w:tcBorders>
              <w:top w:val="single" w:sz="12" w:space="0" w:color="auto"/>
            </w:tcBorders>
            <w:shd w:val="clear" w:color="auto" w:fill="auto"/>
            <w:vAlign w:val="center"/>
            <w:hideMark/>
          </w:tcPr>
          <w:p w14:paraId="3C8B6528" w14:textId="77777777" w:rsidR="00E049BB" w:rsidRPr="00E049BB" w:rsidRDefault="00E049BB" w:rsidP="00E049BB">
            <w:pPr>
              <w:spacing w:after="0" w:line="240" w:lineRule="auto"/>
              <w:jc w:val="left"/>
              <w:rPr>
                <w:rFonts w:eastAsia="Times New Roman"/>
                <w:color w:val="000000"/>
                <w:szCs w:val="24"/>
                <w:lang w:val="es-ES" w:eastAsia="es-EC"/>
              </w:rPr>
            </w:pPr>
            <w:r w:rsidRPr="00E049BB">
              <w:rPr>
                <w:rFonts w:eastAsia="Times New Roman"/>
                <w:color w:val="000000"/>
                <w:szCs w:val="24"/>
                <w:lang w:val="es-ES" w:eastAsia="es-EC"/>
              </w:rPr>
              <w:t>ERGA OMNES</w:t>
            </w:r>
          </w:p>
        </w:tc>
        <w:tc>
          <w:tcPr>
            <w:tcW w:w="2213" w:type="dxa"/>
            <w:tcBorders>
              <w:top w:val="single" w:sz="12" w:space="0" w:color="auto"/>
            </w:tcBorders>
            <w:shd w:val="clear" w:color="auto" w:fill="auto"/>
            <w:vAlign w:val="center"/>
            <w:hideMark/>
          </w:tcPr>
          <w:p w14:paraId="4AB47750" w14:textId="77777777" w:rsidR="00E049BB" w:rsidRPr="00E049BB" w:rsidRDefault="00E049BB"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Derecho terceros países</w:t>
            </w:r>
          </w:p>
        </w:tc>
        <w:tc>
          <w:tcPr>
            <w:tcW w:w="1907" w:type="dxa"/>
            <w:tcBorders>
              <w:top w:val="single" w:sz="12" w:space="0" w:color="auto"/>
            </w:tcBorders>
            <w:shd w:val="clear" w:color="auto" w:fill="auto"/>
            <w:vAlign w:val="center"/>
            <w:hideMark/>
          </w:tcPr>
          <w:p w14:paraId="0852125B" w14:textId="77777777" w:rsidR="00E049BB" w:rsidRPr="00E049BB" w:rsidRDefault="00E049BB"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37 EUR/1000 kg - USD 40,39 / Ton</w:t>
            </w:r>
          </w:p>
        </w:tc>
        <w:tc>
          <w:tcPr>
            <w:tcW w:w="1340" w:type="dxa"/>
            <w:tcBorders>
              <w:top w:val="single" w:sz="12" w:space="0" w:color="auto"/>
            </w:tcBorders>
            <w:shd w:val="clear" w:color="auto" w:fill="auto"/>
            <w:vAlign w:val="center"/>
            <w:hideMark/>
          </w:tcPr>
          <w:p w14:paraId="4F96DBD0" w14:textId="77777777" w:rsidR="00E049BB" w:rsidRPr="00E049BB" w:rsidRDefault="00B828B8" w:rsidP="0026749E">
            <w:pPr>
              <w:spacing w:after="0" w:line="240" w:lineRule="auto"/>
              <w:jc w:val="center"/>
              <w:rPr>
                <w:rFonts w:eastAsia="Times New Roman"/>
                <w:color w:val="000000"/>
                <w:szCs w:val="24"/>
                <w:lang w:val="es-ES" w:eastAsia="es-EC"/>
              </w:rPr>
            </w:pPr>
            <w:hyperlink r:id="rId13" w:history="1">
              <w:r w:rsidR="00E049BB" w:rsidRPr="00E049BB">
                <w:rPr>
                  <w:rFonts w:eastAsia="Times New Roman"/>
                  <w:color w:val="000000"/>
                  <w:szCs w:val="24"/>
                  <w:lang w:val="es-ES" w:eastAsia="es-EC"/>
                </w:rPr>
                <w:t>R1006/11</w:t>
              </w:r>
            </w:hyperlink>
          </w:p>
        </w:tc>
      </w:tr>
      <w:tr w:rsidR="00623F03" w:rsidRPr="00E049BB" w14:paraId="110FFBE6" w14:textId="77777777" w:rsidTr="0026749E">
        <w:trPr>
          <w:trHeight w:val="315"/>
          <w:jc w:val="center"/>
        </w:trPr>
        <w:tc>
          <w:tcPr>
            <w:tcW w:w="1600" w:type="dxa"/>
            <w:shd w:val="clear" w:color="auto" w:fill="auto"/>
            <w:vAlign w:val="center"/>
          </w:tcPr>
          <w:p w14:paraId="46F2EE54" w14:textId="77777777" w:rsidR="00623F03" w:rsidRPr="00E049BB" w:rsidRDefault="00623F03" w:rsidP="00623F03">
            <w:pPr>
              <w:spacing w:after="0" w:line="240" w:lineRule="auto"/>
              <w:jc w:val="left"/>
              <w:rPr>
                <w:rFonts w:eastAsia="Times New Roman"/>
                <w:color w:val="000000"/>
                <w:szCs w:val="24"/>
                <w:lang w:val="es-ES" w:eastAsia="es-EC"/>
              </w:rPr>
            </w:pPr>
            <w:r>
              <w:rPr>
                <w:rFonts w:eastAsia="Times New Roman"/>
                <w:color w:val="000000"/>
                <w:szCs w:val="24"/>
                <w:lang w:val="es-ES" w:eastAsia="es-EC"/>
              </w:rPr>
              <w:t>Bolivia GSP+</w:t>
            </w:r>
          </w:p>
        </w:tc>
        <w:tc>
          <w:tcPr>
            <w:tcW w:w="2213" w:type="dxa"/>
            <w:shd w:val="clear" w:color="auto" w:fill="auto"/>
            <w:vAlign w:val="center"/>
          </w:tcPr>
          <w:p w14:paraId="70ADE980" w14:textId="77777777" w:rsidR="00623F03" w:rsidRPr="00E049BB" w:rsidRDefault="00623F03"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Preferencias arancelarias</w:t>
            </w:r>
          </w:p>
        </w:tc>
        <w:tc>
          <w:tcPr>
            <w:tcW w:w="1907" w:type="dxa"/>
            <w:shd w:val="clear" w:color="auto" w:fill="auto"/>
            <w:vAlign w:val="center"/>
          </w:tcPr>
          <w:p w14:paraId="5AE3BD4C" w14:textId="77777777" w:rsidR="00623F03" w:rsidRPr="00E049BB" w:rsidRDefault="00623F03"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0%</w:t>
            </w:r>
          </w:p>
        </w:tc>
        <w:tc>
          <w:tcPr>
            <w:tcW w:w="1340" w:type="dxa"/>
            <w:shd w:val="clear" w:color="auto" w:fill="auto"/>
            <w:vAlign w:val="center"/>
          </w:tcPr>
          <w:p w14:paraId="6DE1F8BA" w14:textId="77777777" w:rsidR="00623F03" w:rsidRDefault="00623F03" w:rsidP="0026749E">
            <w:pPr>
              <w:spacing w:after="0" w:line="240" w:lineRule="auto"/>
              <w:jc w:val="center"/>
            </w:pPr>
            <w:r w:rsidRPr="00623F03">
              <w:t>R0978/12</w:t>
            </w:r>
          </w:p>
        </w:tc>
      </w:tr>
      <w:tr w:rsidR="00623F03" w:rsidRPr="00E049BB" w14:paraId="2CEAADC6" w14:textId="77777777" w:rsidTr="0026749E">
        <w:trPr>
          <w:trHeight w:val="315"/>
          <w:jc w:val="center"/>
        </w:trPr>
        <w:tc>
          <w:tcPr>
            <w:tcW w:w="1600" w:type="dxa"/>
            <w:shd w:val="clear" w:color="auto" w:fill="auto"/>
            <w:vAlign w:val="center"/>
            <w:hideMark/>
          </w:tcPr>
          <w:p w14:paraId="2D3F51A4" w14:textId="77777777" w:rsidR="00623F03" w:rsidRPr="00E049BB" w:rsidRDefault="00623F03" w:rsidP="00623F03">
            <w:pPr>
              <w:spacing w:after="0" w:line="240" w:lineRule="auto"/>
              <w:jc w:val="left"/>
              <w:rPr>
                <w:rFonts w:eastAsia="Times New Roman"/>
                <w:color w:val="000000"/>
                <w:szCs w:val="24"/>
                <w:lang w:val="es-ES" w:eastAsia="es-EC"/>
              </w:rPr>
            </w:pPr>
            <w:r w:rsidRPr="00E049BB">
              <w:rPr>
                <w:rFonts w:eastAsia="Times New Roman"/>
                <w:color w:val="000000"/>
                <w:szCs w:val="24"/>
                <w:lang w:val="es-ES" w:eastAsia="es-EC"/>
              </w:rPr>
              <w:t>Ecuador</w:t>
            </w:r>
          </w:p>
        </w:tc>
        <w:tc>
          <w:tcPr>
            <w:tcW w:w="2213" w:type="dxa"/>
            <w:shd w:val="clear" w:color="auto" w:fill="auto"/>
            <w:vAlign w:val="center"/>
            <w:hideMark/>
          </w:tcPr>
          <w:p w14:paraId="712BC50F" w14:textId="77777777" w:rsidR="00623F03" w:rsidRPr="00E049BB" w:rsidRDefault="00623F03"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Preferencias arancelarias</w:t>
            </w:r>
          </w:p>
        </w:tc>
        <w:tc>
          <w:tcPr>
            <w:tcW w:w="1907" w:type="dxa"/>
            <w:shd w:val="clear" w:color="auto" w:fill="auto"/>
            <w:vAlign w:val="center"/>
            <w:hideMark/>
          </w:tcPr>
          <w:p w14:paraId="3733D167" w14:textId="77777777" w:rsidR="00623F03" w:rsidRPr="00E049BB" w:rsidRDefault="00623F03" w:rsidP="0026749E">
            <w:pPr>
              <w:spacing w:after="0" w:line="240" w:lineRule="auto"/>
              <w:jc w:val="center"/>
              <w:rPr>
                <w:rFonts w:eastAsia="Times New Roman"/>
                <w:color w:val="000000"/>
                <w:szCs w:val="24"/>
                <w:lang w:val="es-ES" w:eastAsia="es-EC"/>
              </w:rPr>
            </w:pPr>
            <w:r w:rsidRPr="00E049BB">
              <w:rPr>
                <w:rFonts w:eastAsia="Times New Roman"/>
                <w:color w:val="000000"/>
                <w:szCs w:val="24"/>
                <w:lang w:val="es-ES" w:eastAsia="es-EC"/>
              </w:rPr>
              <w:t>0%</w:t>
            </w:r>
          </w:p>
        </w:tc>
        <w:tc>
          <w:tcPr>
            <w:tcW w:w="1340" w:type="dxa"/>
            <w:shd w:val="clear" w:color="auto" w:fill="auto"/>
            <w:vAlign w:val="center"/>
            <w:hideMark/>
          </w:tcPr>
          <w:p w14:paraId="59F5271F" w14:textId="77777777" w:rsidR="00623F03" w:rsidRPr="00E049BB" w:rsidRDefault="00B828B8" w:rsidP="0026749E">
            <w:pPr>
              <w:spacing w:after="0" w:line="240" w:lineRule="auto"/>
              <w:jc w:val="center"/>
              <w:rPr>
                <w:rFonts w:eastAsia="Times New Roman"/>
                <w:color w:val="000000"/>
                <w:szCs w:val="24"/>
                <w:lang w:val="es-ES" w:eastAsia="es-EC"/>
              </w:rPr>
            </w:pPr>
            <w:hyperlink r:id="rId14" w:history="1">
              <w:r w:rsidR="00623F03" w:rsidRPr="00E049BB">
                <w:rPr>
                  <w:rFonts w:eastAsia="Times New Roman"/>
                  <w:color w:val="000000"/>
                  <w:szCs w:val="24"/>
                  <w:lang w:val="es-ES" w:eastAsia="es-EC"/>
                </w:rPr>
                <w:t>R1384/14</w:t>
              </w:r>
            </w:hyperlink>
          </w:p>
        </w:tc>
      </w:tr>
    </w:tbl>
    <w:p w14:paraId="421952C8" w14:textId="2BD3D2F4" w:rsidR="00E049BB" w:rsidRPr="004E0958" w:rsidRDefault="00ED1E4D" w:rsidP="00ED1E4D">
      <w:pPr>
        <w:ind w:left="708"/>
        <w:jc w:val="left"/>
        <w:rPr>
          <w:sz w:val="18"/>
          <w:szCs w:val="18"/>
        </w:rPr>
      </w:pPr>
      <w:r>
        <w:rPr>
          <w:sz w:val="18"/>
          <w:szCs w:val="18"/>
        </w:rPr>
        <w:t xml:space="preserve">        </w:t>
      </w:r>
      <w:r w:rsidR="00E049BB" w:rsidRPr="004E0958">
        <w:rPr>
          <w:sz w:val="18"/>
          <w:szCs w:val="18"/>
        </w:rPr>
        <w:t xml:space="preserve">Fuente: </w:t>
      </w:r>
      <w:sdt>
        <w:sdtPr>
          <w:rPr>
            <w:sz w:val="18"/>
            <w:szCs w:val="18"/>
          </w:rPr>
          <w:id w:val="-1612045020"/>
          <w:citation/>
        </w:sdtPr>
        <w:sdtEndPr/>
        <w:sdtContent>
          <w:r w:rsidR="00E049BB" w:rsidRPr="004E0958">
            <w:rPr>
              <w:sz w:val="18"/>
              <w:szCs w:val="18"/>
            </w:rPr>
            <w:fldChar w:fldCharType="begin"/>
          </w:r>
          <w:r w:rsidR="00E049BB" w:rsidRPr="004E0958">
            <w:rPr>
              <w:sz w:val="18"/>
              <w:szCs w:val="18"/>
            </w:rPr>
            <w:instrText xml:space="preserve"> CITATION Eur15 \l 12298 </w:instrText>
          </w:r>
          <w:r w:rsidR="00E049BB" w:rsidRPr="004E0958">
            <w:rPr>
              <w:sz w:val="18"/>
              <w:szCs w:val="18"/>
            </w:rPr>
            <w:fldChar w:fldCharType="separate"/>
          </w:r>
          <w:r w:rsidR="00BC1846" w:rsidRPr="004E0958">
            <w:rPr>
              <w:noProof/>
              <w:sz w:val="18"/>
              <w:szCs w:val="18"/>
            </w:rPr>
            <w:t>(European Commision, 2015)</w:t>
          </w:r>
          <w:r w:rsidR="00E049BB" w:rsidRPr="004E0958">
            <w:rPr>
              <w:sz w:val="18"/>
              <w:szCs w:val="18"/>
            </w:rPr>
            <w:fldChar w:fldCharType="end"/>
          </w:r>
        </w:sdtContent>
      </w:sdt>
    </w:p>
    <w:p w14:paraId="608991EE" w14:textId="77777777" w:rsidR="00E049BB" w:rsidRPr="00E049BB" w:rsidRDefault="00E049BB" w:rsidP="00E04A9D">
      <w:r>
        <w:t xml:space="preserve">Adicionalmente, se le añaden al producto como gravámenes interiores el IVA por un valor del 10% del precio de venta. No aplican impuestos especiales </w:t>
      </w:r>
      <w:sdt>
        <w:sdtPr>
          <w:id w:val="176153232"/>
          <w:citation/>
        </w:sdtPr>
        <w:sdtEndPr/>
        <w:sdtContent>
          <w:r>
            <w:fldChar w:fldCharType="begin"/>
          </w:r>
          <w:r>
            <w:instrText xml:space="preserve"> CITATION Eur15 \l 12298 </w:instrText>
          </w:r>
          <w:r>
            <w:fldChar w:fldCharType="separate"/>
          </w:r>
          <w:r w:rsidR="00BC1846">
            <w:rPr>
              <w:noProof/>
            </w:rPr>
            <w:t>(European Commision, 2015)</w:t>
          </w:r>
          <w:r>
            <w:fldChar w:fldCharType="end"/>
          </w:r>
        </w:sdtContent>
      </w:sdt>
      <w:r>
        <w:t xml:space="preserve">. </w:t>
      </w:r>
    </w:p>
    <w:p w14:paraId="18B0380C" w14:textId="274DF423" w:rsidR="00FD660D" w:rsidRDefault="00FD660D" w:rsidP="00E04A9D">
      <w:pPr>
        <w:pStyle w:val="Ttulo3"/>
        <w:numPr>
          <w:ilvl w:val="1"/>
          <w:numId w:val="6"/>
        </w:numPr>
        <w:spacing w:after="200"/>
        <w:ind w:left="431" w:hanging="431"/>
      </w:pPr>
      <w:bookmarkStart w:id="52" w:name="_Toc446973164"/>
      <w:r>
        <w:t xml:space="preserve">Condiciones </w:t>
      </w:r>
      <w:r w:rsidR="00EF0523">
        <w:t>P</w:t>
      </w:r>
      <w:r>
        <w:t>ar</w:t>
      </w:r>
      <w:r w:rsidR="00EF0523">
        <w:t>a</w:t>
      </w:r>
      <w:r w:rsidR="00980D0E">
        <w:t>-</w:t>
      </w:r>
      <w:r w:rsidR="00EF0523">
        <w:t>ar</w:t>
      </w:r>
      <w:r>
        <w:t>ancelarias</w:t>
      </w:r>
      <w:r w:rsidR="003E414C">
        <w:t xml:space="preserve"> y sanitarias</w:t>
      </w:r>
      <w:r>
        <w:t xml:space="preserve"> para la exportación de Quinua a Francia</w:t>
      </w:r>
      <w:bookmarkEnd w:id="52"/>
    </w:p>
    <w:p w14:paraId="3B62DD01" w14:textId="77777777" w:rsidR="003E414C" w:rsidRDefault="003E414C" w:rsidP="00E04A9D">
      <w:r>
        <w:t xml:space="preserve">Los requisitos específicos exigidos por </w:t>
      </w:r>
      <w:r w:rsidR="002F16BC">
        <w:t xml:space="preserve">la Unión Europea y </w:t>
      </w:r>
      <w:r>
        <w:t>Francia</w:t>
      </w:r>
      <w:r w:rsidR="002F16BC">
        <w:t xml:space="preserve"> como parte de ella</w:t>
      </w:r>
      <w:r>
        <w:t xml:space="preserve"> para el ingreso de cereales </w:t>
      </w:r>
      <w:r w:rsidR="00CC78A1">
        <w:t xml:space="preserve">para consumo humano </w:t>
      </w:r>
      <w:r>
        <w:t xml:space="preserve">al país </w:t>
      </w:r>
      <w:r w:rsidR="002F16BC">
        <w:t xml:space="preserve">se recogen a continuación </w:t>
      </w:r>
      <w:sdt>
        <w:sdtPr>
          <w:id w:val="-235865753"/>
          <w:citation/>
        </w:sdtPr>
        <w:sdtEndPr/>
        <w:sdtContent>
          <w:r w:rsidR="002F16BC">
            <w:fldChar w:fldCharType="begin"/>
          </w:r>
          <w:r w:rsidR="002F16BC">
            <w:instrText xml:space="preserve"> CITATION Eur15 \l 12298 </w:instrText>
          </w:r>
          <w:r w:rsidR="002F16BC">
            <w:fldChar w:fldCharType="separate"/>
          </w:r>
          <w:r w:rsidR="00BC1846">
            <w:rPr>
              <w:noProof/>
            </w:rPr>
            <w:t>(European Commision, 2015)</w:t>
          </w:r>
          <w:r w:rsidR="002F16BC">
            <w:fldChar w:fldCharType="end"/>
          </w:r>
        </w:sdtContent>
      </w:sdt>
      <w:r w:rsidR="002F16BC">
        <w:t>.</w:t>
      </w:r>
    </w:p>
    <w:tbl>
      <w:tblPr>
        <w:tblStyle w:val="Tablaconcuadrcula"/>
        <w:tblW w:w="0" w:type="auto"/>
        <w:tblLook w:val="04A0" w:firstRow="1" w:lastRow="0" w:firstColumn="1" w:lastColumn="0" w:noHBand="0" w:noVBand="1"/>
      </w:tblPr>
      <w:tblGrid>
        <w:gridCol w:w="4555"/>
        <w:gridCol w:w="4556"/>
      </w:tblGrid>
      <w:tr w:rsidR="002F16BC" w14:paraId="291160E9" w14:textId="77777777" w:rsidTr="002F16BC">
        <w:tc>
          <w:tcPr>
            <w:tcW w:w="4555" w:type="dxa"/>
          </w:tcPr>
          <w:p w14:paraId="5AC5557D" w14:textId="77777777" w:rsidR="002F16BC" w:rsidRDefault="002F16BC" w:rsidP="004E0958">
            <w:pPr>
              <w:spacing w:after="200"/>
              <w:contextualSpacing/>
            </w:pPr>
            <w:r w:rsidRPr="002F16BC">
              <w:t>Segurida</w:t>
            </w:r>
            <w:r>
              <w:t>d de los alimentos</w:t>
            </w:r>
          </w:p>
        </w:tc>
        <w:tc>
          <w:tcPr>
            <w:tcW w:w="4556" w:type="dxa"/>
          </w:tcPr>
          <w:p w14:paraId="5F6D8C5A" w14:textId="77777777" w:rsidR="002F16BC" w:rsidRDefault="002F16BC" w:rsidP="004E0958">
            <w:pPr>
              <w:spacing w:after="200"/>
              <w:contextualSpacing/>
            </w:pPr>
            <w:r>
              <w:t>Todas las fases de la producción de alimentos y su distribución deben cumplir con:</w:t>
            </w:r>
          </w:p>
          <w:p w14:paraId="08AE40C6" w14:textId="77777777" w:rsidR="002F16BC" w:rsidRDefault="002F16BC" w:rsidP="004E0958">
            <w:pPr>
              <w:spacing w:after="200"/>
              <w:contextualSpacing/>
            </w:pPr>
            <w:r>
              <w:rPr>
                <w:b/>
              </w:rPr>
              <w:t xml:space="preserve">Principio de </w:t>
            </w:r>
            <w:r w:rsidRPr="002F16BC">
              <w:rPr>
                <w:b/>
              </w:rPr>
              <w:t>Trazabilidad:</w:t>
            </w:r>
            <w:r>
              <w:t xml:space="preserve"> los importadores de productos alimenticios y piensos deberán identificar y registrar al proveedor en el país de origen. </w:t>
            </w:r>
          </w:p>
          <w:p w14:paraId="1FF7AADF" w14:textId="77777777" w:rsidR="002F16BC" w:rsidRDefault="002F16BC" w:rsidP="004E0958">
            <w:pPr>
              <w:spacing w:after="200"/>
              <w:contextualSpacing/>
            </w:pPr>
            <w:r>
              <w:t>Normas generales relativas a la higiene de los productos alimenticios.</w:t>
            </w:r>
          </w:p>
          <w:p w14:paraId="7B62F6AA" w14:textId="77777777" w:rsidR="002F16BC" w:rsidRDefault="002F16BC" w:rsidP="004E0958">
            <w:pPr>
              <w:spacing w:after="200"/>
              <w:contextualSpacing/>
            </w:pPr>
            <w:r>
              <w:t>Normas sobre residuos, plaguicidas, medicamentos veterinarios y contaminantes de y en los alimentos.</w:t>
            </w:r>
          </w:p>
          <w:p w14:paraId="1E9DC6CE" w14:textId="77777777" w:rsidR="002F16BC" w:rsidRDefault="002F16BC" w:rsidP="004E0958">
            <w:pPr>
              <w:spacing w:after="200"/>
              <w:contextualSpacing/>
            </w:pPr>
            <w:r>
              <w:t>Normas especiales sobre alimentos modificados genéticamente, bioproteínas y nuevos alimentos.</w:t>
            </w:r>
          </w:p>
          <w:p w14:paraId="25E087CE" w14:textId="77777777" w:rsidR="002F16BC" w:rsidRDefault="002F16BC" w:rsidP="004E0958">
            <w:pPr>
              <w:spacing w:after="200"/>
              <w:contextualSpacing/>
            </w:pPr>
            <w:r>
              <w:lastRenderedPageBreak/>
              <w:t>Normas especiales sobre determinadas categorías de productos alimenticios y alimentos destinados a poblaciones específicas.</w:t>
            </w:r>
          </w:p>
          <w:p w14:paraId="31C6C1CE" w14:textId="77777777" w:rsidR="002F16BC" w:rsidRDefault="002F16BC" w:rsidP="004E0958">
            <w:pPr>
              <w:spacing w:after="200"/>
              <w:contextualSpacing/>
            </w:pPr>
            <w:r>
              <w:t>Requisitos concretos de comercialización y etiquetado.</w:t>
            </w:r>
          </w:p>
          <w:p w14:paraId="3105B8C1" w14:textId="77777777" w:rsidR="002F16BC" w:rsidRDefault="002F16BC" w:rsidP="004E0958">
            <w:pPr>
              <w:spacing w:after="200"/>
              <w:contextualSpacing/>
            </w:pPr>
            <w:r>
              <w:t>Normas generales de los materiales destinados a estar en contacto con alimentos.</w:t>
            </w:r>
          </w:p>
          <w:p w14:paraId="438D9170" w14:textId="77777777" w:rsidR="002F16BC" w:rsidRDefault="002F16BC" w:rsidP="004E0958">
            <w:pPr>
              <w:spacing w:after="200"/>
              <w:contextualSpacing/>
            </w:pPr>
            <w:r>
              <w:t>Controles oficiales e inspecciones destinados a asegurar el cumplimiento de la normativa de la UE.</w:t>
            </w:r>
          </w:p>
        </w:tc>
      </w:tr>
      <w:tr w:rsidR="002F16BC" w14:paraId="78A0D261" w14:textId="77777777" w:rsidTr="002F16BC">
        <w:tc>
          <w:tcPr>
            <w:tcW w:w="4555" w:type="dxa"/>
          </w:tcPr>
          <w:p w14:paraId="1ABFA1B7" w14:textId="77777777" w:rsidR="002F16BC" w:rsidRDefault="002F16BC" w:rsidP="004E0958">
            <w:pPr>
              <w:spacing w:after="200"/>
              <w:contextualSpacing/>
            </w:pPr>
            <w:r>
              <w:lastRenderedPageBreak/>
              <w:t>Fitosanidad</w:t>
            </w:r>
          </w:p>
        </w:tc>
        <w:tc>
          <w:tcPr>
            <w:tcW w:w="4556" w:type="dxa"/>
          </w:tcPr>
          <w:p w14:paraId="44AB9F81" w14:textId="77777777" w:rsidR="002F16BC" w:rsidRDefault="002F16BC" w:rsidP="004E0958">
            <w:pPr>
              <w:spacing w:after="200"/>
              <w:contextualSpacing/>
            </w:pPr>
            <w:r>
              <w:t>Las exportaciones de vegetales y productos vegetales a la UE deben:</w:t>
            </w:r>
          </w:p>
          <w:p w14:paraId="0712F048" w14:textId="77777777" w:rsidR="002F16BC" w:rsidRDefault="002F16BC" w:rsidP="004E0958">
            <w:pPr>
              <w:spacing w:after="200"/>
              <w:contextualSpacing/>
            </w:pPr>
            <w:r>
              <w:t>Ir acompañados de un certificado fitosanitario expedido por las autoridades competentes del país exportador</w:t>
            </w:r>
          </w:p>
          <w:p w14:paraId="7C98BA84" w14:textId="77777777" w:rsidR="002F16BC" w:rsidRDefault="002F16BC" w:rsidP="004E0958">
            <w:pPr>
              <w:spacing w:after="200"/>
              <w:contextualSpacing/>
            </w:pPr>
            <w:r>
              <w:t>Pasar las inspecciones aduaneras en el punto de entrada de la UE</w:t>
            </w:r>
          </w:p>
          <w:p w14:paraId="0A385B48" w14:textId="77777777" w:rsidR="002F16BC" w:rsidRDefault="002F16BC" w:rsidP="004E0958">
            <w:pPr>
              <w:spacing w:after="200"/>
              <w:contextualSpacing/>
            </w:pPr>
            <w:r>
              <w:t>Ser importadas en la UE por un importador inscrito en el registro oficial de un país de la UE</w:t>
            </w:r>
          </w:p>
          <w:p w14:paraId="2F12A06A" w14:textId="77777777" w:rsidR="002F16BC" w:rsidRDefault="002F16BC" w:rsidP="004E0958">
            <w:pPr>
              <w:spacing w:after="200"/>
              <w:contextualSpacing/>
            </w:pPr>
            <w:r>
              <w:t>Ser notificadas a las aduanas antes de su llegada al punto de entrada.</w:t>
            </w:r>
          </w:p>
        </w:tc>
      </w:tr>
    </w:tbl>
    <w:p w14:paraId="609320A7" w14:textId="77777777" w:rsidR="004E0958" w:rsidRDefault="004E0958" w:rsidP="00ED1E4D"/>
    <w:p w14:paraId="702F463D" w14:textId="77777777" w:rsidR="005A1309" w:rsidRDefault="005A1309" w:rsidP="004E0958">
      <w:pPr>
        <w:pStyle w:val="Ttulo3"/>
        <w:numPr>
          <w:ilvl w:val="1"/>
          <w:numId w:val="6"/>
        </w:numPr>
        <w:spacing w:before="0" w:after="200"/>
        <w:ind w:left="431" w:hanging="431"/>
        <w:contextualSpacing/>
      </w:pPr>
      <w:bookmarkStart w:id="53" w:name="_Toc446973165"/>
      <w:r>
        <w:t xml:space="preserve">Canales de </w:t>
      </w:r>
      <w:r w:rsidR="00423D84">
        <w:t>D</w:t>
      </w:r>
      <w:r>
        <w:t>istribución de quinua en Francia</w:t>
      </w:r>
      <w:bookmarkEnd w:id="53"/>
    </w:p>
    <w:p w14:paraId="60A6882C" w14:textId="77777777" w:rsidR="005A1309" w:rsidRDefault="005A1309" w:rsidP="004E0958">
      <w:pPr>
        <w:contextualSpacing/>
      </w:pPr>
      <w:r>
        <w:t xml:space="preserve">Existen 4 canales principales de distribución de quinua en Francia que se encargan de llevar las importaciones del país al consumidor final </w:t>
      </w:r>
      <w:sdt>
        <w:sdtPr>
          <w:id w:val="443432049"/>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6FC2DD1E" w14:textId="77777777" w:rsidR="005A1309" w:rsidRDefault="005A1309" w:rsidP="004E0958">
      <w:pPr>
        <w:ind w:left="705"/>
        <w:contextualSpacing/>
      </w:pPr>
      <w:r>
        <w:rPr>
          <w:b/>
        </w:rPr>
        <w:t xml:space="preserve">Hipermercados: </w:t>
      </w:r>
      <w:r>
        <w:t xml:space="preserve">Se considera como hipermercados a tiendas minoristas que expenden una amplia variedad de productos tanto comestibles como no comestibles y que cuentan </w:t>
      </w:r>
      <w:r>
        <w:lastRenderedPageBreak/>
        <w:t xml:space="preserve">con un área de más de 2.500 metros cuadrados de espacio de venta. Ejemplos de hipermercados son Carrefour, Bon Marché, Tesco Extra, Géant, E Lecrerc, Intermarché, Auchan. </w:t>
      </w:r>
    </w:p>
    <w:p w14:paraId="21A9BFA3" w14:textId="77777777" w:rsidR="005A1309" w:rsidRDefault="005A1309" w:rsidP="004E0958">
      <w:pPr>
        <w:ind w:left="705"/>
        <w:contextualSpacing/>
      </w:pPr>
      <w:r>
        <w:rPr>
          <w:b/>
        </w:rPr>
        <w:t xml:space="preserve">Supermercados: </w:t>
      </w:r>
      <w:r>
        <w:t xml:space="preserve">Son considerados como supermercados tiendas minoristas con un tamaño generalmente menor a un hipermercado, de 400 a 2.500 metros cuadrados. Alrededor del 70% de los productos comercializados corresponden a comestibles. Ejemplos de supermercados son Champion, Tesco o Casino. </w:t>
      </w:r>
    </w:p>
    <w:p w14:paraId="08298DE2" w14:textId="77777777" w:rsidR="005A1309" w:rsidRDefault="005A1309" w:rsidP="004E0958">
      <w:pPr>
        <w:ind w:left="705"/>
        <w:contextualSpacing/>
      </w:pPr>
      <w:r>
        <w:rPr>
          <w:b/>
        </w:rPr>
        <w:t>Tiendas de comida saludable o especializada:</w:t>
      </w:r>
      <w:r>
        <w:t xml:space="preserve"> También existen otras tiendas de retail que ofrecen productos orgánicos, dietéticos y remedios herbales de carácter tradicional. De esta categoría, se encuentran tiendas como Biocoop</w:t>
      </w:r>
      <w:r w:rsidR="0026749E">
        <w:t xml:space="preserve"> </w:t>
      </w:r>
      <w:r>
        <w:t xml:space="preserve">y La Vie Claire en Francia. </w:t>
      </w:r>
    </w:p>
    <w:p w14:paraId="3D34DD63" w14:textId="77777777" w:rsidR="005A1309" w:rsidRDefault="005A1309" w:rsidP="004E0958">
      <w:pPr>
        <w:ind w:left="705"/>
        <w:contextualSpacing/>
      </w:pPr>
      <w:r>
        <w:rPr>
          <w:b/>
        </w:rPr>
        <w:t>Otros:</w:t>
      </w:r>
      <w:r>
        <w:t xml:space="preserve"> Existe una forma adicional de comercialización del producto y consiste en la venta directa, por ejemplo, a través de restaurantes o tiendas étnicas propias de países como Bolivia, Perú o Ecuador.  </w:t>
      </w:r>
    </w:p>
    <w:p w14:paraId="301DE0FA" w14:textId="77777777" w:rsidR="005A1309" w:rsidRDefault="005A1309" w:rsidP="004E0958">
      <w:pPr>
        <w:pStyle w:val="Ttulo3"/>
        <w:numPr>
          <w:ilvl w:val="1"/>
          <w:numId w:val="6"/>
        </w:numPr>
        <w:spacing w:before="0" w:after="200"/>
        <w:ind w:left="431" w:hanging="431"/>
        <w:contextualSpacing/>
      </w:pPr>
      <w:bookmarkStart w:id="54" w:name="_Toc446973166"/>
      <w:r>
        <w:t>Cadena de Distribución de la Quinua en Francia</w:t>
      </w:r>
      <w:bookmarkEnd w:id="54"/>
    </w:p>
    <w:p w14:paraId="054CB1A3" w14:textId="77777777" w:rsidR="005A1309" w:rsidRDefault="005A1309" w:rsidP="004E0958">
      <w:pPr>
        <w:contextualSpacing/>
      </w:pPr>
      <w:r>
        <w:t xml:space="preserve">Según un estudio de mercado realizado para la quinua en Francia por parte de la Agencia Peruana de Cooperación Internacional </w:t>
      </w:r>
      <w:sdt>
        <w:sdtPr>
          <w:id w:val="1684939202"/>
          <w:citation/>
        </w:sdtPr>
        <w:sdtEndPr/>
        <w:sdtContent>
          <w:r>
            <w:fldChar w:fldCharType="begin"/>
          </w:r>
          <w:r>
            <w:instrText xml:space="preserve">CITATION Age07 \n  \t  \l 12298 </w:instrText>
          </w:r>
          <w:r>
            <w:fldChar w:fldCharType="separate"/>
          </w:r>
          <w:r w:rsidR="00BC1846">
            <w:rPr>
              <w:noProof/>
            </w:rPr>
            <w:t>(2007)</w:t>
          </w:r>
          <w:r>
            <w:fldChar w:fldCharType="end"/>
          </w:r>
        </w:sdtContent>
      </w:sdt>
      <w:r>
        <w:t xml:space="preserve">, se remitieron a Euro-Nat (uno de los principales distribuidores e importadores de quinua en el país) quienes afirman que uno de los procesos que se realizan es la importación de bolsas de 50kg para ser procesadas para la elaboración de harinas, copos, pastas y otros productos. Existen envasadoras y empaquetadoras en Francia como Camargues Producción que envían el producto final a los minoristas. </w:t>
      </w:r>
    </w:p>
    <w:p w14:paraId="6A477362" w14:textId="77777777" w:rsidR="005A1309" w:rsidRDefault="005A1309" w:rsidP="004E0958">
      <w:pPr>
        <w:contextualSpacing/>
      </w:pPr>
      <w:r>
        <w:t>Existen otras empresas que delegan este proceso a los propios exportadores u otras e</w:t>
      </w:r>
      <w:r w:rsidR="00A62090">
        <w:t>mpresas en el país de origen</w:t>
      </w:r>
      <w:r>
        <w:t xml:space="preserve">. Estas envían el producto final a Europa para su distribución a minoristas. De esta forma abaratan costos, principalmente en mano de obra. </w:t>
      </w:r>
    </w:p>
    <w:p w14:paraId="52226725" w14:textId="77777777" w:rsidR="005A1309" w:rsidRDefault="005A1309" w:rsidP="004E0958">
      <w:pPr>
        <w:contextualSpacing/>
      </w:pPr>
      <w:r>
        <w:t>El producto es enviado a Francia desde el puerto de Arica en Chile, para el caso de la quinua proveniente de Bolivia, del puerto del Callao en Perú o del puerto de Guayaquil en Ecuador. Esto llega al puerto de Le Havre al norte de Francia. Por camiones llega el producto a las plantas distribuidoras como Euro- Nat.</w:t>
      </w:r>
    </w:p>
    <w:p w14:paraId="0CDBC98A" w14:textId="77777777" w:rsidR="005A1309" w:rsidRDefault="005A1309" w:rsidP="004E0958">
      <w:pPr>
        <w:contextualSpacing/>
      </w:pPr>
      <w:r>
        <w:t xml:space="preserve">Existen además alianzas directas entre grandes minoristas como Carrefour con empresas o asociaciones del país de origen como Anapqui en Bolivia. De esta manera, compran el producto directamente a los agricultores y lo procesan en sus propias plantas o la delegan a otros </w:t>
      </w:r>
      <w:r>
        <w:lastRenderedPageBreak/>
        <w:t xml:space="preserve">intermediarios en su cadena de distribución. Es importante notar que por la demanda de los minoristas, estos tienen mayor poder de negociación. Sin embargo, la demanda mundial del cereal ha otorgado mayor poder a los agricultores que han optado por asociarse para poder cubrir las exigencias del mercado. </w:t>
      </w:r>
    </w:p>
    <w:p w14:paraId="66CF7777" w14:textId="77777777" w:rsidR="005A1309" w:rsidRDefault="005A1309" w:rsidP="004E0958">
      <w:pPr>
        <w:contextualSpacing/>
      </w:pPr>
      <w:r>
        <w:t xml:space="preserve">Las regulaciones de comercio justo que están tomando fuerza en el mercado europea obligan a los países exportadores a procurar mejores condiciones para los agricultores y sus familias, de manera que el desarrollo de los mismos sea sustentable y respetando estándares internacionales de comercio. </w:t>
      </w:r>
    </w:p>
    <w:p w14:paraId="4027033F" w14:textId="77777777" w:rsidR="005A1309" w:rsidRPr="00BA3BF1" w:rsidRDefault="005A1309" w:rsidP="005A1309">
      <w:pPr>
        <w:pStyle w:val="Descripcin"/>
        <w:keepNext/>
        <w:jc w:val="center"/>
        <w:rPr>
          <w:b/>
          <w:i w:val="0"/>
          <w:color w:val="auto"/>
          <w:sz w:val="24"/>
          <w:szCs w:val="24"/>
        </w:rPr>
      </w:pPr>
      <w:r w:rsidRPr="00BA3BF1">
        <w:rPr>
          <w:b/>
          <w:i w:val="0"/>
          <w:color w:val="auto"/>
          <w:sz w:val="24"/>
          <w:szCs w:val="24"/>
        </w:rPr>
        <w:t xml:space="preserve">Ilustración </w:t>
      </w:r>
      <w:r w:rsidRPr="00BA3BF1">
        <w:rPr>
          <w:b/>
          <w:i w:val="0"/>
          <w:color w:val="auto"/>
          <w:sz w:val="24"/>
          <w:szCs w:val="24"/>
        </w:rPr>
        <w:fldChar w:fldCharType="begin"/>
      </w:r>
      <w:r w:rsidRPr="00BA3BF1">
        <w:rPr>
          <w:b/>
          <w:i w:val="0"/>
          <w:color w:val="auto"/>
          <w:sz w:val="24"/>
          <w:szCs w:val="24"/>
        </w:rPr>
        <w:instrText xml:space="preserve"> SEQ Ilustración \* ARABIC </w:instrText>
      </w:r>
      <w:r w:rsidRPr="00BA3BF1">
        <w:rPr>
          <w:b/>
          <w:i w:val="0"/>
          <w:color w:val="auto"/>
          <w:sz w:val="24"/>
          <w:szCs w:val="24"/>
        </w:rPr>
        <w:fldChar w:fldCharType="separate"/>
      </w:r>
      <w:r w:rsidR="00B828B8">
        <w:rPr>
          <w:b/>
          <w:i w:val="0"/>
          <w:noProof/>
          <w:color w:val="auto"/>
          <w:sz w:val="24"/>
          <w:szCs w:val="24"/>
        </w:rPr>
        <w:t>1</w:t>
      </w:r>
      <w:r w:rsidRPr="00BA3BF1">
        <w:rPr>
          <w:b/>
          <w:i w:val="0"/>
          <w:color w:val="auto"/>
          <w:sz w:val="24"/>
          <w:szCs w:val="24"/>
        </w:rPr>
        <w:fldChar w:fldCharType="end"/>
      </w:r>
      <w:r w:rsidRPr="00BA3BF1">
        <w:rPr>
          <w:b/>
          <w:i w:val="0"/>
          <w:color w:val="auto"/>
          <w:sz w:val="24"/>
          <w:szCs w:val="24"/>
        </w:rPr>
        <w:t>: Diagrama de la cadena de distribución de quinua en Francia</w:t>
      </w:r>
    </w:p>
    <w:p w14:paraId="33B45AC2" w14:textId="77777777" w:rsidR="005A1309" w:rsidRPr="004E0958" w:rsidRDefault="005A1309" w:rsidP="003E5431">
      <w:pPr>
        <w:ind w:left="708" w:firstLine="708"/>
        <w:jc w:val="left"/>
        <w:rPr>
          <w:sz w:val="18"/>
          <w:szCs w:val="18"/>
        </w:rPr>
      </w:pPr>
      <w:r w:rsidRPr="004E0958">
        <w:rPr>
          <w:noProof/>
          <w:sz w:val="18"/>
          <w:szCs w:val="18"/>
          <w:lang w:eastAsia="es-EC"/>
        </w:rPr>
        <w:drawing>
          <wp:anchor distT="0" distB="0" distL="114300" distR="114300" simplePos="0" relativeHeight="251655168" behindDoc="0" locked="0" layoutInCell="1" allowOverlap="1" wp14:anchorId="18470115" wp14:editId="77014F81">
            <wp:simplePos x="0" y="0"/>
            <wp:positionH relativeFrom="margin">
              <wp:align>center</wp:align>
            </wp:positionH>
            <wp:positionV relativeFrom="paragraph">
              <wp:posOffset>0</wp:posOffset>
            </wp:positionV>
            <wp:extent cx="4829175" cy="2800350"/>
            <wp:effectExtent l="0" t="0" r="9525"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829175" cy="2800350"/>
                    </a:xfrm>
                    <a:prstGeom prst="rect">
                      <a:avLst/>
                    </a:prstGeom>
                  </pic:spPr>
                </pic:pic>
              </a:graphicData>
            </a:graphic>
            <wp14:sizeRelH relativeFrom="page">
              <wp14:pctWidth>0</wp14:pctWidth>
            </wp14:sizeRelH>
            <wp14:sizeRelV relativeFrom="page">
              <wp14:pctHeight>0</wp14:pctHeight>
            </wp14:sizeRelV>
          </wp:anchor>
        </w:drawing>
      </w:r>
      <w:r w:rsidRPr="004E0958">
        <w:rPr>
          <w:sz w:val="18"/>
          <w:szCs w:val="18"/>
        </w:rPr>
        <w:t xml:space="preserve">Fuente: </w:t>
      </w:r>
      <w:sdt>
        <w:sdtPr>
          <w:rPr>
            <w:sz w:val="18"/>
            <w:szCs w:val="18"/>
          </w:rPr>
          <w:id w:val="242071925"/>
          <w:citation/>
        </w:sdtPr>
        <w:sdtEndPr/>
        <w:sdtContent>
          <w:r w:rsidRPr="004E0958">
            <w:rPr>
              <w:sz w:val="18"/>
              <w:szCs w:val="18"/>
            </w:rPr>
            <w:fldChar w:fldCharType="begin"/>
          </w:r>
          <w:r w:rsidRPr="004E0958">
            <w:rPr>
              <w:sz w:val="18"/>
              <w:szCs w:val="18"/>
            </w:rPr>
            <w:instrText xml:space="preserve"> CITATION Age07 \l 12298 </w:instrText>
          </w:r>
          <w:r w:rsidRPr="004E0958">
            <w:rPr>
              <w:sz w:val="18"/>
              <w:szCs w:val="18"/>
            </w:rPr>
            <w:fldChar w:fldCharType="separate"/>
          </w:r>
          <w:r w:rsidR="00BC1846" w:rsidRPr="004E0958">
            <w:rPr>
              <w:noProof/>
              <w:sz w:val="18"/>
              <w:szCs w:val="18"/>
            </w:rPr>
            <w:t>(Agencia Peruana de Cooperación Internacional, 2007)</w:t>
          </w:r>
          <w:r w:rsidRPr="004E0958">
            <w:rPr>
              <w:sz w:val="18"/>
              <w:szCs w:val="18"/>
            </w:rPr>
            <w:fldChar w:fldCharType="end"/>
          </w:r>
        </w:sdtContent>
      </w:sdt>
    </w:p>
    <w:p w14:paraId="6AB812A7" w14:textId="77777777" w:rsidR="004E0958" w:rsidRDefault="004E0958" w:rsidP="004E0958">
      <w:pPr>
        <w:contextualSpacing/>
      </w:pPr>
    </w:p>
    <w:p w14:paraId="290A9A45" w14:textId="749B9E21" w:rsidR="005A1309" w:rsidRDefault="005A1309" w:rsidP="004E0958">
      <w:pPr>
        <w:contextualSpacing/>
      </w:pPr>
      <w:r>
        <w:t xml:space="preserve">El precio de la quinua en Francia es determinado por las asociaciones de productores del cereal. Anapqui muestra que el margen que le corresponde a las asociaciones es de un 3,4% aproximadamente del precio final. El distribuidor </w:t>
      </w:r>
      <w:r w:rsidRPr="00F87368">
        <w:t>final percibe l</w:t>
      </w:r>
      <w:r w:rsidR="00980D0E">
        <w:t>,</w:t>
      </w:r>
      <w:r w:rsidRPr="00F87368">
        <w:t>71% del</w:t>
      </w:r>
      <w:r>
        <w:t xml:space="preserve"> margen </w:t>
      </w:r>
      <w:sdt>
        <w:sdtPr>
          <w:id w:val="-31884727"/>
          <w:citation/>
        </w:sdtPr>
        <w:sdtEndPr/>
        <w:sdtContent>
          <w:r>
            <w:fldChar w:fldCharType="begin"/>
          </w:r>
          <w:r>
            <w:instrText xml:space="preserve"> CITATION Age07 \l 12298 </w:instrText>
          </w:r>
          <w:r>
            <w:fldChar w:fldCharType="separate"/>
          </w:r>
          <w:r w:rsidR="00BC1846">
            <w:rPr>
              <w:noProof/>
            </w:rPr>
            <w:t>(Agencia Peruana de Cooperación Internacional, 2007)</w:t>
          </w:r>
          <w:r>
            <w:fldChar w:fldCharType="end"/>
          </w:r>
        </w:sdtContent>
      </w:sdt>
      <w:r>
        <w:t>.</w:t>
      </w:r>
    </w:p>
    <w:p w14:paraId="16CD2216" w14:textId="77777777" w:rsidR="005A1309" w:rsidRDefault="005A1309" w:rsidP="004E0958">
      <w:pPr>
        <w:contextualSpacing/>
        <w:jc w:val="left"/>
      </w:pPr>
      <w:r>
        <w:br w:type="page"/>
      </w:r>
    </w:p>
    <w:p w14:paraId="56A15160" w14:textId="77777777" w:rsidR="00A0561C" w:rsidRDefault="00A0561C" w:rsidP="004E0958">
      <w:pPr>
        <w:pStyle w:val="Ttulo2"/>
        <w:numPr>
          <w:ilvl w:val="0"/>
          <w:numId w:val="6"/>
        </w:numPr>
        <w:spacing w:before="0" w:after="200"/>
        <w:contextualSpacing/>
      </w:pPr>
      <w:bookmarkStart w:id="55" w:name="_Toc446973167"/>
      <w:r>
        <w:lastRenderedPageBreak/>
        <w:t>Desarrollo del sector exportador de Quinua en Bolivia y Ecuador</w:t>
      </w:r>
      <w:bookmarkEnd w:id="55"/>
    </w:p>
    <w:p w14:paraId="05BBB03D" w14:textId="77777777" w:rsidR="005A1309" w:rsidRDefault="005A1309" w:rsidP="004E0958">
      <w:pPr>
        <w:pStyle w:val="Ttulo3"/>
        <w:numPr>
          <w:ilvl w:val="1"/>
          <w:numId w:val="14"/>
        </w:numPr>
        <w:spacing w:before="0" w:after="200"/>
        <w:ind w:left="431" w:hanging="431"/>
        <w:contextualSpacing/>
      </w:pPr>
      <w:bookmarkStart w:id="56" w:name="_Toc446973168"/>
      <w:r>
        <w:t>Capacidad de producción de quinua</w:t>
      </w:r>
      <w:bookmarkEnd w:id="56"/>
    </w:p>
    <w:p w14:paraId="0C64B7E8" w14:textId="77777777" w:rsidR="005A1309" w:rsidRPr="00D82B28" w:rsidRDefault="005A1309" w:rsidP="004E0958">
      <w:pPr>
        <w:contextualSpacing/>
      </w:pPr>
      <w:r>
        <w:t xml:space="preserve">Bolivia se ha considerado a lo largo de la historia como el principal productor de quinua en el mundo. </w:t>
      </w:r>
    </w:p>
    <w:p w14:paraId="0EEFE50C" w14:textId="77777777" w:rsidR="005A1309" w:rsidRPr="00BA3BF1" w:rsidRDefault="005A1309" w:rsidP="005A1309">
      <w:pPr>
        <w:pStyle w:val="Descripcin"/>
        <w:keepNext/>
        <w:jc w:val="center"/>
        <w:rPr>
          <w:b/>
          <w:i w:val="0"/>
          <w:color w:val="auto"/>
          <w:sz w:val="24"/>
          <w:szCs w:val="24"/>
        </w:rPr>
      </w:pPr>
      <w:bookmarkStart w:id="57" w:name="_Toc446973210"/>
      <w:r w:rsidRPr="00BA3BF1">
        <w:rPr>
          <w:b/>
          <w:i w:val="0"/>
          <w:color w:val="auto"/>
          <w:sz w:val="24"/>
          <w:szCs w:val="24"/>
        </w:rPr>
        <w:t xml:space="preserve">Tabla </w:t>
      </w:r>
      <w:r w:rsidRPr="00BA3BF1">
        <w:rPr>
          <w:b/>
          <w:i w:val="0"/>
          <w:color w:val="auto"/>
          <w:sz w:val="24"/>
          <w:szCs w:val="24"/>
        </w:rPr>
        <w:fldChar w:fldCharType="begin"/>
      </w:r>
      <w:r w:rsidRPr="00BA3BF1">
        <w:rPr>
          <w:b/>
          <w:i w:val="0"/>
          <w:color w:val="auto"/>
          <w:sz w:val="24"/>
          <w:szCs w:val="24"/>
        </w:rPr>
        <w:instrText xml:space="preserve"> SEQ Tabla \* ARABIC </w:instrText>
      </w:r>
      <w:r w:rsidRPr="00BA3BF1">
        <w:rPr>
          <w:b/>
          <w:i w:val="0"/>
          <w:color w:val="auto"/>
          <w:sz w:val="24"/>
          <w:szCs w:val="24"/>
        </w:rPr>
        <w:fldChar w:fldCharType="separate"/>
      </w:r>
      <w:r w:rsidR="00B828B8">
        <w:rPr>
          <w:b/>
          <w:i w:val="0"/>
          <w:noProof/>
          <w:color w:val="auto"/>
          <w:sz w:val="24"/>
          <w:szCs w:val="24"/>
        </w:rPr>
        <w:t>12</w:t>
      </w:r>
      <w:r w:rsidRPr="00BA3BF1">
        <w:rPr>
          <w:b/>
          <w:i w:val="0"/>
          <w:color w:val="auto"/>
          <w:sz w:val="24"/>
          <w:szCs w:val="24"/>
        </w:rPr>
        <w:fldChar w:fldCharType="end"/>
      </w:r>
      <w:r w:rsidRPr="00BA3BF1">
        <w:rPr>
          <w:b/>
          <w:i w:val="0"/>
          <w:color w:val="auto"/>
          <w:sz w:val="24"/>
          <w:szCs w:val="24"/>
        </w:rPr>
        <w:t>: Superficie sembrada, producción y rendimiento en Bolivia</w:t>
      </w:r>
      <w:bookmarkEnd w:id="57"/>
    </w:p>
    <w:tbl>
      <w:tblPr>
        <w:tblW w:w="5112" w:type="dxa"/>
        <w:jc w:val="center"/>
        <w:tblCellMar>
          <w:left w:w="70" w:type="dxa"/>
          <w:right w:w="70" w:type="dxa"/>
        </w:tblCellMar>
        <w:tblLook w:val="04A0" w:firstRow="1" w:lastRow="0" w:firstColumn="1" w:lastColumn="0" w:noHBand="0" w:noVBand="1"/>
      </w:tblPr>
      <w:tblGrid>
        <w:gridCol w:w="1083"/>
        <w:gridCol w:w="1215"/>
        <w:gridCol w:w="1333"/>
        <w:gridCol w:w="1481"/>
      </w:tblGrid>
      <w:tr w:rsidR="0026749E" w:rsidRPr="00F616E8" w14:paraId="517400ED" w14:textId="77777777" w:rsidTr="0026749E">
        <w:trPr>
          <w:trHeight w:val="642"/>
          <w:jc w:val="center"/>
        </w:trPr>
        <w:tc>
          <w:tcPr>
            <w:tcW w:w="1083" w:type="dxa"/>
            <w:vMerge w:val="restart"/>
            <w:tcBorders>
              <w:top w:val="single" w:sz="12" w:space="0" w:color="auto"/>
            </w:tcBorders>
            <w:shd w:val="clear" w:color="auto" w:fill="auto"/>
            <w:vAlign w:val="center"/>
            <w:hideMark/>
          </w:tcPr>
          <w:p w14:paraId="2432C5D1"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Años</w:t>
            </w:r>
          </w:p>
          <w:p w14:paraId="4ADBAF34"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 </w:t>
            </w:r>
          </w:p>
        </w:tc>
        <w:tc>
          <w:tcPr>
            <w:tcW w:w="1215" w:type="dxa"/>
            <w:tcBorders>
              <w:top w:val="single" w:sz="12" w:space="0" w:color="auto"/>
            </w:tcBorders>
            <w:shd w:val="clear" w:color="auto" w:fill="auto"/>
            <w:vAlign w:val="center"/>
            <w:hideMark/>
          </w:tcPr>
          <w:p w14:paraId="68DD3448"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Área producida</w:t>
            </w:r>
          </w:p>
        </w:tc>
        <w:tc>
          <w:tcPr>
            <w:tcW w:w="1333" w:type="dxa"/>
            <w:tcBorders>
              <w:top w:val="single" w:sz="12" w:space="0" w:color="auto"/>
            </w:tcBorders>
            <w:shd w:val="clear" w:color="auto" w:fill="auto"/>
            <w:vAlign w:val="center"/>
            <w:hideMark/>
          </w:tcPr>
          <w:p w14:paraId="092B988F"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Producción</w:t>
            </w:r>
          </w:p>
        </w:tc>
        <w:tc>
          <w:tcPr>
            <w:tcW w:w="1481" w:type="dxa"/>
            <w:tcBorders>
              <w:top w:val="single" w:sz="12" w:space="0" w:color="auto"/>
            </w:tcBorders>
            <w:shd w:val="clear" w:color="auto" w:fill="auto"/>
            <w:vAlign w:val="center"/>
            <w:hideMark/>
          </w:tcPr>
          <w:p w14:paraId="688856BA"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Rendimiento</w:t>
            </w:r>
          </w:p>
        </w:tc>
      </w:tr>
      <w:tr w:rsidR="0026749E" w:rsidRPr="00F616E8" w14:paraId="2C824E55" w14:textId="77777777" w:rsidTr="0026749E">
        <w:trPr>
          <w:trHeight w:val="321"/>
          <w:jc w:val="center"/>
        </w:trPr>
        <w:tc>
          <w:tcPr>
            <w:tcW w:w="1083" w:type="dxa"/>
            <w:vMerge/>
            <w:tcBorders>
              <w:bottom w:val="single" w:sz="12" w:space="0" w:color="auto"/>
            </w:tcBorders>
            <w:shd w:val="clear" w:color="auto" w:fill="auto"/>
            <w:vAlign w:val="center"/>
            <w:hideMark/>
          </w:tcPr>
          <w:p w14:paraId="6A545864" w14:textId="77777777" w:rsidR="0026749E" w:rsidRPr="00F616E8" w:rsidRDefault="0026749E" w:rsidP="00F616E8">
            <w:pPr>
              <w:spacing w:after="0" w:line="240" w:lineRule="auto"/>
              <w:jc w:val="center"/>
              <w:rPr>
                <w:rFonts w:eastAsia="Times New Roman"/>
                <w:b/>
                <w:bCs/>
                <w:color w:val="000000"/>
                <w:szCs w:val="24"/>
                <w:lang w:eastAsia="es-EC"/>
              </w:rPr>
            </w:pPr>
          </w:p>
        </w:tc>
        <w:tc>
          <w:tcPr>
            <w:tcW w:w="1215" w:type="dxa"/>
            <w:tcBorders>
              <w:bottom w:val="single" w:sz="12" w:space="0" w:color="auto"/>
            </w:tcBorders>
            <w:shd w:val="clear" w:color="auto" w:fill="auto"/>
            <w:vAlign w:val="center"/>
            <w:hideMark/>
          </w:tcPr>
          <w:p w14:paraId="40CFDB6E"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 xml:space="preserve">Has. </w:t>
            </w:r>
          </w:p>
        </w:tc>
        <w:tc>
          <w:tcPr>
            <w:tcW w:w="1333" w:type="dxa"/>
            <w:tcBorders>
              <w:bottom w:val="single" w:sz="12" w:space="0" w:color="auto"/>
            </w:tcBorders>
            <w:shd w:val="clear" w:color="auto" w:fill="auto"/>
            <w:vAlign w:val="center"/>
            <w:hideMark/>
          </w:tcPr>
          <w:p w14:paraId="0121E268"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Toneladas</w:t>
            </w:r>
          </w:p>
        </w:tc>
        <w:tc>
          <w:tcPr>
            <w:tcW w:w="1481" w:type="dxa"/>
            <w:tcBorders>
              <w:bottom w:val="single" w:sz="12" w:space="0" w:color="auto"/>
            </w:tcBorders>
            <w:shd w:val="clear" w:color="auto" w:fill="auto"/>
            <w:vAlign w:val="center"/>
            <w:hideMark/>
          </w:tcPr>
          <w:p w14:paraId="0BF76249" w14:textId="77777777" w:rsidR="0026749E" w:rsidRPr="00F616E8" w:rsidRDefault="0026749E" w:rsidP="00F616E8">
            <w:pPr>
              <w:spacing w:after="0" w:line="240" w:lineRule="auto"/>
              <w:jc w:val="center"/>
              <w:rPr>
                <w:rFonts w:eastAsia="Times New Roman"/>
                <w:b/>
                <w:bCs/>
                <w:color w:val="000000"/>
                <w:szCs w:val="24"/>
                <w:lang w:eastAsia="es-EC"/>
              </w:rPr>
            </w:pPr>
            <w:r w:rsidRPr="00F616E8">
              <w:rPr>
                <w:rFonts w:eastAsia="Times New Roman"/>
                <w:b/>
                <w:bCs/>
                <w:color w:val="000000"/>
                <w:szCs w:val="24"/>
                <w:lang w:eastAsia="es-EC"/>
              </w:rPr>
              <w:t>Ton/Has</w:t>
            </w:r>
          </w:p>
        </w:tc>
      </w:tr>
      <w:tr w:rsidR="00F616E8" w:rsidRPr="00F616E8" w14:paraId="3A4EBAF0" w14:textId="77777777" w:rsidTr="0026749E">
        <w:trPr>
          <w:trHeight w:val="321"/>
          <w:jc w:val="center"/>
        </w:trPr>
        <w:tc>
          <w:tcPr>
            <w:tcW w:w="1083" w:type="dxa"/>
            <w:tcBorders>
              <w:top w:val="single" w:sz="12" w:space="0" w:color="auto"/>
            </w:tcBorders>
            <w:shd w:val="clear" w:color="auto" w:fill="auto"/>
            <w:vAlign w:val="center"/>
            <w:hideMark/>
          </w:tcPr>
          <w:p w14:paraId="1E03E09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2000</w:t>
            </w:r>
          </w:p>
        </w:tc>
        <w:tc>
          <w:tcPr>
            <w:tcW w:w="1215" w:type="dxa"/>
            <w:tcBorders>
              <w:top w:val="single" w:sz="12" w:space="0" w:color="auto"/>
            </w:tcBorders>
            <w:shd w:val="clear" w:color="auto" w:fill="auto"/>
            <w:vAlign w:val="center"/>
            <w:hideMark/>
          </w:tcPr>
          <w:p w14:paraId="15CCE568"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36.847 </w:t>
            </w:r>
          </w:p>
        </w:tc>
        <w:tc>
          <w:tcPr>
            <w:tcW w:w="1333" w:type="dxa"/>
            <w:tcBorders>
              <w:top w:val="single" w:sz="12" w:space="0" w:color="auto"/>
            </w:tcBorders>
            <w:shd w:val="clear" w:color="auto" w:fill="auto"/>
            <w:vAlign w:val="center"/>
            <w:hideMark/>
          </w:tcPr>
          <w:p w14:paraId="708973F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23.785 </w:t>
            </w:r>
          </w:p>
        </w:tc>
        <w:tc>
          <w:tcPr>
            <w:tcW w:w="1481" w:type="dxa"/>
            <w:tcBorders>
              <w:top w:val="single" w:sz="12" w:space="0" w:color="auto"/>
            </w:tcBorders>
            <w:shd w:val="clear" w:color="auto" w:fill="auto"/>
            <w:vAlign w:val="center"/>
            <w:hideMark/>
          </w:tcPr>
          <w:p w14:paraId="64340272"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0,65 </w:t>
            </w:r>
          </w:p>
        </w:tc>
      </w:tr>
      <w:tr w:rsidR="00F616E8" w:rsidRPr="00F616E8" w14:paraId="543479FD" w14:textId="77777777" w:rsidTr="0026749E">
        <w:trPr>
          <w:trHeight w:val="321"/>
          <w:jc w:val="center"/>
        </w:trPr>
        <w:tc>
          <w:tcPr>
            <w:tcW w:w="1083" w:type="dxa"/>
            <w:shd w:val="clear" w:color="auto" w:fill="auto"/>
            <w:vAlign w:val="center"/>
            <w:hideMark/>
          </w:tcPr>
          <w:p w14:paraId="796655C3"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2001</w:t>
            </w:r>
          </w:p>
        </w:tc>
        <w:tc>
          <w:tcPr>
            <w:tcW w:w="1215" w:type="dxa"/>
            <w:shd w:val="clear" w:color="auto" w:fill="auto"/>
            <w:vAlign w:val="center"/>
            <w:hideMark/>
          </w:tcPr>
          <w:p w14:paraId="65F50C1A"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37.223 </w:t>
            </w:r>
          </w:p>
        </w:tc>
        <w:tc>
          <w:tcPr>
            <w:tcW w:w="1333" w:type="dxa"/>
            <w:shd w:val="clear" w:color="auto" w:fill="auto"/>
            <w:vAlign w:val="center"/>
            <w:hideMark/>
          </w:tcPr>
          <w:p w14:paraId="04DE41CD"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23.299 </w:t>
            </w:r>
          </w:p>
        </w:tc>
        <w:tc>
          <w:tcPr>
            <w:tcW w:w="1481" w:type="dxa"/>
            <w:shd w:val="clear" w:color="auto" w:fill="auto"/>
            <w:vAlign w:val="center"/>
            <w:hideMark/>
          </w:tcPr>
          <w:p w14:paraId="5D8F0EB7"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0,63 </w:t>
            </w:r>
          </w:p>
        </w:tc>
      </w:tr>
      <w:tr w:rsidR="00F616E8" w:rsidRPr="00F616E8" w14:paraId="43D38DC3" w14:textId="77777777" w:rsidTr="0026749E">
        <w:trPr>
          <w:trHeight w:val="321"/>
          <w:jc w:val="center"/>
        </w:trPr>
        <w:tc>
          <w:tcPr>
            <w:tcW w:w="1083" w:type="dxa"/>
            <w:shd w:val="clear" w:color="auto" w:fill="auto"/>
            <w:vAlign w:val="center"/>
            <w:hideMark/>
          </w:tcPr>
          <w:p w14:paraId="7C38D43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2002</w:t>
            </w:r>
          </w:p>
        </w:tc>
        <w:tc>
          <w:tcPr>
            <w:tcW w:w="1215" w:type="dxa"/>
            <w:shd w:val="clear" w:color="auto" w:fill="auto"/>
            <w:vAlign w:val="center"/>
            <w:hideMark/>
          </w:tcPr>
          <w:p w14:paraId="2B335FF6"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37.817 </w:t>
            </w:r>
          </w:p>
        </w:tc>
        <w:tc>
          <w:tcPr>
            <w:tcW w:w="1333" w:type="dxa"/>
            <w:shd w:val="clear" w:color="auto" w:fill="auto"/>
            <w:vAlign w:val="center"/>
            <w:hideMark/>
          </w:tcPr>
          <w:p w14:paraId="6CF52992"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24.179 </w:t>
            </w:r>
          </w:p>
        </w:tc>
        <w:tc>
          <w:tcPr>
            <w:tcW w:w="1481" w:type="dxa"/>
            <w:shd w:val="clear" w:color="auto" w:fill="auto"/>
            <w:vAlign w:val="center"/>
            <w:hideMark/>
          </w:tcPr>
          <w:p w14:paraId="1448B1A4"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0,64 </w:t>
            </w:r>
          </w:p>
        </w:tc>
      </w:tr>
      <w:tr w:rsidR="00F616E8" w:rsidRPr="00F616E8" w14:paraId="76EC59D2" w14:textId="77777777" w:rsidTr="0026749E">
        <w:trPr>
          <w:trHeight w:val="321"/>
          <w:jc w:val="center"/>
        </w:trPr>
        <w:tc>
          <w:tcPr>
            <w:tcW w:w="1083" w:type="dxa"/>
            <w:shd w:val="clear" w:color="auto" w:fill="auto"/>
            <w:vAlign w:val="center"/>
            <w:hideMark/>
          </w:tcPr>
          <w:p w14:paraId="25F239A0"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2003</w:t>
            </w:r>
          </w:p>
        </w:tc>
        <w:tc>
          <w:tcPr>
            <w:tcW w:w="1215" w:type="dxa"/>
            <w:shd w:val="clear" w:color="auto" w:fill="auto"/>
            <w:vAlign w:val="center"/>
            <w:hideMark/>
          </w:tcPr>
          <w:p w14:paraId="5899630D"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38.289 </w:t>
            </w:r>
          </w:p>
        </w:tc>
        <w:tc>
          <w:tcPr>
            <w:tcW w:w="1333" w:type="dxa"/>
            <w:shd w:val="clear" w:color="auto" w:fill="auto"/>
            <w:vAlign w:val="center"/>
            <w:hideMark/>
          </w:tcPr>
          <w:p w14:paraId="0F79BED8"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24.936 </w:t>
            </w:r>
          </w:p>
        </w:tc>
        <w:tc>
          <w:tcPr>
            <w:tcW w:w="1481" w:type="dxa"/>
            <w:shd w:val="clear" w:color="auto" w:fill="auto"/>
            <w:vAlign w:val="center"/>
            <w:hideMark/>
          </w:tcPr>
          <w:p w14:paraId="4C9B2522"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0,65 </w:t>
            </w:r>
          </w:p>
        </w:tc>
      </w:tr>
      <w:tr w:rsidR="00F616E8" w:rsidRPr="00F616E8" w14:paraId="14B76A45" w14:textId="77777777" w:rsidTr="0026749E">
        <w:trPr>
          <w:trHeight w:val="321"/>
          <w:jc w:val="center"/>
        </w:trPr>
        <w:tc>
          <w:tcPr>
            <w:tcW w:w="1083" w:type="dxa"/>
            <w:shd w:val="clear" w:color="auto" w:fill="auto"/>
            <w:vAlign w:val="center"/>
            <w:hideMark/>
          </w:tcPr>
          <w:p w14:paraId="643ED0A3"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2004</w:t>
            </w:r>
          </w:p>
        </w:tc>
        <w:tc>
          <w:tcPr>
            <w:tcW w:w="1215" w:type="dxa"/>
            <w:shd w:val="clear" w:color="auto" w:fill="auto"/>
            <w:vAlign w:val="center"/>
            <w:hideMark/>
          </w:tcPr>
          <w:p w14:paraId="58D6E716"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38.649 </w:t>
            </w:r>
          </w:p>
        </w:tc>
        <w:tc>
          <w:tcPr>
            <w:tcW w:w="1333" w:type="dxa"/>
            <w:shd w:val="clear" w:color="auto" w:fill="auto"/>
            <w:vAlign w:val="center"/>
            <w:hideMark/>
          </w:tcPr>
          <w:p w14:paraId="476C2A15"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24.688 </w:t>
            </w:r>
          </w:p>
        </w:tc>
        <w:tc>
          <w:tcPr>
            <w:tcW w:w="1481" w:type="dxa"/>
            <w:shd w:val="clear" w:color="auto" w:fill="auto"/>
            <w:vAlign w:val="center"/>
            <w:hideMark/>
          </w:tcPr>
          <w:p w14:paraId="1B974178"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0,64 </w:t>
            </w:r>
          </w:p>
        </w:tc>
      </w:tr>
      <w:tr w:rsidR="00F616E8" w:rsidRPr="00F616E8" w14:paraId="6621ECF6" w14:textId="77777777" w:rsidTr="0026749E">
        <w:trPr>
          <w:trHeight w:val="321"/>
          <w:jc w:val="center"/>
        </w:trPr>
        <w:tc>
          <w:tcPr>
            <w:tcW w:w="1083" w:type="dxa"/>
            <w:shd w:val="clear" w:color="auto" w:fill="auto"/>
            <w:vAlign w:val="center"/>
            <w:hideMark/>
          </w:tcPr>
          <w:p w14:paraId="5B748C17"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2005</w:t>
            </w:r>
          </w:p>
        </w:tc>
        <w:tc>
          <w:tcPr>
            <w:tcW w:w="1215" w:type="dxa"/>
            <w:shd w:val="clear" w:color="auto" w:fill="auto"/>
            <w:vAlign w:val="center"/>
            <w:hideMark/>
          </w:tcPr>
          <w:p w14:paraId="212F42F2"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39.302 </w:t>
            </w:r>
          </w:p>
        </w:tc>
        <w:tc>
          <w:tcPr>
            <w:tcW w:w="1333" w:type="dxa"/>
            <w:shd w:val="clear" w:color="auto" w:fill="auto"/>
            <w:vAlign w:val="center"/>
            <w:hideMark/>
          </w:tcPr>
          <w:p w14:paraId="2D2809A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25.201 </w:t>
            </w:r>
          </w:p>
        </w:tc>
        <w:tc>
          <w:tcPr>
            <w:tcW w:w="1481" w:type="dxa"/>
            <w:shd w:val="clear" w:color="auto" w:fill="auto"/>
            <w:vAlign w:val="center"/>
            <w:hideMark/>
          </w:tcPr>
          <w:p w14:paraId="7407B118"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0,64 </w:t>
            </w:r>
          </w:p>
        </w:tc>
      </w:tr>
      <w:tr w:rsidR="00F616E8" w:rsidRPr="00F616E8" w14:paraId="1E2C8911" w14:textId="77777777" w:rsidTr="0026749E">
        <w:trPr>
          <w:trHeight w:val="321"/>
          <w:jc w:val="center"/>
        </w:trPr>
        <w:tc>
          <w:tcPr>
            <w:tcW w:w="1083" w:type="dxa"/>
            <w:shd w:val="clear" w:color="auto" w:fill="auto"/>
            <w:vAlign w:val="center"/>
            <w:hideMark/>
          </w:tcPr>
          <w:p w14:paraId="3E8C9453"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2006</w:t>
            </w:r>
          </w:p>
        </w:tc>
        <w:tc>
          <w:tcPr>
            <w:tcW w:w="1215" w:type="dxa"/>
            <w:shd w:val="clear" w:color="auto" w:fill="auto"/>
            <w:vAlign w:val="center"/>
            <w:hideMark/>
          </w:tcPr>
          <w:p w14:paraId="322310C4"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42.431 </w:t>
            </w:r>
          </w:p>
        </w:tc>
        <w:tc>
          <w:tcPr>
            <w:tcW w:w="1333" w:type="dxa"/>
            <w:shd w:val="clear" w:color="auto" w:fill="auto"/>
            <w:vAlign w:val="center"/>
            <w:hideMark/>
          </w:tcPr>
          <w:p w14:paraId="0646F62A"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26.873 </w:t>
            </w:r>
          </w:p>
        </w:tc>
        <w:tc>
          <w:tcPr>
            <w:tcW w:w="1481" w:type="dxa"/>
            <w:shd w:val="clear" w:color="auto" w:fill="auto"/>
            <w:vAlign w:val="center"/>
            <w:hideMark/>
          </w:tcPr>
          <w:p w14:paraId="6B5E5D41"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0,63 </w:t>
            </w:r>
          </w:p>
        </w:tc>
      </w:tr>
      <w:tr w:rsidR="00F616E8" w:rsidRPr="00F616E8" w14:paraId="3543CF00" w14:textId="77777777" w:rsidTr="0026749E">
        <w:trPr>
          <w:trHeight w:val="321"/>
          <w:jc w:val="center"/>
        </w:trPr>
        <w:tc>
          <w:tcPr>
            <w:tcW w:w="1083" w:type="dxa"/>
            <w:shd w:val="clear" w:color="auto" w:fill="auto"/>
            <w:vAlign w:val="center"/>
            <w:hideMark/>
          </w:tcPr>
          <w:p w14:paraId="2D930DC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2007</w:t>
            </w:r>
          </w:p>
        </w:tc>
        <w:tc>
          <w:tcPr>
            <w:tcW w:w="1215" w:type="dxa"/>
            <w:shd w:val="clear" w:color="auto" w:fill="auto"/>
            <w:vAlign w:val="center"/>
            <w:hideMark/>
          </w:tcPr>
          <w:p w14:paraId="7D84FC8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45.454 </w:t>
            </w:r>
          </w:p>
        </w:tc>
        <w:tc>
          <w:tcPr>
            <w:tcW w:w="1333" w:type="dxa"/>
            <w:shd w:val="clear" w:color="auto" w:fill="auto"/>
            <w:vAlign w:val="center"/>
            <w:hideMark/>
          </w:tcPr>
          <w:p w14:paraId="71D9F5A7"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26.601 </w:t>
            </w:r>
          </w:p>
        </w:tc>
        <w:tc>
          <w:tcPr>
            <w:tcW w:w="1481" w:type="dxa"/>
            <w:shd w:val="clear" w:color="auto" w:fill="auto"/>
            <w:vAlign w:val="center"/>
            <w:hideMark/>
          </w:tcPr>
          <w:p w14:paraId="51B203AC"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0,59 </w:t>
            </w:r>
          </w:p>
        </w:tc>
      </w:tr>
      <w:tr w:rsidR="00F616E8" w:rsidRPr="00F616E8" w14:paraId="73523747" w14:textId="77777777" w:rsidTr="0026749E">
        <w:trPr>
          <w:trHeight w:val="321"/>
          <w:jc w:val="center"/>
        </w:trPr>
        <w:tc>
          <w:tcPr>
            <w:tcW w:w="1083" w:type="dxa"/>
            <w:shd w:val="clear" w:color="auto" w:fill="auto"/>
            <w:vAlign w:val="center"/>
            <w:hideMark/>
          </w:tcPr>
          <w:p w14:paraId="056913F6"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2008</w:t>
            </w:r>
          </w:p>
        </w:tc>
        <w:tc>
          <w:tcPr>
            <w:tcW w:w="1215" w:type="dxa"/>
            <w:shd w:val="clear" w:color="auto" w:fill="auto"/>
            <w:vAlign w:val="center"/>
            <w:hideMark/>
          </w:tcPr>
          <w:p w14:paraId="2B2F797E"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46.369 </w:t>
            </w:r>
          </w:p>
        </w:tc>
        <w:tc>
          <w:tcPr>
            <w:tcW w:w="1333" w:type="dxa"/>
            <w:shd w:val="clear" w:color="auto" w:fill="auto"/>
            <w:vAlign w:val="center"/>
            <w:hideMark/>
          </w:tcPr>
          <w:p w14:paraId="5754A84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27.169 </w:t>
            </w:r>
          </w:p>
        </w:tc>
        <w:tc>
          <w:tcPr>
            <w:tcW w:w="1481" w:type="dxa"/>
            <w:shd w:val="clear" w:color="auto" w:fill="auto"/>
            <w:vAlign w:val="center"/>
            <w:hideMark/>
          </w:tcPr>
          <w:p w14:paraId="65C9370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0,59 </w:t>
            </w:r>
          </w:p>
        </w:tc>
      </w:tr>
      <w:tr w:rsidR="00F616E8" w:rsidRPr="00F616E8" w14:paraId="1163731A" w14:textId="77777777" w:rsidTr="0026749E">
        <w:trPr>
          <w:trHeight w:val="321"/>
          <w:jc w:val="center"/>
        </w:trPr>
        <w:tc>
          <w:tcPr>
            <w:tcW w:w="1083" w:type="dxa"/>
            <w:shd w:val="clear" w:color="auto" w:fill="auto"/>
            <w:vAlign w:val="center"/>
            <w:hideMark/>
          </w:tcPr>
          <w:p w14:paraId="341F9029"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2009</w:t>
            </w:r>
          </w:p>
        </w:tc>
        <w:tc>
          <w:tcPr>
            <w:tcW w:w="1215" w:type="dxa"/>
            <w:shd w:val="clear" w:color="auto" w:fill="auto"/>
            <w:vAlign w:val="center"/>
            <w:hideMark/>
          </w:tcPr>
          <w:p w14:paraId="39EA47FE"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59.924 </w:t>
            </w:r>
          </w:p>
        </w:tc>
        <w:tc>
          <w:tcPr>
            <w:tcW w:w="1333" w:type="dxa"/>
            <w:shd w:val="clear" w:color="auto" w:fill="auto"/>
            <w:vAlign w:val="center"/>
            <w:hideMark/>
          </w:tcPr>
          <w:p w14:paraId="6BD89F9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34.156 </w:t>
            </w:r>
          </w:p>
        </w:tc>
        <w:tc>
          <w:tcPr>
            <w:tcW w:w="1481" w:type="dxa"/>
            <w:shd w:val="clear" w:color="auto" w:fill="auto"/>
            <w:vAlign w:val="center"/>
            <w:hideMark/>
          </w:tcPr>
          <w:p w14:paraId="706FF052"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0,57 </w:t>
            </w:r>
          </w:p>
        </w:tc>
      </w:tr>
      <w:tr w:rsidR="00F616E8" w:rsidRPr="00F616E8" w14:paraId="6E8F3921" w14:textId="77777777" w:rsidTr="0026749E">
        <w:trPr>
          <w:trHeight w:val="321"/>
          <w:jc w:val="center"/>
        </w:trPr>
        <w:tc>
          <w:tcPr>
            <w:tcW w:w="1083" w:type="dxa"/>
            <w:shd w:val="clear" w:color="auto" w:fill="auto"/>
            <w:vAlign w:val="center"/>
            <w:hideMark/>
          </w:tcPr>
          <w:p w14:paraId="2F4362E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2010</w:t>
            </w:r>
          </w:p>
        </w:tc>
        <w:tc>
          <w:tcPr>
            <w:tcW w:w="1215" w:type="dxa"/>
            <w:shd w:val="clear" w:color="auto" w:fill="auto"/>
            <w:vAlign w:val="center"/>
            <w:hideMark/>
          </w:tcPr>
          <w:p w14:paraId="4736AD3C"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58.496 </w:t>
            </w:r>
          </w:p>
        </w:tc>
        <w:tc>
          <w:tcPr>
            <w:tcW w:w="1333" w:type="dxa"/>
            <w:shd w:val="clear" w:color="auto" w:fill="auto"/>
            <w:vAlign w:val="center"/>
            <w:hideMark/>
          </w:tcPr>
          <w:p w14:paraId="17A0A4CD"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36.724 </w:t>
            </w:r>
          </w:p>
        </w:tc>
        <w:tc>
          <w:tcPr>
            <w:tcW w:w="1481" w:type="dxa"/>
            <w:shd w:val="clear" w:color="auto" w:fill="auto"/>
            <w:vAlign w:val="center"/>
            <w:hideMark/>
          </w:tcPr>
          <w:p w14:paraId="08DF0353"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0,63 </w:t>
            </w:r>
          </w:p>
        </w:tc>
      </w:tr>
      <w:tr w:rsidR="00F616E8" w:rsidRPr="00F616E8" w14:paraId="000CDE56" w14:textId="77777777" w:rsidTr="0026749E">
        <w:trPr>
          <w:trHeight w:val="321"/>
          <w:jc w:val="center"/>
        </w:trPr>
        <w:tc>
          <w:tcPr>
            <w:tcW w:w="1083" w:type="dxa"/>
            <w:shd w:val="clear" w:color="auto" w:fill="auto"/>
            <w:vAlign w:val="center"/>
            <w:hideMark/>
          </w:tcPr>
          <w:p w14:paraId="078F86C0"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2011</w:t>
            </w:r>
          </w:p>
        </w:tc>
        <w:tc>
          <w:tcPr>
            <w:tcW w:w="1215" w:type="dxa"/>
            <w:shd w:val="clear" w:color="auto" w:fill="auto"/>
            <w:vAlign w:val="center"/>
            <w:hideMark/>
          </w:tcPr>
          <w:p w14:paraId="28312C9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63.307 </w:t>
            </w:r>
          </w:p>
        </w:tc>
        <w:tc>
          <w:tcPr>
            <w:tcW w:w="1333" w:type="dxa"/>
            <w:shd w:val="clear" w:color="auto" w:fill="auto"/>
            <w:vAlign w:val="center"/>
            <w:hideMark/>
          </w:tcPr>
          <w:p w14:paraId="0189A46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40.943 </w:t>
            </w:r>
          </w:p>
        </w:tc>
        <w:tc>
          <w:tcPr>
            <w:tcW w:w="1481" w:type="dxa"/>
            <w:shd w:val="clear" w:color="auto" w:fill="auto"/>
            <w:vAlign w:val="center"/>
            <w:hideMark/>
          </w:tcPr>
          <w:p w14:paraId="1875F38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0,65 </w:t>
            </w:r>
          </w:p>
        </w:tc>
      </w:tr>
      <w:tr w:rsidR="00F616E8" w:rsidRPr="00F616E8" w14:paraId="2C6ABF07" w14:textId="77777777" w:rsidTr="0026749E">
        <w:trPr>
          <w:trHeight w:val="321"/>
          <w:jc w:val="center"/>
        </w:trPr>
        <w:tc>
          <w:tcPr>
            <w:tcW w:w="1083" w:type="dxa"/>
            <w:shd w:val="clear" w:color="auto" w:fill="auto"/>
            <w:vAlign w:val="center"/>
            <w:hideMark/>
          </w:tcPr>
          <w:p w14:paraId="08BA491F"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2012</w:t>
            </w:r>
          </w:p>
        </w:tc>
        <w:tc>
          <w:tcPr>
            <w:tcW w:w="1215" w:type="dxa"/>
            <w:shd w:val="clear" w:color="auto" w:fill="auto"/>
            <w:vAlign w:val="center"/>
            <w:hideMark/>
          </w:tcPr>
          <w:p w14:paraId="6D93EB1C"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68.495 </w:t>
            </w:r>
          </w:p>
        </w:tc>
        <w:tc>
          <w:tcPr>
            <w:tcW w:w="1333" w:type="dxa"/>
            <w:shd w:val="clear" w:color="auto" w:fill="auto"/>
            <w:vAlign w:val="center"/>
            <w:hideMark/>
          </w:tcPr>
          <w:p w14:paraId="5EAF93E7"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45.782 </w:t>
            </w:r>
          </w:p>
        </w:tc>
        <w:tc>
          <w:tcPr>
            <w:tcW w:w="1481" w:type="dxa"/>
            <w:shd w:val="clear" w:color="auto" w:fill="auto"/>
            <w:vAlign w:val="center"/>
            <w:hideMark/>
          </w:tcPr>
          <w:p w14:paraId="10C9E534"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0,67 </w:t>
            </w:r>
          </w:p>
        </w:tc>
      </w:tr>
      <w:tr w:rsidR="00F616E8" w:rsidRPr="00F616E8" w14:paraId="0049F67A" w14:textId="77777777" w:rsidTr="0026749E">
        <w:trPr>
          <w:trHeight w:val="321"/>
          <w:jc w:val="center"/>
        </w:trPr>
        <w:tc>
          <w:tcPr>
            <w:tcW w:w="1083" w:type="dxa"/>
            <w:shd w:val="clear" w:color="auto" w:fill="auto"/>
            <w:vAlign w:val="center"/>
            <w:hideMark/>
          </w:tcPr>
          <w:p w14:paraId="162F3FC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2013</w:t>
            </w:r>
          </w:p>
        </w:tc>
        <w:tc>
          <w:tcPr>
            <w:tcW w:w="1215" w:type="dxa"/>
            <w:shd w:val="clear" w:color="auto" w:fill="auto"/>
            <w:vAlign w:val="center"/>
            <w:hideMark/>
          </w:tcPr>
          <w:p w14:paraId="2DAF16D4"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74.205 </w:t>
            </w:r>
          </w:p>
        </w:tc>
        <w:tc>
          <w:tcPr>
            <w:tcW w:w="1333" w:type="dxa"/>
            <w:shd w:val="clear" w:color="auto" w:fill="auto"/>
            <w:vAlign w:val="center"/>
            <w:hideMark/>
          </w:tcPr>
          <w:p w14:paraId="310B92D1"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50.489 </w:t>
            </w:r>
          </w:p>
        </w:tc>
        <w:tc>
          <w:tcPr>
            <w:tcW w:w="1481" w:type="dxa"/>
            <w:shd w:val="clear" w:color="auto" w:fill="auto"/>
            <w:vAlign w:val="center"/>
            <w:hideMark/>
          </w:tcPr>
          <w:p w14:paraId="240C2090"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0,68 </w:t>
            </w:r>
          </w:p>
        </w:tc>
      </w:tr>
      <w:tr w:rsidR="00F616E8" w:rsidRPr="00F616E8" w14:paraId="606687AE" w14:textId="77777777" w:rsidTr="0026749E">
        <w:trPr>
          <w:trHeight w:val="336"/>
          <w:jc w:val="center"/>
        </w:trPr>
        <w:tc>
          <w:tcPr>
            <w:tcW w:w="1083" w:type="dxa"/>
            <w:tcBorders>
              <w:bottom w:val="single" w:sz="12" w:space="0" w:color="auto"/>
            </w:tcBorders>
            <w:shd w:val="clear" w:color="auto" w:fill="auto"/>
            <w:vAlign w:val="center"/>
            <w:hideMark/>
          </w:tcPr>
          <w:p w14:paraId="308168B5"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2014</w:t>
            </w:r>
          </w:p>
        </w:tc>
        <w:tc>
          <w:tcPr>
            <w:tcW w:w="1215" w:type="dxa"/>
            <w:tcBorders>
              <w:bottom w:val="single" w:sz="12" w:space="0" w:color="auto"/>
            </w:tcBorders>
            <w:shd w:val="clear" w:color="auto" w:fill="auto"/>
            <w:vAlign w:val="center"/>
            <w:hideMark/>
          </w:tcPr>
          <w:p w14:paraId="6F9ABF0B"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173.960 </w:t>
            </w:r>
          </w:p>
        </w:tc>
        <w:tc>
          <w:tcPr>
            <w:tcW w:w="1333" w:type="dxa"/>
            <w:tcBorders>
              <w:bottom w:val="single" w:sz="12" w:space="0" w:color="auto"/>
            </w:tcBorders>
            <w:shd w:val="clear" w:color="auto" w:fill="auto"/>
            <w:vAlign w:val="center"/>
            <w:hideMark/>
          </w:tcPr>
          <w:p w14:paraId="1EA008AD"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116.553 </w:t>
            </w:r>
          </w:p>
        </w:tc>
        <w:tc>
          <w:tcPr>
            <w:tcW w:w="1481" w:type="dxa"/>
            <w:tcBorders>
              <w:bottom w:val="single" w:sz="12" w:space="0" w:color="auto"/>
            </w:tcBorders>
            <w:shd w:val="clear" w:color="auto" w:fill="auto"/>
            <w:vAlign w:val="center"/>
            <w:hideMark/>
          </w:tcPr>
          <w:p w14:paraId="7C799C1A" w14:textId="77777777" w:rsidR="00F616E8" w:rsidRPr="00F616E8" w:rsidRDefault="00F616E8" w:rsidP="00F616E8">
            <w:pPr>
              <w:spacing w:after="0" w:line="240" w:lineRule="auto"/>
              <w:jc w:val="center"/>
              <w:rPr>
                <w:rFonts w:eastAsia="Times New Roman"/>
                <w:color w:val="000000"/>
                <w:szCs w:val="24"/>
                <w:lang w:eastAsia="es-EC"/>
              </w:rPr>
            </w:pPr>
            <w:r w:rsidRPr="00F616E8">
              <w:rPr>
                <w:rFonts w:eastAsia="Times New Roman"/>
                <w:color w:val="000000"/>
                <w:szCs w:val="24"/>
                <w:lang w:eastAsia="es-EC"/>
              </w:rPr>
              <w:t xml:space="preserve">              0,67 </w:t>
            </w:r>
          </w:p>
        </w:tc>
      </w:tr>
    </w:tbl>
    <w:p w14:paraId="58701053" w14:textId="77777777" w:rsidR="005A1309" w:rsidRPr="004E0958" w:rsidRDefault="005A1309" w:rsidP="00ED1E4D">
      <w:pPr>
        <w:spacing w:line="276" w:lineRule="auto"/>
        <w:ind w:left="1416" w:firstLine="708"/>
        <w:jc w:val="left"/>
        <w:rPr>
          <w:sz w:val="18"/>
          <w:szCs w:val="18"/>
        </w:rPr>
      </w:pPr>
      <w:r w:rsidRPr="004E0958">
        <w:rPr>
          <w:sz w:val="18"/>
          <w:szCs w:val="18"/>
        </w:rPr>
        <w:t xml:space="preserve">Fuente: </w:t>
      </w:r>
      <w:sdt>
        <w:sdtPr>
          <w:rPr>
            <w:sz w:val="18"/>
            <w:szCs w:val="18"/>
          </w:rPr>
          <w:id w:val="2014801918"/>
          <w:citation/>
        </w:sdtPr>
        <w:sdtEndPr/>
        <w:sdtContent>
          <w:r w:rsidRPr="004E0958">
            <w:rPr>
              <w:sz w:val="18"/>
              <w:szCs w:val="18"/>
            </w:rPr>
            <w:fldChar w:fldCharType="begin"/>
          </w:r>
          <w:r w:rsidRPr="004E0958">
            <w:rPr>
              <w:sz w:val="18"/>
              <w:szCs w:val="18"/>
            </w:rPr>
            <w:instrText xml:space="preserve">CITATION FAO15 \l 12298 </w:instrText>
          </w:r>
          <w:r w:rsidRPr="004E0958">
            <w:rPr>
              <w:sz w:val="18"/>
              <w:szCs w:val="18"/>
            </w:rPr>
            <w:fldChar w:fldCharType="separate"/>
          </w:r>
          <w:r w:rsidR="00BC1846" w:rsidRPr="004E0958">
            <w:rPr>
              <w:noProof/>
              <w:sz w:val="18"/>
              <w:szCs w:val="18"/>
            </w:rPr>
            <w:t>(FAOSTAT, 2015)</w:t>
          </w:r>
          <w:r w:rsidRPr="004E0958">
            <w:rPr>
              <w:sz w:val="18"/>
              <w:szCs w:val="18"/>
            </w:rPr>
            <w:fldChar w:fldCharType="end"/>
          </w:r>
        </w:sdtContent>
      </w:sdt>
    </w:p>
    <w:p w14:paraId="5E2F327E" w14:textId="77777777" w:rsidR="005A1309" w:rsidRDefault="005A1309" w:rsidP="004E0958">
      <w:pPr>
        <w:contextualSpacing/>
      </w:pPr>
      <w:r>
        <w:t xml:space="preserve">El cuadro anterior permite apreciar como la superficie de siembra de quinua en Bolivia se ha duplicado en un lapso de 14 años y de la misma forma lo ha hecho el volumen de producción del cereal. De esta forma, el país mantiene un rendimiento de 67%  sobre el área producida. </w:t>
      </w:r>
    </w:p>
    <w:p w14:paraId="53B0ECA8" w14:textId="77777777" w:rsidR="005A1309" w:rsidRDefault="005A1309" w:rsidP="004E0958">
      <w:pPr>
        <w:contextualSpacing/>
      </w:pPr>
      <w:r>
        <w:t xml:space="preserve">En el país, la región que concentra la mayor parte de la siembra y producción boliviana de quinua es Oruro con un valor mayor al 50%. Las razones que le permiten ostentar este lugar son: mejor asimilación de experiencias de otras regiones, mayor uso de tecnología, mayor extensión de tierras hábiles para el sembrío y altos precios tanto internos como externos </w:t>
      </w:r>
      <w:sdt>
        <w:sdtPr>
          <w:id w:val="-1245947934"/>
          <w:citation/>
        </w:sdtPr>
        <w:sdtEndPr/>
        <w:sdtContent>
          <w:r>
            <w:fldChar w:fldCharType="begin"/>
          </w:r>
          <w:r>
            <w:instrText xml:space="preserve">CITATION Qui14 \t  \l 12298 </w:instrText>
          </w:r>
          <w:r>
            <w:fldChar w:fldCharType="separate"/>
          </w:r>
          <w:r w:rsidR="00BC1846">
            <w:rPr>
              <w:noProof/>
            </w:rPr>
            <w:t>(Quispe, 2014)</w:t>
          </w:r>
          <w:r>
            <w:fldChar w:fldCharType="end"/>
          </w:r>
        </w:sdtContent>
      </w:sdt>
      <w:r>
        <w:t>. Posteriormente, le siguen en capacidad de producción las regiones de Potosí (38,51%) y La Paz (10,05%).</w:t>
      </w:r>
    </w:p>
    <w:p w14:paraId="4573BD8D" w14:textId="77777777" w:rsidR="005A1309" w:rsidRDefault="005A1309" w:rsidP="004E0958">
      <w:pPr>
        <w:contextualSpacing/>
      </w:pPr>
      <w:r>
        <w:lastRenderedPageBreak/>
        <w:t xml:space="preserve">Se están realizando muchos esfuerzos para el mejoramiento del rendimiento del área producida a través de estrategias como la fertilización del suelo y extensión de las zonas de siembra a través de trabajo compartido entre propietarios de tierras y productores con experticia en esta área agrícola </w:t>
      </w:r>
      <w:sdt>
        <w:sdtPr>
          <w:id w:val="1555344460"/>
          <w:citation/>
        </w:sdtPr>
        <w:sdtEndPr/>
        <w:sdtContent>
          <w:r>
            <w:fldChar w:fldCharType="begin"/>
          </w:r>
          <w:r>
            <w:instrText xml:space="preserve">CITATION Qui14 \t  \l 12298 </w:instrText>
          </w:r>
          <w:r>
            <w:fldChar w:fldCharType="separate"/>
          </w:r>
          <w:r w:rsidR="00BC1846">
            <w:rPr>
              <w:noProof/>
            </w:rPr>
            <w:t>(Quispe, 2014)</w:t>
          </w:r>
          <w:r>
            <w:fldChar w:fldCharType="end"/>
          </w:r>
        </w:sdtContent>
      </w:sdt>
      <w:r>
        <w:t xml:space="preserve">. </w:t>
      </w:r>
    </w:p>
    <w:p w14:paraId="043B9FDF" w14:textId="77777777" w:rsidR="005A1309" w:rsidRDefault="005A1309" w:rsidP="004E0958">
      <w:pPr>
        <w:contextualSpacing/>
      </w:pPr>
      <w:r>
        <w:t xml:space="preserve">La FAO impulsa dos proyectos adicionales para impulsar la producción de quinua, a la que considera como un alimento nutritivamente completo. Estos consisten, por un lado, en la instalación de centros de Investigación en Potosí  y Oruro para elevar los rendimientos del grano. Por otro lado, existe el proyecto titulado “Sistemas Agroalimentarios quinua-camélidos”, para incentivar la producción integrada del cereal incorporando saberes ancestrales y tecnologías para producción mayor cantidad sin afectar las áreas de pasto de ganado, especialmente de la familia de los camélidos </w:t>
      </w:r>
      <w:sdt>
        <w:sdtPr>
          <w:id w:val="-1369059832"/>
          <w:citation/>
        </w:sdtPr>
        <w:sdtEndPr/>
        <w:sdtContent>
          <w:r>
            <w:fldChar w:fldCharType="begin"/>
          </w:r>
          <w:r>
            <w:instrText xml:space="preserve">CITATION Qui14 \t  \l 12298 </w:instrText>
          </w:r>
          <w:r>
            <w:fldChar w:fldCharType="separate"/>
          </w:r>
          <w:r w:rsidR="00BC1846">
            <w:rPr>
              <w:noProof/>
            </w:rPr>
            <w:t>(Quispe, 2014)</w:t>
          </w:r>
          <w:r>
            <w:fldChar w:fldCharType="end"/>
          </w:r>
        </w:sdtContent>
      </w:sdt>
      <w:r>
        <w:t xml:space="preserve">.  </w:t>
      </w:r>
    </w:p>
    <w:p w14:paraId="7E70D2B9" w14:textId="77777777" w:rsidR="005A1309" w:rsidRDefault="005A1309" w:rsidP="004E0958">
      <w:pPr>
        <w:contextualSpacing/>
      </w:pPr>
      <w:r>
        <w:t xml:space="preserve">Los productores de quinua en Bolivia </w:t>
      </w:r>
      <w:r w:rsidR="00CC4C53">
        <w:t>se encuentran agrupados</w:t>
      </w:r>
      <w:r>
        <w:t xml:space="preserve"> en organizaciones campesinas entre las que destacan </w:t>
      </w:r>
      <w:r>
        <w:rPr>
          <w:noProof/>
        </w:rPr>
        <w:t>(Instituto Boliviano de Comercio Exterior, 2013:3)</w:t>
      </w:r>
      <w:r>
        <w:t>:</w:t>
      </w:r>
    </w:p>
    <w:p w14:paraId="4951038F" w14:textId="77777777" w:rsidR="00CC4C53" w:rsidRDefault="005A1309" w:rsidP="004E0958">
      <w:pPr>
        <w:ind w:firstLine="708"/>
        <w:contextualSpacing/>
      </w:pPr>
      <w:r w:rsidRPr="00880855">
        <w:t>Asociación Nacional de Pr</w:t>
      </w:r>
      <w:r>
        <w:t xml:space="preserve">oductores de Quinua – ANAPQUI </w:t>
      </w:r>
    </w:p>
    <w:p w14:paraId="440264A2" w14:textId="77777777" w:rsidR="005A1309" w:rsidRDefault="005A1309" w:rsidP="004E0958">
      <w:pPr>
        <w:ind w:left="360" w:firstLine="348"/>
        <w:contextualSpacing/>
      </w:pPr>
      <w:r w:rsidRPr="00880855">
        <w:t>Central Cooperativa Agropecuario Op</w:t>
      </w:r>
      <w:r>
        <w:t xml:space="preserve">eración Tierra Ltda. – CECAOT </w:t>
      </w:r>
    </w:p>
    <w:p w14:paraId="2ADB72F8" w14:textId="77777777" w:rsidR="00CC4C53" w:rsidRDefault="005A1309" w:rsidP="004E0958">
      <w:pPr>
        <w:ind w:firstLine="708"/>
        <w:contextualSpacing/>
      </w:pPr>
      <w:r w:rsidRPr="00880855">
        <w:t>Cá</w:t>
      </w:r>
      <w:r>
        <w:t>mara Nacional de Quinua – CNQ</w:t>
      </w:r>
    </w:p>
    <w:p w14:paraId="3FD65EF3" w14:textId="77777777" w:rsidR="00CC4C53" w:rsidRDefault="005A1309" w:rsidP="004E0958">
      <w:pPr>
        <w:ind w:left="360" w:firstLine="348"/>
        <w:contextualSpacing/>
      </w:pPr>
      <w:r w:rsidRPr="00880855">
        <w:t>Cámara Departamental de Qui</w:t>
      </w:r>
      <w:r>
        <w:t>nua Real de Potosí – CADEQUIR</w:t>
      </w:r>
    </w:p>
    <w:p w14:paraId="1E05555D" w14:textId="77777777" w:rsidR="00CC4C53" w:rsidRDefault="005A1309" w:rsidP="004E0958">
      <w:pPr>
        <w:ind w:left="360" w:firstLine="348"/>
        <w:contextualSpacing/>
      </w:pPr>
      <w:r w:rsidRPr="00880855">
        <w:t>Cámara Departamental de Productores de</w:t>
      </w:r>
      <w:r>
        <w:t xml:space="preserve"> Quinua de Oruro – CADEPQUI-OR</w:t>
      </w:r>
    </w:p>
    <w:p w14:paraId="4DA89665" w14:textId="77777777" w:rsidR="00CC4C53" w:rsidRDefault="005A1309" w:rsidP="004E0958">
      <w:pPr>
        <w:ind w:left="360" w:firstLine="348"/>
        <w:contextualSpacing/>
      </w:pPr>
      <w:r w:rsidRPr="00880855">
        <w:t>Asociación Departamental de Productores de Quin</w:t>
      </w:r>
      <w:r>
        <w:t xml:space="preserve">ua de La Paz – ADEPQUIPAZ </w:t>
      </w:r>
    </w:p>
    <w:p w14:paraId="579E70B7" w14:textId="77777777" w:rsidR="005A1309" w:rsidRDefault="005A1309" w:rsidP="004E0958">
      <w:pPr>
        <w:ind w:left="360" w:firstLine="348"/>
        <w:contextualSpacing/>
      </w:pPr>
      <w:r w:rsidRPr="00880855">
        <w:t xml:space="preserve">Cámara Boliviana de la Quinua </w:t>
      </w:r>
      <w:r>
        <w:t>–</w:t>
      </w:r>
      <w:r w:rsidRPr="00880855">
        <w:t xml:space="preserve"> CABOLQUI</w:t>
      </w:r>
    </w:p>
    <w:p w14:paraId="7456F604" w14:textId="77777777" w:rsidR="005A1309" w:rsidRDefault="005A1309" w:rsidP="004E0958">
      <w:pPr>
        <w:contextualSpacing/>
      </w:pPr>
      <w:r>
        <w:t xml:space="preserve">Los mismos no dejan de lado a pequeños productores individuales que buscan abrirse campo en la industria. </w:t>
      </w:r>
    </w:p>
    <w:p w14:paraId="4728F9FA" w14:textId="5DF2ED98" w:rsidR="00ED1E4D" w:rsidRDefault="00661B8A" w:rsidP="004E0958">
      <w:pPr>
        <w:contextualSpacing/>
      </w:pPr>
      <w:r>
        <w:t>Ecuador, por su parte, es el tercer productor de quinua del mundo, tras Bolivia y Perú, con una diferencia considerable.</w:t>
      </w:r>
    </w:p>
    <w:p w14:paraId="4B91CB5E" w14:textId="77777777" w:rsidR="00ED1E4D" w:rsidRDefault="00ED1E4D">
      <w:pPr>
        <w:spacing w:line="276" w:lineRule="auto"/>
        <w:jc w:val="left"/>
      </w:pPr>
      <w:r>
        <w:br w:type="page"/>
      </w:r>
    </w:p>
    <w:p w14:paraId="0A0AD5D9" w14:textId="77777777" w:rsidR="002B6D31" w:rsidRPr="00BA3BF1" w:rsidRDefault="002B6D31" w:rsidP="002B6D31">
      <w:pPr>
        <w:pStyle w:val="Descripcin"/>
        <w:keepNext/>
        <w:jc w:val="center"/>
        <w:rPr>
          <w:b/>
          <w:i w:val="0"/>
          <w:color w:val="auto"/>
          <w:sz w:val="24"/>
          <w:szCs w:val="24"/>
        </w:rPr>
      </w:pPr>
      <w:bookmarkStart w:id="58" w:name="_Toc446973211"/>
      <w:r w:rsidRPr="00BA3BF1">
        <w:rPr>
          <w:b/>
          <w:i w:val="0"/>
          <w:color w:val="auto"/>
          <w:sz w:val="24"/>
          <w:szCs w:val="24"/>
        </w:rPr>
        <w:lastRenderedPageBreak/>
        <w:t xml:space="preserve">Tabla </w:t>
      </w:r>
      <w:r w:rsidRPr="00BA3BF1">
        <w:rPr>
          <w:b/>
          <w:i w:val="0"/>
          <w:color w:val="auto"/>
          <w:sz w:val="24"/>
          <w:szCs w:val="24"/>
        </w:rPr>
        <w:fldChar w:fldCharType="begin"/>
      </w:r>
      <w:r w:rsidRPr="00BA3BF1">
        <w:rPr>
          <w:b/>
          <w:i w:val="0"/>
          <w:color w:val="auto"/>
          <w:sz w:val="24"/>
          <w:szCs w:val="24"/>
        </w:rPr>
        <w:instrText xml:space="preserve"> SEQ Tabla \* ARABIC </w:instrText>
      </w:r>
      <w:r w:rsidRPr="00BA3BF1">
        <w:rPr>
          <w:b/>
          <w:i w:val="0"/>
          <w:color w:val="auto"/>
          <w:sz w:val="24"/>
          <w:szCs w:val="24"/>
        </w:rPr>
        <w:fldChar w:fldCharType="separate"/>
      </w:r>
      <w:r w:rsidR="00B828B8">
        <w:rPr>
          <w:b/>
          <w:i w:val="0"/>
          <w:noProof/>
          <w:color w:val="auto"/>
          <w:sz w:val="24"/>
          <w:szCs w:val="24"/>
        </w:rPr>
        <w:t>13</w:t>
      </w:r>
      <w:r w:rsidRPr="00BA3BF1">
        <w:rPr>
          <w:b/>
          <w:i w:val="0"/>
          <w:color w:val="auto"/>
          <w:sz w:val="24"/>
          <w:szCs w:val="24"/>
        </w:rPr>
        <w:fldChar w:fldCharType="end"/>
      </w:r>
      <w:r w:rsidRPr="00BA3BF1">
        <w:rPr>
          <w:b/>
          <w:i w:val="0"/>
          <w:color w:val="auto"/>
          <w:sz w:val="24"/>
          <w:szCs w:val="24"/>
        </w:rPr>
        <w:t>: Superficie sembrada, producción y rendimiento en Ecuador</w:t>
      </w:r>
      <w:bookmarkEnd w:id="58"/>
    </w:p>
    <w:tbl>
      <w:tblPr>
        <w:tblW w:w="4980" w:type="dxa"/>
        <w:jc w:val="center"/>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1008"/>
        <w:gridCol w:w="1198"/>
        <w:gridCol w:w="1314"/>
        <w:gridCol w:w="1460"/>
      </w:tblGrid>
      <w:tr w:rsidR="00561580" w:rsidRPr="00561580" w14:paraId="6AA38240" w14:textId="77777777" w:rsidTr="0026749E">
        <w:trPr>
          <w:trHeight w:val="630"/>
          <w:jc w:val="center"/>
        </w:trPr>
        <w:tc>
          <w:tcPr>
            <w:tcW w:w="1200" w:type="dxa"/>
            <w:tcBorders>
              <w:top w:val="single" w:sz="12" w:space="0" w:color="auto"/>
              <w:bottom w:val="nil"/>
            </w:tcBorders>
            <w:shd w:val="clear" w:color="auto" w:fill="auto"/>
            <w:vAlign w:val="center"/>
            <w:hideMark/>
          </w:tcPr>
          <w:p w14:paraId="5CBA9A21"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Años</w:t>
            </w:r>
          </w:p>
        </w:tc>
        <w:tc>
          <w:tcPr>
            <w:tcW w:w="1200" w:type="dxa"/>
            <w:tcBorders>
              <w:top w:val="single" w:sz="12" w:space="0" w:color="auto"/>
              <w:bottom w:val="nil"/>
            </w:tcBorders>
            <w:shd w:val="clear" w:color="auto" w:fill="auto"/>
            <w:vAlign w:val="center"/>
            <w:hideMark/>
          </w:tcPr>
          <w:p w14:paraId="7DB7DBF2"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Área producida</w:t>
            </w:r>
          </w:p>
        </w:tc>
        <w:tc>
          <w:tcPr>
            <w:tcW w:w="1200" w:type="dxa"/>
            <w:tcBorders>
              <w:top w:val="single" w:sz="12" w:space="0" w:color="auto"/>
              <w:bottom w:val="nil"/>
            </w:tcBorders>
            <w:shd w:val="clear" w:color="auto" w:fill="auto"/>
            <w:vAlign w:val="center"/>
            <w:hideMark/>
          </w:tcPr>
          <w:p w14:paraId="117DCBB4"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Producción</w:t>
            </w:r>
          </w:p>
        </w:tc>
        <w:tc>
          <w:tcPr>
            <w:tcW w:w="1380" w:type="dxa"/>
            <w:tcBorders>
              <w:top w:val="single" w:sz="12" w:space="0" w:color="auto"/>
              <w:bottom w:val="nil"/>
            </w:tcBorders>
            <w:shd w:val="clear" w:color="auto" w:fill="auto"/>
            <w:vAlign w:val="center"/>
            <w:hideMark/>
          </w:tcPr>
          <w:p w14:paraId="21FC6460"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Rendimiento</w:t>
            </w:r>
          </w:p>
        </w:tc>
      </w:tr>
      <w:tr w:rsidR="00561580" w:rsidRPr="00561580" w14:paraId="7358E17A" w14:textId="77777777" w:rsidTr="0026749E">
        <w:trPr>
          <w:trHeight w:val="315"/>
          <w:jc w:val="center"/>
        </w:trPr>
        <w:tc>
          <w:tcPr>
            <w:tcW w:w="1200" w:type="dxa"/>
            <w:tcBorders>
              <w:top w:val="nil"/>
              <w:bottom w:val="single" w:sz="12" w:space="0" w:color="auto"/>
            </w:tcBorders>
            <w:shd w:val="clear" w:color="auto" w:fill="auto"/>
            <w:vAlign w:val="center"/>
            <w:hideMark/>
          </w:tcPr>
          <w:p w14:paraId="1DC8C71D"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 </w:t>
            </w:r>
          </w:p>
        </w:tc>
        <w:tc>
          <w:tcPr>
            <w:tcW w:w="1200" w:type="dxa"/>
            <w:tcBorders>
              <w:top w:val="nil"/>
              <w:bottom w:val="single" w:sz="12" w:space="0" w:color="auto"/>
            </w:tcBorders>
            <w:shd w:val="clear" w:color="auto" w:fill="auto"/>
            <w:vAlign w:val="center"/>
            <w:hideMark/>
          </w:tcPr>
          <w:p w14:paraId="3A8B72A9"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 xml:space="preserve">Has. </w:t>
            </w:r>
          </w:p>
        </w:tc>
        <w:tc>
          <w:tcPr>
            <w:tcW w:w="1200" w:type="dxa"/>
            <w:tcBorders>
              <w:top w:val="nil"/>
              <w:bottom w:val="single" w:sz="12" w:space="0" w:color="auto"/>
            </w:tcBorders>
            <w:shd w:val="clear" w:color="auto" w:fill="auto"/>
            <w:vAlign w:val="center"/>
            <w:hideMark/>
          </w:tcPr>
          <w:p w14:paraId="12BA900B"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Toneladas</w:t>
            </w:r>
          </w:p>
        </w:tc>
        <w:tc>
          <w:tcPr>
            <w:tcW w:w="1380" w:type="dxa"/>
            <w:tcBorders>
              <w:top w:val="nil"/>
              <w:bottom w:val="single" w:sz="12" w:space="0" w:color="auto"/>
            </w:tcBorders>
            <w:shd w:val="clear" w:color="auto" w:fill="auto"/>
            <w:vAlign w:val="center"/>
            <w:hideMark/>
          </w:tcPr>
          <w:p w14:paraId="1A34B6E3" w14:textId="77777777" w:rsidR="00561580" w:rsidRPr="00561580" w:rsidRDefault="00561580" w:rsidP="00561580">
            <w:pPr>
              <w:spacing w:after="0" w:line="240" w:lineRule="auto"/>
              <w:jc w:val="center"/>
              <w:rPr>
                <w:rFonts w:eastAsia="Times New Roman"/>
                <w:b/>
                <w:bCs/>
                <w:color w:val="000000"/>
                <w:szCs w:val="24"/>
                <w:lang w:eastAsia="es-EC"/>
              </w:rPr>
            </w:pPr>
            <w:r w:rsidRPr="00561580">
              <w:rPr>
                <w:rFonts w:eastAsia="Times New Roman"/>
                <w:b/>
                <w:bCs/>
                <w:color w:val="000000"/>
                <w:szCs w:val="24"/>
                <w:lang w:eastAsia="es-EC"/>
              </w:rPr>
              <w:t>Ton/Has</w:t>
            </w:r>
          </w:p>
        </w:tc>
      </w:tr>
      <w:tr w:rsidR="00561580" w:rsidRPr="00561580" w14:paraId="0C0940B7" w14:textId="77777777" w:rsidTr="0026749E">
        <w:trPr>
          <w:trHeight w:val="315"/>
          <w:jc w:val="center"/>
        </w:trPr>
        <w:tc>
          <w:tcPr>
            <w:tcW w:w="1200" w:type="dxa"/>
            <w:tcBorders>
              <w:top w:val="single" w:sz="12" w:space="0" w:color="auto"/>
            </w:tcBorders>
            <w:shd w:val="clear" w:color="auto" w:fill="auto"/>
            <w:vAlign w:val="center"/>
            <w:hideMark/>
          </w:tcPr>
          <w:p w14:paraId="33CEFC4F"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2000</w:t>
            </w:r>
          </w:p>
        </w:tc>
        <w:tc>
          <w:tcPr>
            <w:tcW w:w="1200" w:type="dxa"/>
            <w:tcBorders>
              <w:top w:val="single" w:sz="12" w:space="0" w:color="auto"/>
            </w:tcBorders>
            <w:shd w:val="clear" w:color="auto" w:fill="auto"/>
            <w:vAlign w:val="center"/>
            <w:hideMark/>
          </w:tcPr>
          <w:p w14:paraId="26B22743"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1.300 </w:t>
            </w:r>
          </w:p>
        </w:tc>
        <w:tc>
          <w:tcPr>
            <w:tcW w:w="1200" w:type="dxa"/>
            <w:tcBorders>
              <w:top w:val="single" w:sz="12" w:space="0" w:color="auto"/>
            </w:tcBorders>
            <w:shd w:val="clear" w:color="auto" w:fill="auto"/>
            <w:vAlign w:val="center"/>
            <w:hideMark/>
          </w:tcPr>
          <w:p w14:paraId="1B98F08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650 </w:t>
            </w:r>
          </w:p>
        </w:tc>
        <w:tc>
          <w:tcPr>
            <w:tcW w:w="1380" w:type="dxa"/>
            <w:tcBorders>
              <w:top w:val="single" w:sz="12" w:space="0" w:color="auto"/>
            </w:tcBorders>
            <w:shd w:val="clear" w:color="auto" w:fill="auto"/>
            <w:vAlign w:val="center"/>
            <w:hideMark/>
          </w:tcPr>
          <w:p w14:paraId="55507E47"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0,50 </w:t>
            </w:r>
          </w:p>
        </w:tc>
      </w:tr>
      <w:tr w:rsidR="00561580" w:rsidRPr="00561580" w14:paraId="62253880" w14:textId="77777777" w:rsidTr="0026749E">
        <w:trPr>
          <w:trHeight w:val="315"/>
          <w:jc w:val="center"/>
        </w:trPr>
        <w:tc>
          <w:tcPr>
            <w:tcW w:w="1200" w:type="dxa"/>
            <w:shd w:val="clear" w:color="auto" w:fill="auto"/>
            <w:vAlign w:val="center"/>
            <w:hideMark/>
          </w:tcPr>
          <w:p w14:paraId="5A04549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2001</w:t>
            </w:r>
          </w:p>
        </w:tc>
        <w:tc>
          <w:tcPr>
            <w:tcW w:w="1200" w:type="dxa"/>
            <w:shd w:val="clear" w:color="auto" w:fill="auto"/>
            <w:vAlign w:val="center"/>
            <w:hideMark/>
          </w:tcPr>
          <w:p w14:paraId="732D1F55"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650 </w:t>
            </w:r>
          </w:p>
        </w:tc>
        <w:tc>
          <w:tcPr>
            <w:tcW w:w="1200" w:type="dxa"/>
            <w:shd w:val="clear" w:color="auto" w:fill="auto"/>
            <w:vAlign w:val="center"/>
            <w:hideMark/>
          </w:tcPr>
          <w:p w14:paraId="2517E5DC"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320 </w:t>
            </w:r>
          </w:p>
        </w:tc>
        <w:tc>
          <w:tcPr>
            <w:tcW w:w="1380" w:type="dxa"/>
            <w:shd w:val="clear" w:color="auto" w:fill="auto"/>
            <w:vAlign w:val="center"/>
            <w:hideMark/>
          </w:tcPr>
          <w:p w14:paraId="20D9E4A4"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0,49 </w:t>
            </w:r>
          </w:p>
        </w:tc>
      </w:tr>
      <w:tr w:rsidR="00561580" w:rsidRPr="00561580" w14:paraId="1014FF33" w14:textId="77777777" w:rsidTr="0026749E">
        <w:trPr>
          <w:trHeight w:val="315"/>
          <w:jc w:val="center"/>
        </w:trPr>
        <w:tc>
          <w:tcPr>
            <w:tcW w:w="1200" w:type="dxa"/>
            <w:shd w:val="clear" w:color="auto" w:fill="auto"/>
            <w:vAlign w:val="center"/>
            <w:hideMark/>
          </w:tcPr>
          <w:p w14:paraId="48F566EF"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2002</w:t>
            </w:r>
          </w:p>
        </w:tc>
        <w:tc>
          <w:tcPr>
            <w:tcW w:w="1200" w:type="dxa"/>
            <w:shd w:val="clear" w:color="auto" w:fill="auto"/>
            <w:vAlign w:val="center"/>
            <w:hideMark/>
          </w:tcPr>
          <w:p w14:paraId="097AAFE6"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600 </w:t>
            </w:r>
          </w:p>
        </w:tc>
        <w:tc>
          <w:tcPr>
            <w:tcW w:w="1200" w:type="dxa"/>
            <w:shd w:val="clear" w:color="auto" w:fill="auto"/>
            <w:vAlign w:val="center"/>
            <w:hideMark/>
          </w:tcPr>
          <w:p w14:paraId="42BAD290"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294 </w:t>
            </w:r>
          </w:p>
        </w:tc>
        <w:tc>
          <w:tcPr>
            <w:tcW w:w="1380" w:type="dxa"/>
            <w:shd w:val="clear" w:color="auto" w:fill="auto"/>
            <w:vAlign w:val="center"/>
            <w:hideMark/>
          </w:tcPr>
          <w:p w14:paraId="142CA725"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0,49 </w:t>
            </w:r>
          </w:p>
        </w:tc>
      </w:tr>
      <w:tr w:rsidR="00561580" w:rsidRPr="00561580" w14:paraId="16AD5112" w14:textId="77777777" w:rsidTr="0026749E">
        <w:trPr>
          <w:trHeight w:val="315"/>
          <w:jc w:val="center"/>
        </w:trPr>
        <w:tc>
          <w:tcPr>
            <w:tcW w:w="1200" w:type="dxa"/>
            <w:shd w:val="clear" w:color="auto" w:fill="auto"/>
            <w:vAlign w:val="center"/>
            <w:hideMark/>
          </w:tcPr>
          <w:p w14:paraId="108F095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2003</w:t>
            </w:r>
          </w:p>
        </w:tc>
        <w:tc>
          <w:tcPr>
            <w:tcW w:w="1200" w:type="dxa"/>
            <w:shd w:val="clear" w:color="auto" w:fill="auto"/>
            <w:vAlign w:val="center"/>
            <w:hideMark/>
          </w:tcPr>
          <w:p w14:paraId="5A652E55"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1.000 </w:t>
            </w:r>
          </w:p>
        </w:tc>
        <w:tc>
          <w:tcPr>
            <w:tcW w:w="1200" w:type="dxa"/>
            <w:shd w:val="clear" w:color="auto" w:fill="auto"/>
            <w:vAlign w:val="center"/>
            <w:hideMark/>
          </w:tcPr>
          <w:p w14:paraId="76AF5EC6"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519 </w:t>
            </w:r>
          </w:p>
        </w:tc>
        <w:tc>
          <w:tcPr>
            <w:tcW w:w="1380" w:type="dxa"/>
            <w:shd w:val="clear" w:color="auto" w:fill="auto"/>
            <w:vAlign w:val="center"/>
            <w:hideMark/>
          </w:tcPr>
          <w:p w14:paraId="40D3C15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0,52 </w:t>
            </w:r>
          </w:p>
        </w:tc>
      </w:tr>
      <w:tr w:rsidR="00561580" w:rsidRPr="00561580" w14:paraId="75264DE0" w14:textId="77777777" w:rsidTr="0026749E">
        <w:trPr>
          <w:trHeight w:val="315"/>
          <w:jc w:val="center"/>
        </w:trPr>
        <w:tc>
          <w:tcPr>
            <w:tcW w:w="1200" w:type="dxa"/>
            <w:shd w:val="clear" w:color="auto" w:fill="auto"/>
            <w:vAlign w:val="center"/>
            <w:hideMark/>
          </w:tcPr>
          <w:p w14:paraId="120BDBEF"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2004</w:t>
            </w:r>
          </w:p>
        </w:tc>
        <w:tc>
          <w:tcPr>
            <w:tcW w:w="1200" w:type="dxa"/>
            <w:shd w:val="clear" w:color="auto" w:fill="auto"/>
            <w:vAlign w:val="center"/>
            <w:hideMark/>
          </w:tcPr>
          <w:p w14:paraId="6C0122BC"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918 </w:t>
            </w:r>
          </w:p>
        </w:tc>
        <w:tc>
          <w:tcPr>
            <w:tcW w:w="1200" w:type="dxa"/>
            <w:shd w:val="clear" w:color="auto" w:fill="auto"/>
            <w:vAlign w:val="center"/>
            <w:hideMark/>
          </w:tcPr>
          <w:p w14:paraId="029E6802"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641 </w:t>
            </w:r>
          </w:p>
        </w:tc>
        <w:tc>
          <w:tcPr>
            <w:tcW w:w="1380" w:type="dxa"/>
            <w:shd w:val="clear" w:color="auto" w:fill="auto"/>
            <w:vAlign w:val="center"/>
            <w:hideMark/>
          </w:tcPr>
          <w:p w14:paraId="1208C2D0"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0,70 </w:t>
            </w:r>
          </w:p>
        </w:tc>
      </w:tr>
      <w:tr w:rsidR="00561580" w:rsidRPr="00561580" w14:paraId="5969107C" w14:textId="77777777" w:rsidTr="0026749E">
        <w:trPr>
          <w:trHeight w:val="315"/>
          <w:jc w:val="center"/>
        </w:trPr>
        <w:tc>
          <w:tcPr>
            <w:tcW w:w="1200" w:type="dxa"/>
            <w:shd w:val="clear" w:color="auto" w:fill="auto"/>
            <w:vAlign w:val="center"/>
            <w:hideMark/>
          </w:tcPr>
          <w:p w14:paraId="59867093"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2005</w:t>
            </w:r>
          </w:p>
        </w:tc>
        <w:tc>
          <w:tcPr>
            <w:tcW w:w="1200" w:type="dxa"/>
            <w:shd w:val="clear" w:color="auto" w:fill="auto"/>
            <w:vAlign w:val="center"/>
            <w:hideMark/>
          </w:tcPr>
          <w:p w14:paraId="1599AE5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929 </w:t>
            </w:r>
          </w:p>
        </w:tc>
        <w:tc>
          <w:tcPr>
            <w:tcW w:w="1200" w:type="dxa"/>
            <w:shd w:val="clear" w:color="auto" w:fill="auto"/>
            <w:vAlign w:val="center"/>
            <w:hideMark/>
          </w:tcPr>
          <w:p w14:paraId="43C11704"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652 </w:t>
            </w:r>
          </w:p>
        </w:tc>
        <w:tc>
          <w:tcPr>
            <w:tcW w:w="1380" w:type="dxa"/>
            <w:shd w:val="clear" w:color="auto" w:fill="auto"/>
            <w:vAlign w:val="center"/>
            <w:hideMark/>
          </w:tcPr>
          <w:p w14:paraId="619CDA2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0,70 </w:t>
            </w:r>
          </w:p>
        </w:tc>
      </w:tr>
      <w:tr w:rsidR="00561580" w:rsidRPr="00561580" w14:paraId="0385B5FA" w14:textId="77777777" w:rsidTr="0026749E">
        <w:trPr>
          <w:trHeight w:val="315"/>
          <w:jc w:val="center"/>
        </w:trPr>
        <w:tc>
          <w:tcPr>
            <w:tcW w:w="1200" w:type="dxa"/>
            <w:shd w:val="clear" w:color="auto" w:fill="auto"/>
            <w:vAlign w:val="center"/>
            <w:hideMark/>
          </w:tcPr>
          <w:p w14:paraId="2EAA3F7D"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2006</w:t>
            </w:r>
          </w:p>
        </w:tc>
        <w:tc>
          <w:tcPr>
            <w:tcW w:w="1200" w:type="dxa"/>
            <w:shd w:val="clear" w:color="auto" w:fill="auto"/>
            <w:vAlign w:val="center"/>
            <w:hideMark/>
          </w:tcPr>
          <w:p w14:paraId="54525B1A"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950 </w:t>
            </w:r>
          </w:p>
        </w:tc>
        <w:tc>
          <w:tcPr>
            <w:tcW w:w="1200" w:type="dxa"/>
            <w:shd w:val="clear" w:color="auto" w:fill="auto"/>
            <w:vAlign w:val="center"/>
            <w:hideMark/>
          </w:tcPr>
          <w:p w14:paraId="767DD33A"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660 </w:t>
            </w:r>
          </w:p>
        </w:tc>
        <w:tc>
          <w:tcPr>
            <w:tcW w:w="1380" w:type="dxa"/>
            <w:shd w:val="clear" w:color="auto" w:fill="auto"/>
            <w:vAlign w:val="center"/>
            <w:hideMark/>
          </w:tcPr>
          <w:p w14:paraId="541D4FA8"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0,69 </w:t>
            </w:r>
          </w:p>
        </w:tc>
      </w:tr>
      <w:tr w:rsidR="00561580" w:rsidRPr="00561580" w14:paraId="14753552" w14:textId="77777777" w:rsidTr="0026749E">
        <w:trPr>
          <w:trHeight w:val="315"/>
          <w:jc w:val="center"/>
        </w:trPr>
        <w:tc>
          <w:tcPr>
            <w:tcW w:w="1200" w:type="dxa"/>
            <w:shd w:val="clear" w:color="auto" w:fill="auto"/>
            <w:vAlign w:val="center"/>
            <w:hideMark/>
          </w:tcPr>
          <w:p w14:paraId="3BA2F86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2007</w:t>
            </w:r>
          </w:p>
        </w:tc>
        <w:tc>
          <w:tcPr>
            <w:tcW w:w="1200" w:type="dxa"/>
            <w:shd w:val="clear" w:color="auto" w:fill="auto"/>
            <w:vAlign w:val="center"/>
            <w:hideMark/>
          </w:tcPr>
          <w:p w14:paraId="76209DA5"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980 </w:t>
            </w:r>
          </w:p>
        </w:tc>
        <w:tc>
          <w:tcPr>
            <w:tcW w:w="1200" w:type="dxa"/>
            <w:shd w:val="clear" w:color="auto" w:fill="auto"/>
            <w:vAlign w:val="center"/>
            <w:hideMark/>
          </w:tcPr>
          <w:p w14:paraId="5C4CCA6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690 </w:t>
            </w:r>
          </w:p>
        </w:tc>
        <w:tc>
          <w:tcPr>
            <w:tcW w:w="1380" w:type="dxa"/>
            <w:shd w:val="clear" w:color="auto" w:fill="auto"/>
            <w:vAlign w:val="center"/>
            <w:hideMark/>
          </w:tcPr>
          <w:p w14:paraId="08FE0793"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0,70 </w:t>
            </w:r>
          </w:p>
        </w:tc>
      </w:tr>
      <w:tr w:rsidR="00561580" w:rsidRPr="00561580" w14:paraId="0CE51FFC" w14:textId="77777777" w:rsidTr="0026749E">
        <w:trPr>
          <w:trHeight w:val="315"/>
          <w:jc w:val="center"/>
        </w:trPr>
        <w:tc>
          <w:tcPr>
            <w:tcW w:w="1200" w:type="dxa"/>
            <w:shd w:val="clear" w:color="auto" w:fill="auto"/>
            <w:vAlign w:val="center"/>
            <w:hideMark/>
          </w:tcPr>
          <w:p w14:paraId="6F8B56FD"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2008</w:t>
            </w:r>
          </w:p>
        </w:tc>
        <w:tc>
          <w:tcPr>
            <w:tcW w:w="1200" w:type="dxa"/>
            <w:shd w:val="clear" w:color="auto" w:fill="auto"/>
            <w:vAlign w:val="center"/>
            <w:hideMark/>
          </w:tcPr>
          <w:p w14:paraId="4F951DB2"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1.000 </w:t>
            </w:r>
          </w:p>
        </w:tc>
        <w:tc>
          <w:tcPr>
            <w:tcW w:w="1200" w:type="dxa"/>
            <w:shd w:val="clear" w:color="auto" w:fill="auto"/>
            <w:vAlign w:val="center"/>
            <w:hideMark/>
          </w:tcPr>
          <w:p w14:paraId="26A1242F"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741 </w:t>
            </w:r>
          </w:p>
        </w:tc>
        <w:tc>
          <w:tcPr>
            <w:tcW w:w="1380" w:type="dxa"/>
            <w:shd w:val="clear" w:color="auto" w:fill="auto"/>
            <w:vAlign w:val="center"/>
            <w:hideMark/>
          </w:tcPr>
          <w:p w14:paraId="0EF5F5D8"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0,74 </w:t>
            </w:r>
          </w:p>
        </w:tc>
      </w:tr>
      <w:tr w:rsidR="00561580" w:rsidRPr="00561580" w14:paraId="0F55B0C5" w14:textId="77777777" w:rsidTr="0026749E">
        <w:trPr>
          <w:trHeight w:val="315"/>
          <w:jc w:val="center"/>
        </w:trPr>
        <w:tc>
          <w:tcPr>
            <w:tcW w:w="1200" w:type="dxa"/>
            <w:shd w:val="clear" w:color="auto" w:fill="auto"/>
            <w:vAlign w:val="center"/>
            <w:hideMark/>
          </w:tcPr>
          <w:p w14:paraId="4D08C915"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2009</w:t>
            </w:r>
          </w:p>
        </w:tc>
        <w:tc>
          <w:tcPr>
            <w:tcW w:w="1200" w:type="dxa"/>
            <w:shd w:val="clear" w:color="auto" w:fill="auto"/>
            <w:vAlign w:val="center"/>
            <w:hideMark/>
          </w:tcPr>
          <w:p w14:paraId="65170FDB"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726 </w:t>
            </w:r>
          </w:p>
        </w:tc>
        <w:tc>
          <w:tcPr>
            <w:tcW w:w="1200" w:type="dxa"/>
            <w:shd w:val="clear" w:color="auto" w:fill="auto"/>
            <w:vAlign w:val="center"/>
            <w:hideMark/>
          </w:tcPr>
          <w:p w14:paraId="40C82D9C"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995 </w:t>
            </w:r>
          </w:p>
        </w:tc>
        <w:tc>
          <w:tcPr>
            <w:tcW w:w="1380" w:type="dxa"/>
            <w:shd w:val="clear" w:color="auto" w:fill="auto"/>
            <w:vAlign w:val="center"/>
            <w:hideMark/>
          </w:tcPr>
          <w:p w14:paraId="5A8A867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0,73 </w:t>
            </w:r>
          </w:p>
        </w:tc>
      </w:tr>
      <w:tr w:rsidR="00561580" w:rsidRPr="00561580" w14:paraId="7A2A4529" w14:textId="77777777" w:rsidTr="0026749E">
        <w:trPr>
          <w:trHeight w:val="315"/>
          <w:jc w:val="center"/>
        </w:trPr>
        <w:tc>
          <w:tcPr>
            <w:tcW w:w="1200" w:type="dxa"/>
            <w:shd w:val="clear" w:color="auto" w:fill="auto"/>
            <w:vAlign w:val="center"/>
            <w:hideMark/>
          </w:tcPr>
          <w:p w14:paraId="656B1CC0"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2010</w:t>
            </w:r>
          </w:p>
        </w:tc>
        <w:tc>
          <w:tcPr>
            <w:tcW w:w="1200" w:type="dxa"/>
            <w:shd w:val="clear" w:color="auto" w:fill="auto"/>
            <w:vAlign w:val="center"/>
            <w:hideMark/>
          </w:tcPr>
          <w:p w14:paraId="593AF1E0"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883 </w:t>
            </w:r>
          </w:p>
        </w:tc>
        <w:tc>
          <w:tcPr>
            <w:tcW w:w="1200" w:type="dxa"/>
            <w:shd w:val="clear" w:color="auto" w:fill="auto"/>
            <w:vAlign w:val="center"/>
            <w:hideMark/>
          </w:tcPr>
          <w:p w14:paraId="455E0F7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1.162 </w:t>
            </w:r>
          </w:p>
        </w:tc>
        <w:tc>
          <w:tcPr>
            <w:tcW w:w="1380" w:type="dxa"/>
            <w:shd w:val="clear" w:color="auto" w:fill="auto"/>
            <w:vAlign w:val="center"/>
            <w:hideMark/>
          </w:tcPr>
          <w:p w14:paraId="44833F90"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0,76 </w:t>
            </w:r>
          </w:p>
        </w:tc>
      </w:tr>
      <w:tr w:rsidR="00561580" w:rsidRPr="00561580" w14:paraId="6052898F" w14:textId="77777777" w:rsidTr="0026749E">
        <w:trPr>
          <w:trHeight w:val="315"/>
          <w:jc w:val="center"/>
        </w:trPr>
        <w:tc>
          <w:tcPr>
            <w:tcW w:w="1200" w:type="dxa"/>
            <w:shd w:val="clear" w:color="auto" w:fill="auto"/>
            <w:vAlign w:val="center"/>
            <w:hideMark/>
          </w:tcPr>
          <w:p w14:paraId="42AC2B88"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2011</w:t>
            </w:r>
          </w:p>
        </w:tc>
        <w:tc>
          <w:tcPr>
            <w:tcW w:w="1200" w:type="dxa"/>
            <w:shd w:val="clear" w:color="auto" w:fill="auto"/>
            <w:vAlign w:val="center"/>
            <w:hideMark/>
          </w:tcPr>
          <w:p w14:paraId="620EE123"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911 </w:t>
            </w:r>
          </w:p>
        </w:tc>
        <w:tc>
          <w:tcPr>
            <w:tcW w:w="1200" w:type="dxa"/>
            <w:shd w:val="clear" w:color="auto" w:fill="auto"/>
            <w:vAlign w:val="center"/>
            <w:hideMark/>
          </w:tcPr>
          <w:p w14:paraId="6FDFE8A8"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1.424 </w:t>
            </w:r>
          </w:p>
        </w:tc>
        <w:tc>
          <w:tcPr>
            <w:tcW w:w="1380" w:type="dxa"/>
            <w:shd w:val="clear" w:color="auto" w:fill="auto"/>
            <w:vAlign w:val="center"/>
            <w:hideMark/>
          </w:tcPr>
          <w:p w14:paraId="7BED7947"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0,64 </w:t>
            </w:r>
          </w:p>
        </w:tc>
      </w:tr>
      <w:tr w:rsidR="00561580" w:rsidRPr="00561580" w14:paraId="32D7DDB9" w14:textId="77777777" w:rsidTr="0026749E">
        <w:trPr>
          <w:trHeight w:val="315"/>
          <w:jc w:val="center"/>
        </w:trPr>
        <w:tc>
          <w:tcPr>
            <w:tcW w:w="1200" w:type="dxa"/>
            <w:shd w:val="clear" w:color="auto" w:fill="auto"/>
            <w:vAlign w:val="center"/>
            <w:hideMark/>
          </w:tcPr>
          <w:p w14:paraId="59741B06"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2012</w:t>
            </w:r>
          </w:p>
        </w:tc>
        <w:tc>
          <w:tcPr>
            <w:tcW w:w="1200" w:type="dxa"/>
            <w:shd w:val="clear" w:color="auto" w:fill="auto"/>
            <w:vAlign w:val="center"/>
            <w:hideMark/>
          </w:tcPr>
          <w:p w14:paraId="563D9A7B"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930 </w:t>
            </w:r>
          </w:p>
        </w:tc>
        <w:tc>
          <w:tcPr>
            <w:tcW w:w="1200" w:type="dxa"/>
            <w:shd w:val="clear" w:color="auto" w:fill="auto"/>
            <w:vAlign w:val="center"/>
            <w:hideMark/>
          </w:tcPr>
          <w:p w14:paraId="145C50B4"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1.453 </w:t>
            </w:r>
          </w:p>
        </w:tc>
        <w:tc>
          <w:tcPr>
            <w:tcW w:w="1380" w:type="dxa"/>
            <w:shd w:val="clear" w:color="auto" w:fill="auto"/>
            <w:vAlign w:val="center"/>
            <w:hideMark/>
          </w:tcPr>
          <w:p w14:paraId="3490D212"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0,64 </w:t>
            </w:r>
          </w:p>
        </w:tc>
      </w:tr>
      <w:tr w:rsidR="00561580" w:rsidRPr="00561580" w14:paraId="7EB045B5" w14:textId="77777777" w:rsidTr="0026749E">
        <w:trPr>
          <w:trHeight w:val="315"/>
          <w:jc w:val="center"/>
        </w:trPr>
        <w:tc>
          <w:tcPr>
            <w:tcW w:w="1200" w:type="dxa"/>
            <w:shd w:val="clear" w:color="auto" w:fill="auto"/>
            <w:vAlign w:val="center"/>
            <w:hideMark/>
          </w:tcPr>
          <w:p w14:paraId="1E61CC3D"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2013</w:t>
            </w:r>
          </w:p>
        </w:tc>
        <w:tc>
          <w:tcPr>
            <w:tcW w:w="1200" w:type="dxa"/>
            <w:shd w:val="clear" w:color="auto" w:fill="auto"/>
            <w:vAlign w:val="center"/>
            <w:hideMark/>
          </w:tcPr>
          <w:p w14:paraId="28E50552"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1.261 </w:t>
            </w:r>
          </w:p>
        </w:tc>
        <w:tc>
          <w:tcPr>
            <w:tcW w:w="1200" w:type="dxa"/>
            <w:shd w:val="clear" w:color="auto" w:fill="auto"/>
            <w:vAlign w:val="center"/>
            <w:hideMark/>
          </w:tcPr>
          <w:p w14:paraId="7509E75D"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1.802 </w:t>
            </w:r>
          </w:p>
        </w:tc>
        <w:tc>
          <w:tcPr>
            <w:tcW w:w="1380" w:type="dxa"/>
            <w:shd w:val="clear" w:color="auto" w:fill="auto"/>
            <w:vAlign w:val="center"/>
            <w:hideMark/>
          </w:tcPr>
          <w:p w14:paraId="17FDCD0E"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0,70 </w:t>
            </w:r>
          </w:p>
        </w:tc>
      </w:tr>
      <w:tr w:rsidR="00561580" w:rsidRPr="00561580" w14:paraId="024EA122" w14:textId="77777777" w:rsidTr="0026749E">
        <w:trPr>
          <w:trHeight w:val="330"/>
          <w:jc w:val="center"/>
        </w:trPr>
        <w:tc>
          <w:tcPr>
            <w:tcW w:w="1200" w:type="dxa"/>
            <w:shd w:val="clear" w:color="auto" w:fill="auto"/>
            <w:vAlign w:val="center"/>
            <w:hideMark/>
          </w:tcPr>
          <w:p w14:paraId="4B6F36BA"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2014</w:t>
            </w:r>
          </w:p>
        </w:tc>
        <w:tc>
          <w:tcPr>
            <w:tcW w:w="1200" w:type="dxa"/>
            <w:shd w:val="clear" w:color="auto" w:fill="auto"/>
            <w:vAlign w:val="center"/>
            <w:hideMark/>
          </w:tcPr>
          <w:p w14:paraId="04934EB9"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10.113 </w:t>
            </w:r>
          </w:p>
        </w:tc>
        <w:tc>
          <w:tcPr>
            <w:tcW w:w="1200" w:type="dxa"/>
            <w:shd w:val="clear" w:color="auto" w:fill="auto"/>
            <w:vAlign w:val="center"/>
            <w:hideMark/>
          </w:tcPr>
          <w:p w14:paraId="223FB7D2"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7.436 </w:t>
            </w:r>
          </w:p>
        </w:tc>
        <w:tc>
          <w:tcPr>
            <w:tcW w:w="1380" w:type="dxa"/>
            <w:shd w:val="clear" w:color="auto" w:fill="auto"/>
            <w:vAlign w:val="center"/>
            <w:hideMark/>
          </w:tcPr>
          <w:p w14:paraId="017BB801" w14:textId="77777777" w:rsidR="00561580" w:rsidRPr="00561580" w:rsidRDefault="00561580" w:rsidP="00561580">
            <w:pPr>
              <w:spacing w:after="0" w:line="240" w:lineRule="auto"/>
              <w:jc w:val="center"/>
              <w:rPr>
                <w:rFonts w:eastAsia="Times New Roman"/>
                <w:color w:val="000000"/>
                <w:szCs w:val="24"/>
                <w:lang w:eastAsia="es-EC"/>
              </w:rPr>
            </w:pPr>
            <w:r w:rsidRPr="00561580">
              <w:rPr>
                <w:rFonts w:eastAsia="Times New Roman"/>
                <w:color w:val="000000"/>
                <w:szCs w:val="24"/>
                <w:lang w:eastAsia="es-EC"/>
              </w:rPr>
              <w:t xml:space="preserve">             1,36 </w:t>
            </w:r>
          </w:p>
        </w:tc>
      </w:tr>
    </w:tbl>
    <w:p w14:paraId="1D88539F" w14:textId="77777777" w:rsidR="00661B8A" w:rsidRPr="0063286C" w:rsidRDefault="00661B8A" w:rsidP="00ED1E4D">
      <w:pPr>
        <w:ind w:left="1416" w:firstLine="708"/>
        <w:rPr>
          <w:sz w:val="18"/>
          <w:szCs w:val="18"/>
        </w:rPr>
      </w:pPr>
      <w:r w:rsidRPr="0063286C">
        <w:rPr>
          <w:sz w:val="18"/>
          <w:szCs w:val="18"/>
        </w:rPr>
        <w:t xml:space="preserve">Fuente: </w:t>
      </w:r>
      <w:sdt>
        <w:sdtPr>
          <w:rPr>
            <w:sz w:val="18"/>
            <w:szCs w:val="18"/>
          </w:rPr>
          <w:id w:val="1703279025"/>
          <w:citation/>
        </w:sdtPr>
        <w:sdtEndPr/>
        <w:sdtContent>
          <w:r w:rsidRPr="0063286C">
            <w:rPr>
              <w:sz w:val="18"/>
              <w:szCs w:val="18"/>
            </w:rPr>
            <w:fldChar w:fldCharType="begin"/>
          </w:r>
          <w:r w:rsidRPr="0063286C">
            <w:rPr>
              <w:sz w:val="18"/>
              <w:szCs w:val="18"/>
            </w:rPr>
            <w:instrText xml:space="preserve"> CITATION FAO15 \l 12298 </w:instrText>
          </w:r>
          <w:r w:rsidRPr="0063286C">
            <w:rPr>
              <w:sz w:val="18"/>
              <w:szCs w:val="18"/>
            </w:rPr>
            <w:fldChar w:fldCharType="separate"/>
          </w:r>
          <w:r w:rsidR="00BC1846" w:rsidRPr="0063286C">
            <w:rPr>
              <w:noProof/>
              <w:sz w:val="18"/>
              <w:szCs w:val="18"/>
            </w:rPr>
            <w:t>(FAOSTAT, 2015)</w:t>
          </w:r>
          <w:r w:rsidRPr="0063286C">
            <w:rPr>
              <w:sz w:val="18"/>
              <w:szCs w:val="18"/>
            </w:rPr>
            <w:fldChar w:fldCharType="end"/>
          </w:r>
        </w:sdtContent>
      </w:sdt>
      <w:r w:rsidR="00FF0A6B" w:rsidRPr="0063286C">
        <w:rPr>
          <w:sz w:val="18"/>
          <w:szCs w:val="18"/>
        </w:rPr>
        <w:t xml:space="preserve"> </w:t>
      </w:r>
      <w:sdt>
        <w:sdtPr>
          <w:rPr>
            <w:sz w:val="18"/>
            <w:szCs w:val="18"/>
          </w:rPr>
          <w:id w:val="2080019397"/>
          <w:citation/>
        </w:sdtPr>
        <w:sdtEndPr/>
        <w:sdtContent>
          <w:r w:rsidR="00FF0A6B" w:rsidRPr="0063286C">
            <w:rPr>
              <w:sz w:val="18"/>
              <w:szCs w:val="18"/>
            </w:rPr>
            <w:fldChar w:fldCharType="begin"/>
          </w:r>
          <w:r w:rsidR="00FF0A6B" w:rsidRPr="0063286C">
            <w:rPr>
              <w:sz w:val="18"/>
              <w:szCs w:val="18"/>
            </w:rPr>
            <w:instrText xml:space="preserve"> CITATION PRO15 \l 12298 </w:instrText>
          </w:r>
          <w:r w:rsidR="00FF0A6B" w:rsidRPr="0063286C">
            <w:rPr>
              <w:sz w:val="18"/>
              <w:szCs w:val="18"/>
            </w:rPr>
            <w:fldChar w:fldCharType="separate"/>
          </w:r>
          <w:r w:rsidR="00BC1846" w:rsidRPr="0063286C">
            <w:rPr>
              <w:noProof/>
              <w:sz w:val="18"/>
              <w:szCs w:val="18"/>
            </w:rPr>
            <w:t>(PROECUADOR, 2015)</w:t>
          </w:r>
          <w:r w:rsidR="00FF0A6B" w:rsidRPr="0063286C">
            <w:rPr>
              <w:sz w:val="18"/>
              <w:szCs w:val="18"/>
            </w:rPr>
            <w:fldChar w:fldCharType="end"/>
          </w:r>
        </w:sdtContent>
      </w:sdt>
    </w:p>
    <w:p w14:paraId="11FCB791" w14:textId="77777777" w:rsidR="002E530F" w:rsidRDefault="00661B8A" w:rsidP="0063286C">
      <w:pPr>
        <w:contextualSpacing/>
      </w:pPr>
      <w:r>
        <w:t>Como se puede observar en el cuadro anterior, la producción a inicio del año 2000 alcanzó su punto más alto, que significó un descenso considerable para los siguiente</w:t>
      </w:r>
      <w:r w:rsidR="00561580">
        <w:t>s años. Recién a partir del 2009</w:t>
      </w:r>
      <w:r>
        <w:t xml:space="preserve"> se ha logrado un crecimiento sostenible tomando en cuenta iniciativas para promover el cultivo del cereal teniendo como objetivo abastecer la demanda de Estados Unidos y la Unión Europea </w:t>
      </w:r>
      <w:sdt>
        <w:sdtPr>
          <w:id w:val="-291215820"/>
          <w:citation/>
        </w:sdtPr>
        <w:sdtEndPr/>
        <w:sdtContent>
          <w:r>
            <w:fldChar w:fldCharType="begin"/>
          </w:r>
          <w:r>
            <w:instrText xml:space="preserve"> CITATION ALA14 \l 12298 </w:instrText>
          </w:r>
          <w:r>
            <w:fldChar w:fldCharType="separate"/>
          </w:r>
          <w:r w:rsidR="00BC1846">
            <w:rPr>
              <w:noProof/>
            </w:rPr>
            <w:t>(ALADI- FAO, 2014)</w:t>
          </w:r>
          <w:r>
            <w:fldChar w:fldCharType="end"/>
          </w:r>
        </w:sdtContent>
      </w:sdt>
      <w:r>
        <w:t>.</w:t>
      </w:r>
      <w:r w:rsidR="002E530F">
        <w:t xml:space="preserve"> </w:t>
      </w:r>
    </w:p>
    <w:p w14:paraId="271AF4BB" w14:textId="77777777" w:rsidR="00661B8A" w:rsidRDefault="002E530F" w:rsidP="0063286C">
      <w:pPr>
        <w:contextualSpacing/>
      </w:pPr>
      <w:r>
        <w:t>El rendimiento de la producción incluso supera al presentado por Bolivia, llegando a un ratio de 1,36 Toneladas por hectárea producida. El rendimiento creció en 94% del 2013 al 2014, siendo esto superior al presentado por la papa, que fue del 75% en el mismo período, cultivo que se da en la misma geografía que la quinua</w:t>
      </w:r>
      <w:r w:rsidR="00567558">
        <w:t xml:space="preserve"> </w:t>
      </w:r>
      <w:sdt>
        <w:sdtPr>
          <w:id w:val="1011497602"/>
          <w:citation/>
        </w:sdtPr>
        <w:sdtEndPr/>
        <w:sdtContent>
          <w:r w:rsidR="00567558">
            <w:fldChar w:fldCharType="begin"/>
          </w:r>
          <w:r w:rsidR="00567558">
            <w:instrText xml:space="preserve">CITATION Min14 \l 12298 </w:instrText>
          </w:r>
          <w:r w:rsidR="00567558">
            <w:fldChar w:fldCharType="separate"/>
          </w:r>
          <w:r w:rsidR="00BC1846">
            <w:rPr>
              <w:noProof/>
            </w:rPr>
            <w:t>(Ministerio de Agricultura, Ganadería, Acuacultura y Pesca, 2014)</w:t>
          </w:r>
          <w:r w:rsidR="00567558">
            <w:fldChar w:fldCharType="end"/>
          </w:r>
        </w:sdtContent>
      </w:sdt>
      <w:r>
        <w:t>.</w:t>
      </w:r>
    </w:p>
    <w:p w14:paraId="502B6ADC" w14:textId="77777777" w:rsidR="004D3A66" w:rsidRDefault="004D3A66" w:rsidP="0063286C">
      <w:pPr>
        <w:contextualSpacing/>
      </w:pPr>
      <w:r>
        <w:t xml:space="preserve">Se espera que para el 2015, como resultado de las políticas aplicadas, se logre una producción de 15 mil hectáreas con un rendimiento similar al presentado en el 2014 </w:t>
      </w:r>
      <w:sdt>
        <w:sdtPr>
          <w:id w:val="1434944124"/>
          <w:citation/>
        </w:sdtPr>
        <w:sdtEndPr/>
        <w:sdtContent>
          <w:r>
            <w:fldChar w:fldCharType="begin"/>
          </w:r>
          <w:r>
            <w:instrText xml:space="preserve"> CITATION Min141 \l 12298 </w:instrText>
          </w:r>
          <w:r>
            <w:fldChar w:fldCharType="separate"/>
          </w:r>
          <w:r w:rsidR="00BC1846">
            <w:rPr>
              <w:noProof/>
            </w:rPr>
            <w:t>(Ministerio de Agricultura, Ganadería, Acuacultura y Pesca, 2014)</w:t>
          </w:r>
          <w:r>
            <w:fldChar w:fldCharType="end"/>
          </w:r>
        </w:sdtContent>
      </w:sdt>
      <w:r>
        <w:t>.</w:t>
      </w:r>
    </w:p>
    <w:p w14:paraId="2CAF4F9B" w14:textId="77777777" w:rsidR="00661B8A" w:rsidRDefault="00661B8A" w:rsidP="0063286C">
      <w:pPr>
        <w:contextualSpacing/>
      </w:pPr>
      <w:r>
        <w:t xml:space="preserve">En el país, la quinua se produce principalmente en la región Sierra, por las condiciones agroecológicas con las que se cuenta y por la importancia de este cereal en los sistemas de </w:t>
      </w:r>
      <w:r>
        <w:lastRenderedPageBreak/>
        <w:t xml:space="preserve">producción andina. La primera provincia productora es Carchi con un 33% del total, seguida por Imbabura con 27% y Chimborazo con 15%. El resto de la producción se encuentra en Cotopaxi  y Pichincha </w:t>
      </w:r>
      <w:sdt>
        <w:sdtPr>
          <w:id w:val="1194108207"/>
          <w:citation/>
        </w:sdtPr>
        <w:sdtEndPr/>
        <w:sdtContent>
          <w:r>
            <w:fldChar w:fldCharType="begin"/>
          </w:r>
          <w:r>
            <w:instrText xml:space="preserve"> CITATION PRO15 \l 12298 </w:instrText>
          </w:r>
          <w:r>
            <w:fldChar w:fldCharType="separate"/>
          </w:r>
          <w:r w:rsidR="00BC1846">
            <w:rPr>
              <w:noProof/>
            </w:rPr>
            <w:t>(PROECUADOR, 2015)</w:t>
          </w:r>
          <w:r>
            <w:fldChar w:fldCharType="end"/>
          </w:r>
        </w:sdtContent>
      </w:sdt>
      <w:r>
        <w:t xml:space="preserve">.  </w:t>
      </w:r>
    </w:p>
    <w:p w14:paraId="5C8DA8A6" w14:textId="77777777" w:rsidR="00661B8A" w:rsidRDefault="00661B8A" w:rsidP="0063286C">
      <w:pPr>
        <w:contextualSpacing/>
      </w:pPr>
      <w:r>
        <w:t xml:space="preserve">Para impulsar la producción del cereal se han trabajado en 4 ejes fundamentales propuestos por el MAGAP </w:t>
      </w:r>
      <w:sdt>
        <w:sdtPr>
          <w:id w:val="1929762426"/>
          <w:citation/>
        </w:sdtPr>
        <w:sdtEndPr/>
        <w:sdtContent>
          <w:r>
            <w:fldChar w:fldCharType="begin"/>
          </w:r>
          <w:r>
            <w:instrText xml:space="preserve">CITATION Min13 \n  \t  \l 12298 </w:instrText>
          </w:r>
          <w:r>
            <w:fldChar w:fldCharType="separate"/>
          </w:r>
          <w:r w:rsidR="00BC1846">
            <w:rPr>
              <w:noProof/>
            </w:rPr>
            <w:t>(2013)</w:t>
          </w:r>
          <w:r>
            <w:fldChar w:fldCharType="end"/>
          </w:r>
        </w:sdtContent>
      </w:sdt>
      <w:r>
        <w:t>:</w:t>
      </w:r>
    </w:p>
    <w:p w14:paraId="418BE31D" w14:textId="77777777" w:rsidR="00661B8A" w:rsidRDefault="00661B8A" w:rsidP="0063286C">
      <w:pPr>
        <w:ind w:left="705"/>
        <w:contextualSpacing/>
      </w:pPr>
      <w:r>
        <w:t>Desarrollo de semillas de calidad de la mano con la multiplicación de semillas nativas y convencionales.</w:t>
      </w:r>
    </w:p>
    <w:p w14:paraId="2E949E36" w14:textId="77777777" w:rsidR="00661B8A" w:rsidRDefault="00661B8A" w:rsidP="0063286C">
      <w:pPr>
        <w:ind w:left="705"/>
        <w:contextualSpacing/>
      </w:pPr>
      <w:r>
        <w:t xml:space="preserve">Asistencia técnica a productores presentándoles alternativas de tecnificación de la producción y rescatando el conocimiento ancestral con enfoque productivo. </w:t>
      </w:r>
    </w:p>
    <w:p w14:paraId="16864CD2" w14:textId="77777777" w:rsidR="00661B8A" w:rsidRDefault="00661B8A" w:rsidP="0063286C">
      <w:pPr>
        <w:ind w:left="705"/>
        <w:contextualSpacing/>
      </w:pPr>
      <w:r>
        <w:t xml:space="preserve">Implementación y fortalecimiento de procesos de cosecha, post cosecha y creación de centros de acopio. Enfoque en la tecnificación y capacitación de productores. </w:t>
      </w:r>
    </w:p>
    <w:p w14:paraId="393DC78A" w14:textId="77777777" w:rsidR="00661B8A" w:rsidRDefault="00661B8A" w:rsidP="0063286C">
      <w:pPr>
        <w:ind w:left="705"/>
        <w:contextualSpacing/>
      </w:pPr>
      <w:r>
        <w:t xml:space="preserve">Promoción del producto en el mercado interno para favorecer el consumo, buscando nichos de mercado, e impulso adicional a la exportación del cereal como alternativa no tradicional. </w:t>
      </w:r>
    </w:p>
    <w:p w14:paraId="121CDC44" w14:textId="77777777" w:rsidR="00661B8A" w:rsidRDefault="00661B8A" w:rsidP="0063286C">
      <w:pPr>
        <w:contextualSpacing/>
      </w:pPr>
      <w:r>
        <w:t>Los productores ecuatorianos se encuentran agrupados en organizaciones como:</w:t>
      </w:r>
    </w:p>
    <w:p w14:paraId="783ADC17" w14:textId="77777777" w:rsidR="00661B8A" w:rsidRDefault="00661B8A" w:rsidP="0063286C">
      <w:pPr>
        <w:contextualSpacing/>
      </w:pPr>
      <w:r>
        <w:tab/>
        <w:t>Productores integrados a INAGROFA (Quito)</w:t>
      </w:r>
    </w:p>
    <w:p w14:paraId="051A51D3" w14:textId="77777777" w:rsidR="00661B8A" w:rsidRDefault="00661B8A" w:rsidP="0063286C">
      <w:pPr>
        <w:contextualSpacing/>
      </w:pPr>
      <w:r>
        <w:tab/>
        <w:t>Productores asociados a FUNDACIÓN ERPE (Riobamba)</w:t>
      </w:r>
    </w:p>
    <w:p w14:paraId="5DC1BBAE" w14:textId="77777777" w:rsidR="00661B8A" w:rsidRDefault="00661B8A" w:rsidP="0063286C">
      <w:pPr>
        <w:contextualSpacing/>
      </w:pPr>
      <w:r>
        <w:tab/>
        <w:t>Productores asociados a FUNDAMYD (Quito)</w:t>
      </w:r>
    </w:p>
    <w:p w14:paraId="6C49EC9B" w14:textId="77777777" w:rsidR="00661B8A" w:rsidRDefault="00661B8A" w:rsidP="0063286C">
      <w:pPr>
        <w:contextualSpacing/>
      </w:pPr>
      <w:r>
        <w:tab/>
        <w:t>FEPP-Camari (Quito)</w:t>
      </w:r>
    </w:p>
    <w:p w14:paraId="6B06F3D0" w14:textId="77777777" w:rsidR="00661B8A" w:rsidRDefault="00661B8A" w:rsidP="0063286C">
      <w:pPr>
        <w:contextualSpacing/>
      </w:pPr>
      <w:r>
        <w:tab/>
        <w:t>Fundación Maquita Cushunchic (Quito)</w:t>
      </w:r>
    </w:p>
    <w:p w14:paraId="04C455FF" w14:textId="77777777" w:rsidR="00661B8A" w:rsidRDefault="00661B8A" w:rsidP="0063286C">
      <w:pPr>
        <w:contextualSpacing/>
      </w:pPr>
      <w:r>
        <w:tab/>
        <w:t>Asociación AGRALEC (Carchi e Imbabura)</w:t>
      </w:r>
    </w:p>
    <w:p w14:paraId="7B23CC9C" w14:textId="77777777" w:rsidR="00661B8A" w:rsidRDefault="00661B8A" w:rsidP="0063286C">
      <w:pPr>
        <w:contextualSpacing/>
      </w:pPr>
      <w:r>
        <w:t xml:space="preserve">Sin embargo, existen pequeños productores independientes que se encuentran abriendo campo en la producción del cereal. </w:t>
      </w:r>
    </w:p>
    <w:p w14:paraId="276D669F" w14:textId="77777777" w:rsidR="007B06E3" w:rsidRDefault="007B06E3" w:rsidP="0063286C">
      <w:pPr>
        <w:contextualSpacing/>
      </w:pPr>
      <w:r>
        <w:t>Si bien el enfoque que manejan los productores para este cereal es el de exportación, también buscan abarcar mercado interno en los respectivos países. Bolivia, por su parte, ha pasado de un consumo de 13.000 Toneladas en el 2012, a 13.500 en 2013 y 14.600 en el 2014. Esto representa un 8% del total producido, en términos de consumo de quinua al granel</w:t>
      </w:r>
      <w:r w:rsidR="003938E5">
        <w:t xml:space="preserve"> </w:t>
      </w:r>
      <w:sdt>
        <w:sdtPr>
          <w:id w:val="-485543051"/>
          <w:citation/>
        </w:sdtPr>
        <w:sdtEndPr/>
        <w:sdtContent>
          <w:r w:rsidR="003938E5">
            <w:fldChar w:fldCharType="begin"/>
          </w:r>
          <w:r w:rsidR="003938E5">
            <w:instrText xml:space="preserve"> CITATION Laz15 \l 12298 </w:instrText>
          </w:r>
          <w:r w:rsidR="003938E5">
            <w:fldChar w:fldCharType="separate"/>
          </w:r>
          <w:r w:rsidR="00BC1846">
            <w:rPr>
              <w:noProof/>
            </w:rPr>
            <w:t>(Lazcano, 2015)</w:t>
          </w:r>
          <w:r w:rsidR="003938E5">
            <w:fldChar w:fldCharType="end"/>
          </w:r>
        </w:sdtContent>
      </w:sdt>
      <w:r>
        <w:t xml:space="preserve">. </w:t>
      </w:r>
    </w:p>
    <w:p w14:paraId="2B06B59C" w14:textId="77777777" w:rsidR="003938E5" w:rsidRDefault="007B06E3" w:rsidP="0063286C">
      <w:pPr>
        <w:contextualSpacing/>
      </w:pPr>
      <w:r>
        <w:t>El incremento que se ha venido presentando en este pa</w:t>
      </w:r>
      <w:r w:rsidR="003938E5">
        <w:t>ís se debe al impulso generalizado que se ha realizado por la declaratoria del Año Internacional de la Qui</w:t>
      </w:r>
      <w:r w:rsidR="00A07FE4">
        <w:t>nua promocionando sus beneficios, sumado a los</w:t>
      </w:r>
      <w:r w:rsidR="003938E5">
        <w:t xml:space="preserve"> incentivos</w:t>
      </w:r>
      <w:r>
        <w:t xml:space="preserve"> del Gobierno</w:t>
      </w:r>
      <w:r w:rsidR="003938E5">
        <w:t xml:space="preserve"> a través de campañas educativas y otros mecanismos para vender a menor precio </w:t>
      </w:r>
      <w:sdt>
        <w:sdtPr>
          <w:id w:val="-151058275"/>
          <w:citation/>
        </w:sdtPr>
        <w:sdtEndPr/>
        <w:sdtContent>
          <w:r w:rsidR="003938E5">
            <w:fldChar w:fldCharType="begin"/>
          </w:r>
          <w:r w:rsidR="003938E5">
            <w:instrText xml:space="preserve"> CITATION Laz15 \l 12298 </w:instrText>
          </w:r>
          <w:r w:rsidR="003938E5">
            <w:fldChar w:fldCharType="separate"/>
          </w:r>
          <w:r w:rsidR="00BC1846">
            <w:rPr>
              <w:noProof/>
            </w:rPr>
            <w:t>(Lazcano, 2015)</w:t>
          </w:r>
          <w:r w:rsidR="003938E5">
            <w:fldChar w:fldCharType="end"/>
          </w:r>
        </w:sdtContent>
      </w:sdt>
      <w:r w:rsidR="003938E5">
        <w:t>.</w:t>
      </w:r>
    </w:p>
    <w:p w14:paraId="3B71DEF7" w14:textId="77777777" w:rsidR="00A07FE4" w:rsidRDefault="00A07FE4" w:rsidP="0063286C">
      <w:pPr>
        <w:contextualSpacing/>
      </w:pPr>
      <w:r>
        <w:lastRenderedPageBreak/>
        <w:t xml:space="preserve">En lo que respecta al </w:t>
      </w:r>
      <w:r w:rsidR="00D8136E">
        <w:t xml:space="preserve">Ecuador, el consumo interno de quinua </w:t>
      </w:r>
      <w:r w:rsidR="00681DB3">
        <w:t>está subestimado y es</w:t>
      </w:r>
      <w:r w:rsidR="00D8136E">
        <w:t xml:space="preserve"> menor en relación a lo destinado a exportación. L</w:t>
      </w:r>
      <w:r w:rsidR="00D8136E" w:rsidRPr="00D8136E">
        <w:t>a Corporación de Productores y Comercializadores Orgánicos Bio Taita Chimborazo</w:t>
      </w:r>
      <w:r w:rsidR="00D8136E">
        <w:t xml:space="preserve"> afirma que del 75% al 80% de lo producido por sus afiliados se destina a mercados internacionales, dejando la diferencia para consumo interno tanto en quinua al granel</w:t>
      </w:r>
      <w:r w:rsidR="009647FF">
        <w:t>, con un aproximado de 5%,</w:t>
      </w:r>
      <w:r w:rsidR="00D8136E">
        <w:t xml:space="preserve"> como en otros usos </w:t>
      </w:r>
      <w:sdt>
        <w:sdtPr>
          <w:id w:val="584575082"/>
          <w:citation/>
        </w:sdtPr>
        <w:sdtEndPr/>
        <w:sdtContent>
          <w:r w:rsidR="00D8136E">
            <w:fldChar w:fldCharType="begin"/>
          </w:r>
          <w:r w:rsidR="00D8136E">
            <w:instrText xml:space="preserve"> CITATION LaN15 \l 12298 </w:instrText>
          </w:r>
          <w:r w:rsidR="00D8136E">
            <w:fldChar w:fldCharType="separate"/>
          </w:r>
          <w:r w:rsidR="00BC1846">
            <w:rPr>
              <w:noProof/>
            </w:rPr>
            <w:t>(La Nación, 2015)</w:t>
          </w:r>
          <w:r w:rsidR="00D8136E">
            <w:fldChar w:fldCharType="end"/>
          </w:r>
        </w:sdtContent>
      </w:sdt>
      <w:r w:rsidR="00D8136E">
        <w:t>.</w:t>
      </w:r>
    </w:p>
    <w:p w14:paraId="1A83738A" w14:textId="77777777" w:rsidR="007B06E3" w:rsidRDefault="00D8136E" w:rsidP="0063286C">
      <w:pPr>
        <w:contextualSpacing/>
      </w:pPr>
      <w:r>
        <w:t xml:space="preserve">Este porcentaje menor obedece, según datos proporcionados por el MAGAP, al bajo consumo de las familias ecuatorianas que se estima en un aproximado de 1 libra por semana. </w:t>
      </w:r>
      <w:r w:rsidR="007B06E3">
        <w:t xml:space="preserve"> </w:t>
      </w:r>
      <w:r w:rsidR="00D31A6C">
        <w:t xml:space="preserve">Los productos se distribuyen en supermercados, ferias, centros naturistas e industria farmacéutica </w:t>
      </w:r>
      <w:sdt>
        <w:sdtPr>
          <w:id w:val="-409459089"/>
          <w:citation/>
        </w:sdtPr>
        <w:sdtEndPr/>
        <w:sdtContent>
          <w:r w:rsidR="00D31A6C">
            <w:fldChar w:fldCharType="begin"/>
          </w:r>
          <w:r w:rsidR="00D31A6C">
            <w:instrText xml:space="preserve"> CITATION LaN15 \l 12298 </w:instrText>
          </w:r>
          <w:r w:rsidR="00D31A6C">
            <w:fldChar w:fldCharType="separate"/>
          </w:r>
          <w:r w:rsidR="00BC1846">
            <w:rPr>
              <w:noProof/>
            </w:rPr>
            <w:t>(La Nación, 2015)</w:t>
          </w:r>
          <w:r w:rsidR="00D31A6C">
            <w:fldChar w:fldCharType="end"/>
          </w:r>
        </w:sdtContent>
      </w:sdt>
      <w:r w:rsidR="00D31A6C">
        <w:t xml:space="preserve">. </w:t>
      </w:r>
    </w:p>
    <w:p w14:paraId="3FF42563" w14:textId="77777777" w:rsidR="007D6DCC" w:rsidRDefault="003353B8" w:rsidP="0063286C">
      <w:pPr>
        <w:contextualSpacing/>
      </w:pPr>
      <w:r>
        <w:t>Ambos países destinan parte de la producción a otros usos complementarios. Entre estos se encuentran la alimentación animal, uso medicinal y otros usos industriales</w:t>
      </w:r>
      <w:r w:rsidR="00CB2F7C">
        <w:t xml:space="preserve"> </w:t>
      </w:r>
      <w:sdt>
        <w:sdtPr>
          <w:id w:val="-1124076415"/>
          <w:citation/>
        </w:sdtPr>
        <w:sdtEndPr/>
        <w:sdtContent>
          <w:r w:rsidR="00CB2F7C">
            <w:fldChar w:fldCharType="begin"/>
          </w:r>
          <w:r w:rsidR="00CB2F7C">
            <w:instrText xml:space="preserve"> CITATION Foo13 \l 12298 </w:instrText>
          </w:r>
          <w:r w:rsidR="00CB2F7C">
            <w:fldChar w:fldCharType="separate"/>
          </w:r>
          <w:r w:rsidR="00BC1846">
            <w:rPr>
              <w:noProof/>
            </w:rPr>
            <w:t>(Food and Agriculture Organization, 2013)</w:t>
          </w:r>
          <w:r w:rsidR="00CB2F7C">
            <w:fldChar w:fldCharType="end"/>
          </w:r>
        </w:sdtContent>
      </w:sdt>
      <w:r>
        <w:t xml:space="preserve">. Existen otros productos </w:t>
      </w:r>
      <w:r w:rsidR="00A95731">
        <w:t xml:space="preserve">generados con valor agregado </w:t>
      </w:r>
      <w:r>
        <w:t>con base de quinua, entre los que destacan:</w:t>
      </w:r>
    </w:p>
    <w:p w14:paraId="144B1FE8" w14:textId="77777777" w:rsidR="003353B8" w:rsidRDefault="007D6DCC" w:rsidP="0063286C">
      <w:pPr>
        <w:ind w:left="705"/>
        <w:contextualSpacing/>
      </w:pPr>
      <w:r>
        <w:t>Para Bolivia, hojuelas, harina, barras energéticas, pastas, snacks dulces y salados, galletas, sopas y comidas deshidratadas, hamburguesas, pudines, flan, masa para pizza, entre otros</w:t>
      </w:r>
      <w:r w:rsidR="00E0766D">
        <w:t xml:space="preserve"> </w:t>
      </w:r>
      <w:sdt>
        <w:sdtPr>
          <w:id w:val="-90014638"/>
          <w:citation/>
        </w:sdtPr>
        <w:sdtEndPr/>
        <w:sdtContent>
          <w:r w:rsidR="00E0766D">
            <w:fldChar w:fldCharType="begin"/>
          </w:r>
          <w:r w:rsidR="00E0766D">
            <w:instrText xml:space="preserve"> CITATION CAB15 \l 12298 </w:instrText>
          </w:r>
          <w:r w:rsidR="00E0766D">
            <w:fldChar w:fldCharType="separate"/>
          </w:r>
          <w:r w:rsidR="00BC1846">
            <w:rPr>
              <w:noProof/>
            </w:rPr>
            <w:t>(CABOLQUI, 2015)</w:t>
          </w:r>
          <w:r w:rsidR="00E0766D">
            <w:fldChar w:fldCharType="end"/>
          </w:r>
        </w:sdtContent>
      </w:sdt>
      <w:r>
        <w:t xml:space="preserve">. </w:t>
      </w:r>
    </w:p>
    <w:p w14:paraId="2113D210" w14:textId="77777777" w:rsidR="007D6DCC" w:rsidRDefault="007D6DCC" w:rsidP="0063286C">
      <w:pPr>
        <w:ind w:left="705"/>
        <w:contextualSpacing/>
      </w:pPr>
      <w:r>
        <w:t xml:space="preserve">Para Ecuador, Snacks, pasta, papillas, barras energéticas, granola, </w:t>
      </w:r>
      <w:r w:rsidR="00E0766D">
        <w:t xml:space="preserve">risotto, sopas instantáneas, entre otros </w:t>
      </w:r>
      <w:sdt>
        <w:sdtPr>
          <w:id w:val="1770587919"/>
          <w:citation/>
        </w:sdtPr>
        <w:sdtEndPr/>
        <w:sdtContent>
          <w:r w:rsidR="00E0766D">
            <w:fldChar w:fldCharType="begin"/>
          </w:r>
          <w:r w:rsidR="00E0766D">
            <w:instrText xml:space="preserve"> CITATION Con13 \l 12298 </w:instrText>
          </w:r>
          <w:r w:rsidR="00E0766D">
            <w:fldChar w:fldCharType="separate"/>
          </w:r>
          <w:r w:rsidR="00BC1846">
            <w:rPr>
              <w:noProof/>
            </w:rPr>
            <w:t>(Consorcio Ecuatoriano de Exportadores de Quinua, 2013)</w:t>
          </w:r>
          <w:r w:rsidR="00E0766D">
            <w:fldChar w:fldCharType="end"/>
          </w:r>
        </w:sdtContent>
      </w:sdt>
      <w:r w:rsidR="00E0766D">
        <w:t>.</w:t>
      </w:r>
    </w:p>
    <w:p w14:paraId="106E6DEE" w14:textId="77777777" w:rsidR="005A1309" w:rsidRDefault="005A1309" w:rsidP="0063286C">
      <w:pPr>
        <w:pStyle w:val="Ttulo3"/>
        <w:numPr>
          <w:ilvl w:val="1"/>
          <w:numId w:val="14"/>
        </w:numPr>
        <w:spacing w:before="0" w:after="200"/>
        <w:ind w:left="431" w:hanging="431"/>
        <w:contextualSpacing/>
      </w:pPr>
      <w:bookmarkStart w:id="59" w:name="_Toc446973169"/>
      <w:r>
        <w:t>Estadísticas de exportación</w:t>
      </w:r>
      <w:bookmarkEnd w:id="59"/>
    </w:p>
    <w:p w14:paraId="777C0D30" w14:textId="77777777" w:rsidR="005A1309" w:rsidRDefault="005A1309" w:rsidP="0063286C">
      <w:pPr>
        <w:contextualSpacing/>
      </w:pPr>
      <w:r>
        <w:t>Bolivia, históricamente, fue considerado el principal proveedor de quinua del mundo. En el último año ha sido superado de manera casi imperceptible por su principal competidor, Perú.</w:t>
      </w:r>
    </w:p>
    <w:p w14:paraId="319AF4BC" w14:textId="77777777" w:rsidR="00ED1E4D" w:rsidRDefault="00ED1E4D" w:rsidP="002B6D31">
      <w:pPr>
        <w:pStyle w:val="Descripcin"/>
        <w:keepNext/>
        <w:jc w:val="center"/>
        <w:rPr>
          <w:b/>
          <w:i w:val="0"/>
          <w:color w:val="auto"/>
          <w:sz w:val="24"/>
          <w:szCs w:val="24"/>
        </w:rPr>
      </w:pPr>
      <w:r>
        <w:rPr>
          <w:b/>
          <w:i w:val="0"/>
          <w:color w:val="auto"/>
          <w:sz w:val="24"/>
          <w:szCs w:val="24"/>
        </w:rPr>
        <w:br/>
      </w:r>
    </w:p>
    <w:p w14:paraId="71609847" w14:textId="77777777" w:rsidR="00ED1E4D" w:rsidRDefault="00ED1E4D">
      <w:pPr>
        <w:spacing w:line="276" w:lineRule="auto"/>
        <w:jc w:val="left"/>
        <w:rPr>
          <w:b/>
          <w:iCs/>
          <w:szCs w:val="24"/>
        </w:rPr>
      </w:pPr>
      <w:r>
        <w:rPr>
          <w:b/>
          <w:i/>
          <w:szCs w:val="24"/>
        </w:rPr>
        <w:br w:type="page"/>
      </w:r>
    </w:p>
    <w:p w14:paraId="6D12E072" w14:textId="20AB942F" w:rsidR="002B6D31" w:rsidRPr="00BA3BF1" w:rsidRDefault="002B6D31" w:rsidP="002B6D31">
      <w:pPr>
        <w:pStyle w:val="Descripcin"/>
        <w:keepNext/>
        <w:jc w:val="center"/>
        <w:rPr>
          <w:b/>
          <w:i w:val="0"/>
          <w:color w:val="auto"/>
          <w:sz w:val="24"/>
          <w:szCs w:val="24"/>
        </w:rPr>
      </w:pPr>
      <w:bookmarkStart w:id="60" w:name="_Toc446973212"/>
      <w:r w:rsidRPr="00BA3BF1">
        <w:rPr>
          <w:b/>
          <w:i w:val="0"/>
          <w:color w:val="auto"/>
          <w:sz w:val="24"/>
          <w:szCs w:val="24"/>
        </w:rPr>
        <w:lastRenderedPageBreak/>
        <w:t xml:space="preserve">Tabla </w:t>
      </w:r>
      <w:r w:rsidRPr="00BA3BF1">
        <w:rPr>
          <w:b/>
          <w:i w:val="0"/>
          <w:color w:val="auto"/>
          <w:sz w:val="24"/>
          <w:szCs w:val="24"/>
        </w:rPr>
        <w:fldChar w:fldCharType="begin"/>
      </w:r>
      <w:r w:rsidRPr="00BA3BF1">
        <w:rPr>
          <w:b/>
          <w:i w:val="0"/>
          <w:color w:val="auto"/>
          <w:sz w:val="24"/>
          <w:szCs w:val="24"/>
        </w:rPr>
        <w:instrText xml:space="preserve"> SEQ Tabla \* ARABIC </w:instrText>
      </w:r>
      <w:r w:rsidRPr="00BA3BF1">
        <w:rPr>
          <w:b/>
          <w:i w:val="0"/>
          <w:color w:val="auto"/>
          <w:sz w:val="24"/>
          <w:szCs w:val="24"/>
        </w:rPr>
        <w:fldChar w:fldCharType="separate"/>
      </w:r>
      <w:r w:rsidR="00B828B8">
        <w:rPr>
          <w:b/>
          <w:i w:val="0"/>
          <w:noProof/>
          <w:color w:val="auto"/>
          <w:sz w:val="24"/>
          <w:szCs w:val="24"/>
        </w:rPr>
        <w:t>14</w:t>
      </w:r>
      <w:r w:rsidRPr="00BA3BF1">
        <w:rPr>
          <w:b/>
          <w:i w:val="0"/>
          <w:color w:val="auto"/>
          <w:sz w:val="24"/>
          <w:szCs w:val="24"/>
        </w:rPr>
        <w:fldChar w:fldCharType="end"/>
      </w:r>
      <w:r w:rsidRPr="00BA3BF1">
        <w:rPr>
          <w:b/>
          <w:i w:val="0"/>
          <w:color w:val="auto"/>
          <w:sz w:val="24"/>
          <w:szCs w:val="24"/>
        </w:rPr>
        <w:t>: Exporta</w:t>
      </w:r>
      <w:r w:rsidR="002D02FF" w:rsidRPr="00BA3BF1">
        <w:rPr>
          <w:b/>
          <w:i w:val="0"/>
          <w:color w:val="auto"/>
          <w:sz w:val="24"/>
          <w:szCs w:val="24"/>
        </w:rPr>
        <w:t>ción de Quinua de Bolivia</w:t>
      </w:r>
      <w:bookmarkEnd w:id="60"/>
    </w:p>
    <w:tbl>
      <w:tblPr>
        <w:tblW w:w="8212" w:type="dxa"/>
        <w:jc w:val="center"/>
        <w:tblBorders>
          <w:bottom w:val="single" w:sz="12" w:space="0" w:color="auto"/>
        </w:tblBorders>
        <w:tblCellMar>
          <w:left w:w="70" w:type="dxa"/>
          <w:right w:w="70" w:type="dxa"/>
        </w:tblCellMar>
        <w:tblLook w:val="04A0" w:firstRow="1" w:lastRow="0" w:firstColumn="1" w:lastColumn="0" w:noHBand="0" w:noVBand="1"/>
      </w:tblPr>
      <w:tblGrid>
        <w:gridCol w:w="1731"/>
        <w:gridCol w:w="1228"/>
        <w:gridCol w:w="1082"/>
        <w:gridCol w:w="1052"/>
        <w:gridCol w:w="993"/>
        <w:gridCol w:w="1134"/>
        <w:gridCol w:w="992"/>
      </w:tblGrid>
      <w:tr w:rsidR="002058BB" w:rsidRPr="002058BB" w14:paraId="01C69EFE" w14:textId="77777777" w:rsidTr="0026749E">
        <w:trPr>
          <w:trHeight w:val="315"/>
          <w:jc w:val="center"/>
        </w:trPr>
        <w:tc>
          <w:tcPr>
            <w:tcW w:w="1731" w:type="dxa"/>
            <w:vMerge w:val="restart"/>
            <w:tcBorders>
              <w:top w:val="single" w:sz="12" w:space="0" w:color="auto"/>
              <w:bottom w:val="nil"/>
            </w:tcBorders>
            <w:shd w:val="clear" w:color="auto" w:fill="auto"/>
            <w:noWrap/>
            <w:vAlign w:val="bottom"/>
            <w:hideMark/>
          </w:tcPr>
          <w:p w14:paraId="083978EB" w14:textId="77777777" w:rsidR="002058BB" w:rsidRPr="002058BB" w:rsidRDefault="002058BB" w:rsidP="002058BB">
            <w:pPr>
              <w:spacing w:after="0" w:line="240" w:lineRule="auto"/>
              <w:jc w:val="center"/>
              <w:rPr>
                <w:rFonts w:eastAsia="Times New Roman"/>
                <w:color w:val="000000"/>
                <w:sz w:val="22"/>
                <w:lang w:eastAsia="es-EC"/>
              </w:rPr>
            </w:pPr>
            <w:r w:rsidRPr="002058BB">
              <w:rPr>
                <w:rFonts w:eastAsia="Times New Roman"/>
                <w:color w:val="000000"/>
                <w:sz w:val="22"/>
                <w:lang w:eastAsia="es-EC"/>
              </w:rPr>
              <w:t> </w:t>
            </w:r>
          </w:p>
        </w:tc>
        <w:tc>
          <w:tcPr>
            <w:tcW w:w="6481" w:type="dxa"/>
            <w:gridSpan w:val="6"/>
            <w:tcBorders>
              <w:top w:val="single" w:sz="12" w:space="0" w:color="auto"/>
              <w:bottom w:val="nil"/>
            </w:tcBorders>
            <w:shd w:val="clear" w:color="auto" w:fill="auto"/>
            <w:noWrap/>
            <w:vAlign w:val="center"/>
            <w:hideMark/>
          </w:tcPr>
          <w:p w14:paraId="1FE07A75"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Años</w:t>
            </w:r>
          </w:p>
        </w:tc>
      </w:tr>
      <w:tr w:rsidR="002058BB" w:rsidRPr="002058BB" w14:paraId="7F2FCA4F" w14:textId="77777777" w:rsidTr="0026749E">
        <w:trPr>
          <w:trHeight w:val="315"/>
          <w:jc w:val="center"/>
        </w:trPr>
        <w:tc>
          <w:tcPr>
            <w:tcW w:w="1731" w:type="dxa"/>
            <w:vMerge/>
            <w:tcBorders>
              <w:bottom w:val="nil"/>
            </w:tcBorders>
            <w:vAlign w:val="center"/>
            <w:hideMark/>
          </w:tcPr>
          <w:p w14:paraId="3BCE2A80" w14:textId="77777777" w:rsidR="002058BB" w:rsidRPr="002058BB" w:rsidRDefault="002058BB" w:rsidP="002058BB">
            <w:pPr>
              <w:spacing w:after="0" w:line="240" w:lineRule="auto"/>
              <w:jc w:val="left"/>
              <w:rPr>
                <w:rFonts w:eastAsia="Times New Roman"/>
                <w:color w:val="000000"/>
                <w:sz w:val="22"/>
                <w:lang w:eastAsia="es-EC"/>
              </w:rPr>
            </w:pPr>
          </w:p>
        </w:tc>
        <w:tc>
          <w:tcPr>
            <w:tcW w:w="2310" w:type="dxa"/>
            <w:gridSpan w:val="2"/>
            <w:tcBorders>
              <w:bottom w:val="nil"/>
            </w:tcBorders>
            <w:shd w:val="clear" w:color="auto" w:fill="auto"/>
            <w:noWrap/>
            <w:vAlign w:val="center"/>
            <w:hideMark/>
          </w:tcPr>
          <w:p w14:paraId="6F413B21"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2012</w:t>
            </w:r>
          </w:p>
        </w:tc>
        <w:tc>
          <w:tcPr>
            <w:tcW w:w="2045" w:type="dxa"/>
            <w:gridSpan w:val="2"/>
            <w:tcBorders>
              <w:bottom w:val="nil"/>
            </w:tcBorders>
            <w:shd w:val="clear" w:color="auto" w:fill="auto"/>
            <w:noWrap/>
            <w:vAlign w:val="center"/>
            <w:hideMark/>
          </w:tcPr>
          <w:p w14:paraId="34864E89"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2013</w:t>
            </w:r>
          </w:p>
        </w:tc>
        <w:tc>
          <w:tcPr>
            <w:tcW w:w="2126" w:type="dxa"/>
            <w:gridSpan w:val="2"/>
            <w:tcBorders>
              <w:bottom w:val="nil"/>
            </w:tcBorders>
            <w:shd w:val="clear" w:color="auto" w:fill="auto"/>
            <w:noWrap/>
            <w:vAlign w:val="center"/>
            <w:hideMark/>
          </w:tcPr>
          <w:p w14:paraId="1F7FA6D4"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2014</w:t>
            </w:r>
          </w:p>
        </w:tc>
      </w:tr>
      <w:tr w:rsidR="002058BB" w:rsidRPr="002058BB" w14:paraId="53F57182" w14:textId="77777777" w:rsidTr="0026749E">
        <w:trPr>
          <w:trHeight w:val="315"/>
          <w:jc w:val="center"/>
        </w:trPr>
        <w:tc>
          <w:tcPr>
            <w:tcW w:w="1731" w:type="dxa"/>
            <w:tcBorders>
              <w:bottom w:val="single" w:sz="12" w:space="0" w:color="auto"/>
            </w:tcBorders>
            <w:shd w:val="clear" w:color="auto" w:fill="auto"/>
            <w:noWrap/>
            <w:vAlign w:val="bottom"/>
            <w:hideMark/>
          </w:tcPr>
          <w:p w14:paraId="67713AD9" w14:textId="77777777" w:rsidR="002058BB" w:rsidRPr="002058BB" w:rsidRDefault="002058BB" w:rsidP="002058BB">
            <w:pPr>
              <w:spacing w:after="0" w:line="240" w:lineRule="auto"/>
              <w:jc w:val="center"/>
              <w:rPr>
                <w:rFonts w:eastAsia="Times New Roman"/>
                <w:color w:val="000000"/>
                <w:sz w:val="22"/>
                <w:lang w:eastAsia="es-EC"/>
              </w:rPr>
            </w:pPr>
            <w:r w:rsidRPr="002058BB">
              <w:rPr>
                <w:rFonts w:eastAsia="Times New Roman"/>
                <w:color w:val="000000"/>
                <w:sz w:val="22"/>
                <w:lang w:eastAsia="es-EC"/>
              </w:rPr>
              <w:t> </w:t>
            </w:r>
          </w:p>
        </w:tc>
        <w:tc>
          <w:tcPr>
            <w:tcW w:w="1228" w:type="dxa"/>
            <w:tcBorders>
              <w:bottom w:val="single" w:sz="12" w:space="0" w:color="auto"/>
            </w:tcBorders>
            <w:shd w:val="clear" w:color="auto" w:fill="auto"/>
            <w:noWrap/>
            <w:vAlign w:val="center"/>
            <w:hideMark/>
          </w:tcPr>
          <w:p w14:paraId="7DEB844C"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1082" w:type="dxa"/>
            <w:tcBorders>
              <w:bottom w:val="single" w:sz="12" w:space="0" w:color="auto"/>
            </w:tcBorders>
            <w:shd w:val="clear" w:color="auto" w:fill="auto"/>
            <w:noWrap/>
            <w:vAlign w:val="center"/>
            <w:hideMark/>
          </w:tcPr>
          <w:p w14:paraId="4F3F6646"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c>
          <w:tcPr>
            <w:tcW w:w="1052" w:type="dxa"/>
            <w:tcBorders>
              <w:bottom w:val="single" w:sz="12" w:space="0" w:color="auto"/>
            </w:tcBorders>
            <w:shd w:val="clear" w:color="auto" w:fill="auto"/>
            <w:noWrap/>
            <w:vAlign w:val="center"/>
            <w:hideMark/>
          </w:tcPr>
          <w:p w14:paraId="4E435F46"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993" w:type="dxa"/>
            <w:tcBorders>
              <w:bottom w:val="single" w:sz="12" w:space="0" w:color="auto"/>
            </w:tcBorders>
            <w:shd w:val="clear" w:color="auto" w:fill="auto"/>
            <w:noWrap/>
            <w:vAlign w:val="center"/>
            <w:hideMark/>
          </w:tcPr>
          <w:p w14:paraId="09AAE417"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c>
          <w:tcPr>
            <w:tcW w:w="1134" w:type="dxa"/>
            <w:tcBorders>
              <w:bottom w:val="single" w:sz="12" w:space="0" w:color="auto"/>
            </w:tcBorders>
            <w:shd w:val="clear" w:color="auto" w:fill="auto"/>
            <w:noWrap/>
            <w:vAlign w:val="center"/>
            <w:hideMark/>
          </w:tcPr>
          <w:p w14:paraId="7BFCE9CB"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992" w:type="dxa"/>
            <w:tcBorders>
              <w:bottom w:val="single" w:sz="12" w:space="0" w:color="auto"/>
            </w:tcBorders>
            <w:shd w:val="clear" w:color="auto" w:fill="auto"/>
            <w:noWrap/>
            <w:vAlign w:val="center"/>
            <w:hideMark/>
          </w:tcPr>
          <w:p w14:paraId="30A20DBA"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r>
      <w:tr w:rsidR="002058BB" w:rsidRPr="002058BB" w14:paraId="09A35EAC" w14:textId="77777777" w:rsidTr="0026749E">
        <w:trPr>
          <w:trHeight w:val="315"/>
          <w:jc w:val="center"/>
        </w:trPr>
        <w:tc>
          <w:tcPr>
            <w:tcW w:w="1731" w:type="dxa"/>
            <w:tcBorders>
              <w:top w:val="single" w:sz="12" w:space="0" w:color="auto"/>
            </w:tcBorders>
            <w:shd w:val="clear" w:color="auto" w:fill="auto"/>
            <w:noWrap/>
            <w:vAlign w:val="center"/>
            <w:hideMark/>
          </w:tcPr>
          <w:p w14:paraId="0A10795F"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Estados Unidos</w:t>
            </w:r>
          </w:p>
        </w:tc>
        <w:tc>
          <w:tcPr>
            <w:tcW w:w="1228" w:type="dxa"/>
            <w:tcBorders>
              <w:top w:val="single" w:sz="12" w:space="0" w:color="auto"/>
            </w:tcBorders>
            <w:shd w:val="clear" w:color="auto" w:fill="auto"/>
            <w:noWrap/>
            <w:vAlign w:val="center"/>
            <w:hideMark/>
          </w:tcPr>
          <w:p w14:paraId="350CEFA1"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48.275 </w:t>
            </w:r>
          </w:p>
        </w:tc>
        <w:tc>
          <w:tcPr>
            <w:tcW w:w="1082" w:type="dxa"/>
            <w:tcBorders>
              <w:top w:val="single" w:sz="12" w:space="0" w:color="auto"/>
            </w:tcBorders>
            <w:shd w:val="clear" w:color="auto" w:fill="auto"/>
            <w:noWrap/>
            <w:vAlign w:val="center"/>
            <w:hideMark/>
          </w:tcPr>
          <w:p w14:paraId="4C51BD38"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16.195 </w:t>
            </w:r>
          </w:p>
        </w:tc>
        <w:tc>
          <w:tcPr>
            <w:tcW w:w="1052" w:type="dxa"/>
            <w:tcBorders>
              <w:top w:val="single" w:sz="12" w:space="0" w:color="auto"/>
            </w:tcBorders>
            <w:shd w:val="clear" w:color="auto" w:fill="auto"/>
            <w:noWrap/>
            <w:vAlign w:val="center"/>
            <w:hideMark/>
          </w:tcPr>
          <w:p w14:paraId="76D4DCF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90.605 </w:t>
            </w:r>
          </w:p>
        </w:tc>
        <w:tc>
          <w:tcPr>
            <w:tcW w:w="993" w:type="dxa"/>
            <w:tcBorders>
              <w:top w:val="single" w:sz="12" w:space="0" w:color="auto"/>
            </w:tcBorders>
            <w:shd w:val="clear" w:color="auto" w:fill="auto"/>
            <w:noWrap/>
            <w:vAlign w:val="center"/>
            <w:hideMark/>
          </w:tcPr>
          <w:p w14:paraId="5F2ED955"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21.296 </w:t>
            </w:r>
          </w:p>
        </w:tc>
        <w:tc>
          <w:tcPr>
            <w:tcW w:w="1134" w:type="dxa"/>
            <w:tcBorders>
              <w:top w:val="single" w:sz="12" w:space="0" w:color="auto"/>
            </w:tcBorders>
            <w:shd w:val="clear" w:color="auto" w:fill="auto"/>
            <w:noWrap/>
            <w:vAlign w:val="center"/>
            <w:hideMark/>
          </w:tcPr>
          <w:p w14:paraId="235482C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114.115 </w:t>
            </w:r>
          </w:p>
        </w:tc>
        <w:tc>
          <w:tcPr>
            <w:tcW w:w="992" w:type="dxa"/>
            <w:tcBorders>
              <w:top w:val="single" w:sz="12" w:space="0" w:color="auto"/>
            </w:tcBorders>
            <w:shd w:val="clear" w:color="auto" w:fill="auto"/>
            <w:noWrap/>
            <w:vAlign w:val="bottom"/>
            <w:hideMark/>
          </w:tcPr>
          <w:p w14:paraId="7C2A9BAE"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17.793 </w:t>
            </w:r>
          </w:p>
        </w:tc>
      </w:tr>
      <w:tr w:rsidR="002058BB" w:rsidRPr="002058BB" w14:paraId="753D9B5B" w14:textId="77777777" w:rsidTr="0026749E">
        <w:trPr>
          <w:trHeight w:val="315"/>
          <w:jc w:val="center"/>
        </w:trPr>
        <w:tc>
          <w:tcPr>
            <w:tcW w:w="1731" w:type="dxa"/>
            <w:shd w:val="clear" w:color="auto" w:fill="auto"/>
            <w:noWrap/>
            <w:vAlign w:val="center"/>
            <w:hideMark/>
          </w:tcPr>
          <w:p w14:paraId="5B7394B8"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Francia</w:t>
            </w:r>
          </w:p>
        </w:tc>
        <w:tc>
          <w:tcPr>
            <w:tcW w:w="1228" w:type="dxa"/>
            <w:shd w:val="clear" w:color="auto" w:fill="auto"/>
            <w:noWrap/>
            <w:vAlign w:val="center"/>
            <w:hideMark/>
          </w:tcPr>
          <w:p w14:paraId="7C1D456F"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9.655 </w:t>
            </w:r>
          </w:p>
        </w:tc>
        <w:tc>
          <w:tcPr>
            <w:tcW w:w="1082" w:type="dxa"/>
            <w:shd w:val="clear" w:color="auto" w:fill="auto"/>
            <w:noWrap/>
            <w:vAlign w:val="center"/>
            <w:hideMark/>
          </w:tcPr>
          <w:p w14:paraId="09FDB76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2.587 </w:t>
            </w:r>
          </w:p>
        </w:tc>
        <w:tc>
          <w:tcPr>
            <w:tcW w:w="1052" w:type="dxa"/>
            <w:shd w:val="clear" w:color="auto" w:fill="auto"/>
            <w:noWrap/>
            <w:vAlign w:val="center"/>
            <w:hideMark/>
          </w:tcPr>
          <w:p w14:paraId="65728D10"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14.282 </w:t>
            </w:r>
          </w:p>
        </w:tc>
        <w:tc>
          <w:tcPr>
            <w:tcW w:w="993" w:type="dxa"/>
            <w:shd w:val="clear" w:color="auto" w:fill="auto"/>
            <w:noWrap/>
            <w:vAlign w:val="center"/>
            <w:hideMark/>
          </w:tcPr>
          <w:p w14:paraId="769A8F0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2.410 </w:t>
            </w:r>
          </w:p>
        </w:tc>
        <w:tc>
          <w:tcPr>
            <w:tcW w:w="1134" w:type="dxa"/>
            <w:shd w:val="clear" w:color="auto" w:fill="auto"/>
            <w:noWrap/>
            <w:vAlign w:val="center"/>
            <w:hideMark/>
          </w:tcPr>
          <w:p w14:paraId="226EE9A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19.268 </w:t>
            </w:r>
          </w:p>
        </w:tc>
        <w:tc>
          <w:tcPr>
            <w:tcW w:w="992" w:type="dxa"/>
            <w:shd w:val="clear" w:color="auto" w:fill="auto"/>
            <w:noWrap/>
            <w:vAlign w:val="bottom"/>
            <w:hideMark/>
          </w:tcPr>
          <w:p w14:paraId="1407406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2.225 </w:t>
            </w:r>
          </w:p>
        </w:tc>
      </w:tr>
      <w:tr w:rsidR="002058BB" w:rsidRPr="002058BB" w14:paraId="77125ED9" w14:textId="77777777" w:rsidTr="0026749E">
        <w:trPr>
          <w:trHeight w:val="330"/>
          <w:jc w:val="center"/>
        </w:trPr>
        <w:tc>
          <w:tcPr>
            <w:tcW w:w="1731" w:type="dxa"/>
            <w:shd w:val="clear" w:color="auto" w:fill="auto"/>
            <w:noWrap/>
            <w:vAlign w:val="center"/>
            <w:hideMark/>
          </w:tcPr>
          <w:p w14:paraId="577DF542"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Alemania</w:t>
            </w:r>
          </w:p>
        </w:tc>
        <w:tc>
          <w:tcPr>
            <w:tcW w:w="1228" w:type="dxa"/>
            <w:shd w:val="clear" w:color="auto" w:fill="auto"/>
            <w:noWrap/>
            <w:vAlign w:val="center"/>
            <w:hideMark/>
          </w:tcPr>
          <w:p w14:paraId="1636C0EB"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2.682 </w:t>
            </w:r>
          </w:p>
        </w:tc>
        <w:tc>
          <w:tcPr>
            <w:tcW w:w="1082" w:type="dxa"/>
            <w:shd w:val="clear" w:color="auto" w:fill="auto"/>
            <w:noWrap/>
            <w:vAlign w:val="center"/>
            <w:hideMark/>
          </w:tcPr>
          <w:p w14:paraId="4D93A5FA"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914 </w:t>
            </w:r>
          </w:p>
        </w:tc>
        <w:tc>
          <w:tcPr>
            <w:tcW w:w="1052" w:type="dxa"/>
            <w:shd w:val="clear" w:color="auto" w:fill="auto"/>
            <w:noWrap/>
            <w:vAlign w:val="center"/>
            <w:hideMark/>
          </w:tcPr>
          <w:p w14:paraId="345340E9"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8.585 </w:t>
            </w:r>
          </w:p>
        </w:tc>
        <w:tc>
          <w:tcPr>
            <w:tcW w:w="993" w:type="dxa"/>
            <w:shd w:val="clear" w:color="auto" w:fill="auto"/>
            <w:noWrap/>
            <w:vAlign w:val="center"/>
            <w:hideMark/>
          </w:tcPr>
          <w:p w14:paraId="78EE035B"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1.760 </w:t>
            </w:r>
          </w:p>
        </w:tc>
        <w:tc>
          <w:tcPr>
            <w:tcW w:w="1134" w:type="dxa"/>
            <w:shd w:val="clear" w:color="auto" w:fill="auto"/>
            <w:noWrap/>
            <w:vAlign w:val="center"/>
            <w:hideMark/>
          </w:tcPr>
          <w:p w14:paraId="5E03BCA8"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13.096 </w:t>
            </w:r>
          </w:p>
        </w:tc>
        <w:tc>
          <w:tcPr>
            <w:tcW w:w="992" w:type="dxa"/>
            <w:shd w:val="clear" w:color="auto" w:fill="auto"/>
            <w:noWrap/>
            <w:vAlign w:val="bottom"/>
            <w:hideMark/>
          </w:tcPr>
          <w:p w14:paraId="506969F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1.906 </w:t>
            </w:r>
          </w:p>
        </w:tc>
      </w:tr>
      <w:tr w:rsidR="002058BB" w:rsidRPr="002058BB" w14:paraId="781ED616" w14:textId="77777777" w:rsidTr="0026749E">
        <w:trPr>
          <w:trHeight w:val="315"/>
          <w:jc w:val="center"/>
        </w:trPr>
        <w:tc>
          <w:tcPr>
            <w:tcW w:w="1731" w:type="dxa"/>
            <w:shd w:val="clear" w:color="auto" w:fill="auto"/>
            <w:noWrap/>
            <w:vAlign w:val="center"/>
            <w:hideMark/>
          </w:tcPr>
          <w:p w14:paraId="16CDA74A"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Países Bajos</w:t>
            </w:r>
          </w:p>
        </w:tc>
        <w:tc>
          <w:tcPr>
            <w:tcW w:w="1228" w:type="dxa"/>
            <w:shd w:val="clear" w:color="auto" w:fill="auto"/>
            <w:noWrap/>
            <w:vAlign w:val="center"/>
            <w:hideMark/>
          </w:tcPr>
          <w:p w14:paraId="6A97907B"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4.641 </w:t>
            </w:r>
          </w:p>
        </w:tc>
        <w:tc>
          <w:tcPr>
            <w:tcW w:w="1082" w:type="dxa"/>
            <w:shd w:val="clear" w:color="auto" w:fill="auto"/>
            <w:noWrap/>
            <w:vAlign w:val="center"/>
            <w:hideMark/>
          </w:tcPr>
          <w:p w14:paraId="538EAD47"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1.457 </w:t>
            </w:r>
          </w:p>
        </w:tc>
        <w:tc>
          <w:tcPr>
            <w:tcW w:w="1052" w:type="dxa"/>
            <w:shd w:val="clear" w:color="auto" w:fill="auto"/>
            <w:noWrap/>
            <w:vAlign w:val="center"/>
            <w:hideMark/>
          </w:tcPr>
          <w:p w14:paraId="239A5A88"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10.076 </w:t>
            </w:r>
          </w:p>
        </w:tc>
        <w:tc>
          <w:tcPr>
            <w:tcW w:w="993" w:type="dxa"/>
            <w:shd w:val="clear" w:color="auto" w:fill="auto"/>
            <w:noWrap/>
            <w:vAlign w:val="center"/>
            <w:hideMark/>
          </w:tcPr>
          <w:p w14:paraId="738FCFC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2.379 </w:t>
            </w:r>
          </w:p>
        </w:tc>
        <w:tc>
          <w:tcPr>
            <w:tcW w:w="1134" w:type="dxa"/>
            <w:shd w:val="clear" w:color="auto" w:fill="auto"/>
            <w:noWrap/>
            <w:vAlign w:val="center"/>
            <w:hideMark/>
          </w:tcPr>
          <w:p w14:paraId="6F23AE62"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11.024 </w:t>
            </w:r>
          </w:p>
        </w:tc>
        <w:tc>
          <w:tcPr>
            <w:tcW w:w="992" w:type="dxa"/>
            <w:shd w:val="clear" w:color="auto" w:fill="auto"/>
            <w:noWrap/>
            <w:vAlign w:val="bottom"/>
            <w:hideMark/>
          </w:tcPr>
          <w:p w14:paraId="46E5C76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1.620 </w:t>
            </w:r>
          </w:p>
        </w:tc>
      </w:tr>
      <w:tr w:rsidR="002058BB" w:rsidRPr="002058BB" w14:paraId="223EC753" w14:textId="77777777" w:rsidTr="0026749E">
        <w:trPr>
          <w:trHeight w:val="315"/>
          <w:jc w:val="center"/>
        </w:trPr>
        <w:tc>
          <w:tcPr>
            <w:tcW w:w="1731" w:type="dxa"/>
            <w:shd w:val="clear" w:color="auto" w:fill="auto"/>
            <w:noWrap/>
            <w:vAlign w:val="center"/>
            <w:hideMark/>
          </w:tcPr>
          <w:p w14:paraId="520801E0"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Canadá</w:t>
            </w:r>
          </w:p>
        </w:tc>
        <w:tc>
          <w:tcPr>
            <w:tcW w:w="1228" w:type="dxa"/>
            <w:shd w:val="clear" w:color="auto" w:fill="auto"/>
            <w:noWrap/>
            <w:vAlign w:val="center"/>
            <w:hideMark/>
          </w:tcPr>
          <w:p w14:paraId="183CE032"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5.205 </w:t>
            </w:r>
          </w:p>
        </w:tc>
        <w:tc>
          <w:tcPr>
            <w:tcW w:w="1082" w:type="dxa"/>
            <w:shd w:val="clear" w:color="auto" w:fill="auto"/>
            <w:noWrap/>
            <w:vAlign w:val="center"/>
            <w:hideMark/>
          </w:tcPr>
          <w:p w14:paraId="72718E44"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1.736 </w:t>
            </w:r>
          </w:p>
        </w:tc>
        <w:tc>
          <w:tcPr>
            <w:tcW w:w="1052" w:type="dxa"/>
            <w:shd w:val="clear" w:color="auto" w:fill="auto"/>
            <w:noWrap/>
            <w:vAlign w:val="center"/>
            <w:hideMark/>
          </w:tcPr>
          <w:p w14:paraId="096BB813"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10.342 </w:t>
            </w:r>
          </w:p>
        </w:tc>
        <w:tc>
          <w:tcPr>
            <w:tcW w:w="993" w:type="dxa"/>
            <w:shd w:val="clear" w:color="auto" w:fill="auto"/>
            <w:noWrap/>
            <w:vAlign w:val="center"/>
            <w:hideMark/>
          </w:tcPr>
          <w:p w14:paraId="04815DA3"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2.444 </w:t>
            </w:r>
          </w:p>
        </w:tc>
        <w:tc>
          <w:tcPr>
            <w:tcW w:w="1134" w:type="dxa"/>
            <w:shd w:val="clear" w:color="auto" w:fill="auto"/>
            <w:noWrap/>
            <w:vAlign w:val="center"/>
            <w:hideMark/>
          </w:tcPr>
          <w:p w14:paraId="71F1FA8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10.517 </w:t>
            </w:r>
          </w:p>
        </w:tc>
        <w:tc>
          <w:tcPr>
            <w:tcW w:w="992" w:type="dxa"/>
            <w:shd w:val="clear" w:color="auto" w:fill="auto"/>
            <w:noWrap/>
            <w:vAlign w:val="bottom"/>
            <w:hideMark/>
          </w:tcPr>
          <w:p w14:paraId="6B25BFDF"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1.629 </w:t>
            </w:r>
          </w:p>
        </w:tc>
      </w:tr>
      <w:tr w:rsidR="002058BB" w:rsidRPr="002058BB" w14:paraId="5954F489" w14:textId="77777777" w:rsidTr="0026749E">
        <w:trPr>
          <w:trHeight w:val="315"/>
          <w:jc w:val="center"/>
        </w:trPr>
        <w:tc>
          <w:tcPr>
            <w:tcW w:w="1731" w:type="dxa"/>
            <w:shd w:val="clear" w:color="auto" w:fill="auto"/>
            <w:noWrap/>
            <w:vAlign w:val="center"/>
            <w:hideMark/>
          </w:tcPr>
          <w:p w14:paraId="5D7171A0"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Australia</w:t>
            </w:r>
          </w:p>
        </w:tc>
        <w:tc>
          <w:tcPr>
            <w:tcW w:w="1228" w:type="dxa"/>
            <w:shd w:val="clear" w:color="auto" w:fill="auto"/>
            <w:noWrap/>
            <w:vAlign w:val="center"/>
            <w:hideMark/>
          </w:tcPr>
          <w:p w14:paraId="6420E2F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1.887 </w:t>
            </w:r>
          </w:p>
        </w:tc>
        <w:tc>
          <w:tcPr>
            <w:tcW w:w="1082" w:type="dxa"/>
            <w:shd w:val="clear" w:color="auto" w:fill="auto"/>
            <w:noWrap/>
            <w:vAlign w:val="center"/>
            <w:hideMark/>
          </w:tcPr>
          <w:p w14:paraId="5CB0D1E9"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546 </w:t>
            </w:r>
          </w:p>
        </w:tc>
        <w:tc>
          <w:tcPr>
            <w:tcW w:w="1052" w:type="dxa"/>
            <w:shd w:val="clear" w:color="auto" w:fill="auto"/>
            <w:noWrap/>
            <w:vAlign w:val="center"/>
            <w:hideMark/>
          </w:tcPr>
          <w:p w14:paraId="0671B4D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5.342 </w:t>
            </w:r>
          </w:p>
        </w:tc>
        <w:tc>
          <w:tcPr>
            <w:tcW w:w="993" w:type="dxa"/>
            <w:shd w:val="clear" w:color="auto" w:fill="auto"/>
            <w:noWrap/>
            <w:vAlign w:val="center"/>
            <w:hideMark/>
          </w:tcPr>
          <w:p w14:paraId="53340DE6"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1.023 </w:t>
            </w:r>
          </w:p>
        </w:tc>
        <w:tc>
          <w:tcPr>
            <w:tcW w:w="1134" w:type="dxa"/>
            <w:shd w:val="clear" w:color="auto" w:fill="auto"/>
            <w:noWrap/>
            <w:vAlign w:val="center"/>
            <w:hideMark/>
          </w:tcPr>
          <w:p w14:paraId="0F061051"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9.326 </w:t>
            </w:r>
          </w:p>
        </w:tc>
        <w:tc>
          <w:tcPr>
            <w:tcW w:w="992" w:type="dxa"/>
            <w:shd w:val="clear" w:color="auto" w:fill="auto"/>
            <w:noWrap/>
            <w:vAlign w:val="bottom"/>
            <w:hideMark/>
          </w:tcPr>
          <w:p w14:paraId="76ACAC25"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1.434 </w:t>
            </w:r>
          </w:p>
        </w:tc>
      </w:tr>
      <w:tr w:rsidR="002058BB" w:rsidRPr="002058BB" w14:paraId="39D1A47D" w14:textId="77777777" w:rsidTr="0026749E">
        <w:trPr>
          <w:trHeight w:val="315"/>
          <w:jc w:val="center"/>
        </w:trPr>
        <w:tc>
          <w:tcPr>
            <w:tcW w:w="1731" w:type="dxa"/>
            <w:shd w:val="clear" w:color="auto" w:fill="auto"/>
            <w:noWrap/>
            <w:vAlign w:val="center"/>
            <w:hideMark/>
          </w:tcPr>
          <w:p w14:paraId="2B361798"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España</w:t>
            </w:r>
          </w:p>
        </w:tc>
        <w:tc>
          <w:tcPr>
            <w:tcW w:w="1228" w:type="dxa"/>
            <w:shd w:val="clear" w:color="auto" w:fill="auto"/>
            <w:noWrap/>
            <w:vAlign w:val="center"/>
            <w:hideMark/>
          </w:tcPr>
          <w:p w14:paraId="5533E44E"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288 </w:t>
            </w:r>
          </w:p>
        </w:tc>
        <w:tc>
          <w:tcPr>
            <w:tcW w:w="1082" w:type="dxa"/>
            <w:shd w:val="clear" w:color="auto" w:fill="auto"/>
            <w:noWrap/>
            <w:vAlign w:val="center"/>
            <w:hideMark/>
          </w:tcPr>
          <w:p w14:paraId="42CA661E"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99 </w:t>
            </w:r>
          </w:p>
        </w:tc>
        <w:tc>
          <w:tcPr>
            <w:tcW w:w="1052" w:type="dxa"/>
            <w:shd w:val="clear" w:color="auto" w:fill="auto"/>
            <w:noWrap/>
            <w:vAlign w:val="center"/>
            <w:hideMark/>
          </w:tcPr>
          <w:p w14:paraId="69BC684F"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2.058 </w:t>
            </w:r>
          </w:p>
        </w:tc>
        <w:tc>
          <w:tcPr>
            <w:tcW w:w="993" w:type="dxa"/>
            <w:shd w:val="clear" w:color="auto" w:fill="auto"/>
            <w:noWrap/>
            <w:vAlign w:val="center"/>
            <w:hideMark/>
          </w:tcPr>
          <w:p w14:paraId="7BFA8F9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409 </w:t>
            </w:r>
          </w:p>
        </w:tc>
        <w:tc>
          <w:tcPr>
            <w:tcW w:w="1134" w:type="dxa"/>
            <w:shd w:val="clear" w:color="auto" w:fill="auto"/>
            <w:noWrap/>
            <w:vAlign w:val="center"/>
            <w:hideMark/>
          </w:tcPr>
          <w:p w14:paraId="56646FF9"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4.470 </w:t>
            </w:r>
          </w:p>
        </w:tc>
        <w:tc>
          <w:tcPr>
            <w:tcW w:w="992" w:type="dxa"/>
            <w:shd w:val="clear" w:color="auto" w:fill="auto"/>
            <w:noWrap/>
            <w:vAlign w:val="bottom"/>
            <w:hideMark/>
          </w:tcPr>
          <w:p w14:paraId="662879B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596 </w:t>
            </w:r>
          </w:p>
        </w:tc>
      </w:tr>
      <w:tr w:rsidR="002058BB" w:rsidRPr="002058BB" w14:paraId="66C7488C" w14:textId="77777777" w:rsidTr="0026749E">
        <w:trPr>
          <w:trHeight w:val="315"/>
          <w:jc w:val="center"/>
        </w:trPr>
        <w:tc>
          <w:tcPr>
            <w:tcW w:w="1731" w:type="dxa"/>
            <w:shd w:val="clear" w:color="auto" w:fill="auto"/>
            <w:noWrap/>
            <w:vAlign w:val="center"/>
            <w:hideMark/>
          </w:tcPr>
          <w:p w14:paraId="3AA02ECB"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Bélgica</w:t>
            </w:r>
          </w:p>
        </w:tc>
        <w:tc>
          <w:tcPr>
            <w:tcW w:w="1228" w:type="dxa"/>
            <w:shd w:val="clear" w:color="auto" w:fill="auto"/>
            <w:noWrap/>
            <w:vAlign w:val="center"/>
            <w:hideMark/>
          </w:tcPr>
          <w:p w14:paraId="2E30045A"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240 </w:t>
            </w:r>
          </w:p>
        </w:tc>
        <w:tc>
          <w:tcPr>
            <w:tcW w:w="1082" w:type="dxa"/>
            <w:shd w:val="clear" w:color="auto" w:fill="auto"/>
            <w:noWrap/>
            <w:vAlign w:val="center"/>
            <w:hideMark/>
          </w:tcPr>
          <w:p w14:paraId="0323CC09"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80 </w:t>
            </w:r>
          </w:p>
        </w:tc>
        <w:tc>
          <w:tcPr>
            <w:tcW w:w="1052" w:type="dxa"/>
            <w:shd w:val="clear" w:color="auto" w:fill="auto"/>
            <w:noWrap/>
            <w:vAlign w:val="center"/>
            <w:hideMark/>
          </w:tcPr>
          <w:p w14:paraId="0F5738D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1.930 </w:t>
            </w:r>
          </w:p>
        </w:tc>
        <w:tc>
          <w:tcPr>
            <w:tcW w:w="993" w:type="dxa"/>
            <w:shd w:val="clear" w:color="auto" w:fill="auto"/>
            <w:noWrap/>
            <w:vAlign w:val="center"/>
            <w:hideMark/>
          </w:tcPr>
          <w:p w14:paraId="202CFD42"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460 </w:t>
            </w:r>
          </w:p>
        </w:tc>
        <w:tc>
          <w:tcPr>
            <w:tcW w:w="1134" w:type="dxa"/>
            <w:shd w:val="clear" w:color="auto" w:fill="auto"/>
            <w:noWrap/>
            <w:vAlign w:val="center"/>
            <w:hideMark/>
          </w:tcPr>
          <w:p w14:paraId="78FC9355"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4.193 </w:t>
            </w:r>
          </w:p>
        </w:tc>
        <w:tc>
          <w:tcPr>
            <w:tcW w:w="992" w:type="dxa"/>
            <w:shd w:val="clear" w:color="auto" w:fill="auto"/>
            <w:noWrap/>
            <w:vAlign w:val="bottom"/>
            <w:hideMark/>
          </w:tcPr>
          <w:p w14:paraId="0CAD133A"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660 </w:t>
            </w:r>
          </w:p>
        </w:tc>
      </w:tr>
      <w:tr w:rsidR="002058BB" w:rsidRPr="002058BB" w14:paraId="224A5F6E" w14:textId="77777777" w:rsidTr="0026749E">
        <w:trPr>
          <w:trHeight w:val="315"/>
          <w:jc w:val="center"/>
        </w:trPr>
        <w:tc>
          <w:tcPr>
            <w:tcW w:w="1731" w:type="dxa"/>
            <w:shd w:val="clear" w:color="auto" w:fill="auto"/>
            <w:noWrap/>
            <w:vAlign w:val="center"/>
            <w:hideMark/>
          </w:tcPr>
          <w:p w14:paraId="063710B5"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Reino Unido</w:t>
            </w:r>
          </w:p>
        </w:tc>
        <w:tc>
          <w:tcPr>
            <w:tcW w:w="1228" w:type="dxa"/>
            <w:shd w:val="clear" w:color="auto" w:fill="auto"/>
            <w:noWrap/>
            <w:vAlign w:val="center"/>
            <w:hideMark/>
          </w:tcPr>
          <w:p w14:paraId="0988AE2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1.072 </w:t>
            </w:r>
          </w:p>
        </w:tc>
        <w:tc>
          <w:tcPr>
            <w:tcW w:w="1082" w:type="dxa"/>
            <w:shd w:val="clear" w:color="auto" w:fill="auto"/>
            <w:noWrap/>
            <w:vAlign w:val="center"/>
            <w:hideMark/>
          </w:tcPr>
          <w:p w14:paraId="5B8E8D39"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368 </w:t>
            </w:r>
          </w:p>
        </w:tc>
        <w:tc>
          <w:tcPr>
            <w:tcW w:w="1052" w:type="dxa"/>
            <w:shd w:val="clear" w:color="auto" w:fill="auto"/>
            <w:noWrap/>
            <w:vAlign w:val="center"/>
            <w:hideMark/>
          </w:tcPr>
          <w:p w14:paraId="06CCA93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1.873 </w:t>
            </w:r>
          </w:p>
        </w:tc>
        <w:tc>
          <w:tcPr>
            <w:tcW w:w="993" w:type="dxa"/>
            <w:shd w:val="clear" w:color="auto" w:fill="auto"/>
            <w:noWrap/>
            <w:vAlign w:val="center"/>
            <w:hideMark/>
          </w:tcPr>
          <w:p w14:paraId="7485415A"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464 </w:t>
            </w:r>
          </w:p>
        </w:tc>
        <w:tc>
          <w:tcPr>
            <w:tcW w:w="1134" w:type="dxa"/>
            <w:shd w:val="clear" w:color="auto" w:fill="auto"/>
            <w:noWrap/>
            <w:vAlign w:val="center"/>
            <w:hideMark/>
          </w:tcPr>
          <w:p w14:paraId="372922BD"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1.792 </w:t>
            </w:r>
          </w:p>
        </w:tc>
        <w:tc>
          <w:tcPr>
            <w:tcW w:w="992" w:type="dxa"/>
            <w:shd w:val="clear" w:color="auto" w:fill="auto"/>
            <w:noWrap/>
            <w:vAlign w:val="bottom"/>
            <w:hideMark/>
          </w:tcPr>
          <w:p w14:paraId="40268F0B"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280 </w:t>
            </w:r>
          </w:p>
        </w:tc>
      </w:tr>
      <w:tr w:rsidR="002058BB" w:rsidRPr="002058BB" w14:paraId="0030CF1E" w14:textId="77777777" w:rsidTr="0026749E">
        <w:trPr>
          <w:trHeight w:val="315"/>
          <w:jc w:val="center"/>
        </w:trPr>
        <w:tc>
          <w:tcPr>
            <w:tcW w:w="1731" w:type="dxa"/>
            <w:shd w:val="clear" w:color="auto" w:fill="auto"/>
            <w:noWrap/>
            <w:vAlign w:val="center"/>
            <w:hideMark/>
          </w:tcPr>
          <w:p w14:paraId="1A3BCEE9"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Brasil</w:t>
            </w:r>
          </w:p>
        </w:tc>
        <w:tc>
          <w:tcPr>
            <w:tcW w:w="1228" w:type="dxa"/>
            <w:shd w:val="clear" w:color="auto" w:fill="auto"/>
            <w:noWrap/>
            <w:vAlign w:val="center"/>
            <w:hideMark/>
          </w:tcPr>
          <w:p w14:paraId="037D9338"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1.587 </w:t>
            </w:r>
          </w:p>
        </w:tc>
        <w:tc>
          <w:tcPr>
            <w:tcW w:w="1082" w:type="dxa"/>
            <w:shd w:val="clear" w:color="auto" w:fill="auto"/>
            <w:noWrap/>
            <w:vAlign w:val="center"/>
            <w:hideMark/>
          </w:tcPr>
          <w:p w14:paraId="03858544"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480 </w:t>
            </w:r>
          </w:p>
        </w:tc>
        <w:tc>
          <w:tcPr>
            <w:tcW w:w="1052" w:type="dxa"/>
            <w:shd w:val="clear" w:color="auto" w:fill="auto"/>
            <w:noWrap/>
            <w:vAlign w:val="center"/>
            <w:hideMark/>
          </w:tcPr>
          <w:p w14:paraId="345644D7"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2.712 </w:t>
            </w:r>
          </w:p>
        </w:tc>
        <w:tc>
          <w:tcPr>
            <w:tcW w:w="993" w:type="dxa"/>
            <w:shd w:val="clear" w:color="auto" w:fill="auto"/>
            <w:noWrap/>
            <w:vAlign w:val="center"/>
            <w:hideMark/>
          </w:tcPr>
          <w:p w14:paraId="6C9BBC5A"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684 </w:t>
            </w:r>
          </w:p>
        </w:tc>
        <w:tc>
          <w:tcPr>
            <w:tcW w:w="1134" w:type="dxa"/>
            <w:shd w:val="clear" w:color="auto" w:fill="auto"/>
            <w:noWrap/>
            <w:vAlign w:val="center"/>
            <w:hideMark/>
          </w:tcPr>
          <w:p w14:paraId="2D95B724"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1.426 </w:t>
            </w:r>
          </w:p>
        </w:tc>
        <w:tc>
          <w:tcPr>
            <w:tcW w:w="992" w:type="dxa"/>
            <w:shd w:val="clear" w:color="auto" w:fill="auto"/>
            <w:noWrap/>
            <w:vAlign w:val="bottom"/>
            <w:hideMark/>
          </w:tcPr>
          <w:p w14:paraId="639FB00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212 </w:t>
            </w:r>
          </w:p>
        </w:tc>
      </w:tr>
      <w:tr w:rsidR="002058BB" w:rsidRPr="002058BB" w14:paraId="393563B5" w14:textId="77777777" w:rsidTr="0026749E">
        <w:trPr>
          <w:trHeight w:val="315"/>
          <w:jc w:val="center"/>
        </w:trPr>
        <w:tc>
          <w:tcPr>
            <w:tcW w:w="1731" w:type="dxa"/>
            <w:shd w:val="clear" w:color="auto" w:fill="auto"/>
            <w:noWrap/>
            <w:vAlign w:val="center"/>
            <w:hideMark/>
          </w:tcPr>
          <w:p w14:paraId="6B866BD1"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Otros</w:t>
            </w:r>
          </w:p>
        </w:tc>
        <w:tc>
          <w:tcPr>
            <w:tcW w:w="1228" w:type="dxa"/>
            <w:shd w:val="clear" w:color="auto" w:fill="auto"/>
            <w:noWrap/>
            <w:vAlign w:val="center"/>
            <w:hideMark/>
          </w:tcPr>
          <w:p w14:paraId="1EE31A6E"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3.380 </w:t>
            </w:r>
          </w:p>
        </w:tc>
        <w:tc>
          <w:tcPr>
            <w:tcW w:w="1082" w:type="dxa"/>
            <w:shd w:val="clear" w:color="auto" w:fill="auto"/>
            <w:noWrap/>
            <w:vAlign w:val="center"/>
            <w:hideMark/>
          </w:tcPr>
          <w:p w14:paraId="0979A63C"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1.201 </w:t>
            </w:r>
          </w:p>
        </w:tc>
        <w:tc>
          <w:tcPr>
            <w:tcW w:w="1052" w:type="dxa"/>
            <w:shd w:val="clear" w:color="auto" w:fill="auto"/>
            <w:noWrap/>
            <w:vAlign w:val="center"/>
            <w:hideMark/>
          </w:tcPr>
          <w:p w14:paraId="1AEB0F16"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5.454 </w:t>
            </w:r>
          </w:p>
        </w:tc>
        <w:tc>
          <w:tcPr>
            <w:tcW w:w="993" w:type="dxa"/>
            <w:shd w:val="clear" w:color="auto" w:fill="auto"/>
            <w:noWrap/>
            <w:vAlign w:val="center"/>
            <w:hideMark/>
          </w:tcPr>
          <w:p w14:paraId="46AE76D0"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1.417 </w:t>
            </w:r>
          </w:p>
        </w:tc>
        <w:tc>
          <w:tcPr>
            <w:tcW w:w="1134" w:type="dxa"/>
            <w:shd w:val="clear" w:color="auto" w:fill="auto"/>
            <w:noWrap/>
            <w:vAlign w:val="center"/>
            <w:hideMark/>
          </w:tcPr>
          <w:p w14:paraId="2E10EFC4" w14:textId="77777777" w:rsidR="002058BB" w:rsidRPr="002058BB" w:rsidRDefault="002058BB" w:rsidP="002058BB">
            <w:pPr>
              <w:spacing w:after="0" w:line="240" w:lineRule="auto"/>
              <w:jc w:val="center"/>
              <w:rPr>
                <w:rFonts w:eastAsia="Times New Roman"/>
                <w:color w:val="000000"/>
                <w:szCs w:val="24"/>
                <w:lang w:eastAsia="es-EC"/>
              </w:rPr>
            </w:pPr>
            <w:r w:rsidRPr="002058BB">
              <w:rPr>
                <w:rFonts w:eastAsia="Times New Roman"/>
                <w:color w:val="000000"/>
                <w:szCs w:val="24"/>
                <w:lang w:eastAsia="es-EC"/>
              </w:rPr>
              <w:t xml:space="preserve">      7.410 </w:t>
            </w:r>
          </w:p>
        </w:tc>
        <w:tc>
          <w:tcPr>
            <w:tcW w:w="992" w:type="dxa"/>
            <w:shd w:val="clear" w:color="auto" w:fill="auto"/>
            <w:noWrap/>
            <w:vAlign w:val="bottom"/>
            <w:hideMark/>
          </w:tcPr>
          <w:p w14:paraId="5ACB02C0"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1.150 </w:t>
            </w:r>
          </w:p>
        </w:tc>
      </w:tr>
      <w:tr w:rsidR="002058BB" w:rsidRPr="002058BB" w14:paraId="21F4FCDC" w14:textId="77777777" w:rsidTr="0026749E">
        <w:trPr>
          <w:trHeight w:val="315"/>
          <w:jc w:val="center"/>
        </w:trPr>
        <w:tc>
          <w:tcPr>
            <w:tcW w:w="1731" w:type="dxa"/>
            <w:shd w:val="clear" w:color="auto" w:fill="auto"/>
            <w:noWrap/>
            <w:vAlign w:val="center"/>
            <w:hideMark/>
          </w:tcPr>
          <w:p w14:paraId="503ED611"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Mundo</w:t>
            </w:r>
          </w:p>
        </w:tc>
        <w:tc>
          <w:tcPr>
            <w:tcW w:w="1228" w:type="dxa"/>
            <w:shd w:val="clear" w:color="auto" w:fill="auto"/>
            <w:noWrap/>
            <w:vAlign w:val="center"/>
            <w:hideMark/>
          </w:tcPr>
          <w:p w14:paraId="15A736AD"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 xml:space="preserve">  78.912 </w:t>
            </w:r>
          </w:p>
        </w:tc>
        <w:tc>
          <w:tcPr>
            <w:tcW w:w="1082" w:type="dxa"/>
            <w:shd w:val="clear" w:color="auto" w:fill="auto"/>
            <w:noWrap/>
            <w:vAlign w:val="center"/>
            <w:hideMark/>
          </w:tcPr>
          <w:p w14:paraId="4AE93EEC"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 xml:space="preserve">    25.663 </w:t>
            </w:r>
          </w:p>
        </w:tc>
        <w:tc>
          <w:tcPr>
            <w:tcW w:w="1052" w:type="dxa"/>
            <w:shd w:val="clear" w:color="auto" w:fill="auto"/>
            <w:noWrap/>
            <w:vAlign w:val="center"/>
            <w:hideMark/>
          </w:tcPr>
          <w:p w14:paraId="711FC6C9"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 xml:space="preserve">  153.259 </w:t>
            </w:r>
          </w:p>
        </w:tc>
        <w:tc>
          <w:tcPr>
            <w:tcW w:w="993" w:type="dxa"/>
            <w:shd w:val="clear" w:color="auto" w:fill="auto"/>
            <w:noWrap/>
            <w:vAlign w:val="center"/>
            <w:hideMark/>
          </w:tcPr>
          <w:p w14:paraId="6B1A122A"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 xml:space="preserve">  34.746 </w:t>
            </w:r>
          </w:p>
        </w:tc>
        <w:tc>
          <w:tcPr>
            <w:tcW w:w="1134" w:type="dxa"/>
            <w:shd w:val="clear" w:color="auto" w:fill="auto"/>
            <w:noWrap/>
            <w:vAlign w:val="center"/>
            <w:hideMark/>
          </w:tcPr>
          <w:p w14:paraId="6237CCEB"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 xml:space="preserve">  196.637 </w:t>
            </w:r>
          </w:p>
        </w:tc>
        <w:tc>
          <w:tcPr>
            <w:tcW w:w="992" w:type="dxa"/>
            <w:shd w:val="clear" w:color="auto" w:fill="auto"/>
            <w:noWrap/>
            <w:vAlign w:val="bottom"/>
            <w:hideMark/>
          </w:tcPr>
          <w:p w14:paraId="11BD305C"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29.505 </w:t>
            </w:r>
          </w:p>
        </w:tc>
      </w:tr>
      <w:tr w:rsidR="002058BB" w:rsidRPr="002058BB" w14:paraId="527DD901" w14:textId="77777777" w:rsidTr="0026749E">
        <w:trPr>
          <w:trHeight w:val="330"/>
          <w:jc w:val="center"/>
        </w:trPr>
        <w:tc>
          <w:tcPr>
            <w:tcW w:w="1731" w:type="dxa"/>
            <w:shd w:val="clear" w:color="auto" w:fill="auto"/>
            <w:noWrap/>
            <w:vAlign w:val="center"/>
            <w:hideMark/>
          </w:tcPr>
          <w:p w14:paraId="4E9549AE"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USD / Ton</w:t>
            </w:r>
            <w:r w:rsidR="00945D59">
              <w:rPr>
                <w:rFonts w:eastAsia="Times New Roman"/>
                <w:b/>
                <w:color w:val="000000"/>
                <w:szCs w:val="24"/>
                <w:lang w:eastAsia="es-EC"/>
              </w:rPr>
              <w:t>*</w:t>
            </w:r>
          </w:p>
        </w:tc>
        <w:tc>
          <w:tcPr>
            <w:tcW w:w="2310" w:type="dxa"/>
            <w:gridSpan w:val="2"/>
            <w:shd w:val="clear" w:color="auto" w:fill="auto"/>
            <w:noWrap/>
            <w:vAlign w:val="center"/>
            <w:hideMark/>
          </w:tcPr>
          <w:p w14:paraId="5038762C"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3,07</w:t>
            </w:r>
          </w:p>
        </w:tc>
        <w:tc>
          <w:tcPr>
            <w:tcW w:w="2045" w:type="dxa"/>
            <w:gridSpan w:val="2"/>
            <w:shd w:val="clear" w:color="auto" w:fill="auto"/>
            <w:noWrap/>
            <w:vAlign w:val="center"/>
            <w:hideMark/>
          </w:tcPr>
          <w:p w14:paraId="211A4749"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4,41</w:t>
            </w:r>
          </w:p>
        </w:tc>
        <w:tc>
          <w:tcPr>
            <w:tcW w:w="2126" w:type="dxa"/>
            <w:gridSpan w:val="2"/>
            <w:shd w:val="clear" w:color="auto" w:fill="auto"/>
            <w:noWrap/>
            <w:vAlign w:val="center"/>
            <w:hideMark/>
          </w:tcPr>
          <w:p w14:paraId="082D7212"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6,66</w:t>
            </w:r>
          </w:p>
        </w:tc>
      </w:tr>
    </w:tbl>
    <w:p w14:paraId="40FAEB9B" w14:textId="4FCE1AC5" w:rsidR="005A1309" w:rsidRPr="0063286C" w:rsidRDefault="00B70183" w:rsidP="0063286C">
      <w:pPr>
        <w:contextualSpacing/>
        <w:jc w:val="left"/>
        <w:rPr>
          <w:sz w:val="18"/>
          <w:szCs w:val="18"/>
        </w:rPr>
      </w:pPr>
      <w:r w:rsidRPr="0063286C">
        <w:rPr>
          <w:sz w:val="18"/>
          <w:szCs w:val="18"/>
        </w:rPr>
        <w:t xml:space="preserve">        </w:t>
      </w:r>
      <w:r w:rsidR="005A1309" w:rsidRPr="0063286C">
        <w:rPr>
          <w:sz w:val="18"/>
          <w:szCs w:val="18"/>
        </w:rPr>
        <w:t>*Valores en miles de dólares</w:t>
      </w:r>
    </w:p>
    <w:p w14:paraId="752D76E4" w14:textId="30E5C80A" w:rsidR="005A1309" w:rsidRPr="0063286C" w:rsidRDefault="00B70183" w:rsidP="0063286C">
      <w:pPr>
        <w:contextualSpacing/>
        <w:jc w:val="left"/>
        <w:rPr>
          <w:sz w:val="18"/>
          <w:szCs w:val="18"/>
        </w:rPr>
      </w:pPr>
      <w:r w:rsidRPr="0063286C">
        <w:rPr>
          <w:sz w:val="18"/>
          <w:szCs w:val="18"/>
        </w:rPr>
        <w:t xml:space="preserve">         </w:t>
      </w:r>
      <w:r w:rsidR="005A1309" w:rsidRPr="0063286C">
        <w:rPr>
          <w:sz w:val="18"/>
          <w:szCs w:val="18"/>
        </w:rPr>
        <w:t xml:space="preserve">Fuente: </w:t>
      </w:r>
      <w:sdt>
        <w:sdtPr>
          <w:rPr>
            <w:sz w:val="18"/>
            <w:szCs w:val="18"/>
          </w:rPr>
          <w:id w:val="10890568"/>
          <w:citation/>
        </w:sdtPr>
        <w:sdtEndPr/>
        <w:sdtContent>
          <w:r w:rsidR="005A1309" w:rsidRPr="0063286C">
            <w:rPr>
              <w:sz w:val="18"/>
              <w:szCs w:val="18"/>
            </w:rPr>
            <w:fldChar w:fldCharType="begin"/>
          </w:r>
          <w:r w:rsidR="005A1309" w:rsidRPr="0063286C">
            <w:rPr>
              <w:sz w:val="18"/>
              <w:szCs w:val="18"/>
            </w:rPr>
            <w:instrText xml:space="preserve">CITATION ITC15 \l 12298 </w:instrText>
          </w:r>
          <w:r w:rsidR="005A1309" w:rsidRPr="0063286C">
            <w:rPr>
              <w:sz w:val="18"/>
              <w:szCs w:val="18"/>
            </w:rPr>
            <w:fldChar w:fldCharType="separate"/>
          </w:r>
          <w:r w:rsidR="00BC1846" w:rsidRPr="0063286C">
            <w:rPr>
              <w:noProof/>
              <w:sz w:val="18"/>
              <w:szCs w:val="18"/>
            </w:rPr>
            <w:t>(Centro de Comercio Internacional, 2015)</w:t>
          </w:r>
          <w:r w:rsidR="005A1309" w:rsidRPr="0063286C">
            <w:rPr>
              <w:sz w:val="18"/>
              <w:szCs w:val="18"/>
            </w:rPr>
            <w:fldChar w:fldCharType="end"/>
          </w:r>
        </w:sdtContent>
      </w:sdt>
    </w:p>
    <w:p w14:paraId="741A0949" w14:textId="77777777" w:rsidR="0063286C" w:rsidRDefault="0063286C" w:rsidP="005A1309"/>
    <w:p w14:paraId="6C370402" w14:textId="77777777" w:rsidR="005A1309" w:rsidRDefault="005A1309" w:rsidP="0063286C">
      <w:pPr>
        <w:contextualSpacing/>
      </w:pPr>
      <w:r>
        <w:t>Desde el 2012 hasta los últimos</w:t>
      </w:r>
      <w:r w:rsidR="008926D9">
        <w:t xml:space="preserve"> datos registrados en el 2014 los</w:t>
      </w:r>
      <w:r>
        <w:t xml:space="preserve"> ingresos</w:t>
      </w:r>
      <w:r w:rsidR="008926D9">
        <w:t xml:space="preserve"> del país</w:t>
      </w:r>
      <w:r>
        <w:t xml:space="preserve"> fruto de las exportaciones se han duplicado, con un crecimiento año contra año 2012-2013 de 94%. Esto tiene su principal explicación en los esfuerzos logrados para la promoción del mismo en el 2013 con la declaratoria de este año como el “Año Mundial de la Quinua” del que se hablará posteriormente. Para el 2014, el crecimiento en porcentaje es menor, 24%, sin embargo, muestra que la tendencia del mercado para el consumo del cereal sigue en aumento.</w:t>
      </w:r>
    </w:p>
    <w:p w14:paraId="15A1B23F" w14:textId="77777777" w:rsidR="005A1309" w:rsidRDefault="005A1309" w:rsidP="0063286C">
      <w:pPr>
        <w:contextualSpacing/>
      </w:pPr>
      <w:r>
        <w:t>El principal destino de las exportaciones del cereal boliviano es Estados Unidos, con una representatividad del 62% en promedio en estos tres años. El segundo mercado al que se dirigen las exportaciones es la Unión Europea, y dentro de este bloque, Francia con 8% de las ventas totales. La tendencia de crecimiento de exportaciones a este país va acorde a la presentada en general, con 29% de incremento 2012-2013 y 53% para el 2014, lo que indica que existe un mercado potencial que puede ser cubierto e incluso mejorado.</w:t>
      </w:r>
    </w:p>
    <w:p w14:paraId="773FD58D" w14:textId="77777777" w:rsidR="005A1309" w:rsidRDefault="005A1309" w:rsidP="0063286C">
      <w:pPr>
        <w:contextualSpacing/>
      </w:pPr>
      <w:r>
        <w:t xml:space="preserve">El comportamiento del volumen exportado no sigue la misma tendencia que el monto en dólares. Para el año 2013, hubo un crecimiento año a año del 35% en toneladas, sin embargo, para el 2014, existe un decremento del 15% en el volumen. Esto se debe a que Perú exportó el cereal a </w:t>
      </w:r>
      <w:r>
        <w:lastRenderedPageBreak/>
        <w:t xml:space="preserve">menor precio. Según el diario boliviano La Razón </w:t>
      </w:r>
      <w:sdt>
        <w:sdtPr>
          <w:id w:val="-1135793368"/>
          <w:citation/>
        </w:sdtPr>
        <w:sdtEndPr/>
        <w:sdtContent>
          <w:r>
            <w:fldChar w:fldCharType="begin"/>
          </w:r>
          <w:r>
            <w:instrText xml:space="preserve">CITATION Qui15 \n  \t  \l 12298 </w:instrText>
          </w:r>
          <w:r>
            <w:fldChar w:fldCharType="separate"/>
          </w:r>
          <w:r w:rsidR="00BC1846">
            <w:rPr>
              <w:noProof/>
            </w:rPr>
            <w:t>(2015)</w:t>
          </w:r>
          <w:r>
            <w:fldChar w:fldCharType="end"/>
          </w:r>
        </w:sdtContent>
      </w:sdt>
      <w:r>
        <w:t xml:space="preserve">, en un artículo que toma la opinión de Jhon García, </w:t>
      </w:r>
      <w:r w:rsidRPr="00F85284">
        <w:t>gerente de Comercialización de la Asociación de Productores de Quinua de Salinas (Apquisa)</w:t>
      </w:r>
      <w:r>
        <w:t>, se afirma que Perú disminuyó el precio disminuy</w:t>
      </w:r>
      <w:r w:rsidR="00E663EE">
        <w:t xml:space="preserve">endo la calidad del grano y los </w:t>
      </w:r>
      <w:r>
        <w:t>sistemas de producción involucrados. Con esta estrategia, Perú se posicionó como el primer exportador de quinua a nivel mundial. El mayor precio al que se vendió el cereal explica que a pesar de haber disminuido el volumen de venta los ingresos hayan crecido.</w:t>
      </w:r>
    </w:p>
    <w:p w14:paraId="66F08B0A" w14:textId="77777777" w:rsidR="00661B8A" w:rsidRDefault="00661B8A" w:rsidP="0063286C">
      <w:pPr>
        <w:contextualSpacing/>
      </w:pPr>
      <w:r>
        <w:t>Ecuador es el tercer exportador de quinua en el mundo, con un porcentaje menor que Bolivia y Perú.</w:t>
      </w:r>
    </w:p>
    <w:p w14:paraId="7E159A97" w14:textId="1DD87CF5" w:rsidR="0063286C" w:rsidRPr="0063286C" w:rsidRDefault="002D02FF" w:rsidP="0063286C">
      <w:pPr>
        <w:pStyle w:val="TtulodeTDC"/>
        <w:spacing w:before="0" w:after="200"/>
        <w:contextualSpacing/>
        <w:rPr>
          <w:i w:val="0"/>
        </w:rPr>
      </w:pPr>
      <w:bookmarkStart w:id="61" w:name="_Toc446973213"/>
      <w:r w:rsidRPr="00BA3BF1">
        <w:rPr>
          <w:i w:val="0"/>
        </w:rPr>
        <w:t xml:space="preserve">Tabla </w:t>
      </w:r>
      <w:r w:rsidR="00CB1C2A" w:rsidRPr="00BA3BF1">
        <w:rPr>
          <w:i w:val="0"/>
        </w:rPr>
        <w:fldChar w:fldCharType="begin"/>
      </w:r>
      <w:r w:rsidR="00CB1C2A" w:rsidRPr="00BA3BF1">
        <w:rPr>
          <w:i w:val="0"/>
        </w:rPr>
        <w:instrText xml:space="preserve"> SEQ Tabla \* ARABIC </w:instrText>
      </w:r>
      <w:r w:rsidR="00CB1C2A" w:rsidRPr="00BA3BF1">
        <w:rPr>
          <w:i w:val="0"/>
        </w:rPr>
        <w:fldChar w:fldCharType="separate"/>
      </w:r>
      <w:r w:rsidR="00B828B8">
        <w:rPr>
          <w:i w:val="0"/>
          <w:noProof/>
        </w:rPr>
        <w:t>15</w:t>
      </w:r>
      <w:r w:rsidR="00CB1C2A" w:rsidRPr="00BA3BF1">
        <w:rPr>
          <w:i w:val="0"/>
          <w:noProof/>
        </w:rPr>
        <w:fldChar w:fldCharType="end"/>
      </w:r>
      <w:r w:rsidRPr="00BA3BF1">
        <w:rPr>
          <w:i w:val="0"/>
        </w:rPr>
        <w:t>: Exportación de Quinua de Ecuador</w:t>
      </w:r>
      <w:bookmarkEnd w:id="61"/>
    </w:p>
    <w:tbl>
      <w:tblPr>
        <w:tblW w:w="8501" w:type="dxa"/>
        <w:jc w:val="center"/>
        <w:tblBorders>
          <w:top w:val="single" w:sz="12" w:space="0" w:color="auto"/>
        </w:tblBorders>
        <w:tblCellMar>
          <w:left w:w="70" w:type="dxa"/>
          <w:right w:w="70" w:type="dxa"/>
        </w:tblCellMar>
        <w:tblLook w:val="04A0" w:firstRow="1" w:lastRow="0" w:firstColumn="1" w:lastColumn="0" w:noHBand="0" w:noVBand="1"/>
      </w:tblPr>
      <w:tblGrid>
        <w:gridCol w:w="1700"/>
        <w:gridCol w:w="1178"/>
        <w:gridCol w:w="1178"/>
        <w:gridCol w:w="1110"/>
        <w:gridCol w:w="1110"/>
        <w:gridCol w:w="1110"/>
        <w:gridCol w:w="1115"/>
      </w:tblGrid>
      <w:tr w:rsidR="002058BB" w:rsidRPr="002058BB" w14:paraId="2C220487" w14:textId="77777777" w:rsidTr="0026749E">
        <w:trPr>
          <w:trHeight w:val="315"/>
          <w:jc w:val="center"/>
        </w:trPr>
        <w:tc>
          <w:tcPr>
            <w:tcW w:w="1700" w:type="dxa"/>
            <w:vMerge w:val="restart"/>
            <w:tcBorders>
              <w:top w:val="single" w:sz="12" w:space="0" w:color="auto"/>
            </w:tcBorders>
            <w:shd w:val="clear" w:color="auto" w:fill="auto"/>
            <w:noWrap/>
            <w:vAlign w:val="bottom"/>
            <w:hideMark/>
          </w:tcPr>
          <w:p w14:paraId="32EFBEA0" w14:textId="77777777" w:rsidR="002058BB" w:rsidRPr="002058BB" w:rsidRDefault="002058BB" w:rsidP="002058BB">
            <w:pPr>
              <w:spacing w:after="0" w:line="240" w:lineRule="auto"/>
              <w:jc w:val="center"/>
              <w:rPr>
                <w:rFonts w:ascii="Calibri" w:eastAsia="Times New Roman" w:hAnsi="Calibri"/>
                <w:color w:val="000000"/>
                <w:sz w:val="22"/>
                <w:lang w:eastAsia="es-EC"/>
              </w:rPr>
            </w:pPr>
            <w:r w:rsidRPr="002058BB">
              <w:rPr>
                <w:rFonts w:ascii="Calibri" w:eastAsia="Times New Roman" w:hAnsi="Calibri"/>
                <w:color w:val="000000"/>
                <w:sz w:val="22"/>
                <w:lang w:eastAsia="es-EC"/>
              </w:rPr>
              <w:t> </w:t>
            </w:r>
          </w:p>
        </w:tc>
        <w:tc>
          <w:tcPr>
            <w:tcW w:w="6801" w:type="dxa"/>
            <w:gridSpan w:val="6"/>
            <w:tcBorders>
              <w:top w:val="single" w:sz="12" w:space="0" w:color="auto"/>
            </w:tcBorders>
            <w:shd w:val="clear" w:color="auto" w:fill="auto"/>
            <w:noWrap/>
            <w:vAlign w:val="center"/>
            <w:hideMark/>
          </w:tcPr>
          <w:p w14:paraId="3270CAD4"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Años</w:t>
            </w:r>
          </w:p>
        </w:tc>
      </w:tr>
      <w:tr w:rsidR="002058BB" w:rsidRPr="002058BB" w14:paraId="3CE4622B" w14:textId="77777777" w:rsidTr="0026749E">
        <w:trPr>
          <w:trHeight w:val="285"/>
          <w:jc w:val="center"/>
        </w:trPr>
        <w:tc>
          <w:tcPr>
            <w:tcW w:w="1700" w:type="dxa"/>
            <w:vMerge/>
            <w:tcBorders>
              <w:top w:val="nil"/>
            </w:tcBorders>
            <w:vAlign w:val="center"/>
            <w:hideMark/>
          </w:tcPr>
          <w:p w14:paraId="30147CE5" w14:textId="77777777" w:rsidR="002058BB" w:rsidRPr="002058BB" w:rsidRDefault="002058BB" w:rsidP="002058BB">
            <w:pPr>
              <w:spacing w:after="0" w:line="240" w:lineRule="auto"/>
              <w:jc w:val="left"/>
              <w:rPr>
                <w:rFonts w:ascii="Calibri" w:eastAsia="Times New Roman" w:hAnsi="Calibri"/>
                <w:color w:val="000000"/>
                <w:sz w:val="22"/>
                <w:lang w:eastAsia="es-EC"/>
              </w:rPr>
            </w:pPr>
          </w:p>
        </w:tc>
        <w:tc>
          <w:tcPr>
            <w:tcW w:w="2356" w:type="dxa"/>
            <w:gridSpan w:val="2"/>
            <w:tcBorders>
              <w:top w:val="nil"/>
            </w:tcBorders>
            <w:shd w:val="clear" w:color="auto" w:fill="auto"/>
            <w:noWrap/>
            <w:vAlign w:val="center"/>
            <w:hideMark/>
          </w:tcPr>
          <w:p w14:paraId="1D082C78"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2012</w:t>
            </w:r>
          </w:p>
        </w:tc>
        <w:tc>
          <w:tcPr>
            <w:tcW w:w="2220" w:type="dxa"/>
            <w:gridSpan w:val="2"/>
            <w:tcBorders>
              <w:top w:val="nil"/>
            </w:tcBorders>
            <w:shd w:val="clear" w:color="auto" w:fill="auto"/>
            <w:noWrap/>
            <w:vAlign w:val="center"/>
            <w:hideMark/>
          </w:tcPr>
          <w:p w14:paraId="5D9EB1D0"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2013</w:t>
            </w:r>
          </w:p>
        </w:tc>
        <w:tc>
          <w:tcPr>
            <w:tcW w:w="2225" w:type="dxa"/>
            <w:gridSpan w:val="2"/>
            <w:tcBorders>
              <w:top w:val="nil"/>
            </w:tcBorders>
            <w:shd w:val="clear" w:color="auto" w:fill="auto"/>
            <w:noWrap/>
            <w:vAlign w:val="center"/>
            <w:hideMark/>
          </w:tcPr>
          <w:p w14:paraId="2C185793"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2014</w:t>
            </w:r>
          </w:p>
        </w:tc>
      </w:tr>
      <w:tr w:rsidR="002058BB" w:rsidRPr="002058BB" w14:paraId="17D6D5C6" w14:textId="77777777" w:rsidTr="0063286C">
        <w:trPr>
          <w:trHeight w:val="80"/>
          <w:jc w:val="center"/>
        </w:trPr>
        <w:tc>
          <w:tcPr>
            <w:tcW w:w="1700" w:type="dxa"/>
            <w:vMerge/>
            <w:tcBorders>
              <w:top w:val="nil"/>
              <w:bottom w:val="single" w:sz="12" w:space="0" w:color="auto"/>
            </w:tcBorders>
            <w:vAlign w:val="center"/>
            <w:hideMark/>
          </w:tcPr>
          <w:p w14:paraId="2096D534" w14:textId="77777777" w:rsidR="002058BB" w:rsidRPr="002058BB" w:rsidRDefault="002058BB" w:rsidP="002058BB">
            <w:pPr>
              <w:spacing w:after="0" w:line="240" w:lineRule="auto"/>
              <w:jc w:val="left"/>
              <w:rPr>
                <w:rFonts w:ascii="Calibri" w:eastAsia="Times New Roman" w:hAnsi="Calibri"/>
                <w:color w:val="000000"/>
                <w:sz w:val="22"/>
                <w:lang w:eastAsia="es-EC"/>
              </w:rPr>
            </w:pPr>
          </w:p>
        </w:tc>
        <w:tc>
          <w:tcPr>
            <w:tcW w:w="1178" w:type="dxa"/>
            <w:tcBorders>
              <w:top w:val="nil"/>
              <w:bottom w:val="single" w:sz="12" w:space="0" w:color="auto"/>
            </w:tcBorders>
            <w:shd w:val="clear" w:color="auto" w:fill="auto"/>
            <w:noWrap/>
            <w:vAlign w:val="center"/>
            <w:hideMark/>
          </w:tcPr>
          <w:p w14:paraId="557DED9A"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1178" w:type="dxa"/>
            <w:tcBorders>
              <w:top w:val="nil"/>
              <w:bottom w:val="single" w:sz="12" w:space="0" w:color="auto"/>
            </w:tcBorders>
            <w:shd w:val="clear" w:color="auto" w:fill="auto"/>
            <w:noWrap/>
            <w:vAlign w:val="center"/>
            <w:hideMark/>
          </w:tcPr>
          <w:p w14:paraId="5B11123F"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c>
          <w:tcPr>
            <w:tcW w:w="1110" w:type="dxa"/>
            <w:tcBorders>
              <w:top w:val="nil"/>
              <w:bottom w:val="single" w:sz="12" w:space="0" w:color="auto"/>
            </w:tcBorders>
            <w:shd w:val="clear" w:color="auto" w:fill="auto"/>
            <w:noWrap/>
            <w:vAlign w:val="center"/>
            <w:hideMark/>
          </w:tcPr>
          <w:p w14:paraId="38F5EAE8"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1110" w:type="dxa"/>
            <w:tcBorders>
              <w:top w:val="nil"/>
              <w:bottom w:val="single" w:sz="12" w:space="0" w:color="auto"/>
            </w:tcBorders>
            <w:shd w:val="clear" w:color="auto" w:fill="auto"/>
            <w:noWrap/>
            <w:vAlign w:val="center"/>
            <w:hideMark/>
          </w:tcPr>
          <w:p w14:paraId="4D418EF6"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c>
          <w:tcPr>
            <w:tcW w:w="1110" w:type="dxa"/>
            <w:tcBorders>
              <w:top w:val="nil"/>
              <w:bottom w:val="single" w:sz="12" w:space="0" w:color="auto"/>
            </w:tcBorders>
            <w:shd w:val="clear" w:color="auto" w:fill="auto"/>
            <w:noWrap/>
            <w:vAlign w:val="center"/>
            <w:hideMark/>
          </w:tcPr>
          <w:p w14:paraId="6716548C"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USD*</w:t>
            </w:r>
          </w:p>
        </w:tc>
        <w:tc>
          <w:tcPr>
            <w:tcW w:w="1115" w:type="dxa"/>
            <w:tcBorders>
              <w:top w:val="nil"/>
              <w:bottom w:val="single" w:sz="12" w:space="0" w:color="auto"/>
            </w:tcBorders>
            <w:shd w:val="clear" w:color="auto" w:fill="auto"/>
            <w:noWrap/>
            <w:vAlign w:val="center"/>
            <w:hideMark/>
          </w:tcPr>
          <w:p w14:paraId="5EB66F40" w14:textId="77777777" w:rsidR="002058BB" w:rsidRPr="002058BB" w:rsidRDefault="002058BB" w:rsidP="002058BB">
            <w:pPr>
              <w:spacing w:after="0" w:line="240" w:lineRule="auto"/>
              <w:jc w:val="center"/>
              <w:rPr>
                <w:rFonts w:eastAsia="Times New Roman"/>
                <w:b/>
                <w:bCs/>
                <w:color w:val="000000"/>
                <w:szCs w:val="24"/>
                <w:lang w:eastAsia="es-EC"/>
              </w:rPr>
            </w:pPr>
            <w:r w:rsidRPr="002058BB">
              <w:rPr>
                <w:rFonts w:eastAsia="Times New Roman"/>
                <w:b/>
                <w:bCs/>
                <w:color w:val="000000"/>
                <w:szCs w:val="24"/>
                <w:lang w:eastAsia="es-EC"/>
              </w:rPr>
              <w:t>Ton</w:t>
            </w:r>
          </w:p>
        </w:tc>
      </w:tr>
      <w:tr w:rsidR="002058BB" w:rsidRPr="002058BB" w14:paraId="0C32572E" w14:textId="77777777" w:rsidTr="0026749E">
        <w:trPr>
          <w:trHeight w:val="315"/>
          <w:jc w:val="center"/>
        </w:trPr>
        <w:tc>
          <w:tcPr>
            <w:tcW w:w="1700" w:type="dxa"/>
            <w:tcBorders>
              <w:top w:val="single" w:sz="12" w:space="0" w:color="auto"/>
            </w:tcBorders>
            <w:shd w:val="clear" w:color="auto" w:fill="auto"/>
            <w:noWrap/>
            <w:vAlign w:val="center"/>
            <w:hideMark/>
          </w:tcPr>
          <w:p w14:paraId="27D3D982"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Estados Unidos</w:t>
            </w:r>
          </w:p>
        </w:tc>
        <w:tc>
          <w:tcPr>
            <w:tcW w:w="1178" w:type="dxa"/>
            <w:tcBorders>
              <w:top w:val="single" w:sz="12" w:space="0" w:color="auto"/>
            </w:tcBorders>
            <w:shd w:val="clear" w:color="auto" w:fill="auto"/>
            <w:noWrap/>
            <w:vAlign w:val="center"/>
            <w:hideMark/>
          </w:tcPr>
          <w:p w14:paraId="054C1C2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1.781 </w:t>
            </w:r>
          </w:p>
        </w:tc>
        <w:tc>
          <w:tcPr>
            <w:tcW w:w="1178" w:type="dxa"/>
            <w:tcBorders>
              <w:top w:val="single" w:sz="12" w:space="0" w:color="auto"/>
            </w:tcBorders>
            <w:shd w:val="clear" w:color="auto" w:fill="auto"/>
            <w:noWrap/>
            <w:vAlign w:val="center"/>
            <w:hideMark/>
          </w:tcPr>
          <w:p w14:paraId="53DFF7E7"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644 </w:t>
            </w:r>
          </w:p>
        </w:tc>
        <w:tc>
          <w:tcPr>
            <w:tcW w:w="1110" w:type="dxa"/>
            <w:tcBorders>
              <w:top w:val="single" w:sz="12" w:space="0" w:color="auto"/>
            </w:tcBorders>
            <w:shd w:val="clear" w:color="auto" w:fill="auto"/>
            <w:noWrap/>
            <w:vAlign w:val="center"/>
            <w:hideMark/>
          </w:tcPr>
          <w:p w14:paraId="5236318F"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386 </w:t>
            </w:r>
          </w:p>
        </w:tc>
        <w:tc>
          <w:tcPr>
            <w:tcW w:w="1110" w:type="dxa"/>
            <w:tcBorders>
              <w:top w:val="single" w:sz="12" w:space="0" w:color="auto"/>
            </w:tcBorders>
            <w:shd w:val="clear" w:color="auto" w:fill="auto"/>
            <w:noWrap/>
            <w:vAlign w:val="center"/>
            <w:hideMark/>
          </w:tcPr>
          <w:p w14:paraId="04181039"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107 </w:t>
            </w:r>
          </w:p>
        </w:tc>
        <w:tc>
          <w:tcPr>
            <w:tcW w:w="1110" w:type="dxa"/>
            <w:tcBorders>
              <w:top w:val="single" w:sz="12" w:space="0" w:color="auto"/>
            </w:tcBorders>
            <w:shd w:val="clear" w:color="auto" w:fill="auto"/>
            <w:noWrap/>
            <w:vAlign w:val="center"/>
            <w:hideMark/>
          </w:tcPr>
          <w:p w14:paraId="2A3302F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2.304 </w:t>
            </w:r>
          </w:p>
        </w:tc>
        <w:tc>
          <w:tcPr>
            <w:tcW w:w="1115" w:type="dxa"/>
            <w:tcBorders>
              <w:top w:val="single" w:sz="12" w:space="0" w:color="auto"/>
            </w:tcBorders>
            <w:shd w:val="clear" w:color="auto" w:fill="auto"/>
            <w:noWrap/>
            <w:vAlign w:val="center"/>
            <w:hideMark/>
          </w:tcPr>
          <w:p w14:paraId="0204C62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503 </w:t>
            </w:r>
          </w:p>
        </w:tc>
      </w:tr>
      <w:tr w:rsidR="002058BB" w:rsidRPr="002058BB" w14:paraId="53A14D56" w14:textId="77777777" w:rsidTr="0026749E">
        <w:trPr>
          <w:trHeight w:val="315"/>
          <w:jc w:val="center"/>
        </w:trPr>
        <w:tc>
          <w:tcPr>
            <w:tcW w:w="1700" w:type="dxa"/>
            <w:shd w:val="clear" w:color="auto" w:fill="auto"/>
            <w:noWrap/>
            <w:vAlign w:val="center"/>
            <w:hideMark/>
          </w:tcPr>
          <w:p w14:paraId="02473C1C"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Países Bajos</w:t>
            </w:r>
          </w:p>
        </w:tc>
        <w:tc>
          <w:tcPr>
            <w:tcW w:w="1178" w:type="dxa"/>
            <w:shd w:val="clear" w:color="auto" w:fill="auto"/>
            <w:noWrap/>
            <w:vAlign w:val="center"/>
            <w:hideMark/>
          </w:tcPr>
          <w:p w14:paraId="01D9B1B8"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78" w:type="dxa"/>
            <w:shd w:val="clear" w:color="auto" w:fill="auto"/>
            <w:noWrap/>
            <w:vAlign w:val="center"/>
            <w:hideMark/>
          </w:tcPr>
          <w:p w14:paraId="178382DE"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10" w:type="dxa"/>
            <w:shd w:val="clear" w:color="auto" w:fill="auto"/>
            <w:noWrap/>
            <w:vAlign w:val="center"/>
            <w:hideMark/>
          </w:tcPr>
          <w:p w14:paraId="2B4049DD"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322 </w:t>
            </w:r>
          </w:p>
        </w:tc>
        <w:tc>
          <w:tcPr>
            <w:tcW w:w="1110" w:type="dxa"/>
            <w:shd w:val="clear" w:color="auto" w:fill="auto"/>
            <w:noWrap/>
            <w:vAlign w:val="center"/>
            <w:hideMark/>
          </w:tcPr>
          <w:p w14:paraId="5C5E745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62 </w:t>
            </w:r>
          </w:p>
        </w:tc>
        <w:tc>
          <w:tcPr>
            <w:tcW w:w="1110" w:type="dxa"/>
            <w:shd w:val="clear" w:color="auto" w:fill="auto"/>
            <w:noWrap/>
            <w:vAlign w:val="center"/>
            <w:hideMark/>
          </w:tcPr>
          <w:p w14:paraId="2EA1457E"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677 </w:t>
            </w:r>
          </w:p>
        </w:tc>
        <w:tc>
          <w:tcPr>
            <w:tcW w:w="1115" w:type="dxa"/>
            <w:shd w:val="clear" w:color="auto" w:fill="auto"/>
            <w:noWrap/>
            <w:vAlign w:val="center"/>
            <w:hideMark/>
          </w:tcPr>
          <w:p w14:paraId="7BF3D0E1"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140 </w:t>
            </w:r>
          </w:p>
        </w:tc>
      </w:tr>
      <w:tr w:rsidR="002058BB" w:rsidRPr="002058BB" w14:paraId="0CDF56BF" w14:textId="77777777" w:rsidTr="0026749E">
        <w:trPr>
          <w:trHeight w:val="301"/>
          <w:jc w:val="center"/>
        </w:trPr>
        <w:tc>
          <w:tcPr>
            <w:tcW w:w="1700" w:type="dxa"/>
            <w:shd w:val="clear" w:color="auto" w:fill="auto"/>
            <w:noWrap/>
            <w:vAlign w:val="center"/>
            <w:hideMark/>
          </w:tcPr>
          <w:p w14:paraId="6E20B0FC"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Alemania</w:t>
            </w:r>
          </w:p>
        </w:tc>
        <w:tc>
          <w:tcPr>
            <w:tcW w:w="1178" w:type="dxa"/>
            <w:shd w:val="clear" w:color="auto" w:fill="auto"/>
            <w:noWrap/>
            <w:vAlign w:val="center"/>
            <w:hideMark/>
          </w:tcPr>
          <w:p w14:paraId="77329E18"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572 </w:t>
            </w:r>
          </w:p>
        </w:tc>
        <w:tc>
          <w:tcPr>
            <w:tcW w:w="1178" w:type="dxa"/>
            <w:shd w:val="clear" w:color="auto" w:fill="auto"/>
            <w:noWrap/>
            <w:vAlign w:val="center"/>
            <w:hideMark/>
          </w:tcPr>
          <w:p w14:paraId="6BE7E3F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220 </w:t>
            </w:r>
          </w:p>
        </w:tc>
        <w:tc>
          <w:tcPr>
            <w:tcW w:w="1110" w:type="dxa"/>
            <w:shd w:val="clear" w:color="auto" w:fill="auto"/>
            <w:noWrap/>
            <w:vAlign w:val="center"/>
            <w:hideMark/>
          </w:tcPr>
          <w:p w14:paraId="3A20A40A"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319 </w:t>
            </w:r>
          </w:p>
        </w:tc>
        <w:tc>
          <w:tcPr>
            <w:tcW w:w="1110" w:type="dxa"/>
            <w:shd w:val="clear" w:color="auto" w:fill="auto"/>
            <w:noWrap/>
            <w:vAlign w:val="center"/>
            <w:hideMark/>
          </w:tcPr>
          <w:p w14:paraId="1141E77B"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100 </w:t>
            </w:r>
          </w:p>
        </w:tc>
        <w:tc>
          <w:tcPr>
            <w:tcW w:w="1110" w:type="dxa"/>
            <w:shd w:val="clear" w:color="auto" w:fill="auto"/>
            <w:noWrap/>
            <w:vAlign w:val="center"/>
            <w:hideMark/>
          </w:tcPr>
          <w:p w14:paraId="285A16FA"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238 </w:t>
            </w:r>
          </w:p>
        </w:tc>
        <w:tc>
          <w:tcPr>
            <w:tcW w:w="1115" w:type="dxa"/>
            <w:shd w:val="clear" w:color="auto" w:fill="auto"/>
            <w:noWrap/>
            <w:vAlign w:val="center"/>
            <w:hideMark/>
          </w:tcPr>
          <w:p w14:paraId="23303EA0"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61 </w:t>
            </w:r>
          </w:p>
        </w:tc>
      </w:tr>
      <w:tr w:rsidR="002058BB" w:rsidRPr="002058BB" w14:paraId="237BAD46" w14:textId="77777777" w:rsidTr="0026749E">
        <w:trPr>
          <w:trHeight w:val="277"/>
          <w:jc w:val="center"/>
        </w:trPr>
        <w:tc>
          <w:tcPr>
            <w:tcW w:w="1700" w:type="dxa"/>
            <w:shd w:val="clear" w:color="auto" w:fill="auto"/>
            <w:noWrap/>
            <w:vAlign w:val="center"/>
            <w:hideMark/>
          </w:tcPr>
          <w:p w14:paraId="6F0F8FF6"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Canadá</w:t>
            </w:r>
          </w:p>
        </w:tc>
        <w:tc>
          <w:tcPr>
            <w:tcW w:w="1178" w:type="dxa"/>
            <w:shd w:val="clear" w:color="auto" w:fill="auto"/>
            <w:noWrap/>
            <w:vAlign w:val="center"/>
            <w:hideMark/>
          </w:tcPr>
          <w:p w14:paraId="4312C18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122 </w:t>
            </w:r>
          </w:p>
        </w:tc>
        <w:tc>
          <w:tcPr>
            <w:tcW w:w="1178" w:type="dxa"/>
            <w:shd w:val="clear" w:color="auto" w:fill="auto"/>
            <w:noWrap/>
            <w:vAlign w:val="center"/>
            <w:hideMark/>
          </w:tcPr>
          <w:p w14:paraId="41967CDB"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43 </w:t>
            </w:r>
          </w:p>
        </w:tc>
        <w:tc>
          <w:tcPr>
            <w:tcW w:w="1110" w:type="dxa"/>
            <w:shd w:val="clear" w:color="auto" w:fill="auto"/>
            <w:noWrap/>
            <w:vAlign w:val="center"/>
            <w:hideMark/>
          </w:tcPr>
          <w:p w14:paraId="4540B53A"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104 </w:t>
            </w:r>
          </w:p>
        </w:tc>
        <w:tc>
          <w:tcPr>
            <w:tcW w:w="1110" w:type="dxa"/>
            <w:shd w:val="clear" w:color="auto" w:fill="auto"/>
            <w:noWrap/>
            <w:vAlign w:val="center"/>
            <w:hideMark/>
          </w:tcPr>
          <w:p w14:paraId="5E75397A"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20 </w:t>
            </w:r>
          </w:p>
        </w:tc>
        <w:tc>
          <w:tcPr>
            <w:tcW w:w="1110" w:type="dxa"/>
            <w:shd w:val="clear" w:color="auto" w:fill="auto"/>
            <w:noWrap/>
            <w:vAlign w:val="center"/>
            <w:hideMark/>
          </w:tcPr>
          <w:p w14:paraId="522ADB21"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160 </w:t>
            </w:r>
          </w:p>
        </w:tc>
        <w:tc>
          <w:tcPr>
            <w:tcW w:w="1115" w:type="dxa"/>
            <w:shd w:val="clear" w:color="auto" w:fill="auto"/>
            <w:noWrap/>
            <w:vAlign w:val="center"/>
            <w:hideMark/>
          </w:tcPr>
          <w:p w14:paraId="51256AB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34 </w:t>
            </w:r>
          </w:p>
        </w:tc>
      </w:tr>
      <w:tr w:rsidR="002058BB" w:rsidRPr="002058BB" w14:paraId="55B42CBD" w14:textId="77777777" w:rsidTr="0026749E">
        <w:trPr>
          <w:trHeight w:val="315"/>
          <w:jc w:val="center"/>
        </w:trPr>
        <w:tc>
          <w:tcPr>
            <w:tcW w:w="1700" w:type="dxa"/>
            <w:shd w:val="clear" w:color="auto" w:fill="auto"/>
            <w:noWrap/>
            <w:vAlign w:val="center"/>
            <w:hideMark/>
          </w:tcPr>
          <w:p w14:paraId="5AB31225"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Francia</w:t>
            </w:r>
          </w:p>
        </w:tc>
        <w:tc>
          <w:tcPr>
            <w:tcW w:w="1178" w:type="dxa"/>
            <w:shd w:val="clear" w:color="auto" w:fill="auto"/>
            <w:noWrap/>
            <w:vAlign w:val="center"/>
            <w:hideMark/>
          </w:tcPr>
          <w:p w14:paraId="22CC0CBB"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26 </w:t>
            </w:r>
          </w:p>
        </w:tc>
        <w:tc>
          <w:tcPr>
            <w:tcW w:w="1178" w:type="dxa"/>
            <w:shd w:val="clear" w:color="auto" w:fill="auto"/>
            <w:noWrap/>
            <w:vAlign w:val="center"/>
            <w:hideMark/>
          </w:tcPr>
          <w:p w14:paraId="09111C0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13 </w:t>
            </w:r>
          </w:p>
        </w:tc>
        <w:tc>
          <w:tcPr>
            <w:tcW w:w="1110" w:type="dxa"/>
            <w:shd w:val="clear" w:color="auto" w:fill="auto"/>
            <w:noWrap/>
            <w:vAlign w:val="center"/>
            <w:hideMark/>
          </w:tcPr>
          <w:p w14:paraId="706C236F"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52 </w:t>
            </w:r>
          </w:p>
        </w:tc>
        <w:tc>
          <w:tcPr>
            <w:tcW w:w="1110" w:type="dxa"/>
            <w:shd w:val="clear" w:color="auto" w:fill="auto"/>
            <w:noWrap/>
            <w:vAlign w:val="center"/>
            <w:hideMark/>
          </w:tcPr>
          <w:p w14:paraId="7F9847B1"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12 </w:t>
            </w:r>
          </w:p>
        </w:tc>
        <w:tc>
          <w:tcPr>
            <w:tcW w:w="1110" w:type="dxa"/>
            <w:shd w:val="clear" w:color="auto" w:fill="auto"/>
            <w:noWrap/>
            <w:vAlign w:val="center"/>
            <w:hideMark/>
          </w:tcPr>
          <w:p w14:paraId="1003409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360 </w:t>
            </w:r>
          </w:p>
        </w:tc>
        <w:tc>
          <w:tcPr>
            <w:tcW w:w="1115" w:type="dxa"/>
            <w:shd w:val="clear" w:color="auto" w:fill="auto"/>
            <w:noWrap/>
            <w:vAlign w:val="center"/>
            <w:hideMark/>
          </w:tcPr>
          <w:p w14:paraId="67D0F0D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79 </w:t>
            </w:r>
          </w:p>
        </w:tc>
      </w:tr>
      <w:tr w:rsidR="002058BB" w:rsidRPr="002058BB" w14:paraId="4948EAA6" w14:textId="77777777" w:rsidTr="0026749E">
        <w:trPr>
          <w:trHeight w:val="315"/>
          <w:jc w:val="center"/>
        </w:trPr>
        <w:tc>
          <w:tcPr>
            <w:tcW w:w="1700" w:type="dxa"/>
            <w:shd w:val="clear" w:color="auto" w:fill="auto"/>
            <w:noWrap/>
            <w:vAlign w:val="center"/>
            <w:hideMark/>
          </w:tcPr>
          <w:p w14:paraId="7C25372F"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España</w:t>
            </w:r>
          </w:p>
        </w:tc>
        <w:tc>
          <w:tcPr>
            <w:tcW w:w="1178" w:type="dxa"/>
            <w:shd w:val="clear" w:color="auto" w:fill="auto"/>
            <w:noWrap/>
            <w:vAlign w:val="center"/>
            <w:hideMark/>
          </w:tcPr>
          <w:p w14:paraId="3AC2EED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27 </w:t>
            </w:r>
          </w:p>
        </w:tc>
        <w:tc>
          <w:tcPr>
            <w:tcW w:w="1178" w:type="dxa"/>
            <w:shd w:val="clear" w:color="auto" w:fill="auto"/>
            <w:noWrap/>
            <w:vAlign w:val="center"/>
            <w:hideMark/>
          </w:tcPr>
          <w:p w14:paraId="6350EC18"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9 </w:t>
            </w:r>
          </w:p>
        </w:tc>
        <w:tc>
          <w:tcPr>
            <w:tcW w:w="1110" w:type="dxa"/>
            <w:shd w:val="clear" w:color="auto" w:fill="auto"/>
            <w:noWrap/>
            <w:vAlign w:val="center"/>
            <w:hideMark/>
          </w:tcPr>
          <w:p w14:paraId="327E2D9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38 </w:t>
            </w:r>
          </w:p>
        </w:tc>
        <w:tc>
          <w:tcPr>
            <w:tcW w:w="1110" w:type="dxa"/>
            <w:shd w:val="clear" w:color="auto" w:fill="auto"/>
            <w:noWrap/>
            <w:vAlign w:val="center"/>
            <w:hideMark/>
          </w:tcPr>
          <w:p w14:paraId="2DA7974E"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9 </w:t>
            </w:r>
          </w:p>
        </w:tc>
        <w:tc>
          <w:tcPr>
            <w:tcW w:w="1110" w:type="dxa"/>
            <w:shd w:val="clear" w:color="auto" w:fill="auto"/>
            <w:noWrap/>
            <w:vAlign w:val="center"/>
            <w:hideMark/>
          </w:tcPr>
          <w:p w14:paraId="11644D9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230 </w:t>
            </w:r>
          </w:p>
        </w:tc>
        <w:tc>
          <w:tcPr>
            <w:tcW w:w="1115" w:type="dxa"/>
            <w:shd w:val="clear" w:color="auto" w:fill="auto"/>
            <w:noWrap/>
            <w:vAlign w:val="center"/>
            <w:hideMark/>
          </w:tcPr>
          <w:p w14:paraId="5000C9C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48 </w:t>
            </w:r>
          </w:p>
        </w:tc>
      </w:tr>
      <w:tr w:rsidR="002058BB" w:rsidRPr="002058BB" w14:paraId="4C63FC5C" w14:textId="77777777" w:rsidTr="0026749E">
        <w:trPr>
          <w:trHeight w:val="315"/>
          <w:jc w:val="center"/>
        </w:trPr>
        <w:tc>
          <w:tcPr>
            <w:tcW w:w="1700" w:type="dxa"/>
            <w:shd w:val="clear" w:color="auto" w:fill="auto"/>
            <w:noWrap/>
            <w:vAlign w:val="center"/>
            <w:hideMark/>
          </w:tcPr>
          <w:p w14:paraId="0D5EAD9C"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Italia</w:t>
            </w:r>
          </w:p>
        </w:tc>
        <w:tc>
          <w:tcPr>
            <w:tcW w:w="1178" w:type="dxa"/>
            <w:shd w:val="clear" w:color="auto" w:fill="auto"/>
            <w:noWrap/>
            <w:vAlign w:val="center"/>
            <w:hideMark/>
          </w:tcPr>
          <w:p w14:paraId="04370235"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8 </w:t>
            </w:r>
          </w:p>
        </w:tc>
        <w:tc>
          <w:tcPr>
            <w:tcW w:w="1178" w:type="dxa"/>
            <w:shd w:val="clear" w:color="auto" w:fill="auto"/>
            <w:noWrap/>
            <w:vAlign w:val="center"/>
            <w:hideMark/>
          </w:tcPr>
          <w:p w14:paraId="4D5C582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12 </w:t>
            </w:r>
          </w:p>
        </w:tc>
        <w:tc>
          <w:tcPr>
            <w:tcW w:w="1110" w:type="dxa"/>
            <w:shd w:val="clear" w:color="auto" w:fill="auto"/>
            <w:noWrap/>
            <w:vAlign w:val="center"/>
            <w:hideMark/>
          </w:tcPr>
          <w:p w14:paraId="6AAE08FC"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19 </w:t>
            </w:r>
          </w:p>
        </w:tc>
        <w:tc>
          <w:tcPr>
            <w:tcW w:w="1110" w:type="dxa"/>
            <w:shd w:val="clear" w:color="auto" w:fill="auto"/>
            <w:noWrap/>
            <w:vAlign w:val="center"/>
            <w:hideMark/>
          </w:tcPr>
          <w:p w14:paraId="319B965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5 </w:t>
            </w:r>
          </w:p>
        </w:tc>
        <w:tc>
          <w:tcPr>
            <w:tcW w:w="1110" w:type="dxa"/>
            <w:shd w:val="clear" w:color="auto" w:fill="auto"/>
            <w:noWrap/>
            <w:vAlign w:val="center"/>
            <w:hideMark/>
          </w:tcPr>
          <w:p w14:paraId="38E29B69"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15" w:type="dxa"/>
            <w:shd w:val="clear" w:color="auto" w:fill="auto"/>
            <w:noWrap/>
            <w:vAlign w:val="center"/>
            <w:hideMark/>
          </w:tcPr>
          <w:p w14:paraId="6870D9E4"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r>
      <w:tr w:rsidR="002058BB" w:rsidRPr="002058BB" w14:paraId="29F58D5D" w14:textId="77777777" w:rsidTr="0026749E">
        <w:trPr>
          <w:trHeight w:val="315"/>
          <w:jc w:val="center"/>
        </w:trPr>
        <w:tc>
          <w:tcPr>
            <w:tcW w:w="1700" w:type="dxa"/>
            <w:shd w:val="clear" w:color="auto" w:fill="auto"/>
            <w:noWrap/>
            <w:vAlign w:val="center"/>
            <w:hideMark/>
          </w:tcPr>
          <w:p w14:paraId="32D52AEB"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Colombia</w:t>
            </w:r>
          </w:p>
        </w:tc>
        <w:tc>
          <w:tcPr>
            <w:tcW w:w="1178" w:type="dxa"/>
            <w:shd w:val="clear" w:color="auto" w:fill="auto"/>
            <w:noWrap/>
            <w:vAlign w:val="center"/>
            <w:hideMark/>
          </w:tcPr>
          <w:p w14:paraId="36DC3683"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 </w:t>
            </w:r>
          </w:p>
        </w:tc>
        <w:tc>
          <w:tcPr>
            <w:tcW w:w="1178" w:type="dxa"/>
            <w:shd w:val="clear" w:color="auto" w:fill="auto"/>
            <w:noWrap/>
            <w:vAlign w:val="center"/>
            <w:hideMark/>
          </w:tcPr>
          <w:p w14:paraId="392421D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0 </w:t>
            </w:r>
          </w:p>
        </w:tc>
        <w:tc>
          <w:tcPr>
            <w:tcW w:w="1110" w:type="dxa"/>
            <w:shd w:val="clear" w:color="auto" w:fill="auto"/>
            <w:noWrap/>
            <w:vAlign w:val="center"/>
            <w:hideMark/>
          </w:tcPr>
          <w:p w14:paraId="3A32542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10" w:type="dxa"/>
            <w:shd w:val="clear" w:color="auto" w:fill="auto"/>
            <w:noWrap/>
            <w:vAlign w:val="center"/>
            <w:hideMark/>
          </w:tcPr>
          <w:p w14:paraId="37D30DFF"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10" w:type="dxa"/>
            <w:shd w:val="clear" w:color="auto" w:fill="auto"/>
            <w:noWrap/>
            <w:vAlign w:val="center"/>
            <w:hideMark/>
          </w:tcPr>
          <w:p w14:paraId="36CCC17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116 </w:t>
            </w:r>
          </w:p>
        </w:tc>
        <w:tc>
          <w:tcPr>
            <w:tcW w:w="1115" w:type="dxa"/>
            <w:shd w:val="clear" w:color="auto" w:fill="auto"/>
            <w:noWrap/>
            <w:vAlign w:val="center"/>
            <w:hideMark/>
          </w:tcPr>
          <w:p w14:paraId="68268CD4"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20 </w:t>
            </w:r>
          </w:p>
        </w:tc>
      </w:tr>
      <w:tr w:rsidR="002058BB" w:rsidRPr="002058BB" w14:paraId="2DDA8838" w14:textId="77777777" w:rsidTr="0026749E">
        <w:trPr>
          <w:trHeight w:val="257"/>
          <w:jc w:val="center"/>
        </w:trPr>
        <w:tc>
          <w:tcPr>
            <w:tcW w:w="1700" w:type="dxa"/>
            <w:shd w:val="clear" w:color="auto" w:fill="auto"/>
            <w:noWrap/>
            <w:vAlign w:val="center"/>
            <w:hideMark/>
          </w:tcPr>
          <w:p w14:paraId="4C3CF549"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Otros</w:t>
            </w:r>
          </w:p>
        </w:tc>
        <w:tc>
          <w:tcPr>
            <w:tcW w:w="1178" w:type="dxa"/>
            <w:shd w:val="clear" w:color="auto" w:fill="auto"/>
            <w:noWrap/>
            <w:vAlign w:val="center"/>
            <w:hideMark/>
          </w:tcPr>
          <w:p w14:paraId="599ADCD1"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78" w:type="dxa"/>
            <w:shd w:val="clear" w:color="auto" w:fill="auto"/>
            <w:noWrap/>
            <w:vAlign w:val="center"/>
            <w:hideMark/>
          </w:tcPr>
          <w:p w14:paraId="25161BF6"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   </w:t>
            </w:r>
          </w:p>
        </w:tc>
        <w:tc>
          <w:tcPr>
            <w:tcW w:w="1110" w:type="dxa"/>
            <w:shd w:val="clear" w:color="auto" w:fill="auto"/>
            <w:noWrap/>
            <w:vAlign w:val="center"/>
            <w:hideMark/>
          </w:tcPr>
          <w:p w14:paraId="5C3B84A2"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287 </w:t>
            </w:r>
          </w:p>
        </w:tc>
        <w:tc>
          <w:tcPr>
            <w:tcW w:w="1110" w:type="dxa"/>
            <w:shd w:val="clear" w:color="auto" w:fill="auto"/>
            <w:noWrap/>
            <w:vAlign w:val="center"/>
            <w:hideMark/>
          </w:tcPr>
          <w:p w14:paraId="725C13A4"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70 </w:t>
            </w:r>
          </w:p>
        </w:tc>
        <w:tc>
          <w:tcPr>
            <w:tcW w:w="1110" w:type="dxa"/>
            <w:shd w:val="clear" w:color="auto" w:fill="auto"/>
            <w:noWrap/>
            <w:vAlign w:val="center"/>
            <w:hideMark/>
          </w:tcPr>
          <w:p w14:paraId="516A5DC8"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1.165 </w:t>
            </w:r>
          </w:p>
        </w:tc>
        <w:tc>
          <w:tcPr>
            <w:tcW w:w="1115" w:type="dxa"/>
            <w:shd w:val="clear" w:color="auto" w:fill="auto"/>
            <w:noWrap/>
            <w:vAlign w:val="center"/>
            <w:hideMark/>
          </w:tcPr>
          <w:p w14:paraId="789CAE60" w14:textId="77777777" w:rsidR="002058BB" w:rsidRPr="002058BB" w:rsidRDefault="002058BB" w:rsidP="002058BB">
            <w:pPr>
              <w:spacing w:after="0" w:line="240" w:lineRule="auto"/>
              <w:jc w:val="left"/>
              <w:rPr>
                <w:rFonts w:eastAsia="Times New Roman"/>
                <w:color w:val="000000"/>
                <w:szCs w:val="24"/>
                <w:lang w:eastAsia="es-EC"/>
              </w:rPr>
            </w:pPr>
            <w:r w:rsidRPr="002058BB">
              <w:rPr>
                <w:rFonts w:eastAsia="Times New Roman"/>
                <w:color w:val="000000"/>
                <w:szCs w:val="24"/>
                <w:lang w:eastAsia="es-EC"/>
              </w:rPr>
              <w:t xml:space="preserve">          232 </w:t>
            </w:r>
          </w:p>
        </w:tc>
      </w:tr>
      <w:tr w:rsidR="002058BB" w:rsidRPr="002058BB" w14:paraId="061B4B57" w14:textId="77777777" w:rsidTr="0026749E">
        <w:trPr>
          <w:trHeight w:val="261"/>
          <w:jc w:val="center"/>
        </w:trPr>
        <w:tc>
          <w:tcPr>
            <w:tcW w:w="1700" w:type="dxa"/>
            <w:tcBorders>
              <w:bottom w:val="nil"/>
            </w:tcBorders>
            <w:shd w:val="clear" w:color="auto" w:fill="auto"/>
            <w:noWrap/>
            <w:vAlign w:val="center"/>
            <w:hideMark/>
          </w:tcPr>
          <w:p w14:paraId="33A8A330" w14:textId="77777777" w:rsidR="002058BB" w:rsidRPr="002058BB" w:rsidRDefault="002058BB" w:rsidP="002058BB">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Mundo</w:t>
            </w:r>
          </w:p>
        </w:tc>
        <w:tc>
          <w:tcPr>
            <w:tcW w:w="1178" w:type="dxa"/>
            <w:tcBorders>
              <w:bottom w:val="nil"/>
            </w:tcBorders>
            <w:shd w:val="clear" w:color="auto" w:fill="auto"/>
            <w:noWrap/>
            <w:vAlign w:val="center"/>
            <w:hideMark/>
          </w:tcPr>
          <w:p w14:paraId="67892FEB"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2.536 </w:t>
            </w:r>
          </w:p>
        </w:tc>
        <w:tc>
          <w:tcPr>
            <w:tcW w:w="1178" w:type="dxa"/>
            <w:tcBorders>
              <w:bottom w:val="nil"/>
            </w:tcBorders>
            <w:shd w:val="clear" w:color="auto" w:fill="auto"/>
            <w:noWrap/>
            <w:vAlign w:val="center"/>
            <w:hideMark/>
          </w:tcPr>
          <w:p w14:paraId="15002F27"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941 </w:t>
            </w:r>
          </w:p>
        </w:tc>
        <w:tc>
          <w:tcPr>
            <w:tcW w:w="1110" w:type="dxa"/>
            <w:tcBorders>
              <w:bottom w:val="nil"/>
            </w:tcBorders>
            <w:shd w:val="clear" w:color="auto" w:fill="auto"/>
            <w:noWrap/>
            <w:vAlign w:val="center"/>
            <w:hideMark/>
          </w:tcPr>
          <w:p w14:paraId="431DAA68"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1.527 </w:t>
            </w:r>
          </w:p>
        </w:tc>
        <w:tc>
          <w:tcPr>
            <w:tcW w:w="1110" w:type="dxa"/>
            <w:tcBorders>
              <w:bottom w:val="nil"/>
            </w:tcBorders>
            <w:shd w:val="clear" w:color="auto" w:fill="auto"/>
            <w:noWrap/>
            <w:vAlign w:val="center"/>
            <w:hideMark/>
          </w:tcPr>
          <w:p w14:paraId="641F3D4F"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386 </w:t>
            </w:r>
          </w:p>
        </w:tc>
        <w:tc>
          <w:tcPr>
            <w:tcW w:w="1110" w:type="dxa"/>
            <w:tcBorders>
              <w:bottom w:val="nil"/>
            </w:tcBorders>
            <w:shd w:val="clear" w:color="auto" w:fill="auto"/>
            <w:noWrap/>
            <w:vAlign w:val="center"/>
            <w:hideMark/>
          </w:tcPr>
          <w:p w14:paraId="1D7FDE43"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5.249 </w:t>
            </w:r>
          </w:p>
        </w:tc>
        <w:tc>
          <w:tcPr>
            <w:tcW w:w="1115" w:type="dxa"/>
            <w:tcBorders>
              <w:bottom w:val="nil"/>
            </w:tcBorders>
            <w:shd w:val="clear" w:color="auto" w:fill="auto"/>
            <w:noWrap/>
            <w:vAlign w:val="center"/>
            <w:hideMark/>
          </w:tcPr>
          <w:p w14:paraId="4D7E6CA8" w14:textId="77777777" w:rsidR="002058BB" w:rsidRPr="002058BB" w:rsidRDefault="002058BB" w:rsidP="002058BB">
            <w:pPr>
              <w:spacing w:after="0" w:line="240" w:lineRule="auto"/>
              <w:jc w:val="left"/>
              <w:rPr>
                <w:rFonts w:eastAsia="Times New Roman"/>
                <w:b/>
                <w:color w:val="000000"/>
                <w:szCs w:val="24"/>
                <w:lang w:eastAsia="es-EC"/>
              </w:rPr>
            </w:pPr>
            <w:r w:rsidRPr="002058BB">
              <w:rPr>
                <w:rFonts w:eastAsia="Times New Roman"/>
                <w:b/>
                <w:color w:val="000000"/>
                <w:szCs w:val="24"/>
                <w:lang w:eastAsia="es-EC"/>
              </w:rPr>
              <w:t xml:space="preserve">       1.116 </w:t>
            </w:r>
          </w:p>
        </w:tc>
      </w:tr>
      <w:tr w:rsidR="002058BB" w:rsidRPr="002058BB" w14:paraId="116A29E3" w14:textId="77777777" w:rsidTr="0026749E">
        <w:trPr>
          <w:trHeight w:val="330"/>
          <w:jc w:val="center"/>
        </w:trPr>
        <w:tc>
          <w:tcPr>
            <w:tcW w:w="1700" w:type="dxa"/>
            <w:tcBorders>
              <w:top w:val="nil"/>
              <w:bottom w:val="single" w:sz="12" w:space="0" w:color="auto"/>
            </w:tcBorders>
            <w:shd w:val="clear" w:color="auto" w:fill="auto"/>
            <w:noWrap/>
            <w:vAlign w:val="center"/>
            <w:hideMark/>
          </w:tcPr>
          <w:p w14:paraId="60260811" w14:textId="77777777" w:rsidR="002058BB" w:rsidRPr="002058BB" w:rsidRDefault="002058BB" w:rsidP="0026749E">
            <w:pPr>
              <w:spacing w:after="0" w:line="240" w:lineRule="auto"/>
              <w:jc w:val="center"/>
              <w:rPr>
                <w:rFonts w:eastAsia="Times New Roman"/>
                <w:b/>
                <w:color w:val="000000"/>
                <w:szCs w:val="24"/>
                <w:lang w:eastAsia="es-EC"/>
              </w:rPr>
            </w:pPr>
            <w:r w:rsidRPr="002058BB">
              <w:rPr>
                <w:rFonts w:eastAsia="Times New Roman"/>
                <w:b/>
                <w:color w:val="000000"/>
                <w:szCs w:val="24"/>
                <w:lang w:eastAsia="es-EC"/>
              </w:rPr>
              <w:t>USD / Ton</w:t>
            </w:r>
            <w:r w:rsidR="00945D59">
              <w:rPr>
                <w:rFonts w:eastAsia="Times New Roman"/>
                <w:b/>
                <w:color w:val="000000"/>
                <w:szCs w:val="24"/>
                <w:lang w:eastAsia="es-EC"/>
              </w:rPr>
              <w:t>*</w:t>
            </w:r>
          </w:p>
        </w:tc>
        <w:tc>
          <w:tcPr>
            <w:tcW w:w="2356" w:type="dxa"/>
            <w:gridSpan w:val="2"/>
            <w:tcBorders>
              <w:top w:val="nil"/>
              <w:bottom w:val="single" w:sz="12" w:space="0" w:color="auto"/>
            </w:tcBorders>
            <w:shd w:val="clear" w:color="auto" w:fill="auto"/>
            <w:noWrap/>
            <w:vAlign w:val="bottom"/>
            <w:hideMark/>
          </w:tcPr>
          <w:p w14:paraId="2E106E9C"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2,69</w:t>
            </w:r>
          </w:p>
        </w:tc>
        <w:tc>
          <w:tcPr>
            <w:tcW w:w="2220" w:type="dxa"/>
            <w:gridSpan w:val="2"/>
            <w:tcBorders>
              <w:top w:val="nil"/>
              <w:bottom w:val="single" w:sz="12" w:space="0" w:color="auto"/>
            </w:tcBorders>
            <w:shd w:val="clear" w:color="auto" w:fill="auto"/>
            <w:noWrap/>
            <w:vAlign w:val="bottom"/>
            <w:hideMark/>
          </w:tcPr>
          <w:p w14:paraId="477028DE"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3,96</w:t>
            </w:r>
          </w:p>
        </w:tc>
        <w:tc>
          <w:tcPr>
            <w:tcW w:w="2225" w:type="dxa"/>
            <w:gridSpan w:val="2"/>
            <w:tcBorders>
              <w:top w:val="nil"/>
              <w:bottom w:val="single" w:sz="12" w:space="0" w:color="auto"/>
            </w:tcBorders>
            <w:shd w:val="clear" w:color="auto" w:fill="auto"/>
            <w:noWrap/>
            <w:vAlign w:val="bottom"/>
            <w:hideMark/>
          </w:tcPr>
          <w:p w14:paraId="34DCB074" w14:textId="77777777" w:rsidR="002058BB" w:rsidRPr="002058BB" w:rsidRDefault="002058BB" w:rsidP="0026749E">
            <w:pPr>
              <w:spacing w:after="0" w:line="240" w:lineRule="auto"/>
              <w:jc w:val="center"/>
              <w:rPr>
                <w:rFonts w:eastAsia="Times New Roman"/>
                <w:color w:val="000000"/>
                <w:szCs w:val="24"/>
                <w:lang w:eastAsia="es-EC"/>
              </w:rPr>
            </w:pPr>
            <w:r w:rsidRPr="002058BB">
              <w:rPr>
                <w:rFonts w:eastAsia="Times New Roman"/>
                <w:color w:val="000000"/>
                <w:szCs w:val="24"/>
                <w:lang w:eastAsia="es-EC"/>
              </w:rPr>
              <w:t>4,70</w:t>
            </w:r>
          </w:p>
        </w:tc>
      </w:tr>
    </w:tbl>
    <w:p w14:paraId="30D5917A" w14:textId="77777777" w:rsidR="00661B8A" w:rsidRPr="0063286C" w:rsidRDefault="00661B8A" w:rsidP="00ED1E4D">
      <w:pPr>
        <w:ind w:left="708"/>
        <w:contextualSpacing/>
        <w:rPr>
          <w:sz w:val="18"/>
          <w:szCs w:val="18"/>
        </w:rPr>
      </w:pPr>
      <w:r w:rsidRPr="0063286C">
        <w:rPr>
          <w:sz w:val="18"/>
          <w:szCs w:val="18"/>
        </w:rPr>
        <w:t>*Valores en miles de dólares</w:t>
      </w:r>
    </w:p>
    <w:p w14:paraId="4AA11EE9" w14:textId="2307EE2A" w:rsidR="0063286C" w:rsidRDefault="00661B8A" w:rsidP="00ED1E4D">
      <w:pPr>
        <w:ind w:firstLine="708"/>
        <w:contextualSpacing/>
        <w:rPr>
          <w:sz w:val="18"/>
          <w:szCs w:val="18"/>
        </w:rPr>
      </w:pPr>
      <w:r w:rsidRPr="0063286C">
        <w:rPr>
          <w:sz w:val="18"/>
          <w:szCs w:val="18"/>
        </w:rPr>
        <w:t xml:space="preserve">Fuente: </w:t>
      </w:r>
      <w:sdt>
        <w:sdtPr>
          <w:rPr>
            <w:sz w:val="18"/>
            <w:szCs w:val="18"/>
          </w:rPr>
          <w:id w:val="-1747566124"/>
          <w:citation/>
        </w:sdtPr>
        <w:sdtEndPr/>
        <w:sdtContent>
          <w:r w:rsidRPr="0063286C">
            <w:rPr>
              <w:sz w:val="18"/>
              <w:szCs w:val="18"/>
            </w:rPr>
            <w:fldChar w:fldCharType="begin"/>
          </w:r>
          <w:r w:rsidR="00071B6A" w:rsidRPr="0063286C">
            <w:rPr>
              <w:sz w:val="18"/>
              <w:szCs w:val="18"/>
            </w:rPr>
            <w:instrText xml:space="preserve">CITATION Ban151 \l 12298 </w:instrText>
          </w:r>
          <w:r w:rsidRPr="0063286C">
            <w:rPr>
              <w:sz w:val="18"/>
              <w:szCs w:val="18"/>
            </w:rPr>
            <w:fldChar w:fldCharType="separate"/>
          </w:r>
          <w:r w:rsidR="00BC1846" w:rsidRPr="0063286C">
            <w:rPr>
              <w:noProof/>
              <w:sz w:val="18"/>
              <w:szCs w:val="18"/>
            </w:rPr>
            <w:t>(Banco Central del Ecuador, 2016)</w:t>
          </w:r>
          <w:r w:rsidRPr="0063286C">
            <w:rPr>
              <w:sz w:val="18"/>
              <w:szCs w:val="18"/>
            </w:rPr>
            <w:fldChar w:fldCharType="end"/>
          </w:r>
        </w:sdtContent>
      </w:sdt>
    </w:p>
    <w:p w14:paraId="0BD66479" w14:textId="77777777" w:rsidR="0063286C" w:rsidRPr="0063286C" w:rsidRDefault="0063286C" w:rsidP="00661B8A">
      <w:pPr>
        <w:contextualSpacing/>
        <w:rPr>
          <w:sz w:val="18"/>
          <w:szCs w:val="18"/>
        </w:rPr>
      </w:pPr>
    </w:p>
    <w:p w14:paraId="472469D3" w14:textId="77777777" w:rsidR="00661B8A" w:rsidRDefault="00661B8A" w:rsidP="0063286C">
      <w:pPr>
        <w:contextualSpacing/>
      </w:pPr>
      <w:r>
        <w:t>Desde el 2012 al 2014, las exportaciones de quinua de Ecuador se duplicaron a pesar de que para el 2013 hubo una reducción del 40% del monto exportado</w:t>
      </w:r>
      <w:r w:rsidR="002058BB">
        <w:t>, principalmente por las estrategias realizadas por Perú para mejorar sus exportaciones, ofreciendo mayor cantidad a menor precio</w:t>
      </w:r>
      <w:r>
        <w:t xml:space="preserve">. El crecimiento se debe principalmente a las </w:t>
      </w:r>
      <w:r w:rsidR="002058BB">
        <w:t>actividades</w:t>
      </w:r>
      <w:r>
        <w:t xml:space="preserve"> alineadas a la declaración del 2013 como el “Año Mundial de la Quinua” por la FAO. Para el 2015, también se observa que continúa la tendencia creciente, con un incremento de 10% frente al 2014.</w:t>
      </w:r>
    </w:p>
    <w:p w14:paraId="5AFCA548" w14:textId="77777777" w:rsidR="00661B8A" w:rsidRDefault="00661B8A" w:rsidP="0063286C">
      <w:pPr>
        <w:contextualSpacing/>
      </w:pPr>
      <w:r>
        <w:t xml:space="preserve">Como se puede </w:t>
      </w:r>
      <w:r w:rsidR="002058BB">
        <w:t>visualizar</w:t>
      </w:r>
      <w:r>
        <w:t xml:space="preserve">, el principal mercado para el cereal ecuatoriano es Estados Unidos con 48% de la participación. Después, las exportaciones se colocan en la Unión Europea, </w:t>
      </w:r>
      <w:r>
        <w:lastRenderedPageBreak/>
        <w:t>teniendo como destinos Países Bajos, Francia y Alemania con una participación del 13%, 7%</w:t>
      </w:r>
      <w:r w:rsidR="0026749E">
        <w:t xml:space="preserve"> y 5% </w:t>
      </w:r>
      <w:r>
        <w:t>respectivamente</w:t>
      </w:r>
      <w:r w:rsidR="0026749E">
        <w:t>,</w:t>
      </w:r>
      <w:r>
        <w:t xml:space="preserve"> para el año 2014. </w:t>
      </w:r>
    </w:p>
    <w:p w14:paraId="295DAEFF" w14:textId="77777777" w:rsidR="00661B8A" w:rsidRDefault="002B2418" w:rsidP="0063286C">
      <w:pPr>
        <w:contextualSpacing/>
      </w:pPr>
      <w:r>
        <w:t>La</w:t>
      </w:r>
      <w:r w:rsidR="00661B8A">
        <w:t xml:space="preserve"> quinua ecuatoriana ha incrementado su participación en Europa con un crecimiento aproximado de 138% hasta el 2014. Cada vez es mejor aceptado el producto ecuatoriano en este continente debido a eventos de promoción realizados, especialmente en suelo francés, donde se llevan a cabo exposiciones gastronómicas usando la quinua nacional en la </w:t>
      </w:r>
      <w:r w:rsidR="002E530F">
        <w:t xml:space="preserve">preparación de platos típicos. </w:t>
      </w:r>
      <w:r w:rsidR="00661B8A">
        <w:t xml:space="preserve">En lo que se refiere a las exportaciones a Francia, estas han tenido un crecimiento sostenido, duplicándose del 2012 al 2013 y llegando a representar un incremento de 1284% </w:t>
      </w:r>
      <w:r w:rsidR="002E530F">
        <w:t>para e</w:t>
      </w:r>
      <w:r w:rsidR="00661B8A">
        <w:t xml:space="preserve">l 2014. </w:t>
      </w:r>
    </w:p>
    <w:p w14:paraId="0A0F3F70" w14:textId="2200D0F8" w:rsidR="00A0425D" w:rsidRDefault="000B3B81" w:rsidP="0063286C">
      <w:pPr>
        <w:contextualSpacing/>
      </w:pPr>
      <w:r>
        <w:t>Durante inicios del 2016</w:t>
      </w:r>
      <w:r w:rsidR="00A0425D">
        <w:t xml:space="preserve">, </w:t>
      </w:r>
      <w:r w:rsidR="00455CE0">
        <w:t xml:space="preserve">se consultó </w:t>
      </w:r>
      <w:r w:rsidR="00A0425D">
        <w:t>los precios al menudeo de quinua real por kg en supermercados franceses</w:t>
      </w:r>
      <w:r>
        <w:t xml:space="preserve"> como Auchan o Carrefour oscilaban entre 8,54€-11,43€ (US</w:t>
      </w:r>
      <w:r w:rsidR="00F24DDF">
        <w:t>$</w:t>
      </w:r>
      <w:r>
        <w:t xml:space="preserve"> 9,51 – US</w:t>
      </w:r>
      <w:r w:rsidR="00F24DDF">
        <w:t>$</w:t>
      </w:r>
      <w:r>
        <w:t xml:space="preserve"> 12,72)</w:t>
      </w:r>
      <w:r>
        <w:rPr>
          <w:rStyle w:val="Refdenotaalpie"/>
        </w:rPr>
        <w:footnoteReference w:id="1"/>
      </w:r>
      <w:r>
        <w:t>, respectivamente.</w:t>
      </w:r>
      <w:r w:rsidR="00455CE0">
        <w:t xml:space="preserve"> Otros puntos importantes de venta del producto son tiendas orgánicas como Biocoop o La Vie Claire, en donde los precios por kg se encuentran a 9,70€ y 11,98€ (US</w:t>
      </w:r>
      <w:r w:rsidR="00F24DDF">
        <w:t>$</w:t>
      </w:r>
      <w:r w:rsidR="00455CE0">
        <w:t xml:space="preserve"> 10,80 y US</w:t>
      </w:r>
      <w:r w:rsidR="00F24DDF">
        <w:t>$</w:t>
      </w:r>
      <w:r w:rsidR="00455CE0">
        <w:t xml:space="preserve"> 13,33)</w:t>
      </w:r>
      <w:r w:rsidR="00455CE0">
        <w:rPr>
          <w:rStyle w:val="Refdenotaalpie"/>
        </w:rPr>
        <w:footnoteReference w:id="2"/>
      </w:r>
      <w:r w:rsidR="00455CE0">
        <w:t xml:space="preserve">, respectivamente. </w:t>
      </w:r>
    </w:p>
    <w:p w14:paraId="06015427" w14:textId="7AA2D8AD" w:rsidR="00455CE0" w:rsidRDefault="00455CE0" w:rsidP="0063286C">
      <w:pPr>
        <w:contextualSpacing/>
      </w:pPr>
      <w:r>
        <w:t>En Carrefour, se ofertan 39 tipos productos elaborados a base de quinua de diferentes precios por kg entre los que destacan carnes marinadas, productos para bebés, sopas instantáneas a un valor de 31,30€, 16,89€ y 24,63€ (US</w:t>
      </w:r>
      <w:r w:rsidR="00F24DDF">
        <w:t>$</w:t>
      </w:r>
      <w:r>
        <w:t xml:space="preserve"> 34,84, US</w:t>
      </w:r>
      <w:r w:rsidR="00F24DDF">
        <w:t>$</w:t>
      </w:r>
      <w:r>
        <w:t xml:space="preserve"> 18,80 y US</w:t>
      </w:r>
      <w:r w:rsidR="00F24DDF">
        <w:t>$</w:t>
      </w:r>
      <w:r>
        <w:t xml:space="preserve"> 16,28), respectivamente.</w:t>
      </w:r>
    </w:p>
    <w:p w14:paraId="7C0612F0" w14:textId="6AEDF2E1" w:rsidR="00455CE0" w:rsidRPr="00455CE0" w:rsidRDefault="00455CE0" w:rsidP="0063286C">
      <w:pPr>
        <w:contextualSpacing/>
      </w:pPr>
      <w:r>
        <w:t>Los valores se contrastan con e</w:t>
      </w:r>
      <w:r w:rsidR="0026749E">
        <w:t xml:space="preserve">l precio FOB para el 2015 </w:t>
      </w:r>
      <w:r>
        <w:t>de quinua al que se comercializó el cereal a Francia, siendo para Bolivia de US</w:t>
      </w:r>
      <w:r w:rsidR="00F24DDF">
        <w:t>$</w:t>
      </w:r>
      <w:r>
        <w:t xml:space="preserve"> </w:t>
      </w:r>
      <w:r w:rsidR="00071B6A">
        <w:t>5,04</w:t>
      </w:r>
      <w:r w:rsidR="0026749E">
        <w:t>/kg</w:t>
      </w:r>
      <w:r w:rsidR="00071B6A">
        <w:t xml:space="preserve"> </w:t>
      </w:r>
      <w:sdt>
        <w:sdtPr>
          <w:id w:val="1045027845"/>
          <w:citation/>
        </w:sdtPr>
        <w:sdtEndPr/>
        <w:sdtContent>
          <w:r w:rsidR="00071B6A">
            <w:fldChar w:fldCharType="begin"/>
          </w:r>
          <w:r w:rsidR="00071B6A">
            <w:instrText xml:space="preserve"> CITATION Ban16 \l 12298 </w:instrText>
          </w:r>
          <w:r w:rsidR="00071B6A">
            <w:fldChar w:fldCharType="separate"/>
          </w:r>
          <w:r w:rsidR="00BC1846" w:rsidRPr="00BC1846">
            <w:rPr>
              <w:noProof/>
            </w:rPr>
            <w:t>(Banco Central de Bolivia, 2016)</w:t>
          </w:r>
          <w:r w:rsidR="00071B6A">
            <w:fldChar w:fldCharType="end"/>
          </w:r>
        </w:sdtContent>
      </w:sdt>
      <w:r w:rsidR="00071B6A">
        <w:t xml:space="preserve"> </w:t>
      </w:r>
      <w:r>
        <w:t>y para Ecuador de US</w:t>
      </w:r>
      <w:r w:rsidR="00F24DDF">
        <w:t>$</w:t>
      </w:r>
      <w:r>
        <w:t xml:space="preserve"> 5,09/kg </w:t>
      </w:r>
      <w:sdt>
        <w:sdtPr>
          <w:id w:val="-1418002203"/>
          <w:citation/>
        </w:sdtPr>
        <w:sdtEndPr/>
        <w:sdtContent>
          <w:r>
            <w:fldChar w:fldCharType="begin"/>
          </w:r>
          <w:r w:rsidR="00071B6A">
            <w:instrText xml:space="preserve">CITATION Ban151 \l 12298 </w:instrText>
          </w:r>
          <w:r>
            <w:fldChar w:fldCharType="separate"/>
          </w:r>
          <w:r w:rsidR="00BC1846" w:rsidRPr="00BC1846">
            <w:rPr>
              <w:noProof/>
            </w:rPr>
            <w:t>(Banco Central del Ecuador, 2016)</w:t>
          </w:r>
          <w:r>
            <w:fldChar w:fldCharType="end"/>
          </w:r>
        </w:sdtContent>
      </w:sdt>
      <w:r>
        <w:t>.</w:t>
      </w:r>
    </w:p>
    <w:p w14:paraId="101178ED" w14:textId="77777777" w:rsidR="005A1309" w:rsidRDefault="005A1309" w:rsidP="0063286C">
      <w:pPr>
        <w:pStyle w:val="Ttulo3"/>
        <w:numPr>
          <w:ilvl w:val="1"/>
          <w:numId w:val="14"/>
        </w:numPr>
        <w:spacing w:before="0" w:after="200"/>
        <w:ind w:left="431" w:hanging="431"/>
        <w:contextualSpacing/>
      </w:pPr>
      <w:bookmarkStart w:id="62" w:name="_Toc446973170"/>
      <w:r>
        <w:t>Exportación de quinua sobre</w:t>
      </w:r>
      <w:r w:rsidR="00385479">
        <w:t xml:space="preserve"> la Balanza Comercial</w:t>
      </w:r>
      <w:bookmarkEnd w:id="62"/>
    </w:p>
    <w:p w14:paraId="0958D9C4" w14:textId="60BA014C" w:rsidR="003E5431" w:rsidRDefault="005A1309" w:rsidP="0063286C">
      <w:pPr>
        <w:contextualSpacing/>
      </w:pPr>
      <w:r>
        <w:t>Dentro de la Balanza Comercial de Bolivia, la quinua es un</w:t>
      </w:r>
      <w:r w:rsidR="00385479">
        <w:t>o</w:t>
      </w:r>
      <w:r>
        <w:t xml:space="preserve"> de los productos </w:t>
      </w:r>
      <w:r w:rsidR="00385479">
        <w:t xml:space="preserve">más </w:t>
      </w:r>
      <w:r>
        <w:t>vendidos dentro de las exportaciones no tradicionales, después de la soya y sus derivados, como se puede observar a continuación:</w:t>
      </w:r>
    </w:p>
    <w:p w14:paraId="5AD0B74B" w14:textId="77777777" w:rsidR="003E5431" w:rsidRDefault="003E5431">
      <w:pPr>
        <w:spacing w:line="276" w:lineRule="auto"/>
        <w:jc w:val="left"/>
      </w:pPr>
      <w:r>
        <w:br w:type="page"/>
      </w:r>
    </w:p>
    <w:p w14:paraId="30A6FA7D" w14:textId="77777777" w:rsidR="002B6D31" w:rsidRPr="00BA3BF1" w:rsidRDefault="002B6D31" w:rsidP="0063286C">
      <w:pPr>
        <w:pStyle w:val="Descripcin"/>
        <w:keepNext/>
        <w:contextualSpacing/>
        <w:jc w:val="center"/>
        <w:rPr>
          <w:b/>
          <w:i w:val="0"/>
          <w:color w:val="auto"/>
          <w:sz w:val="24"/>
          <w:szCs w:val="24"/>
        </w:rPr>
      </w:pPr>
      <w:bookmarkStart w:id="63" w:name="_Toc446973214"/>
      <w:r w:rsidRPr="00BA3BF1">
        <w:rPr>
          <w:b/>
          <w:i w:val="0"/>
          <w:color w:val="auto"/>
          <w:sz w:val="24"/>
          <w:szCs w:val="24"/>
        </w:rPr>
        <w:lastRenderedPageBreak/>
        <w:t xml:space="preserve">Tabla </w:t>
      </w:r>
      <w:r w:rsidRPr="00BA3BF1">
        <w:rPr>
          <w:b/>
          <w:i w:val="0"/>
          <w:color w:val="auto"/>
          <w:sz w:val="24"/>
          <w:szCs w:val="24"/>
        </w:rPr>
        <w:fldChar w:fldCharType="begin"/>
      </w:r>
      <w:r w:rsidRPr="00BA3BF1">
        <w:rPr>
          <w:b/>
          <w:i w:val="0"/>
          <w:color w:val="auto"/>
          <w:sz w:val="24"/>
          <w:szCs w:val="24"/>
        </w:rPr>
        <w:instrText xml:space="preserve"> SEQ Tabla \* ARABIC </w:instrText>
      </w:r>
      <w:r w:rsidRPr="00BA3BF1">
        <w:rPr>
          <w:b/>
          <w:i w:val="0"/>
          <w:color w:val="auto"/>
          <w:sz w:val="24"/>
          <w:szCs w:val="24"/>
        </w:rPr>
        <w:fldChar w:fldCharType="separate"/>
      </w:r>
      <w:r w:rsidR="00B828B8">
        <w:rPr>
          <w:b/>
          <w:i w:val="0"/>
          <w:noProof/>
          <w:color w:val="auto"/>
          <w:sz w:val="24"/>
          <w:szCs w:val="24"/>
        </w:rPr>
        <w:t>16</w:t>
      </w:r>
      <w:r w:rsidRPr="00BA3BF1">
        <w:rPr>
          <w:b/>
          <w:i w:val="0"/>
          <w:color w:val="auto"/>
          <w:sz w:val="24"/>
          <w:szCs w:val="24"/>
        </w:rPr>
        <w:fldChar w:fldCharType="end"/>
      </w:r>
      <w:r w:rsidRPr="00BA3BF1">
        <w:rPr>
          <w:b/>
          <w:i w:val="0"/>
          <w:color w:val="auto"/>
          <w:sz w:val="24"/>
          <w:szCs w:val="24"/>
        </w:rPr>
        <w:t xml:space="preserve">: </w:t>
      </w:r>
      <w:r w:rsidR="00385479" w:rsidRPr="00BA3BF1">
        <w:rPr>
          <w:b/>
          <w:i w:val="0"/>
          <w:color w:val="auto"/>
          <w:sz w:val="24"/>
          <w:szCs w:val="24"/>
        </w:rPr>
        <w:t xml:space="preserve">Quinua dentro de la </w:t>
      </w:r>
      <w:r w:rsidRPr="00BA3BF1">
        <w:rPr>
          <w:b/>
          <w:i w:val="0"/>
          <w:color w:val="auto"/>
          <w:sz w:val="24"/>
          <w:szCs w:val="24"/>
        </w:rPr>
        <w:t>Balanza Comercial de Bolivia</w:t>
      </w:r>
      <w:bookmarkEnd w:id="63"/>
    </w:p>
    <w:tbl>
      <w:tblPr>
        <w:tblW w:w="6880" w:type="dxa"/>
        <w:jc w:val="center"/>
        <w:tblBorders>
          <w:top w:val="single" w:sz="12" w:space="0" w:color="auto"/>
        </w:tblBorders>
        <w:tblCellMar>
          <w:left w:w="70" w:type="dxa"/>
          <w:right w:w="70" w:type="dxa"/>
        </w:tblCellMar>
        <w:tblLook w:val="04A0" w:firstRow="1" w:lastRow="0" w:firstColumn="1" w:lastColumn="0" w:noHBand="0" w:noVBand="1"/>
      </w:tblPr>
      <w:tblGrid>
        <w:gridCol w:w="3280"/>
        <w:gridCol w:w="1200"/>
        <w:gridCol w:w="1200"/>
        <w:gridCol w:w="1200"/>
      </w:tblGrid>
      <w:tr w:rsidR="002C4AF7" w:rsidRPr="002C4AF7" w14:paraId="1C8BD29C" w14:textId="77777777" w:rsidTr="0026749E">
        <w:trPr>
          <w:trHeight w:val="315"/>
          <w:jc w:val="center"/>
        </w:trPr>
        <w:tc>
          <w:tcPr>
            <w:tcW w:w="3280" w:type="dxa"/>
            <w:tcBorders>
              <w:top w:val="single" w:sz="12" w:space="0" w:color="auto"/>
              <w:bottom w:val="single" w:sz="12" w:space="0" w:color="auto"/>
            </w:tcBorders>
            <w:shd w:val="clear" w:color="auto" w:fill="auto"/>
            <w:noWrap/>
            <w:vAlign w:val="bottom"/>
            <w:hideMark/>
          </w:tcPr>
          <w:p w14:paraId="10E44F6D" w14:textId="77777777" w:rsidR="002C4AF7" w:rsidRPr="002C4AF7" w:rsidRDefault="002C4AF7" w:rsidP="002C4AF7">
            <w:pPr>
              <w:spacing w:after="0" w:line="240" w:lineRule="auto"/>
              <w:jc w:val="center"/>
              <w:rPr>
                <w:rFonts w:eastAsia="Times New Roman"/>
                <w:color w:val="000000"/>
                <w:szCs w:val="24"/>
                <w:lang w:eastAsia="es-EC"/>
              </w:rPr>
            </w:pPr>
            <w:r w:rsidRPr="002C4AF7">
              <w:rPr>
                <w:rFonts w:eastAsia="Times New Roman"/>
                <w:color w:val="000000"/>
                <w:szCs w:val="24"/>
                <w:lang w:eastAsia="es-EC"/>
              </w:rPr>
              <w:t> </w:t>
            </w:r>
          </w:p>
        </w:tc>
        <w:tc>
          <w:tcPr>
            <w:tcW w:w="1200" w:type="dxa"/>
            <w:tcBorders>
              <w:top w:val="single" w:sz="12" w:space="0" w:color="auto"/>
              <w:bottom w:val="single" w:sz="12" w:space="0" w:color="auto"/>
            </w:tcBorders>
            <w:shd w:val="clear" w:color="auto" w:fill="auto"/>
            <w:noWrap/>
            <w:vAlign w:val="bottom"/>
            <w:hideMark/>
          </w:tcPr>
          <w:p w14:paraId="21C7BD0D" w14:textId="77777777" w:rsidR="002C4AF7" w:rsidRPr="002C4AF7" w:rsidRDefault="002C4AF7" w:rsidP="002C4AF7">
            <w:pPr>
              <w:spacing w:after="0" w:line="240" w:lineRule="auto"/>
              <w:jc w:val="center"/>
              <w:rPr>
                <w:rFonts w:eastAsia="Times New Roman"/>
                <w:b/>
                <w:bCs/>
                <w:color w:val="000000"/>
                <w:szCs w:val="24"/>
                <w:lang w:eastAsia="es-EC"/>
              </w:rPr>
            </w:pPr>
            <w:r w:rsidRPr="002C4AF7">
              <w:rPr>
                <w:rFonts w:eastAsia="Times New Roman"/>
                <w:b/>
                <w:bCs/>
                <w:color w:val="000000"/>
                <w:szCs w:val="24"/>
                <w:lang w:eastAsia="es-EC"/>
              </w:rPr>
              <w:t>2012</w:t>
            </w:r>
          </w:p>
        </w:tc>
        <w:tc>
          <w:tcPr>
            <w:tcW w:w="1200" w:type="dxa"/>
            <w:tcBorders>
              <w:top w:val="single" w:sz="12" w:space="0" w:color="auto"/>
              <w:bottom w:val="single" w:sz="12" w:space="0" w:color="auto"/>
            </w:tcBorders>
            <w:shd w:val="clear" w:color="auto" w:fill="auto"/>
            <w:noWrap/>
            <w:vAlign w:val="bottom"/>
            <w:hideMark/>
          </w:tcPr>
          <w:p w14:paraId="06AC54E6" w14:textId="77777777" w:rsidR="002C4AF7" w:rsidRPr="002C4AF7" w:rsidRDefault="002C4AF7" w:rsidP="002C4AF7">
            <w:pPr>
              <w:spacing w:after="0" w:line="240" w:lineRule="auto"/>
              <w:jc w:val="center"/>
              <w:rPr>
                <w:rFonts w:eastAsia="Times New Roman"/>
                <w:b/>
                <w:bCs/>
                <w:color w:val="000000"/>
                <w:szCs w:val="24"/>
                <w:lang w:eastAsia="es-EC"/>
              </w:rPr>
            </w:pPr>
            <w:r w:rsidRPr="002C4AF7">
              <w:rPr>
                <w:rFonts w:eastAsia="Times New Roman"/>
                <w:b/>
                <w:bCs/>
                <w:color w:val="000000"/>
                <w:szCs w:val="24"/>
                <w:lang w:eastAsia="es-EC"/>
              </w:rPr>
              <w:t>2013</w:t>
            </w:r>
          </w:p>
        </w:tc>
        <w:tc>
          <w:tcPr>
            <w:tcW w:w="1200" w:type="dxa"/>
            <w:tcBorders>
              <w:top w:val="single" w:sz="12" w:space="0" w:color="auto"/>
              <w:bottom w:val="single" w:sz="12" w:space="0" w:color="auto"/>
            </w:tcBorders>
            <w:shd w:val="clear" w:color="auto" w:fill="auto"/>
            <w:noWrap/>
            <w:vAlign w:val="bottom"/>
            <w:hideMark/>
          </w:tcPr>
          <w:p w14:paraId="1C419F5F" w14:textId="77777777" w:rsidR="002C4AF7" w:rsidRPr="002C4AF7" w:rsidRDefault="002C4AF7" w:rsidP="002C4AF7">
            <w:pPr>
              <w:spacing w:after="0" w:line="240" w:lineRule="auto"/>
              <w:jc w:val="center"/>
              <w:rPr>
                <w:rFonts w:eastAsia="Times New Roman"/>
                <w:b/>
                <w:bCs/>
                <w:color w:val="000000"/>
                <w:szCs w:val="24"/>
                <w:lang w:eastAsia="es-EC"/>
              </w:rPr>
            </w:pPr>
            <w:r w:rsidRPr="002C4AF7">
              <w:rPr>
                <w:rFonts w:eastAsia="Times New Roman"/>
                <w:b/>
                <w:bCs/>
                <w:color w:val="000000"/>
                <w:szCs w:val="24"/>
                <w:lang w:eastAsia="es-EC"/>
              </w:rPr>
              <w:t>2014</w:t>
            </w:r>
          </w:p>
        </w:tc>
      </w:tr>
      <w:tr w:rsidR="002C4AF7" w:rsidRPr="002C4AF7" w14:paraId="1FAABFBF" w14:textId="77777777" w:rsidTr="0026749E">
        <w:trPr>
          <w:trHeight w:val="315"/>
          <w:jc w:val="center"/>
        </w:trPr>
        <w:tc>
          <w:tcPr>
            <w:tcW w:w="3280" w:type="dxa"/>
            <w:tcBorders>
              <w:top w:val="single" w:sz="12" w:space="0" w:color="auto"/>
            </w:tcBorders>
            <w:shd w:val="clear" w:color="auto" w:fill="auto"/>
            <w:noWrap/>
            <w:vAlign w:val="bottom"/>
            <w:hideMark/>
          </w:tcPr>
          <w:p w14:paraId="3B1B6F02"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Total Exportaciones</w:t>
            </w:r>
          </w:p>
        </w:tc>
        <w:tc>
          <w:tcPr>
            <w:tcW w:w="1200" w:type="dxa"/>
            <w:tcBorders>
              <w:top w:val="single" w:sz="12" w:space="0" w:color="auto"/>
            </w:tcBorders>
            <w:shd w:val="clear" w:color="auto" w:fill="auto"/>
            <w:noWrap/>
            <w:vAlign w:val="bottom"/>
            <w:hideMark/>
          </w:tcPr>
          <w:p w14:paraId="267E6C61"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11.968</w:t>
            </w:r>
          </w:p>
        </w:tc>
        <w:tc>
          <w:tcPr>
            <w:tcW w:w="1200" w:type="dxa"/>
            <w:tcBorders>
              <w:top w:val="single" w:sz="12" w:space="0" w:color="auto"/>
            </w:tcBorders>
            <w:shd w:val="clear" w:color="auto" w:fill="auto"/>
            <w:noWrap/>
            <w:vAlign w:val="bottom"/>
            <w:hideMark/>
          </w:tcPr>
          <w:p w14:paraId="5B10981C"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12.328</w:t>
            </w:r>
          </w:p>
        </w:tc>
        <w:tc>
          <w:tcPr>
            <w:tcW w:w="1200" w:type="dxa"/>
            <w:tcBorders>
              <w:top w:val="single" w:sz="12" w:space="0" w:color="auto"/>
            </w:tcBorders>
            <w:shd w:val="clear" w:color="auto" w:fill="auto"/>
            <w:noWrap/>
            <w:vAlign w:val="bottom"/>
            <w:hideMark/>
          </w:tcPr>
          <w:p w14:paraId="26A83FF7"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12.991</w:t>
            </w:r>
          </w:p>
        </w:tc>
      </w:tr>
      <w:tr w:rsidR="002C4AF7" w:rsidRPr="002C4AF7" w14:paraId="493F67FB" w14:textId="77777777" w:rsidTr="0026749E">
        <w:trPr>
          <w:trHeight w:val="315"/>
          <w:jc w:val="center"/>
        </w:trPr>
        <w:tc>
          <w:tcPr>
            <w:tcW w:w="3280" w:type="dxa"/>
            <w:shd w:val="clear" w:color="auto" w:fill="auto"/>
            <w:noWrap/>
            <w:vAlign w:val="bottom"/>
            <w:hideMark/>
          </w:tcPr>
          <w:p w14:paraId="748AD421"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Exportaciones No tradicionales</w:t>
            </w:r>
          </w:p>
        </w:tc>
        <w:tc>
          <w:tcPr>
            <w:tcW w:w="1200" w:type="dxa"/>
            <w:shd w:val="clear" w:color="auto" w:fill="auto"/>
            <w:noWrap/>
            <w:vAlign w:val="bottom"/>
            <w:hideMark/>
          </w:tcPr>
          <w:p w14:paraId="0CF8FCB6"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2.082</w:t>
            </w:r>
          </w:p>
        </w:tc>
        <w:tc>
          <w:tcPr>
            <w:tcW w:w="1200" w:type="dxa"/>
            <w:shd w:val="clear" w:color="auto" w:fill="auto"/>
            <w:noWrap/>
            <w:vAlign w:val="bottom"/>
            <w:hideMark/>
          </w:tcPr>
          <w:p w14:paraId="47039C5F"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2.346</w:t>
            </w:r>
          </w:p>
        </w:tc>
        <w:tc>
          <w:tcPr>
            <w:tcW w:w="1200" w:type="dxa"/>
            <w:shd w:val="clear" w:color="auto" w:fill="auto"/>
            <w:noWrap/>
            <w:vAlign w:val="bottom"/>
            <w:hideMark/>
          </w:tcPr>
          <w:p w14:paraId="7092C293"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2.200</w:t>
            </w:r>
          </w:p>
        </w:tc>
      </w:tr>
      <w:tr w:rsidR="002C4AF7" w:rsidRPr="002C4AF7" w14:paraId="10B23B05" w14:textId="77777777" w:rsidTr="0026749E">
        <w:trPr>
          <w:trHeight w:val="315"/>
          <w:jc w:val="center"/>
        </w:trPr>
        <w:tc>
          <w:tcPr>
            <w:tcW w:w="3280" w:type="dxa"/>
            <w:shd w:val="clear" w:color="auto" w:fill="auto"/>
            <w:noWrap/>
            <w:vAlign w:val="bottom"/>
            <w:hideMark/>
          </w:tcPr>
          <w:p w14:paraId="2084D549"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Torta de Soya</w:t>
            </w:r>
          </w:p>
        </w:tc>
        <w:tc>
          <w:tcPr>
            <w:tcW w:w="1200" w:type="dxa"/>
            <w:shd w:val="clear" w:color="auto" w:fill="auto"/>
            <w:noWrap/>
            <w:vAlign w:val="bottom"/>
            <w:hideMark/>
          </w:tcPr>
          <w:p w14:paraId="22F727D7"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504</w:t>
            </w:r>
          </w:p>
        </w:tc>
        <w:tc>
          <w:tcPr>
            <w:tcW w:w="1200" w:type="dxa"/>
            <w:shd w:val="clear" w:color="auto" w:fill="auto"/>
            <w:noWrap/>
            <w:vAlign w:val="bottom"/>
            <w:hideMark/>
          </w:tcPr>
          <w:p w14:paraId="7EC0202B"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612</w:t>
            </w:r>
          </w:p>
        </w:tc>
        <w:tc>
          <w:tcPr>
            <w:tcW w:w="1200" w:type="dxa"/>
            <w:shd w:val="clear" w:color="auto" w:fill="auto"/>
            <w:noWrap/>
            <w:vAlign w:val="bottom"/>
            <w:hideMark/>
          </w:tcPr>
          <w:p w14:paraId="2B9F1340"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662</w:t>
            </w:r>
          </w:p>
        </w:tc>
      </w:tr>
      <w:tr w:rsidR="002C4AF7" w:rsidRPr="002C4AF7" w14:paraId="46CCFE99" w14:textId="77777777" w:rsidTr="0026749E">
        <w:trPr>
          <w:trHeight w:val="315"/>
          <w:jc w:val="center"/>
        </w:trPr>
        <w:tc>
          <w:tcPr>
            <w:tcW w:w="3280" w:type="dxa"/>
            <w:shd w:val="clear" w:color="auto" w:fill="auto"/>
            <w:noWrap/>
            <w:vAlign w:val="bottom"/>
            <w:hideMark/>
          </w:tcPr>
          <w:p w14:paraId="208EEE35"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Aceite de Soya</w:t>
            </w:r>
          </w:p>
        </w:tc>
        <w:tc>
          <w:tcPr>
            <w:tcW w:w="1200" w:type="dxa"/>
            <w:shd w:val="clear" w:color="auto" w:fill="auto"/>
            <w:noWrap/>
            <w:vAlign w:val="bottom"/>
            <w:hideMark/>
          </w:tcPr>
          <w:p w14:paraId="2655345B"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290</w:t>
            </w:r>
          </w:p>
        </w:tc>
        <w:tc>
          <w:tcPr>
            <w:tcW w:w="1200" w:type="dxa"/>
            <w:shd w:val="clear" w:color="auto" w:fill="auto"/>
            <w:noWrap/>
            <w:vAlign w:val="bottom"/>
            <w:hideMark/>
          </w:tcPr>
          <w:p w14:paraId="2DC65D61"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278</w:t>
            </w:r>
          </w:p>
        </w:tc>
        <w:tc>
          <w:tcPr>
            <w:tcW w:w="1200" w:type="dxa"/>
            <w:shd w:val="clear" w:color="auto" w:fill="auto"/>
            <w:noWrap/>
            <w:vAlign w:val="bottom"/>
            <w:hideMark/>
          </w:tcPr>
          <w:p w14:paraId="2DF90F4E"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294</w:t>
            </w:r>
          </w:p>
        </w:tc>
      </w:tr>
      <w:tr w:rsidR="002C4AF7" w:rsidRPr="002C4AF7" w14:paraId="543C5AE3" w14:textId="77777777" w:rsidTr="0026749E">
        <w:trPr>
          <w:trHeight w:val="315"/>
          <w:jc w:val="center"/>
        </w:trPr>
        <w:tc>
          <w:tcPr>
            <w:tcW w:w="3280" w:type="dxa"/>
            <w:shd w:val="clear" w:color="auto" w:fill="auto"/>
            <w:noWrap/>
            <w:vAlign w:val="bottom"/>
            <w:hideMark/>
          </w:tcPr>
          <w:p w14:paraId="41501690"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Quinua</w:t>
            </w:r>
          </w:p>
        </w:tc>
        <w:tc>
          <w:tcPr>
            <w:tcW w:w="1200" w:type="dxa"/>
            <w:shd w:val="clear" w:color="auto" w:fill="auto"/>
            <w:noWrap/>
            <w:vAlign w:val="bottom"/>
            <w:hideMark/>
          </w:tcPr>
          <w:p w14:paraId="387E6A21"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80</w:t>
            </w:r>
          </w:p>
        </w:tc>
        <w:tc>
          <w:tcPr>
            <w:tcW w:w="1200" w:type="dxa"/>
            <w:shd w:val="clear" w:color="auto" w:fill="auto"/>
            <w:noWrap/>
            <w:vAlign w:val="bottom"/>
            <w:hideMark/>
          </w:tcPr>
          <w:p w14:paraId="64BA4954"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153</w:t>
            </w:r>
          </w:p>
        </w:tc>
        <w:tc>
          <w:tcPr>
            <w:tcW w:w="1200" w:type="dxa"/>
            <w:shd w:val="clear" w:color="auto" w:fill="auto"/>
            <w:noWrap/>
            <w:vAlign w:val="bottom"/>
            <w:hideMark/>
          </w:tcPr>
          <w:p w14:paraId="599C1772"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197</w:t>
            </w:r>
          </w:p>
        </w:tc>
      </w:tr>
      <w:tr w:rsidR="002C4AF7" w:rsidRPr="002C4AF7" w14:paraId="61907469" w14:textId="77777777" w:rsidTr="0026749E">
        <w:trPr>
          <w:trHeight w:val="315"/>
          <w:jc w:val="center"/>
        </w:trPr>
        <w:tc>
          <w:tcPr>
            <w:tcW w:w="3280" w:type="dxa"/>
            <w:tcBorders>
              <w:bottom w:val="nil"/>
            </w:tcBorders>
            <w:shd w:val="clear" w:color="auto" w:fill="auto"/>
            <w:noWrap/>
            <w:vAlign w:val="bottom"/>
            <w:hideMark/>
          </w:tcPr>
          <w:p w14:paraId="2A779494"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Quinua / Exp. No tradicionales</w:t>
            </w:r>
          </w:p>
        </w:tc>
        <w:tc>
          <w:tcPr>
            <w:tcW w:w="1200" w:type="dxa"/>
            <w:tcBorders>
              <w:bottom w:val="nil"/>
            </w:tcBorders>
            <w:shd w:val="clear" w:color="auto" w:fill="auto"/>
            <w:noWrap/>
            <w:vAlign w:val="bottom"/>
            <w:hideMark/>
          </w:tcPr>
          <w:p w14:paraId="488BAAA3"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3,8%</w:t>
            </w:r>
          </w:p>
        </w:tc>
        <w:tc>
          <w:tcPr>
            <w:tcW w:w="1200" w:type="dxa"/>
            <w:tcBorders>
              <w:bottom w:val="nil"/>
            </w:tcBorders>
            <w:shd w:val="clear" w:color="auto" w:fill="auto"/>
            <w:noWrap/>
            <w:vAlign w:val="bottom"/>
            <w:hideMark/>
          </w:tcPr>
          <w:p w14:paraId="311E03E3"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6,5%</w:t>
            </w:r>
          </w:p>
        </w:tc>
        <w:tc>
          <w:tcPr>
            <w:tcW w:w="1200" w:type="dxa"/>
            <w:tcBorders>
              <w:bottom w:val="nil"/>
            </w:tcBorders>
            <w:shd w:val="clear" w:color="auto" w:fill="auto"/>
            <w:noWrap/>
            <w:vAlign w:val="bottom"/>
            <w:hideMark/>
          </w:tcPr>
          <w:p w14:paraId="6787D8AE"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8,9%</w:t>
            </w:r>
          </w:p>
        </w:tc>
      </w:tr>
      <w:tr w:rsidR="002C4AF7" w:rsidRPr="002C4AF7" w14:paraId="0C885584" w14:textId="77777777" w:rsidTr="0026749E">
        <w:trPr>
          <w:trHeight w:val="330"/>
          <w:jc w:val="center"/>
        </w:trPr>
        <w:tc>
          <w:tcPr>
            <w:tcW w:w="3280" w:type="dxa"/>
            <w:tcBorders>
              <w:top w:val="nil"/>
              <w:bottom w:val="single" w:sz="12" w:space="0" w:color="auto"/>
            </w:tcBorders>
            <w:shd w:val="clear" w:color="auto" w:fill="auto"/>
            <w:noWrap/>
            <w:vAlign w:val="bottom"/>
            <w:hideMark/>
          </w:tcPr>
          <w:p w14:paraId="7DCEBAE1" w14:textId="77777777" w:rsidR="002C4AF7" w:rsidRPr="002C4AF7" w:rsidRDefault="002C4AF7" w:rsidP="0026749E">
            <w:pPr>
              <w:spacing w:after="0" w:line="240" w:lineRule="auto"/>
              <w:jc w:val="left"/>
              <w:rPr>
                <w:rFonts w:eastAsia="Times New Roman"/>
                <w:b/>
                <w:bCs/>
                <w:color w:val="000000"/>
                <w:szCs w:val="24"/>
                <w:lang w:eastAsia="es-EC"/>
              </w:rPr>
            </w:pPr>
            <w:r w:rsidRPr="002C4AF7">
              <w:rPr>
                <w:rFonts w:eastAsia="Times New Roman"/>
                <w:b/>
                <w:bCs/>
                <w:color w:val="000000"/>
                <w:szCs w:val="24"/>
                <w:lang w:eastAsia="es-EC"/>
              </w:rPr>
              <w:t>Quinua / Total Exportaciones</w:t>
            </w:r>
          </w:p>
        </w:tc>
        <w:tc>
          <w:tcPr>
            <w:tcW w:w="1200" w:type="dxa"/>
            <w:tcBorders>
              <w:top w:val="nil"/>
              <w:bottom w:val="single" w:sz="12" w:space="0" w:color="auto"/>
            </w:tcBorders>
            <w:shd w:val="clear" w:color="auto" w:fill="auto"/>
            <w:noWrap/>
            <w:vAlign w:val="bottom"/>
            <w:hideMark/>
          </w:tcPr>
          <w:p w14:paraId="7EE448AA"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0,7%</w:t>
            </w:r>
          </w:p>
        </w:tc>
        <w:tc>
          <w:tcPr>
            <w:tcW w:w="1200" w:type="dxa"/>
            <w:tcBorders>
              <w:top w:val="nil"/>
              <w:bottom w:val="single" w:sz="12" w:space="0" w:color="auto"/>
            </w:tcBorders>
            <w:shd w:val="clear" w:color="auto" w:fill="auto"/>
            <w:noWrap/>
            <w:vAlign w:val="bottom"/>
            <w:hideMark/>
          </w:tcPr>
          <w:p w14:paraId="16C49693"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1,2%</w:t>
            </w:r>
          </w:p>
        </w:tc>
        <w:tc>
          <w:tcPr>
            <w:tcW w:w="1200" w:type="dxa"/>
            <w:tcBorders>
              <w:top w:val="nil"/>
              <w:bottom w:val="single" w:sz="12" w:space="0" w:color="auto"/>
            </w:tcBorders>
            <w:shd w:val="clear" w:color="auto" w:fill="auto"/>
            <w:noWrap/>
            <w:vAlign w:val="bottom"/>
            <w:hideMark/>
          </w:tcPr>
          <w:p w14:paraId="0ED13FC6" w14:textId="77777777" w:rsidR="002C4AF7" w:rsidRPr="002C4AF7" w:rsidRDefault="002C4AF7" w:rsidP="0026749E">
            <w:pPr>
              <w:spacing w:after="0" w:line="240" w:lineRule="auto"/>
              <w:jc w:val="center"/>
              <w:rPr>
                <w:rFonts w:eastAsia="Times New Roman"/>
                <w:color w:val="000000"/>
                <w:szCs w:val="24"/>
                <w:lang w:eastAsia="es-EC"/>
              </w:rPr>
            </w:pPr>
            <w:r w:rsidRPr="002C4AF7">
              <w:rPr>
                <w:rFonts w:eastAsia="Times New Roman"/>
                <w:color w:val="000000"/>
                <w:szCs w:val="24"/>
                <w:lang w:eastAsia="es-EC"/>
              </w:rPr>
              <w:t>1,5%</w:t>
            </w:r>
          </w:p>
        </w:tc>
      </w:tr>
    </w:tbl>
    <w:p w14:paraId="65456079" w14:textId="21BEC764" w:rsidR="005A1309" w:rsidRPr="0063286C" w:rsidRDefault="00B70183" w:rsidP="0063286C">
      <w:pPr>
        <w:contextualSpacing/>
        <w:rPr>
          <w:sz w:val="18"/>
          <w:szCs w:val="18"/>
        </w:rPr>
      </w:pPr>
      <w:r w:rsidRPr="0063286C">
        <w:rPr>
          <w:sz w:val="18"/>
          <w:szCs w:val="18"/>
        </w:rPr>
        <w:t xml:space="preserve">                </w:t>
      </w:r>
      <w:r w:rsidR="00ED1E4D">
        <w:rPr>
          <w:sz w:val="18"/>
          <w:szCs w:val="18"/>
        </w:rPr>
        <w:tab/>
      </w:r>
      <w:r w:rsidR="00B86960" w:rsidRPr="0063286C">
        <w:rPr>
          <w:sz w:val="18"/>
          <w:szCs w:val="18"/>
        </w:rPr>
        <w:t>*Valores en millones</w:t>
      </w:r>
      <w:r w:rsidR="005A1309" w:rsidRPr="0063286C">
        <w:rPr>
          <w:sz w:val="18"/>
          <w:szCs w:val="18"/>
        </w:rPr>
        <w:t xml:space="preserve"> de dólares</w:t>
      </w:r>
    </w:p>
    <w:p w14:paraId="3192F2A6" w14:textId="77777777" w:rsidR="005A1309" w:rsidRPr="0063286C" w:rsidRDefault="005A1309" w:rsidP="00ED1E4D">
      <w:pPr>
        <w:ind w:left="708" w:firstLine="708"/>
        <w:contextualSpacing/>
        <w:rPr>
          <w:sz w:val="18"/>
          <w:szCs w:val="18"/>
        </w:rPr>
      </w:pPr>
      <w:r w:rsidRPr="0063286C">
        <w:rPr>
          <w:sz w:val="18"/>
          <w:szCs w:val="18"/>
        </w:rPr>
        <w:t xml:space="preserve">Fuente: </w:t>
      </w:r>
      <w:sdt>
        <w:sdtPr>
          <w:rPr>
            <w:sz w:val="18"/>
            <w:szCs w:val="18"/>
          </w:rPr>
          <w:id w:val="-1956623821"/>
          <w:citation/>
        </w:sdtPr>
        <w:sdtEndPr/>
        <w:sdtContent>
          <w:r w:rsidRPr="0063286C">
            <w:rPr>
              <w:sz w:val="18"/>
              <w:szCs w:val="18"/>
            </w:rPr>
            <w:fldChar w:fldCharType="begin"/>
          </w:r>
          <w:r w:rsidRPr="0063286C">
            <w:rPr>
              <w:sz w:val="18"/>
              <w:szCs w:val="18"/>
            </w:rPr>
            <w:instrText xml:space="preserve"> CITATION Ban131 \l 12298 </w:instrText>
          </w:r>
          <w:r w:rsidRPr="0063286C">
            <w:rPr>
              <w:sz w:val="18"/>
              <w:szCs w:val="18"/>
            </w:rPr>
            <w:fldChar w:fldCharType="separate"/>
          </w:r>
          <w:r w:rsidR="00BC1846" w:rsidRPr="0063286C">
            <w:rPr>
              <w:noProof/>
              <w:sz w:val="18"/>
              <w:szCs w:val="18"/>
            </w:rPr>
            <w:t>(Banco Central de Bolivia, 2013)</w:t>
          </w:r>
          <w:r w:rsidRPr="0063286C">
            <w:rPr>
              <w:sz w:val="18"/>
              <w:szCs w:val="18"/>
            </w:rPr>
            <w:fldChar w:fldCharType="end"/>
          </w:r>
        </w:sdtContent>
      </w:sdt>
      <w:sdt>
        <w:sdtPr>
          <w:rPr>
            <w:sz w:val="18"/>
            <w:szCs w:val="18"/>
          </w:rPr>
          <w:id w:val="1328949554"/>
          <w:citation/>
        </w:sdtPr>
        <w:sdtEndPr/>
        <w:sdtContent>
          <w:r w:rsidRPr="0063286C">
            <w:rPr>
              <w:sz w:val="18"/>
              <w:szCs w:val="18"/>
            </w:rPr>
            <w:fldChar w:fldCharType="begin"/>
          </w:r>
          <w:r w:rsidRPr="0063286C">
            <w:rPr>
              <w:sz w:val="18"/>
              <w:szCs w:val="18"/>
            </w:rPr>
            <w:instrText xml:space="preserve"> CITATION Ban14 \l 12298 </w:instrText>
          </w:r>
          <w:r w:rsidRPr="0063286C">
            <w:rPr>
              <w:sz w:val="18"/>
              <w:szCs w:val="18"/>
            </w:rPr>
            <w:fldChar w:fldCharType="separate"/>
          </w:r>
          <w:r w:rsidR="00BC1846" w:rsidRPr="0063286C">
            <w:rPr>
              <w:noProof/>
              <w:sz w:val="18"/>
              <w:szCs w:val="18"/>
            </w:rPr>
            <w:t xml:space="preserve"> (Banco Central de Bolivia, 2014)</w:t>
          </w:r>
          <w:r w:rsidRPr="0063286C">
            <w:rPr>
              <w:sz w:val="18"/>
              <w:szCs w:val="18"/>
            </w:rPr>
            <w:fldChar w:fldCharType="end"/>
          </w:r>
        </w:sdtContent>
      </w:sdt>
    </w:p>
    <w:p w14:paraId="648AFC50" w14:textId="77777777" w:rsidR="00295E07" w:rsidRDefault="00295E07" w:rsidP="0063286C">
      <w:pPr>
        <w:contextualSpacing/>
      </w:pPr>
    </w:p>
    <w:p w14:paraId="6D73AB56" w14:textId="77777777" w:rsidR="005A1309" w:rsidRDefault="005A1309" w:rsidP="0063286C">
      <w:pPr>
        <w:contextualSpacing/>
      </w:pPr>
      <w:r>
        <w:t xml:space="preserve">El porcentaje de participación sobre las Exportaciones No Tradicionales es bajo en relación a otros cereales como la soya. En el 2012 representó un 4% del total para pasar a un 7% en el 2013, y un 9% en el 2014. A pesar de que este número tiene una baja representatividad, ha mantenido un crecimiento considerable en concordancia a lo observado anteriormente. El 2013 frente al 2012, la participación creció en un 70%, frente a un 37% para el 2014. </w:t>
      </w:r>
    </w:p>
    <w:p w14:paraId="0980E4B4" w14:textId="77777777" w:rsidR="005A1309" w:rsidRDefault="005A1309" w:rsidP="0063286C">
      <w:pPr>
        <w:contextualSpacing/>
      </w:pPr>
      <w:r>
        <w:t xml:space="preserve">Sobre el total de las Exportaciones del país, la participación es pequeña debido a que el país tiene una alta dependencia de la oferta de recursos naturales, entre minerales e hidrocarburos </w:t>
      </w:r>
      <w:sdt>
        <w:sdtPr>
          <w:id w:val="-1299919167"/>
          <w:citation/>
        </w:sdtPr>
        <w:sdtEndPr/>
        <w:sdtContent>
          <w:r>
            <w:fldChar w:fldCharType="begin"/>
          </w:r>
          <w:r>
            <w:instrText xml:space="preserve"> CITATION Ban13 \l 12298 </w:instrText>
          </w:r>
          <w:r>
            <w:fldChar w:fldCharType="separate"/>
          </w:r>
          <w:r w:rsidR="00BC1846">
            <w:rPr>
              <w:noProof/>
            </w:rPr>
            <w:t>(Banco Central de Bolivia, 2013)</w:t>
          </w:r>
          <w:r>
            <w:fldChar w:fldCharType="end"/>
          </w:r>
        </w:sdtContent>
      </w:sdt>
      <w:r>
        <w:t>. En el año 2012 representó el 0,7% del total exportado; el 2013, el 1,2%; y el 2014, 1,5%.</w:t>
      </w:r>
    </w:p>
    <w:p w14:paraId="30D27494" w14:textId="77777777" w:rsidR="00204BE5" w:rsidRDefault="00385479" w:rsidP="0063286C">
      <w:pPr>
        <w:contextualSpacing/>
      </w:pPr>
      <w:r>
        <w:t>En Ec</w:t>
      </w:r>
      <w:r w:rsidR="002B2418">
        <w:t xml:space="preserve">uador, por otro lado, la </w:t>
      </w:r>
      <w:r>
        <w:t xml:space="preserve">representatividad </w:t>
      </w:r>
      <w:r w:rsidR="002B2418">
        <w:t xml:space="preserve">de la quinua </w:t>
      </w:r>
      <w:r>
        <w:t>dentro de las exportaciones totales se puede ver a continuación:</w:t>
      </w:r>
    </w:p>
    <w:p w14:paraId="14CF2B88" w14:textId="77777777" w:rsidR="00385479" w:rsidRPr="00D600D7" w:rsidRDefault="00385479" w:rsidP="00385479">
      <w:pPr>
        <w:pStyle w:val="Descripcin"/>
        <w:keepNext/>
        <w:jc w:val="center"/>
        <w:rPr>
          <w:b/>
          <w:i w:val="0"/>
          <w:color w:val="auto"/>
          <w:sz w:val="24"/>
          <w:szCs w:val="24"/>
        </w:rPr>
      </w:pPr>
      <w:bookmarkStart w:id="64" w:name="_Toc446973215"/>
      <w:r w:rsidRPr="00D600D7">
        <w:rPr>
          <w:b/>
          <w:i w:val="0"/>
          <w:color w:val="auto"/>
          <w:sz w:val="24"/>
          <w:szCs w:val="24"/>
        </w:rPr>
        <w:t xml:space="preserve">Tabla </w:t>
      </w:r>
      <w:r w:rsidRPr="00D600D7">
        <w:rPr>
          <w:b/>
          <w:i w:val="0"/>
          <w:color w:val="auto"/>
          <w:sz w:val="24"/>
          <w:szCs w:val="24"/>
        </w:rPr>
        <w:fldChar w:fldCharType="begin"/>
      </w:r>
      <w:r w:rsidRPr="00D600D7">
        <w:rPr>
          <w:b/>
          <w:i w:val="0"/>
          <w:color w:val="auto"/>
          <w:sz w:val="24"/>
          <w:szCs w:val="24"/>
        </w:rPr>
        <w:instrText xml:space="preserve"> SEQ Tabla \* ARABIC </w:instrText>
      </w:r>
      <w:r w:rsidRPr="00D600D7">
        <w:rPr>
          <w:b/>
          <w:i w:val="0"/>
          <w:color w:val="auto"/>
          <w:sz w:val="24"/>
          <w:szCs w:val="24"/>
        </w:rPr>
        <w:fldChar w:fldCharType="separate"/>
      </w:r>
      <w:r w:rsidR="00B828B8">
        <w:rPr>
          <w:b/>
          <w:i w:val="0"/>
          <w:noProof/>
          <w:color w:val="auto"/>
          <w:sz w:val="24"/>
          <w:szCs w:val="24"/>
        </w:rPr>
        <w:t>17</w:t>
      </w:r>
      <w:r w:rsidRPr="00D600D7">
        <w:rPr>
          <w:b/>
          <w:i w:val="0"/>
          <w:color w:val="auto"/>
          <w:sz w:val="24"/>
          <w:szCs w:val="24"/>
        </w:rPr>
        <w:fldChar w:fldCharType="end"/>
      </w:r>
      <w:r w:rsidRPr="00D600D7">
        <w:rPr>
          <w:b/>
          <w:i w:val="0"/>
          <w:color w:val="auto"/>
          <w:sz w:val="24"/>
          <w:szCs w:val="24"/>
        </w:rPr>
        <w:t>: Quinua dentro de la Balanza Comercial del Ecuador</w:t>
      </w:r>
      <w:bookmarkEnd w:id="64"/>
    </w:p>
    <w:tbl>
      <w:tblPr>
        <w:tblW w:w="6964" w:type="dxa"/>
        <w:jc w:val="center"/>
        <w:tblBorders>
          <w:bottom w:val="single" w:sz="12" w:space="0" w:color="auto"/>
        </w:tblBorders>
        <w:tblCellMar>
          <w:left w:w="70" w:type="dxa"/>
          <w:right w:w="70" w:type="dxa"/>
        </w:tblCellMar>
        <w:tblLook w:val="04A0" w:firstRow="1" w:lastRow="0" w:firstColumn="1" w:lastColumn="0" w:noHBand="0" w:noVBand="1"/>
      </w:tblPr>
      <w:tblGrid>
        <w:gridCol w:w="3420"/>
        <w:gridCol w:w="1000"/>
        <w:gridCol w:w="1272"/>
        <w:gridCol w:w="1272"/>
      </w:tblGrid>
      <w:tr w:rsidR="00385479" w:rsidRPr="00385479" w14:paraId="7B20E497" w14:textId="77777777" w:rsidTr="00ED1E4D">
        <w:trPr>
          <w:trHeight w:val="317"/>
          <w:jc w:val="center"/>
        </w:trPr>
        <w:tc>
          <w:tcPr>
            <w:tcW w:w="3420" w:type="dxa"/>
            <w:tcBorders>
              <w:top w:val="single" w:sz="12" w:space="0" w:color="auto"/>
              <w:bottom w:val="single" w:sz="12" w:space="0" w:color="auto"/>
            </w:tcBorders>
            <w:shd w:val="clear" w:color="auto" w:fill="auto"/>
            <w:noWrap/>
            <w:vAlign w:val="bottom"/>
            <w:hideMark/>
          </w:tcPr>
          <w:p w14:paraId="6AC5CB1C"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w:t>
            </w:r>
          </w:p>
        </w:tc>
        <w:tc>
          <w:tcPr>
            <w:tcW w:w="1000" w:type="dxa"/>
            <w:tcBorders>
              <w:top w:val="single" w:sz="12" w:space="0" w:color="auto"/>
              <w:bottom w:val="single" w:sz="12" w:space="0" w:color="auto"/>
            </w:tcBorders>
            <w:shd w:val="clear" w:color="auto" w:fill="auto"/>
            <w:noWrap/>
            <w:vAlign w:val="bottom"/>
            <w:hideMark/>
          </w:tcPr>
          <w:p w14:paraId="410DCEAF" w14:textId="77777777" w:rsidR="00385479" w:rsidRPr="00385479" w:rsidRDefault="00385479" w:rsidP="0063286C">
            <w:pPr>
              <w:spacing w:after="0"/>
              <w:jc w:val="center"/>
              <w:rPr>
                <w:rFonts w:eastAsia="Times New Roman"/>
                <w:b/>
                <w:bCs/>
                <w:color w:val="000000"/>
                <w:szCs w:val="24"/>
                <w:lang w:eastAsia="es-EC"/>
              </w:rPr>
            </w:pPr>
            <w:r w:rsidRPr="00385479">
              <w:rPr>
                <w:rFonts w:eastAsia="Times New Roman"/>
                <w:b/>
                <w:bCs/>
                <w:color w:val="000000"/>
                <w:szCs w:val="24"/>
                <w:lang w:eastAsia="es-EC"/>
              </w:rPr>
              <w:t>2012</w:t>
            </w:r>
          </w:p>
        </w:tc>
        <w:tc>
          <w:tcPr>
            <w:tcW w:w="1272" w:type="dxa"/>
            <w:tcBorders>
              <w:top w:val="single" w:sz="12" w:space="0" w:color="auto"/>
              <w:bottom w:val="single" w:sz="12" w:space="0" w:color="auto"/>
            </w:tcBorders>
            <w:shd w:val="clear" w:color="auto" w:fill="auto"/>
            <w:noWrap/>
            <w:vAlign w:val="bottom"/>
            <w:hideMark/>
          </w:tcPr>
          <w:p w14:paraId="49BEDD6D" w14:textId="77777777" w:rsidR="00385479" w:rsidRPr="00385479" w:rsidRDefault="00385479" w:rsidP="0063286C">
            <w:pPr>
              <w:spacing w:after="0"/>
              <w:jc w:val="center"/>
              <w:rPr>
                <w:rFonts w:eastAsia="Times New Roman"/>
                <w:b/>
                <w:bCs/>
                <w:color w:val="000000"/>
                <w:szCs w:val="24"/>
                <w:lang w:eastAsia="es-EC"/>
              </w:rPr>
            </w:pPr>
            <w:r w:rsidRPr="00385479">
              <w:rPr>
                <w:rFonts w:eastAsia="Times New Roman"/>
                <w:b/>
                <w:bCs/>
                <w:color w:val="000000"/>
                <w:szCs w:val="24"/>
                <w:lang w:eastAsia="es-EC"/>
              </w:rPr>
              <w:t>2013</w:t>
            </w:r>
          </w:p>
        </w:tc>
        <w:tc>
          <w:tcPr>
            <w:tcW w:w="1272" w:type="dxa"/>
            <w:tcBorders>
              <w:top w:val="single" w:sz="12" w:space="0" w:color="auto"/>
              <w:bottom w:val="single" w:sz="12" w:space="0" w:color="auto"/>
            </w:tcBorders>
            <w:shd w:val="clear" w:color="auto" w:fill="auto"/>
            <w:noWrap/>
            <w:vAlign w:val="bottom"/>
            <w:hideMark/>
          </w:tcPr>
          <w:p w14:paraId="3A416DDF" w14:textId="77777777" w:rsidR="00385479" w:rsidRPr="00385479" w:rsidRDefault="00385479" w:rsidP="0063286C">
            <w:pPr>
              <w:spacing w:after="0"/>
              <w:jc w:val="center"/>
              <w:rPr>
                <w:rFonts w:eastAsia="Times New Roman"/>
                <w:b/>
                <w:bCs/>
                <w:color w:val="000000"/>
                <w:szCs w:val="24"/>
                <w:lang w:eastAsia="es-EC"/>
              </w:rPr>
            </w:pPr>
            <w:r w:rsidRPr="00385479">
              <w:rPr>
                <w:rFonts w:eastAsia="Times New Roman"/>
                <w:b/>
                <w:bCs/>
                <w:color w:val="000000"/>
                <w:szCs w:val="24"/>
                <w:lang w:eastAsia="es-EC"/>
              </w:rPr>
              <w:t>2014</w:t>
            </w:r>
          </w:p>
        </w:tc>
      </w:tr>
      <w:tr w:rsidR="00385479" w:rsidRPr="00385479" w14:paraId="15D4F568" w14:textId="77777777" w:rsidTr="00ED1E4D">
        <w:trPr>
          <w:trHeight w:val="317"/>
          <w:jc w:val="center"/>
        </w:trPr>
        <w:tc>
          <w:tcPr>
            <w:tcW w:w="3420" w:type="dxa"/>
            <w:tcBorders>
              <w:top w:val="single" w:sz="12" w:space="0" w:color="auto"/>
            </w:tcBorders>
            <w:shd w:val="clear" w:color="auto" w:fill="auto"/>
            <w:noWrap/>
            <w:vAlign w:val="bottom"/>
            <w:hideMark/>
          </w:tcPr>
          <w:p w14:paraId="37EE7A3B" w14:textId="77777777" w:rsidR="00385479" w:rsidRPr="00385479" w:rsidRDefault="00385479" w:rsidP="0063286C">
            <w:pPr>
              <w:spacing w:after="0"/>
              <w:jc w:val="left"/>
              <w:rPr>
                <w:rFonts w:eastAsia="Times New Roman"/>
                <w:b/>
                <w:bCs/>
                <w:color w:val="000000"/>
                <w:szCs w:val="24"/>
                <w:lang w:eastAsia="es-EC"/>
              </w:rPr>
            </w:pPr>
            <w:r w:rsidRPr="00385479">
              <w:rPr>
                <w:rFonts w:eastAsia="Times New Roman"/>
                <w:b/>
                <w:bCs/>
                <w:color w:val="000000"/>
                <w:szCs w:val="24"/>
                <w:lang w:eastAsia="es-EC"/>
              </w:rPr>
              <w:t>Total Exportaciones</w:t>
            </w:r>
          </w:p>
        </w:tc>
        <w:tc>
          <w:tcPr>
            <w:tcW w:w="1000" w:type="dxa"/>
            <w:tcBorders>
              <w:top w:val="single" w:sz="12" w:space="0" w:color="auto"/>
            </w:tcBorders>
            <w:shd w:val="clear" w:color="auto" w:fill="auto"/>
            <w:noWrap/>
            <w:vAlign w:val="bottom"/>
            <w:hideMark/>
          </w:tcPr>
          <w:p w14:paraId="52D3E932"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23.765 </w:t>
            </w:r>
          </w:p>
        </w:tc>
        <w:tc>
          <w:tcPr>
            <w:tcW w:w="1272" w:type="dxa"/>
            <w:tcBorders>
              <w:top w:val="single" w:sz="12" w:space="0" w:color="auto"/>
            </w:tcBorders>
            <w:shd w:val="clear" w:color="auto" w:fill="auto"/>
            <w:noWrap/>
            <w:vAlign w:val="bottom"/>
            <w:hideMark/>
          </w:tcPr>
          <w:p w14:paraId="26A6131C"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24.848 </w:t>
            </w:r>
          </w:p>
        </w:tc>
        <w:tc>
          <w:tcPr>
            <w:tcW w:w="1272" w:type="dxa"/>
            <w:tcBorders>
              <w:top w:val="single" w:sz="12" w:space="0" w:color="auto"/>
            </w:tcBorders>
            <w:shd w:val="clear" w:color="auto" w:fill="auto"/>
            <w:noWrap/>
            <w:vAlign w:val="bottom"/>
            <w:hideMark/>
          </w:tcPr>
          <w:p w14:paraId="4C37DAE2"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25.732 </w:t>
            </w:r>
          </w:p>
        </w:tc>
      </w:tr>
      <w:tr w:rsidR="00385479" w:rsidRPr="00385479" w14:paraId="673181CD" w14:textId="77777777" w:rsidTr="00ED1E4D">
        <w:trPr>
          <w:trHeight w:val="317"/>
          <w:jc w:val="center"/>
        </w:trPr>
        <w:tc>
          <w:tcPr>
            <w:tcW w:w="3420" w:type="dxa"/>
            <w:shd w:val="clear" w:color="auto" w:fill="auto"/>
            <w:noWrap/>
            <w:vAlign w:val="bottom"/>
            <w:hideMark/>
          </w:tcPr>
          <w:p w14:paraId="25D76070" w14:textId="77777777" w:rsidR="00385479" w:rsidRPr="00385479" w:rsidRDefault="00385479" w:rsidP="0063286C">
            <w:pPr>
              <w:spacing w:after="0"/>
              <w:jc w:val="left"/>
              <w:rPr>
                <w:rFonts w:eastAsia="Times New Roman"/>
                <w:b/>
                <w:bCs/>
                <w:color w:val="000000"/>
                <w:szCs w:val="24"/>
                <w:lang w:eastAsia="es-EC"/>
              </w:rPr>
            </w:pPr>
            <w:r w:rsidRPr="00385479">
              <w:rPr>
                <w:rFonts w:eastAsia="Times New Roman"/>
                <w:b/>
                <w:bCs/>
                <w:color w:val="000000"/>
                <w:szCs w:val="24"/>
                <w:lang w:eastAsia="es-EC"/>
              </w:rPr>
              <w:t>Exportaciones No tradicionales</w:t>
            </w:r>
          </w:p>
        </w:tc>
        <w:tc>
          <w:tcPr>
            <w:tcW w:w="1000" w:type="dxa"/>
            <w:shd w:val="clear" w:color="auto" w:fill="auto"/>
            <w:noWrap/>
            <w:vAlign w:val="bottom"/>
            <w:hideMark/>
          </w:tcPr>
          <w:p w14:paraId="529B715E"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5.576 </w:t>
            </w:r>
          </w:p>
        </w:tc>
        <w:tc>
          <w:tcPr>
            <w:tcW w:w="1272" w:type="dxa"/>
            <w:shd w:val="clear" w:color="auto" w:fill="auto"/>
            <w:noWrap/>
            <w:vAlign w:val="bottom"/>
            <w:hideMark/>
          </w:tcPr>
          <w:p w14:paraId="30590455"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5.586 </w:t>
            </w:r>
          </w:p>
        </w:tc>
        <w:tc>
          <w:tcPr>
            <w:tcW w:w="1272" w:type="dxa"/>
            <w:shd w:val="clear" w:color="auto" w:fill="auto"/>
            <w:noWrap/>
            <w:vAlign w:val="bottom"/>
            <w:hideMark/>
          </w:tcPr>
          <w:p w14:paraId="6207FAE8"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6.088 </w:t>
            </w:r>
          </w:p>
        </w:tc>
      </w:tr>
      <w:tr w:rsidR="00385479" w:rsidRPr="00385479" w14:paraId="75159D83" w14:textId="77777777" w:rsidTr="00ED1E4D">
        <w:trPr>
          <w:trHeight w:val="317"/>
          <w:jc w:val="center"/>
        </w:trPr>
        <w:tc>
          <w:tcPr>
            <w:tcW w:w="3420" w:type="dxa"/>
            <w:shd w:val="clear" w:color="auto" w:fill="auto"/>
            <w:noWrap/>
            <w:vAlign w:val="bottom"/>
            <w:hideMark/>
          </w:tcPr>
          <w:p w14:paraId="714D8869" w14:textId="77777777" w:rsidR="00385479" w:rsidRPr="00385479" w:rsidRDefault="00385479" w:rsidP="0063286C">
            <w:pPr>
              <w:spacing w:after="0"/>
              <w:jc w:val="left"/>
              <w:rPr>
                <w:rFonts w:eastAsia="Times New Roman"/>
                <w:b/>
                <w:bCs/>
                <w:color w:val="000000"/>
                <w:szCs w:val="24"/>
                <w:lang w:eastAsia="es-EC"/>
              </w:rPr>
            </w:pPr>
            <w:r w:rsidRPr="00385479">
              <w:rPr>
                <w:rFonts w:eastAsia="Times New Roman"/>
                <w:b/>
                <w:bCs/>
                <w:color w:val="000000"/>
                <w:szCs w:val="24"/>
                <w:lang w:eastAsia="es-EC"/>
              </w:rPr>
              <w:t>Quinua</w:t>
            </w:r>
          </w:p>
        </w:tc>
        <w:tc>
          <w:tcPr>
            <w:tcW w:w="1000" w:type="dxa"/>
            <w:shd w:val="clear" w:color="auto" w:fill="auto"/>
            <w:noWrap/>
            <w:vAlign w:val="bottom"/>
            <w:hideMark/>
          </w:tcPr>
          <w:p w14:paraId="46771669"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2,54 </w:t>
            </w:r>
          </w:p>
        </w:tc>
        <w:tc>
          <w:tcPr>
            <w:tcW w:w="1272" w:type="dxa"/>
            <w:shd w:val="clear" w:color="auto" w:fill="auto"/>
            <w:noWrap/>
            <w:vAlign w:val="bottom"/>
            <w:hideMark/>
          </w:tcPr>
          <w:p w14:paraId="61A39422"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1,53 </w:t>
            </w:r>
          </w:p>
        </w:tc>
        <w:tc>
          <w:tcPr>
            <w:tcW w:w="1272" w:type="dxa"/>
            <w:shd w:val="clear" w:color="auto" w:fill="auto"/>
            <w:noWrap/>
            <w:vAlign w:val="bottom"/>
            <w:hideMark/>
          </w:tcPr>
          <w:p w14:paraId="5B76BBF5" w14:textId="77777777" w:rsidR="00385479" w:rsidRPr="00385479" w:rsidRDefault="00385479" w:rsidP="0063286C">
            <w:pPr>
              <w:spacing w:after="0"/>
              <w:jc w:val="center"/>
              <w:rPr>
                <w:rFonts w:eastAsia="Times New Roman"/>
                <w:color w:val="000000"/>
                <w:szCs w:val="24"/>
                <w:lang w:eastAsia="es-EC"/>
              </w:rPr>
            </w:pPr>
            <w:r w:rsidRPr="00385479">
              <w:rPr>
                <w:rFonts w:eastAsia="Times New Roman"/>
                <w:color w:val="000000"/>
                <w:szCs w:val="24"/>
                <w:lang w:eastAsia="es-EC"/>
              </w:rPr>
              <w:t xml:space="preserve">           5,25 </w:t>
            </w:r>
          </w:p>
        </w:tc>
      </w:tr>
      <w:tr w:rsidR="00385479" w:rsidRPr="00385479" w14:paraId="4DBE0F54" w14:textId="77777777" w:rsidTr="00ED1E4D">
        <w:trPr>
          <w:trHeight w:val="317"/>
          <w:jc w:val="center"/>
        </w:trPr>
        <w:tc>
          <w:tcPr>
            <w:tcW w:w="3420" w:type="dxa"/>
            <w:shd w:val="clear" w:color="auto" w:fill="auto"/>
            <w:noWrap/>
            <w:vAlign w:val="bottom"/>
            <w:hideMark/>
          </w:tcPr>
          <w:p w14:paraId="59489FED" w14:textId="77777777" w:rsidR="00385479" w:rsidRPr="00385479" w:rsidRDefault="00385479" w:rsidP="0063286C">
            <w:pPr>
              <w:spacing w:after="0"/>
              <w:jc w:val="left"/>
              <w:rPr>
                <w:rFonts w:eastAsia="Times New Roman"/>
                <w:b/>
                <w:bCs/>
                <w:color w:val="000000"/>
                <w:szCs w:val="24"/>
                <w:lang w:eastAsia="es-EC"/>
              </w:rPr>
            </w:pPr>
            <w:r w:rsidRPr="00385479">
              <w:rPr>
                <w:rFonts w:eastAsia="Times New Roman"/>
                <w:b/>
                <w:bCs/>
                <w:color w:val="000000"/>
                <w:szCs w:val="24"/>
                <w:lang w:eastAsia="es-EC"/>
              </w:rPr>
              <w:t>Quinua / Exp. No tradicionales</w:t>
            </w:r>
          </w:p>
        </w:tc>
        <w:tc>
          <w:tcPr>
            <w:tcW w:w="1000" w:type="dxa"/>
            <w:shd w:val="clear" w:color="auto" w:fill="auto"/>
            <w:noWrap/>
            <w:vAlign w:val="bottom"/>
            <w:hideMark/>
          </w:tcPr>
          <w:p w14:paraId="522C3252"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0,05%</w:t>
            </w:r>
          </w:p>
        </w:tc>
        <w:tc>
          <w:tcPr>
            <w:tcW w:w="1272" w:type="dxa"/>
            <w:shd w:val="clear" w:color="auto" w:fill="auto"/>
            <w:noWrap/>
            <w:vAlign w:val="bottom"/>
            <w:hideMark/>
          </w:tcPr>
          <w:p w14:paraId="04934ADC"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0,03%</w:t>
            </w:r>
          </w:p>
        </w:tc>
        <w:tc>
          <w:tcPr>
            <w:tcW w:w="1272" w:type="dxa"/>
            <w:shd w:val="clear" w:color="auto" w:fill="auto"/>
            <w:noWrap/>
            <w:vAlign w:val="bottom"/>
            <w:hideMark/>
          </w:tcPr>
          <w:p w14:paraId="21AB8FF3"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0,09%</w:t>
            </w:r>
          </w:p>
        </w:tc>
      </w:tr>
      <w:tr w:rsidR="00385479" w:rsidRPr="00385479" w14:paraId="6F363C75" w14:textId="77777777" w:rsidTr="00ED1E4D">
        <w:trPr>
          <w:trHeight w:val="332"/>
          <w:jc w:val="center"/>
        </w:trPr>
        <w:tc>
          <w:tcPr>
            <w:tcW w:w="3420" w:type="dxa"/>
            <w:shd w:val="clear" w:color="auto" w:fill="auto"/>
            <w:noWrap/>
            <w:vAlign w:val="bottom"/>
            <w:hideMark/>
          </w:tcPr>
          <w:p w14:paraId="0F5EF03F" w14:textId="77777777" w:rsidR="00385479" w:rsidRPr="00385479" w:rsidRDefault="00385479" w:rsidP="0063286C">
            <w:pPr>
              <w:spacing w:after="0"/>
              <w:jc w:val="left"/>
              <w:rPr>
                <w:rFonts w:eastAsia="Times New Roman"/>
                <w:b/>
                <w:bCs/>
                <w:color w:val="000000"/>
                <w:szCs w:val="24"/>
                <w:lang w:eastAsia="es-EC"/>
              </w:rPr>
            </w:pPr>
            <w:r w:rsidRPr="00385479">
              <w:rPr>
                <w:rFonts w:eastAsia="Times New Roman"/>
                <w:b/>
                <w:bCs/>
                <w:color w:val="000000"/>
                <w:szCs w:val="24"/>
                <w:lang w:eastAsia="es-EC"/>
              </w:rPr>
              <w:t>Quinua / Total Exportaciones</w:t>
            </w:r>
          </w:p>
        </w:tc>
        <w:tc>
          <w:tcPr>
            <w:tcW w:w="1000" w:type="dxa"/>
            <w:shd w:val="clear" w:color="auto" w:fill="auto"/>
            <w:noWrap/>
            <w:vAlign w:val="bottom"/>
            <w:hideMark/>
          </w:tcPr>
          <w:p w14:paraId="4833557C"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0,01%</w:t>
            </w:r>
          </w:p>
        </w:tc>
        <w:tc>
          <w:tcPr>
            <w:tcW w:w="1272" w:type="dxa"/>
            <w:shd w:val="clear" w:color="auto" w:fill="auto"/>
            <w:noWrap/>
            <w:vAlign w:val="bottom"/>
            <w:hideMark/>
          </w:tcPr>
          <w:p w14:paraId="74636384"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0,01%</w:t>
            </w:r>
          </w:p>
        </w:tc>
        <w:tc>
          <w:tcPr>
            <w:tcW w:w="1272" w:type="dxa"/>
            <w:shd w:val="clear" w:color="auto" w:fill="auto"/>
            <w:noWrap/>
            <w:vAlign w:val="bottom"/>
            <w:hideMark/>
          </w:tcPr>
          <w:p w14:paraId="23EDA741" w14:textId="77777777" w:rsidR="00385479" w:rsidRPr="00385479" w:rsidRDefault="00385479" w:rsidP="0063286C">
            <w:pPr>
              <w:spacing w:after="0"/>
              <w:jc w:val="right"/>
              <w:rPr>
                <w:rFonts w:eastAsia="Times New Roman"/>
                <w:color w:val="000000"/>
                <w:szCs w:val="24"/>
                <w:lang w:eastAsia="es-EC"/>
              </w:rPr>
            </w:pPr>
            <w:r w:rsidRPr="00385479">
              <w:rPr>
                <w:rFonts w:eastAsia="Times New Roman"/>
                <w:color w:val="000000"/>
                <w:szCs w:val="24"/>
                <w:lang w:eastAsia="es-EC"/>
              </w:rPr>
              <w:t>0,02%</w:t>
            </w:r>
          </w:p>
        </w:tc>
      </w:tr>
    </w:tbl>
    <w:p w14:paraId="0EBA3829" w14:textId="7C01FD22" w:rsidR="00204BE5" w:rsidRPr="0063286C" w:rsidRDefault="00B70183" w:rsidP="0063286C">
      <w:pPr>
        <w:contextualSpacing/>
        <w:rPr>
          <w:sz w:val="18"/>
          <w:szCs w:val="18"/>
        </w:rPr>
      </w:pPr>
      <w:r w:rsidRPr="0063286C">
        <w:rPr>
          <w:sz w:val="18"/>
          <w:szCs w:val="18"/>
        </w:rPr>
        <w:t xml:space="preserve">                     </w:t>
      </w:r>
      <w:r w:rsidR="00ED1E4D">
        <w:rPr>
          <w:sz w:val="18"/>
          <w:szCs w:val="18"/>
        </w:rPr>
        <w:tab/>
      </w:r>
      <w:r w:rsidR="00204BE5" w:rsidRPr="0063286C">
        <w:rPr>
          <w:sz w:val="18"/>
          <w:szCs w:val="18"/>
        </w:rPr>
        <w:t>*Valores en Millones de dólares</w:t>
      </w:r>
    </w:p>
    <w:p w14:paraId="190946DA" w14:textId="735908AB" w:rsidR="00385479" w:rsidRPr="0063286C" w:rsidRDefault="00B70183" w:rsidP="0063286C">
      <w:pPr>
        <w:contextualSpacing/>
        <w:rPr>
          <w:sz w:val="18"/>
          <w:szCs w:val="18"/>
        </w:rPr>
      </w:pPr>
      <w:r w:rsidRPr="0063286C">
        <w:rPr>
          <w:sz w:val="18"/>
          <w:szCs w:val="18"/>
        </w:rPr>
        <w:t xml:space="preserve">                     </w:t>
      </w:r>
      <w:r w:rsidR="00ED1E4D">
        <w:rPr>
          <w:sz w:val="18"/>
          <w:szCs w:val="18"/>
        </w:rPr>
        <w:tab/>
      </w:r>
      <w:r w:rsidR="00385479" w:rsidRPr="0063286C">
        <w:rPr>
          <w:sz w:val="18"/>
          <w:szCs w:val="18"/>
        </w:rPr>
        <w:t xml:space="preserve">Fuente: </w:t>
      </w:r>
      <w:sdt>
        <w:sdtPr>
          <w:rPr>
            <w:sz w:val="18"/>
            <w:szCs w:val="18"/>
          </w:rPr>
          <w:id w:val="-297376729"/>
          <w:citation/>
        </w:sdtPr>
        <w:sdtEndPr/>
        <w:sdtContent>
          <w:r w:rsidR="00385479" w:rsidRPr="0063286C">
            <w:rPr>
              <w:sz w:val="18"/>
              <w:szCs w:val="18"/>
            </w:rPr>
            <w:fldChar w:fldCharType="begin"/>
          </w:r>
          <w:r w:rsidR="00385479" w:rsidRPr="0063286C">
            <w:rPr>
              <w:sz w:val="18"/>
              <w:szCs w:val="18"/>
            </w:rPr>
            <w:instrText xml:space="preserve"> CITATION Ban152 \l 12298 </w:instrText>
          </w:r>
          <w:r w:rsidR="00385479" w:rsidRPr="0063286C">
            <w:rPr>
              <w:sz w:val="18"/>
              <w:szCs w:val="18"/>
            </w:rPr>
            <w:fldChar w:fldCharType="separate"/>
          </w:r>
          <w:r w:rsidR="00BC1846" w:rsidRPr="0063286C">
            <w:rPr>
              <w:noProof/>
              <w:sz w:val="18"/>
              <w:szCs w:val="18"/>
            </w:rPr>
            <w:t>(Banco Central del Ecuador, 2015)</w:t>
          </w:r>
          <w:r w:rsidR="00385479" w:rsidRPr="0063286C">
            <w:rPr>
              <w:sz w:val="18"/>
              <w:szCs w:val="18"/>
            </w:rPr>
            <w:fldChar w:fldCharType="end"/>
          </w:r>
        </w:sdtContent>
      </w:sdt>
    </w:p>
    <w:p w14:paraId="252ED81E" w14:textId="77777777" w:rsidR="0063286C" w:rsidRDefault="0063286C" w:rsidP="00204BE5"/>
    <w:p w14:paraId="13EFD764" w14:textId="77777777" w:rsidR="00204BE5" w:rsidRDefault="00204BE5" w:rsidP="0063286C">
      <w:pPr>
        <w:contextualSpacing/>
      </w:pPr>
      <w:r>
        <w:t>Sobre el total de exportaciones no tradicionales, representa menos del 1%, sin embargo, del 2012 al 2014 ha incrementado su participación en un 90%. Considerando su tendencia creciente, se estima que para próximos años se posicione como una alternativa no tradicional para diversificar la oferta exportable del país.</w:t>
      </w:r>
    </w:p>
    <w:p w14:paraId="7326C1A9" w14:textId="77777777" w:rsidR="00385479" w:rsidRDefault="00204BE5" w:rsidP="0063286C">
      <w:pPr>
        <w:contextualSpacing/>
      </w:pPr>
      <w:r>
        <w:t xml:space="preserve">Considerando el total de exportaciones del país, la representatividad es mucho menor, tomando en cuenta que más de la mitad de lo vendido al mundo corresponde a la oferta de petróleo y sus derivados. Además, en el país los productos considerados como tradicionales (banano, flores, camarón, entre otros) ocupan otra proporción importante del total del pastel exportable. </w:t>
      </w:r>
    </w:p>
    <w:p w14:paraId="30E06249" w14:textId="77777777" w:rsidR="005A1309" w:rsidRDefault="005A1309" w:rsidP="0063286C">
      <w:pPr>
        <w:pStyle w:val="Ttulo3"/>
        <w:numPr>
          <w:ilvl w:val="1"/>
          <w:numId w:val="14"/>
        </w:numPr>
        <w:spacing w:before="0" w:after="200"/>
        <w:ind w:left="431" w:hanging="431"/>
        <w:contextualSpacing/>
      </w:pPr>
      <w:bookmarkStart w:id="65" w:name="_Toc446973171"/>
      <w:r>
        <w:t>Estrategias de Comercialización y Financiamiento</w:t>
      </w:r>
      <w:bookmarkEnd w:id="65"/>
    </w:p>
    <w:p w14:paraId="2B2767F5" w14:textId="77777777" w:rsidR="005A1309" w:rsidRPr="00283B07" w:rsidRDefault="005A1309" w:rsidP="0063286C">
      <w:pPr>
        <w:pStyle w:val="Ttulo4"/>
        <w:numPr>
          <w:ilvl w:val="2"/>
          <w:numId w:val="14"/>
        </w:numPr>
        <w:spacing w:before="0" w:after="200"/>
        <w:ind w:left="505" w:hanging="505"/>
        <w:contextualSpacing/>
        <w:rPr>
          <w:i w:val="0"/>
        </w:rPr>
      </w:pPr>
      <w:r w:rsidRPr="00283B07">
        <w:rPr>
          <w:i w:val="0"/>
        </w:rPr>
        <w:t>2013, Año mundial de la Quinua</w:t>
      </w:r>
    </w:p>
    <w:p w14:paraId="21CBE8E3" w14:textId="77777777" w:rsidR="005A1309" w:rsidRDefault="005A1309" w:rsidP="0063286C">
      <w:pPr>
        <w:contextualSpacing/>
      </w:pPr>
      <w:r>
        <w:t xml:space="preserve">Teniendo en cuenta que las características de la quinua la convierten en un alimento fundamental en una dieta debido a su alto valor nutritivo, se consideró darle una mayor importancia y promoción a la producción y consumo de este cereal. </w:t>
      </w:r>
    </w:p>
    <w:p w14:paraId="26B21FDD" w14:textId="77777777" w:rsidR="005A1309" w:rsidRDefault="005A1309" w:rsidP="0063286C">
      <w:pPr>
        <w:contextualSpacing/>
      </w:pPr>
      <w:r>
        <w:t>En esta dirección, el gobierno boliviano de la mano con instituciones del país como el Ministerio de Relaciones Exteriores y el Ministerio de Desarrollo Rural y de Tierras propuso una iniciativa a la Organización de las Naciones Unidas para la Alimentación y Agricultura, FAO. La misma consistía en la “Declaratoria del Año Internacional de la Quinua” bajo el lema “</w:t>
      </w:r>
      <w:r w:rsidRPr="00C12D62">
        <w:t>Un futuro sembrado hace miles de años en reconocimiento a los pueblos</w:t>
      </w:r>
      <w:r>
        <w:t xml:space="preserve">”. Esta decisión contó con el respaldo de organismos multilaterales como el MERCOSUR, UNASUR, ALBA, CELAC, entre otras </w:t>
      </w:r>
      <w:sdt>
        <w:sdtPr>
          <w:id w:val="480812463"/>
          <w:citation/>
        </w:sdtPr>
        <w:sdtEndPr/>
        <w:sdtContent>
          <w:r>
            <w:fldChar w:fldCharType="begin"/>
          </w:r>
          <w:r>
            <w:instrText xml:space="preserve"> CITATION Ins13 \l 12298 </w:instrText>
          </w:r>
          <w:r>
            <w:fldChar w:fldCharType="separate"/>
          </w:r>
          <w:r w:rsidR="00BC1846">
            <w:rPr>
              <w:noProof/>
            </w:rPr>
            <w:t>(Instituto Boliviano de Comercio Exterior, 2013)</w:t>
          </w:r>
          <w:r>
            <w:fldChar w:fldCharType="end"/>
          </w:r>
        </w:sdtContent>
      </w:sdt>
      <w:r>
        <w:t>.</w:t>
      </w:r>
    </w:p>
    <w:p w14:paraId="1A7D1B22" w14:textId="77777777" w:rsidR="005A1309" w:rsidRDefault="005A1309" w:rsidP="0063286C">
      <w:pPr>
        <w:contextualSpacing/>
      </w:pPr>
      <w:r>
        <w:t xml:space="preserve">Es así como el 25 de diciembre del 2011, Naciones Unidas declara el 2013 como el “Año Internacional de la Quinua” con el fin de concientizar acerca de las propiedades nutritivas del cereal. Además el presidente boliviano, Evo Morales, fue declarado como Embajador Especial de la Quinua a Nivel Mundial </w:t>
      </w:r>
      <w:sdt>
        <w:sdtPr>
          <w:id w:val="-1909762888"/>
          <w:citation/>
        </w:sdtPr>
        <w:sdtEndPr/>
        <w:sdtContent>
          <w:r>
            <w:fldChar w:fldCharType="begin"/>
          </w:r>
          <w:r>
            <w:instrText xml:space="preserve"> CITATION Ins13 \l 12298 </w:instrText>
          </w:r>
          <w:r>
            <w:fldChar w:fldCharType="separate"/>
          </w:r>
          <w:r w:rsidR="00BC1846">
            <w:rPr>
              <w:noProof/>
            </w:rPr>
            <w:t>(Instituto Boliviano de Comercio Exterior, 2013)</w:t>
          </w:r>
          <w:r>
            <w:fldChar w:fldCharType="end"/>
          </w:r>
        </w:sdtContent>
      </w:sdt>
      <w:r>
        <w:t>.</w:t>
      </w:r>
    </w:p>
    <w:p w14:paraId="4C86A385" w14:textId="77777777" w:rsidR="005A1309" w:rsidRDefault="005A1309" w:rsidP="0063286C">
      <w:pPr>
        <w:contextualSpacing/>
      </w:pPr>
      <w:r>
        <w:t xml:space="preserve">Una vez realizada la declaración, el gobierno boliviano complementó esta estrategia con un impulso a la producción y venta del cereal desde todas las aristas. El IBCE </w:t>
      </w:r>
      <w:sdt>
        <w:sdtPr>
          <w:id w:val="684249047"/>
          <w:citation/>
        </w:sdtPr>
        <w:sdtEndPr/>
        <w:sdtContent>
          <w:r>
            <w:fldChar w:fldCharType="begin"/>
          </w:r>
          <w:r>
            <w:instrText xml:space="preserve">CITATION Ins13 \n  \t  \l 12298 </w:instrText>
          </w:r>
          <w:r>
            <w:fldChar w:fldCharType="separate"/>
          </w:r>
          <w:r w:rsidR="00BC1846">
            <w:rPr>
              <w:noProof/>
            </w:rPr>
            <w:t>(2013)</w:t>
          </w:r>
          <w:r>
            <w:fldChar w:fldCharType="end"/>
          </w:r>
        </w:sdtContent>
      </w:sdt>
      <w:r>
        <w:t xml:space="preserve"> afirma que el trabajo se realizó en los siguientes Ejes Estratégicos: </w:t>
      </w:r>
      <w:r w:rsidRPr="00C12D62">
        <w:t xml:space="preserve">i) Innovación, Desarrollo Tecnológico y Transferencia de Tecnología, ii) Preservación y Uso Sostenible de Recursos Naturales y Medio </w:t>
      </w:r>
      <w:r w:rsidRPr="00C12D62">
        <w:lastRenderedPageBreak/>
        <w:t>Ambiente, iii) Comercio Interno y Externo, iv) Crédito y Financiamiento, v) Fortalecimiento Institucional Público, Privado y Comunitario y vi) Infraestructura Productiva y de Servicio</w:t>
      </w:r>
      <w:r>
        <w:t>s.</w:t>
      </w:r>
    </w:p>
    <w:p w14:paraId="643BF9AF" w14:textId="77777777" w:rsidR="00C330FA" w:rsidRDefault="00FF1582" w:rsidP="0063286C">
      <w:pPr>
        <w:contextualSpacing/>
      </w:pPr>
      <w:r>
        <w:t>Por otro lado, el objetivo macro que se planteó para el</w:t>
      </w:r>
      <w:r w:rsidR="00C330FA">
        <w:t xml:space="preserve"> Ecuador en el marco del</w:t>
      </w:r>
      <w:r>
        <w:t xml:space="preserve"> Año Internacional de la Quinua </w:t>
      </w:r>
      <w:r w:rsidR="00C330FA">
        <w:t>fue:</w:t>
      </w:r>
    </w:p>
    <w:p w14:paraId="6BE69CA4" w14:textId="765AD914" w:rsidR="00FF1582" w:rsidRPr="008A3A71" w:rsidRDefault="00FF1582" w:rsidP="0063286C">
      <w:pPr>
        <w:ind w:left="708"/>
        <w:contextualSpacing/>
        <w:rPr>
          <w:sz w:val="22"/>
          <w:szCs w:val="24"/>
        </w:rPr>
      </w:pPr>
      <w:r w:rsidRPr="008A3A71">
        <w:rPr>
          <w:szCs w:val="24"/>
        </w:rPr>
        <w:t>“promover el sistema de producción de la quinua, sus beneficios nutricionales, la importancia cultural, agrícola, buscando el fortalecimiento de la agricultura familiar campesina, la soberanía</w:t>
      </w:r>
      <w:r w:rsidR="00C330FA" w:rsidRPr="008A3A71">
        <w:rPr>
          <w:szCs w:val="24"/>
        </w:rPr>
        <w:t xml:space="preserve"> alimentaria del país. Además, </w:t>
      </w:r>
      <w:r w:rsidRPr="008A3A71">
        <w:rPr>
          <w:szCs w:val="24"/>
        </w:rPr>
        <w:t>erradicar la desnutrición y malnutrición mediante la implementación de propuestas  en consenso con los actores involucrados,  tanto en la producción como en la industrialización, investigación, comercialización y el consumo”</w:t>
      </w:r>
      <w:sdt>
        <w:sdtPr>
          <w:id w:val="-1617445972"/>
          <w:citation/>
        </w:sdtPr>
        <w:sdtEndPr/>
        <w:sdtContent>
          <w:r w:rsidR="008A3A71">
            <w:fldChar w:fldCharType="begin"/>
          </w:r>
          <w:r w:rsidR="008A3A71">
            <w:instrText xml:space="preserve">CITATION MIn13 \l 12298 </w:instrText>
          </w:r>
          <w:r w:rsidR="008A3A71">
            <w:fldChar w:fldCharType="separate"/>
          </w:r>
          <w:r w:rsidR="008A3A71">
            <w:rPr>
              <w:noProof/>
            </w:rPr>
            <w:t>(Ministerio de Agricultura, Ganadería, Acuacultura y Pesca, 2013)</w:t>
          </w:r>
          <w:r w:rsidR="008A3A71">
            <w:fldChar w:fldCharType="end"/>
          </w:r>
        </w:sdtContent>
      </w:sdt>
      <w:r w:rsidR="008A3A71" w:rsidRPr="008A3A71" w:rsidDel="008A3A71">
        <w:rPr>
          <w:szCs w:val="24"/>
        </w:rPr>
        <w:t xml:space="preserve"> </w:t>
      </w:r>
    </w:p>
    <w:p w14:paraId="09143944" w14:textId="77777777" w:rsidR="00C330FA" w:rsidRDefault="00C330FA" w:rsidP="0063286C">
      <w:pPr>
        <w:contextualSpacing/>
      </w:pPr>
      <w:r>
        <w:t xml:space="preserve">En el Ecuador se realizaron actos entre los que se encontraron el IV Congreso Internacional de la Quinua y el Primer Simposio de Granos Andinos en julio del 2013. Estas actividades buscaban dar a conocer al país como impulsor de la investigación, producción, consumo y comercialización del cereal. La agenda comprendía degustación de platos elaborados con el cereal, charlas y talleres dirigidos a productores, entre otras actividades de fomento a la producción </w:t>
      </w:r>
      <w:sdt>
        <w:sdtPr>
          <w:id w:val="1149326759"/>
          <w:citation/>
        </w:sdtPr>
        <w:sdtEndPr/>
        <w:sdtContent>
          <w:r>
            <w:fldChar w:fldCharType="begin"/>
          </w:r>
          <w:r>
            <w:instrText xml:space="preserve">CITATION MIn13 \l 12298 </w:instrText>
          </w:r>
          <w:r>
            <w:fldChar w:fldCharType="separate"/>
          </w:r>
          <w:r w:rsidR="00BC1846">
            <w:rPr>
              <w:noProof/>
            </w:rPr>
            <w:t>(Ministerio de Agricultura, Ganadería, Acuacultura y Pesca, 2013)</w:t>
          </w:r>
          <w:r>
            <w:fldChar w:fldCharType="end"/>
          </w:r>
        </w:sdtContent>
      </w:sdt>
      <w:r>
        <w:t xml:space="preserve">. </w:t>
      </w:r>
    </w:p>
    <w:p w14:paraId="67E59894" w14:textId="34DF4588" w:rsidR="00C330FA" w:rsidRDefault="00C330FA" w:rsidP="0063286C">
      <w:pPr>
        <w:contextualSpacing/>
      </w:pPr>
      <w:r>
        <w:t>De la misma forma el MAGAP se planteó la meta</w:t>
      </w:r>
      <w:r w:rsidRPr="00C330FA">
        <w:t xml:space="preserve"> de fomentar el desarrollo del cultivo de quinua en provincias de la Sierra, </w:t>
      </w:r>
      <w:r>
        <w:t xml:space="preserve">que entre otros aspectos incluye la ampliación del área sembrada, mejoramiento de la productividad, la promoción del uso de semilla certificada, fortalecimiento organizacional de los productores, incentivos a la producción (subsidio a través de insumos, capacitación, maquinaria), asistencia técnica, acopio y comercialización, etc., para incrementar </w:t>
      </w:r>
      <w:r w:rsidRPr="00C330FA">
        <w:t>el área de producción del cultivo en 10 mil hectáreas, en este sector</w:t>
      </w:r>
      <w:r>
        <w:t xml:space="preserve"> </w:t>
      </w:r>
      <w:sdt>
        <w:sdtPr>
          <w:id w:val="-1620290444"/>
          <w:citation/>
        </w:sdtPr>
        <w:sdtEndPr/>
        <w:sdtContent>
          <w:r>
            <w:fldChar w:fldCharType="begin"/>
          </w:r>
          <w:r>
            <w:instrText xml:space="preserve">CITATION MIn13 \l 12298 </w:instrText>
          </w:r>
          <w:r>
            <w:fldChar w:fldCharType="separate"/>
          </w:r>
          <w:r w:rsidR="00BC1846">
            <w:rPr>
              <w:noProof/>
            </w:rPr>
            <w:t>(Ministerio de Agricultura, Ganadería, Acuacultura y Pesca, 2013)</w:t>
          </w:r>
          <w:r>
            <w:fldChar w:fldCharType="end"/>
          </w:r>
        </w:sdtContent>
      </w:sdt>
      <w:r w:rsidRPr="00C330FA">
        <w:t>.</w:t>
      </w:r>
    </w:p>
    <w:p w14:paraId="6E1B4C6A" w14:textId="77777777" w:rsidR="00CE32E4" w:rsidRDefault="00CE32E4" w:rsidP="0063286C">
      <w:pPr>
        <w:contextualSpacing/>
      </w:pPr>
      <w:r>
        <w:t xml:space="preserve">Por último, en este año, se lanzó al mercado el Consorcio Ecuatoriano de Exportadores de Quinua con la participación de cinco empresas del sector, del cual se tratará más adelante. </w:t>
      </w:r>
    </w:p>
    <w:p w14:paraId="284F78DE" w14:textId="77777777" w:rsidR="005A1309" w:rsidRPr="00283B07" w:rsidRDefault="005A1309" w:rsidP="0063286C">
      <w:pPr>
        <w:pStyle w:val="Ttulo4"/>
        <w:numPr>
          <w:ilvl w:val="2"/>
          <w:numId w:val="14"/>
        </w:numPr>
        <w:spacing w:before="0" w:after="200"/>
        <w:ind w:left="505" w:hanging="505"/>
        <w:contextualSpacing/>
        <w:rPr>
          <w:i w:val="0"/>
        </w:rPr>
      </w:pPr>
      <w:r w:rsidRPr="00283B07">
        <w:rPr>
          <w:i w:val="0"/>
        </w:rPr>
        <w:t>Ventaja competitiva</w:t>
      </w:r>
    </w:p>
    <w:p w14:paraId="0BDCA7F4" w14:textId="77777777" w:rsidR="005A1309" w:rsidRPr="00283B07" w:rsidRDefault="005A1309" w:rsidP="0063286C">
      <w:pPr>
        <w:pStyle w:val="Ttulo5"/>
        <w:numPr>
          <w:ilvl w:val="3"/>
          <w:numId w:val="14"/>
        </w:numPr>
        <w:spacing w:before="0" w:after="200"/>
        <w:ind w:left="431" w:hanging="431"/>
        <w:contextualSpacing/>
        <w:rPr>
          <w:i w:val="0"/>
        </w:rPr>
      </w:pPr>
      <w:r w:rsidRPr="00283B07">
        <w:rPr>
          <w:i w:val="0"/>
        </w:rPr>
        <w:t>Quinua Orgánica</w:t>
      </w:r>
    </w:p>
    <w:p w14:paraId="2B24042C" w14:textId="77777777" w:rsidR="005A1309" w:rsidRDefault="005A1309" w:rsidP="0063286C">
      <w:pPr>
        <w:contextualSpacing/>
      </w:pPr>
      <w:r>
        <w:t>Bolivia ha desarrollado como ventaja competitiva al exportar quinua la producción de la misma con la categoría de “100% orgánica”.  Para el 2013, la producción del país andino de qu</w:t>
      </w:r>
      <w:r w:rsidR="00B86960">
        <w:t xml:space="preserve">inua, </w:t>
      </w:r>
      <w:r w:rsidR="00B86960">
        <w:lastRenderedPageBreak/>
        <w:t>siendo el primero</w:t>
      </w:r>
      <w:r>
        <w:t xml:space="preserve"> del mundo, alcanzaba el 70% de la producción catalogada como orgánica </w:t>
      </w:r>
      <w:sdt>
        <w:sdtPr>
          <w:id w:val="-1387785937"/>
          <w:citation/>
        </w:sdtPr>
        <w:sdtEndPr/>
        <w:sdtContent>
          <w:r>
            <w:fldChar w:fldCharType="begin"/>
          </w:r>
          <w:r>
            <w:instrText xml:space="preserve"> CITATION LaP13 \l 12298 </w:instrText>
          </w:r>
          <w:r>
            <w:fldChar w:fldCharType="separate"/>
          </w:r>
          <w:r w:rsidR="00BC1846">
            <w:rPr>
              <w:noProof/>
            </w:rPr>
            <w:t>(La Patria, 2013)</w:t>
          </w:r>
          <w:r>
            <w:fldChar w:fldCharType="end"/>
          </w:r>
        </w:sdtContent>
      </w:sdt>
      <w:r>
        <w:t xml:space="preserve">. Este porcentaje ha seguido una tendencia creciente para alcanzar casi la totalidad de la producción. </w:t>
      </w:r>
    </w:p>
    <w:p w14:paraId="1FC0DF3B" w14:textId="77777777" w:rsidR="005A1309" w:rsidRDefault="005A1309" w:rsidP="0063286C">
      <w:pPr>
        <w:contextualSpacing/>
      </w:pPr>
      <w:r>
        <w:t xml:space="preserve">La producción orgánica de la quinua garantiza una “calidad nutricional incomparable” en palabras del viceministro de Desarrollo Rural, Eugenio Rojas </w:t>
      </w:r>
      <w:sdt>
        <w:sdtPr>
          <w:id w:val="-1226913192"/>
          <w:citation/>
        </w:sdtPr>
        <w:sdtEndPr/>
        <w:sdtContent>
          <w:r>
            <w:fldChar w:fldCharType="begin"/>
          </w:r>
          <w:r>
            <w:instrText xml:space="preserve">CITATION LaR15 \n  \t  \l 12298 </w:instrText>
          </w:r>
          <w:r>
            <w:fldChar w:fldCharType="separate"/>
          </w:r>
          <w:r w:rsidR="00BC1846">
            <w:rPr>
              <w:noProof/>
            </w:rPr>
            <w:t>(2015)</w:t>
          </w:r>
          <w:r>
            <w:fldChar w:fldCharType="end"/>
          </w:r>
        </w:sdtContent>
      </w:sdt>
      <w:r>
        <w:t xml:space="preserve">. Esto se debe a que es producida en la región del Salar, que le provee elementos como el nitrógeno que no puede ser conseguido en otras regiones. Por tanto, la obtención de esta calidad hace que los costos de producción y comercialización sean mayores a los incurridos por otros países. </w:t>
      </w:r>
    </w:p>
    <w:p w14:paraId="4540ACB4" w14:textId="77777777" w:rsidR="005A1309" w:rsidRDefault="005A1309" w:rsidP="0063286C">
      <w:pPr>
        <w:contextualSpacing/>
      </w:pPr>
      <w:r>
        <w:t>Otros países como Perú, quien en el último año ha despuntado en la producción y exportación del cereal, ofertan una quinua convencional, a un precio menor que ha sido preferido en el mercado. Por esta razón, Bolivia sigue apostando por la promoción</w:t>
      </w:r>
      <w:r w:rsidR="00B86960">
        <w:t xml:space="preserve"> de los valores nutricionales de</w:t>
      </w:r>
      <w:r>
        <w:t xml:space="preserve"> su producto.</w:t>
      </w:r>
    </w:p>
    <w:p w14:paraId="5D2E6029" w14:textId="77777777" w:rsidR="001B6C82" w:rsidRDefault="001B6C82" w:rsidP="0063286C">
      <w:pPr>
        <w:contextualSpacing/>
      </w:pPr>
      <w:r>
        <w:t>Por otro lado, Ecuador cuenta con quinua con certificación orgánica y convencional (bajo en uso de insumos externos)</w:t>
      </w:r>
      <w:r w:rsidR="002C225D">
        <w:t>, siendo de este último tipo la mayor parte de la producción</w:t>
      </w:r>
      <w:r>
        <w:t xml:space="preserve">. </w:t>
      </w:r>
      <w:r w:rsidRPr="001B6C82">
        <w:t>Por la ubicación geográfica del Ecuador y sus características climáticas, la quinua no es afectada por plagas o enfermedades importantes</w:t>
      </w:r>
      <w:r>
        <w:t xml:space="preserve"> </w:t>
      </w:r>
      <w:sdt>
        <w:sdtPr>
          <w:id w:val="-653609423"/>
          <w:citation/>
        </w:sdtPr>
        <w:sdtEndPr/>
        <w:sdtContent>
          <w:r>
            <w:fldChar w:fldCharType="begin"/>
          </w:r>
          <w:r>
            <w:instrText xml:space="preserve"> CITATION PRO15 \l 12298 </w:instrText>
          </w:r>
          <w:r>
            <w:fldChar w:fldCharType="separate"/>
          </w:r>
          <w:r w:rsidR="00BC1846">
            <w:rPr>
              <w:noProof/>
            </w:rPr>
            <w:t>(PROECUADOR, 2015)</w:t>
          </w:r>
          <w:r>
            <w:fldChar w:fldCharType="end"/>
          </w:r>
        </w:sdtContent>
      </w:sdt>
      <w:r w:rsidRPr="001B6C82">
        <w:t>.</w:t>
      </w:r>
      <w:r>
        <w:t xml:space="preserve"> </w:t>
      </w:r>
    </w:p>
    <w:p w14:paraId="572BFEE0" w14:textId="77777777" w:rsidR="00585296" w:rsidRDefault="00585296" w:rsidP="0063286C">
      <w:pPr>
        <w:contextualSpacing/>
      </w:pPr>
      <w:r>
        <w:t>De acuerdo al INIAP, solo el 33% de la producción del Ecuador se puede categorizar como orgánica y esta se produce por las compañías ERPE y COPROBICH. Sin embargo, el fomento a la producción</w:t>
      </w:r>
      <w:r w:rsidR="00A6487E">
        <w:t xml:space="preserve"> a través de estrategias como adquisición de maquinaria y otorgamiento de créditos para mejorar la infraestructura de procesamiento, sumado al incremento de la demanda internacional, han logrado que se incrementen el número de empresas que procesan y comercializan el cereal </w:t>
      </w:r>
      <w:sdt>
        <w:sdtPr>
          <w:id w:val="-1150906799"/>
          <w:citation/>
        </w:sdtPr>
        <w:sdtEndPr/>
        <w:sdtContent>
          <w:r w:rsidR="00A6487E">
            <w:fldChar w:fldCharType="begin"/>
          </w:r>
          <w:r w:rsidR="00A6487E">
            <w:instrText xml:space="preserve"> CITATION PRO15 \l 12298 </w:instrText>
          </w:r>
          <w:r w:rsidR="00A6487E">
            <w:fldChar w:fldCharType="separate"/>
          </w:r>
          <w:r w:rsidR="00BC1846">
            <w:rPr>
              <w:noProof/>
            </w:rPr>
            <w:t>(PROECUADOR, 2015)</w:t>
          </w:r>
          <w:r w:rsidR="00A6487E">
            <w:fldChar w:fldCharType="end"/>
          </w:r>
        </w:sdtContent>
      </w:sdt>
      <w:r w:rsidR="00A6487E">
        <w:t xml:space="preserve">. </w:t>
      </w:r>
    </w:p>
    <w:p w14:paraId="4DDDCC7D" w14:textId="77777777" w:rsidR="005A1309" w:rsidRPr="00283B07" w:rsidRDefault="005A1309" w:rsidP="0063286C">
      <w:pPr>
        <w:pStyle w:val="Ttulo5"/>
        <w:numPr>
          <w:ilvl w:val="3"/>
          <w:numId w:val="14"/>
        </w:numPr>
        <w:spacing w:before="0" w:after="200"/>
        <w:ind w:left="431" w:hanging="431"/>
        <w:contextualSpacing/>
        <w:rPr>
          <w:i w:val="0"/>
        </w:rPr>
      </w:pPr>
      <w:r w:rsidRPr="00283B07">
        <w:rPr>
          <w:i w:val="0"/>
        </w:rPr>
        <w:t>Certificación de Comercio Justo</w:t>
      </w:r>
    </w:p>
    <w:p w14:paraId="50FAAD94" w14:textId="77777777" w:rsidR="005A1309" w:rsidRDefault="005A1309" w:rsidP="0063286C">
      <w:pPr>
        <w:contextualSpacing/>
      </w:pPr>
      <w:r>
        <w:t xml:space="preserve">Debido a exigencias cada vez mayores del mercado francés y mundial en general, Bolivia impulsa las exportaciones de quinua bajo los estándares del Comercio Justo. La Coordinadora estatal de Comercio Justo </w:t>
      </w:r>
      <w:sdt>
        <w:sdtPr>
          <w:id w:val="-1581671286"/>
          <w:citation/>
        </w:sdtPr>
        <w:sdtEndPr/>
        <w:sdtContent>
          <w:r>
            <w:fldChar w:fldCharType="begin"/>
          </w:r>
          <w:r>
            <w:instrText xml:space="preserve">CITATION Coo13 \n  \t  \l 12298 </w:instrText>
          </w:r>
          <w:r>
            <w:fldChar w:fldCharType="separate"/>
          </w:r>
          <w:r w:rsidR="00BC1846">
            <w:rPr>
              <w:noProof/>
            </w:rPr>
            <w:t>(2013)</w:t>
          </w:r>
          <w:r>
            <w:fldChar w:fldCharType="end"/>
          </w:r>
        </w:sdtContent>
      </w:sdt>
      <w:r>
        <w:t xml:space="preserve"> afirma que las organizaciones bolivianas adscritas a este sistema distribuyen quinua en grano y derivados de la misma tales como pasta, galletas, dulces, entre otros. Esta iniciativa tiene su punto de inicio desde los años 90s. </w:t>
      </w:r>
    </w:p>
    <w:p w14:paraId="3BE1DC42" w14:textId="77777777" w:rsidR="005A1309" w:rsidRDefault="005A1309" w:rsidP="0063286C">
      <w:pPr>
        <w:contextualSpacing/>
      </w:pPr>
      <w:r>
        <w:t xml:space="preserve">Los agricultores que exportan quinua dentro de la red de Comercio Justo consideran que es una fuente de ingresos estable, en la que sienten que se reconoce un precio adecuado por su esfuerzo </w:t>
      </w:r>
      <w:r>
        <w:lastRenderedPageBreak/>
        <w:t xml:space="preserve">y trabajo, la conservación de las prácticas ancestrales de cultivo y valoración de identidad cultural </w:t>
      </w:r>
      <w:sdt>
        <w:sdtPr>
          <w:id w:val="1126353436"/>
          <w:citation/>
        </w:sdtPr>
        <w:sdtEndPr/>
        <w:sdtContent>
          <w:r>
            <w:fldChar w:fldCharType="begin"/>
          </w:r>
          <w:r>
            <w:instrText xml:space="preserve"> CITATION Coo13 \l 12298 </w:instrText>
          </w:r>
          <w:r>
            <w:fldChar w:fldCharType="separate"/>
          </w:r>
          <w:r w:rsidR="00BC1846">
            <w:rPr>
              <w:noProof/>
            </w:rPr>
            <w:t>(Coordinadora Estatal de Comercio Justo, 2013)</w:t>
          </w:r>
          <w:r>
            <w:fldChar w:fldCharType="end"/>
          </w:r>
        </w:sdtContent>
      </w:sdt>
      <w:r>
        <w:t xml:space="preserve">. Esta valoración, si bien puede considerarse subjetiva, es parte del valor agregado que Bolivia ofrece a la venta del cereal. Garantizando mejores condiciones para los agricultores, este producto resulta más atractivo al mercado europeo, aunque no necesariamente al mercado americano que es el principal consumidor. </w:t>
      </w:r>
    </w:p>
    <w:p w14:paraId="62CBB37B" w14:textId="77777777" w:rsidR="005A1309" w:rsidRDefault="005A1309" w:rsidP="0063286C">
      <w:pPr>
        <w:contextualSpacing/>
      </w:pPr>
      <w:r>
        <w:t xml:space="preserve">Una de las principales organizaciones productoras de quinua </w:t>
      </w:r>
      <w:r w:rsidR="00CB2F7C">
        <w:t>que se encuentran en la red</w:t>
      </w:r>
      <w:r>
        <w:t xml:space="preserve"> Comercio Justo en este país andino es </w:t>
      </w:r>
      <w:hyperlink r:id="rId16" w:history="1">
        <w:r w:rsidRPr="001A4FB6">
          <w:t>ANAPQUI (Asociación Nacional de Productores de Quinua)</w:t>
        </w:r>
      </w:hyperlink>
      <w:r>
        <w:t xml:space="preserve">. Esta agrupa a 1500 familias del altiplano, organizadas en pequeños grupos y, a su vez, en 7 asociaciones regionales. Cultivan quinua orgánica sin utilizar agroquímicos </w:t>
      </w:r>
      <w:sdt>
        <w:sdtPr>
          <w:id w:val="-327212214"/>
          <w:citation/>
        </w:sdtPr>
        <w:sdtEndPr/>
        <w:sdtContent>
          <w:r>
            <w:fldChar w:fldCharType="begin"/>
          </w:r>
          <w:r>
            <w:instrText xml:space="preserve"> CITATION Coo13 \l 12298 </w:instrText>
          </w:r>
          <w:r>
            <w:fldChar w:fldCharType="separate"/>
          </w:r>
          <w:r w:rsidR="00BC1846">
            <w:rPr>
              <w:noProof/>
            </w:rPr>
            <w:t>(Coordinadora Estatal de Comercio Justo, 2013)</w:t>
          </w:r>
          <w:r>
            <w:fldChar w:fldCharType="end"/>
          </w:r>
        </w:sdtContent>
      </w:sdt>
      <w:r>
        <w:t xml:space="preserve">. </w:t>
      </w:r>
    </w:p>
    <w:p w14:paraId="3BB157EA" w14:textId="77777777" w:rsidR="00585296" w:rsidRDefault="00585296" w:rsidP="0063286C">
      <w:pPr>
        <w:contextualSpacing/>
      </w:pPr>
      <w:r>
        <w:t xml:space="preserve">Por parte de Ecuador, </w:t>
      </w:r>
      <w:r w:rsidR="008E214E">
        <w:t xml:space="preserve">las exportaciones de quinua bajo la red de Comercio Justo han tomado mayor fuerza desde el 2009 con asociaciones </w:t>
      </w:r>
      <w:r w:rsidR="00CB2F7C">
        <w:t>específicas como COPROBICH y MCC</w:t>
      </w:r>
      <w:r w:rsidR="008E214E">
        <w:t xml:space="preserve">H. Los agricultores consideran que esta alternativa de comercio representa beneficios porque se pueden alcanzar mercados internacionales sin intermediarios. Consideran que el comercio justo no se refiere únicamente al precio sino a un trabajo social, ambiental y de desarrollo del productor </w:t>
      </w:r>
      <w:sdt>
        <w:sdtPr>
          <w:id w:val="-772702893"/>
          <w:citation/>
        </w:sdtPr>
        <w:sdtEndPr/>
        <w:sdtContent>
          <w:r w:rsidR="008E214E">
            <w:fldChar w:fldCharType="begin"/>
          </w:r>
          <w:r w:rsidR="008E214E">
            <w:instrText xml:space="preserve"> CITATION Rev14 \l 12298 </w:instrText>
          </w:r>
          <w:r w:rsidR="008E214E">
            <w:fldChar w:fldCharType="separate"/>
          </w:r>
          <w:r w:rsidR="00BC1846">
            <w:rPr>
              <w:noProof/>
            </w:rPr>
            <w:t>(Revista Líderes, 2014)</w:t>
          </w:r>
          <w:r w:rsidR="008E214E">
            <w:fldChar w:fldCharType="end"/>
          </w:r>
        </w:sdtContent>
      </w:sdt>
      <w:r w:rsidR="008E214E">
        <w:t xml:space="preserve">. </w:t>
      </w:r>
    </w:p>
    <w:p w14:paraId="1D868ADF" w14:textId="7B44CA6B" w:rsidR="00585296" w:rsidRDefault="00585296" w:rsidP="0063286C">
      <w:pPr>
        <w:contextualSpacing/>
      </w:pPr>
      <w:r>
        <w:t>La Corporación de Productores y Comercializadores orgánicos COPROBICH</w:t>
      </w:r>
      <w:r w:rsidR="00A6487E">
        <w:t xml:space="preserve"> es la organización que mayor porcentaje de exportación ha tenido bajo el sello de producto orgánico y de Comercio Justo, comercializando </w:t>
      </w:r>
      <w:r w:rsidR="008E214E">
        <w:t>299 toneladas métricas al año</w:t>
      </w:r>
      <w:r w:rsidR="00A6487E">
        <w:t xml:space="preserve"> para países como Estados Unidos y Francia</w:t>
      </w:r>
      <w:r w:rsidR="008E214E">
        <w:t xml:space="preserve"> </w:t>
      </w:r>
      <w:sdt>
        <w:sdtPr>
          <w:id w:val="1528450029"/>
          <w:citation/>
        </w:sdtPr>
        <w:sdtEndPr/>
        <w:sdtContent>
          <w:r w:rsidR="008E214E">
            <w:fldChar w:fldCharType="begin"/>
          </w:r>
          <w:r w:rsidR="008E214E">
            <w:instrText xml:space="preserve"> CITATION LaP15 \l 12298 </w:instrText>
          </w:r>
          <w:r w:rsidR="008E214E">
            <w:fldChar w:fldCharType="separate"/>
          </w:r>
          <w:r w:rsidR="00BC1846">
            <w:rPr>
              <w:noProof/>
            </w:rPr>
            <w:t>(La Prensa, 2015)</w:t>
          </w:r>
          <w:r w:rsidR="008E214E">
            <w:fldChar w:fldCharType="end"/>
          </w:r>
        </w:sdtContent>
      </w:sdt>
      <w:r w:rsidR="00A6487E">
        <w:t>. Además, en el 2012, generó ingresos por US</w:t>
      </w:r>
      <w:r w:rsidR="008A3A71">
        <w:t>$</w:t>
      </w:r>
      <w:r w:rsidR="00A6487E">
        <w:t xml:space="preserve"> 56.723 por la actividad exportadora. Esta asociación reúne 617 pequeños productores de los cantones de Riobamba, Colta y Guamote en Chimborazo.  </w:t>
      </w:r>
    </w:p>
    <w:p w14:paraId="4D8A3ED7" w14:textId="77777777" w:rsidR="008E214E" w:rsidRDefault="008E214E" w:rsidP="0063286C">
      <w:pPr>
        <w:contextualSpacing/>
      </w:pPr>
      <w:r>
        <w:t xml:space="preserve">Además, la organización Maquita Cushunchic, que también opera bajo la red de Comercio Justo, beneficia a 384 pequeños productores de quinua </w:t>
      </w:r>
      <w:r w:rsidRPr="008E214E">
        <w:t>agrupados en 29 organizaciones sean los encargados de proveer esta materia prima para elaborar cuatro líneas de productos: granola, barras energéticas, galletas y pancakes</w:t>
      </w:r>
      <w:r>
        <w:t xml:space="preserve"> </w:t>
      </w:r>
      <w:sdt>
        <w:sdtPr>
          <w:id w:val="-1068651830"/>
          <w:citation/>
        </w:sdtPr>
        <w:sdtEndPr/>
        <w:sdtContent>
          <w:r>
            <w:fldChar w:fldCharType="begin"/>
          </w:r>
          <w:r>
            <w:instrText xml:space="preserve"> CITATION ElU14 \l 12298 </w:instrText>
          </w:r>
          <w:r>
            <w:fldChar w:fldCharType="separate"/>
          </w:r>
          <w:r w:rsidR="00BC1846">
            <w:rPr>
              <w:noProof/>
            </w:rPr>
            <w:t>(El Universo, 2014)</w:t>
          </w:r>
          <w:r>
            <w:fldChar w:fldCharType="end"/>
          </w:r>
        </w:sdtContent>
      </w:sdt>
      <w:r w:rsidRPr="008E214E">
        <w:t>.</w:t>
      </w:r>
    </w:p>
    <w:p w14:paraId="4B998FED" w14:textId="77777777" w:rsidR="005A1309" w:rsidRPr="00283B07" w:rsidRDefault="005A1309" w:rsidP="0063286C">
      <w:pPr>
        <w:pStyle w:val="Ttulo4"/>
        <w:numPr>
          <w:ilvl w:val="2"/>
          <w:numId w:val="14"/>
        </w:numPr>
        <w:spacing w:before="0" w:after="200"/>
        <w:ind w:left="505" w:hanging="505"/>
        <w:contextualSpacing/>
        <w:rPr>
          <w:i w:val="0"/>
        </w:rPr>
      </w:pPr>
      <w:r w:rsidRPr="00283B07">
        <w:rPr>
          <w:i w:val="0"/>
        </w:rPr>
        <w:lastRenderedPageBreak/>
        <w:t>Planes de financiamiento al sector</w:t>
      </w:r>
      <w:r w:rsidR="008E214E" w:rsidRPr="00283B07">
        <w:rPr>
          <w:i w:val="0"/>
        </w:rPr>
        <w:t xml:space="preserve"> boliviano</w:t>
      </w:r>
    </w:p>
    <w:p w14:paraId="5D335E6C" w14:textId="77777777" w:rsidR="005A1309" w:rsidRDefault="005A1309" w:rsidP="0063286C">
      <w:pPr>
        <w:contextualSpacing/>
      </w:pPr>
      <w:r>
        <w:t xml:space="preserve">El Estado Plurinacional de Bolivia ha creado una institución cuya finalidad es la intermediación financiera de segundo piso orientada al fomento y fortalecimiento del sector agrícola, el Banco de Desarrollo Productivo (BDP SAM) </w:t>
      </w:r>
      <w:sdt>
        <w:sdtPr>
          <w:id w:val="-654067031"/>
          <w:citation/>
        </w:sdtPr>
        <w:sdtEndPr/>
        <w:sdtContent>
          <w:r>
            <w:fldChar w:fldCharType="begin"/>
          </w:r>
          <w:r>
            <w:instrText xml:space="preserve"> CITATION Ins13 \l 12298 </w:instrText>
          </w:r>
          <w:r>
            <w:fldChar w:fldCharType="separate"/>
          </w:r>
          <w:r w:rsidR="00BC1846">
            <w:rPr>
              <w:noProof/>
            </w:rPr>
            <w:t>(Instituto Boliviano de Comercio Exterior, 2013)</w:t>
          </w:r>
          <w:r>
            <w:fldChar w:fldCharType="end"/>
          </w:r>
        </w:sdtContent>
      </w:sdt>
      <w:r>
        <w:t>.</w:t>
      </w:r>
    </w:p>
    <w:p w14:paraId="16BA4195" w14:textId="77777777" w:rsidR="005A1309" w:rsidRDefault="005A1309" w:rsidP="0063286C">
      <w:pPr>
        <w:contextualSpacing/>
      </w:pPr>
      <w:r>
        <w:t>Existen varios tipos de créditos a los que pueden acceder productores tanto grandes como pequeños, según sus condiciones particulares.</w:t>
      </w:r>
    </w:p>
    <w:p w14:paraId="0272BDA3" w14:textId="77777777" w:rsidR="005A1309" w:rsidRPr="002C53CC" w:rsidRDefault="005A1309" w:rsidP="0063286C">
      <w:pPr>
        <w:pStyle w:val="Ttulo5"/>
        <w:numPr>
          <w:ilvl w:val="3"/>
          <w:numId w:val="14"/>
        </w:numPr>
        <w:spacing w:before="0" w:after="200"/>
        <w:ind w:left="505" w:hanging="505"/>
        <w:contextualSpacing/>
        <w:rPr>
          <w:i w:val="0"/>
        </w:rPr>
      </w:pPr>
      <w:r w:rsidRPr="002C53CC">
        <w:rPr>
          <w:i w:val="0"/>
        </w:rPr>
        <w:t>Fideicomiso para el Desarrollo Productivo – FDP</w:t>
      </w:r>
    </w:p>
    <w:p w14:paraId="06E1B4CA" w14:textId="77777777" w:rsidR="005A1309" w:rsidRDefault="005A1309" w:rsidP="0063286C">
      <w:pPr>
        <w:contextualSpacing/>
      </w:pPr>
      <w:r>
        <w:t>Los fondos que se manejan en fideicomisos de créditos están destinados para pequeños productores que no pueden acceder a créditos en el mercado. Entre los programas de financiamiento que otorga están por un lado el Crédito Productivo Individual y el Crédito Productivo Asociativo</w:t>
      </w:r>
      <w:r w:rsidRPr="00644727">
        <w:t xml:space="preserve"> </w:t>
      </w:r>
      <w:sdt>
        <w:sdtPr>
          <w:id w:val="473728114"/>
          <w:citation/>
        </w:sdtPr>
        <w:sdtEndPr/>
        <w:sdtContent>
          <w:r>
            <w:fldChar w:fldCharType="begin"/>
          </w:r>
          <w:r>
            <w:instrText xml:space="preserve">CITATION Ban15 \l 12298 </w:instrText>
          </w:r>
          <w:r>
            <w:fldChar w:fldCharType="separate"/>
          </w:r>
          <w:r w:rsidR="00BC1846">
            <w:rPr>
              <w:noProof/>
            </w:rPr>
            <w:t>(Banco de Desarrollo Productivo, 2013)</w:t>
          </w:r>
          <w:r>
            <w:fldChar w:fldCharType="end"/>
          </w:r>
        </w:sdtContent>
      </w:sdt>
      <w:r>
        <w:t xml:space="preserve">. </w:t>
      </w:r>
    </w:p>
    <w:p w14:paraId="1BE1610F" w14:textId="31761447" w:rsidR="005A1309" w:rsidRDefault="005A1309" w:rsidP="0063286C">
      <w:pPr>
        <w:contextualSpacing/>
      </w:pPr>
      <w:r>
        <w:t>El primer instrumento se otorga a actividades productivas desarrolladas por micro y pequeñas empresas enmarcadas en industrias fuera de los sectores estratégicos determinados por el gobierno (Hidrocarburos, minería y generación de energía), por lo que incluye el sector agrícola y la producción y comercialización de quinua dentro de él. Los montos a otorgar son hasta Bs. 24.000, el equivalente a US</w:t>
      </w:r>
      <w:r w:rsidR="008A3A71">
        <w:t>$</w:t>
      </w:r>
      <w:r>
        <w:t xml:space="preserve"> 3.456,24</w:t>
      </w:r>
      <w:r>
        <w:rPr>
          <w:rStyle w:val="Refdenotaalpie"/>
        </w:rPr>
        <w:footnoteReference w:id="3"/>
      </w:r>
      <w:r>
        <w:t>, para emprendedores y hasta Bs. 80.000, el equivalente a US</w:t>
      </w:r>
      <w:r w:rsidR="008A3A71">
        <w:t>$</w:t>
      </w:r>
      <w:r>
        <w:t xml:space="preserve"> 11.520,80</w:t>
      </w:r>
      <w:r>
        <w:rPr>
          <w:rStyle w:val="Refdenotaalpie"/>
        </w:rPr>
        <w:footnoteReference w:id="4"/>
      </w:r>
      <w:r>
        <w:t>, para Micro y Pequeñas Unidades productivas. Las condiciones establecidas son una tasa de interés del 6% fijo anual al productor final, con un plazo de hasta 12 años con 2 años de gracia</w:t>
      </w:r>
      <w:r w:rsidRPr="00644727">
        <w:t xml:space="preserve"> </w:t>
      </w:r>
      <w:sdt>
        <w:sdtPr>
          <w:id w:val="2064137104"/>
          <w:citation/>
        </w:sdtPr>
        <w:sdtEndPr/>
        <w:sdtContent>
          <w:r>
            <w:fldChar w:fldCharType="begin"/>
          </w:r>
          <w:r>
            <w:instrText xml:space="preserve">CITATION Ban15 \l 12298 </w:instrText>
          </w:r>
          <w:r>
            <w:fldChar w:fldCharType="separate"/>
          </w:r>
          <w:r w:rsidR="00BC1846">
            <w:rPr>
              <w:noProof/>
            </w:rPr>
            <w:t>(Banco de Desarrollo Productivo, 2013)</w:t>
          </w:r>
          <w:r>
            <w:fldChar w:fldCharType="end"/>
          </w:r>
        </w:sdtContent>
      </w:sdt>
      <w:r>
        <w:t xml:space="preserve">. </w:t>
      </w:r>
    </w:p>
    <w:p w14:paraId="30554559" w14:textId="34273419" w:rsidR="005A1309" w:rsidRDefault="005A1309" w:rsidP="0063286C">
      <w:pPr>
        <w:contextualSpacing/>
      </w:pPr>
      <w:r>
        <w:t xml:space="preserve">El segundo instrumento está dirigido a actividades productivas llevadas a cabo por productores organizados bajo una estructura definida como cooperativas, asociaciones, consorcios, que buscan un beneficio común. Los requisitos generales planteados definen que la actividad a financiar se encuentre </w:t>
      </w:r>
      <w:r w:rsidRPr="00644727">
        <w:t>en el sector productivo en las etapas de producción primaria, transformación con valor agregado, comercia</w:t>
      </w:r>
      <w:r>
        <w:t xml:space="preserve">lización y servicios de turismo y no pertenezca a los sectores estratégicos antes planteados. Los montos a financiar van desde los Bs. 80.001 hasta </w:t>
      </w:r>
      <w:r>
        <w:lastRenderedPageBreak/>
        <w:t>los Bs. 4’000.000, equivalentes a US</w:t>
      </w:r>
      <w:r w:rsidR="008A3A71">
        <w:t>$</w:t>
      </w:r>
      <w:r>
        <w:t xml:space="preserve"> 576.040</w:t>
      </w:r>
      <w:r>
        <w:rPr>
          <w:rStyle w:val="Refdenotaalpie"/>
        </w:rPr>
        <w:footnoteReference w:id="5"/>
      </w:r>
      <w:r>
        <w:t>. Las condiciones establecidas son una tasa de interés del 6% fijo anual al productor final, con un plazo de hasta 12 años con 2 años de gracia</w:t>
      </w:r>
      <w:r w:rsidRPr="00644727">
        <w:t xml:space="preserve"> </w:t>
      </w:r>
      <w:sdt>
        <w:sdtPr>
          <w:id w:val="-1794513722"/>
          <w:citation/>
        </w:sdtPr>
        <w:sdtEndPr/>
        <w:sdtContent>
          <w:r>
            <w:fldChar w:fldCharType="begin"/>
          </w:r>
          <w:r>
            <w:instrText xml:space="preserve">CITATION Ban15 \l 12298 </w:instrText>
          </w:r>
          <w:r>
            <w:fldChar w:fldCharType="separate"/>
          </w:r>
          <w:r w:rsidR="00BC1846">
            <w:rPr>
              <w:noProof/>
            </w:rPr>
            <w:t>(Banco de Desarrollo Productivo, 2013)</w:t>
          </w:r>
          <w:r>
            <w:fldChar w:fldCharType="end"/>
          </w:r>
        </w:sdtContent>
      </w:sdt>
      <w:r>
        <w:t>.</w:t>
      </w:r>
    </w:p>
    <w:p w14:paraId="525227CF" w14:textId="77777777" w:rsidR="005A1309" w:rsidRPr="002C53CC" w:rsidRDefault="005A1309" w:rsidP="0063286C">
      <w:pPr>
        <w:pStyle w:val="Ttulo5"/>
        <w:numPr>
          <w:ilvl w:val="3"/>
          <w:numId w:val="14"/>
        </w:numPr>
        <w:spacing w:before="0" w:after="200"/>
        <w:ind w:left="505" w:hanging="505"/>
        <w:contextualSpacing/>
        <w:rPr>
          <w:i w:val="0"/>
        </w:rPr>
      </w:pPr>
      <w:r w:rsidRPr="002C53CC">
        <w:rPr>
          <w:i w:val="0"/>
        </w:rPr>
        <w:t>Crédito sectorial para Quinua orgánica</w:t>
      </w:r>
    </w:p>
    <w:p w14:paraId="34CE026F" w14:textId="77777777" w:rsidR="005A1309" w:rsidRDefault="005A1309" w:rsidP="0063286C">
      <w:pPr>
        <w:contextualSpacing/>
      </w:pPr>
      <w:r>
        <w:t xml:space="preserve">Este instrumento de crédito fue creado especialmente para mejorar la producción del cereal, sin dejar de lado el cuidado del medio ambiente, a través de la compra de abonos naturales, camélidos, equipos, maquinaria, implementos agrícolas, entre otros. </w:t>
      </w:r>
    </w:p>
    <w:p w14:paraId="5E403064" w14:textId="43F14827" w:rsidR="005A1309" w:rsidRDefault="005A1309" w:rsidP="0063286C">
      <w:pPr>
        <w:contextualSpacing/>
      </w:pPr>
      <w:r>
        <w:t>Se otorga a productores de todos los tamaños, con un monto que oscila entre los Bs. 21.000, equivalente a US</w:t>
      </w:r>
      <w:r w:rsidR="008A3A71">
        <w:t>$</w:t>
      </w:r>
      <w:r>
        <w:t xml:space="preserve"> 3.037, hasta los Bs. 350.000, equivalente a US</w:t>
      </w:r>
      <w:r w:rsidR="008A3A71">
        <w:t>$</w:t>
      </w:r>
      <w:r>
        <w:t xml:space="preserve"> 50.617</w:t>
      </w:r>
      <w:r>
        <w:rPr>
          <w:rStyle w:val="Refdenotaalpie"/>
        </w:rPr>
        <w:footnoteReference w:id="6"/>
      </w:r>
      <w:r>
        <w:t xml:space="preserve">. Ofrecen varios plazos y formas de pago según la necesidad aplicable del crédito: el capital operativo tiene 2 años de plazo y el </w:t>
      </w:r>
      <w:r w:rsidR="0026749E">
        <w:t>d</w:t>
      </w:r>
      <w:r>
        <w:t xml:space="preserve">e inversión, 5 años </w:t>
      </w:r>
      <w:sdt>
        <w:sdtPr>
          <w:id w:val="886225106"/>
          <w:citation/>
        </w:sdtPr>
        <w:sdtEndPr/>
        <w:sdtContent>
          <w:r>
            <w:fldChar w:fldCharType="begin"/>
          </w:r>
          <w:r>
            <w:instrText xml:space="preserve">CITATION Ban15 \l 12298 </w:instrText>
          </w:r>
          <w:r>
            <w:fldChar w:fldCharType="separate"/>
          </w:r>
          <w:r w:rsidR="00BC1846">
            <w:rPr>
              <w:noProof/>
            </w:rPr>
            <w:t>(Banco de Desarrollo Productivo, 2013)</w:t>
          </w:r>
          <w:r>
            <w:fldChar w:fldCharType="end"/>
          </w:r>
        </w:sdtContent>
      </w:sdt>
      <w:r>
        <w:t xml:space="preserve">. </w:t>
      </w:r>
    </w:p>
    <w:p w14:paraId="5F8D64E3" w14:textId="77777777" w:rsidR="005A1309" w:rsidRDefault="005A1309" w:rsidP="0063286C">
      <w:pPr>
        <w:contextualSpacing/>
      </w:pPr>
      <w:r>
        <w:t xml:space="preserve">A través de este crédito, se ha financiado hasta el 2012 </w:t>
      </w:r>
      <w:r w:rsidR="007C5DDB">
        <w:t xml:space="preserve">con </w:t>
      </w:r>
      <w:r>
        <w:t xml:space="preserve">47 millones de bolivianos a productores, fortaleciendo la producción ambientalmente sostenible de quinua, en 15 municipios de los departamentos de Oruro y Potosí </w:t>
      </w:r>
      <w:sdt>
        <w:sdtPr>
          <w:id w:val="1082803210"/>
          <w:citation/>
        </w:sdtPr>
        <w:sdtEndPr/>
        <w:sdtContent>
          <w:r>
            <w:fldChar w:fldCharType="begin"/>
          </w:r>
          <w:r>
            <w:instrText xml:space="preserve"> CITATION Ins13 \l 12298 </w:instrText>
          </w:r>
          <w:r>
            <w:fldChar w:fldCharType="separate"/>
          </w:r>
          <w:r w:rsidR="00BC1846">
            <w:rPr>
              <w:noProof/>
            </w:rPr>
            <w:t>(Instituto Boliviano de Comercio Exterior, 2013)</w:t>
          </w:r>
          <w:r>
            <w:fldChar w:fldCharType="end"/>
          </w:r>
        </w:sdtContent>
      </w:sdt>
      <w:r>
        <w:t xml:space="preserve">. Con la existencia de un instrumento financiero destinado específicamente a esta industria se puede afirmar que el mercado del mismo está tomando mayores proporciones que le permiten una mayor visibilidad como país. </w:t>
      </w:r>
    </w:p>
    <w:p w14:paraId="4E643C45" w14:textId="77777777" w:rsidR="008E214E" w:rsidRPr="00283B07" w:rsidRDefault="008E214E" w:rsidP="0063286C">
      <w:pPr>
        <w:pStyle w:val="Ttulo4"/>
        <w:numPr>
          <w:ilvl w:val="2"/>
          <w:numId w:val="14"/>
        </w:numPr>
        <w:spacing w:before="0" w:after="200"/>
        <w:ind w:left="505" w:hanging="505"/>
        <w:contextualSpacing/>
        <w:rPr>
          <w:i w:val="0"/>
        </w:rPr>
      </w:pPr>
      <w:r w:rsidRPr="00283B07">
        <w:rPr>
          <w:i w:val="0"/>
        </w:rPr>
        <w:t>Planes de financiamiento al sector ecuatoriano</w:t>
      </w:r>
    </w:p>
    <w:p w14:paraId="7668FACE" w14:textId="77777777" w:rsidR="004F6E6F" w:rsidRDefault="004F6E6F" w:rsidP="0063286C">
      <w:pPr>
        <w:contextualSpacing/>
      </w:pPr>
      <w:r>
        <w:t>El Ministerio de Agricultura, Ganadería, Acuacultura y Pesca en el país, de la mano con el Banco Nacional de Fomento y la Corporación Financiera Nacional, ha impulsado el incremento de la pr</w:t>
      </w:r>
      <w:r w:rsidR="004D3A66">
        <w:t xml:space="preserve">oducción del cereal a través del </w:t>
      </w:r>
      <w:r>
        <w:t xml:space="preserve">otorgamiento de créditos para pequeños y medianos productores, especialmente de las provincias de Chimborazo y Cotopaxi. En esta última provincia, en el año 2014 el BNF entregó 300 mil dólares a 670 productores del cereal pertenecientes a la Corporación COPROBICH. Esto con la finalidad de incrementar el capital de trabajo de los agricultores para invertir en compra de semillas certificadas como orgánicas que permitan aumentar el volumen exportado a Estados Unidos y la Unión Europea. Además se </w:t>
      </w:r>
      <w:r>
        <w:lastRenderedPageBreak/>
        <w:t xml:space="preserve">pretende mejorar el rendimiento de las hectáreas producidas </w:t>
      </w:r>
      <w:sdt>
        <w:sdtPr>
          <w:id w:val="-925578894"/>
          <w:citation/>
        </w:sdtPr>
        <w:sdtEndPr/>
        <w:sdtContent>
          <w:r>
            <w:fldChar w:fldCharType="begin"/>
          </w:r>
          <w:r>
            <w:instrText xml:space="preserve"> CITATION Ban153 \l 12298 </w:instrText>
          </w:r>
          <w:r>
            <w:fldChar w:fldCharType="separate"/>
          </w:r>
          <w:r w:rsidR="00BC1846">
            <w:rPr>
              <w:noProof/>
            </w:rPr>
            <w:t>(Banco Nacional de Fomento, 2015)</w:t>
          </w:r>
          <w:r>
            <w:fldChar w:fldCharType="end"/>
          </w:r>
        </w:sdtContent>
      </w:sdt>
      <w:r>
        <w:t xml:space="preserve">. </w:t>
      </w:r>
    </w:p>
    <w:p w14:paraId="346AA593" w14:textId="77777777" w:rsidR="004D3A66" w:rsidRPr="004F6E6F" w:rsidRDefault="004D3A66" w:rsidP="0063286C">
      <w:pPr>
        <w:contextualSpacing/>
      </w:pPr>
      <w:r>
        <w:t xml:space="preserve">Por otro lado, en el mismo año el MAGAP entregó equipos, especialmente tractores y trilladoras para mejorar el proceso de producción y tratamiento de la quinua para comercialización </w:t>
      </w:r>
      <w:sdt>
        <w:sdtPr>
          <w:id w:val="-1750495357"/>
          <w:citation/>
        </w:sdtPr>
        <w:sdtEndPr/>
        <w:sdtContent>
          <w:r>
            <w:fldChar w:fldCharType="begin"/>
          </w:r>
          <w:r>
            <w:instrText xml:space="preserve"> CITATION Min141 \l 12298 </w:instrText>
          </w:r>
          <w:r>
            <w:fldChar w:fldCharType="separate"/>
          </w:r>
          <w:r w:rsidR="00BC1846">
            <w:rPr>
              <w:noProof/>
            </w:rPr>
            <w:t>(Ministerio de Agricultura, Ganadería, Acuacultura y Pesca, 2014)</w:t>
          </w:r>
          <w:r>
            <w:fldChar w:fldCharType="end"/>
          </w:r>
        </w:sdtContent>
      </w:sdt>
      <w:r>
        <w:t xml:space="preserve">. </w:t>
      </w:r>
    </w:p>
    <w:p w14:paraId="7A5ED23D" w14:textId="77777777" w:rsidR="005A1309" w:rsidRPr="00283B07" w:rsidRDefault="005A1309" w:rsidP="0063286C">
      <w:pPr>
        <w:pStyle w:val="Ttulo4"/>
        <w:numPr>
          <w:ilvl w:val="2"/>
          <w:numId w:val="14"/>
        </w:numPr>
        <w:spacing w:before="0" w:after="200"/>
        <w:ind w:left="0" w:firstLine="0"/>
        <w:contextualSpacing/>
        <w:rPr>
          <w:i w:val="0"/>
        </w:rPr>
      </w:pPr>
      <w:r w:rsidRPr="00283B07">
        <w:rPr>
          <w:i w:val="0"/>
        </w:rPr>
        <w:t>Formación de CABOLQUI (Cámara Boliviana de Exportadores de Quinua y productos orgánicos)</w:t>
      </w:r>
    </w:p>
    <w:p w14:paraId="22B46633" w14:textId="77777777" w:rsidR="005A1309" w:rsidRDefault="005A1309" w:rsidP="0063286C">
      <w:pPr>
        <w:contextualSpacing/>
      </w:pPr>
      <w:r>
        <w:t xml:space="preserve">CABOLQUI es una organización sin fines de lucro que busca el desarrollo integral de todos los actores que participan en la cadena de producción y comercialización de Quinua. Promueve la responsabilidad social y con el medio ambiente, el desarrollo de pequeños agricultores y la producción de carácter orgánico </w:t>
      </w:r>
      <w:sdt>
        <w:sdtPr>
          <w:id w:val="356626723"/>
          <w:citation/>
        </w:sdtPr>
        <w:sdtEndPr/>
        <w:sdtContent>
          <w:r>
            <w:fldChar w:fldCharType="begin"/>
          </w:r>
          <w:r>
            <w:instrText xml:space="preserve"> CITATION CAB15 \l 12298 </w:instrText>
          </w:r>
          <w:r>
            <w:fldChar w:fldCharType="separate"/>
          </w:r>
          <w:r w:rsidR="00BC1846">
            <w:rPr>
              <w:noProof/>
            </w:rPr>
            <w:t>(CABOLQUI, 2015)</w:t>
          </w:r>
          <w:r>
            <w:fldChar w:fldCharType="end"/>
          </w:r>
        </w:sdtContent>
      </w:sdt>
      <w:r>
        <w:t>.</w:t>
      </w:r>
    </w:p>
    <w:p w14:paraId="7DC165B3" w14:textId="77777777" w:rsidR="005A1309" w:rsidRDefault="005A1309" w:rsidP="0063286C">
      <w:pPr>
        <w:contextualSpacing/>
      </w:pPr>
      <w:r>
        <w:t xml:space="preserve">Esta institución fue creada en el 2005 por un grupo de empresas procesadoras, transformadoras y exportadoras de quinua comprometidas con el desarrollo del país. Tienen como objetivo generar soluciones concretas a los desafíos que se presentan en esta actividad </w:t>
      </w:r>
      <w:sdt>
        <w:sdtPr>
          <w:id w:val="236824321"/>
          <w:citation/>
        </w:sdtPr>
        <w:sdtEndPr/>
        <w:sdtContent>
          <w:r>
            <w:fldChar w:fldCharType="begin"/>
          </w:r>
          <w:r>
            <w:instrText xml:space="preserve"> CITATION CAB15 \l 12298 </w:instrText>
          </w:r>
          <w:r>
            <w:fldChar w:fldCharType="separate"/>
          </w:r>
          <w:r w:rsidR="00BC1846">
            <w:rPr>
              <w:noProof/>
            </w:rPr>
            <w:t>(CABOLQUI, 2015)</w:t>
          </w:r>
          <w:r>
            <w:fldChar w:fldCharType="end"/>
          </w:r>
        </w:sdtContent>
      </w:sdt>
      <w:r>
        <w:t>.</w:t>
      </w:r>
    </w:p>
    <w:p w14:paraId="7F67868D" w14:textId="77777777" w:rsidR="005A1309" w:rsidRDefault="005A1309" w:rsidP="0063286C">
      <w:pPr>
        <w:contextualSpacing/>
      </w:pPr>
      <w:r>
        <w:t xml:space="preserve">CABOLQUI funciona con el aporte de un porcentaje mensual del monto de las exportaciones de las 11 empresas participantes, fondos con los que emprenden proyectos que se enmarcan en tres ejes de acción: </w:t>
      </w:r>
      <w:r w:rsidRPr="00084ED1">
        <w:t>Coadyuvar y fomentar la producción orgánica de quinua, de manera ecológica y socio-económicamente sostenible</w:t>
      </w:r>
      <w:r>
        <w:t xml:space="preserve"> que beneficie a los a</w:t>
      </w:r>
      <w:r w:rsidR="00A03CC9">
        <w:t>gricultores del Altiplano Sur; p</w:t>
      </w:r>
      <w:r>
        <w:t xml:space="preserve">romocionar el desarrollo de productos orgánicos acabados valorizando la materia prima nacional y permita generar empleo e incrementar la exportación de productos con valor agregado; y desarrollar mercados a través del posicionamiento de la Quinua Real, fomentando además el consumo interno </w:t>
      </w:r>
      <w:sdt>
        <w:sdtPr>
          <w:id w:val="-21863524"/>
          <w:citation/>
        </w:sdtPr>
        <w:sdtEndPr/>
        <w:sdtContent>
          <w:r>
            <w:fldChar w:fldCharType="begin"/>
          </w:r>
          <w:r>
            <w:instrText xml:space="preserve"> CITATION CAB15 \l 12298 </w:instrText>
          </w:r>
          <w:r>
            <w:fldChar w:fldCharType="separate"/>
          </w:r>
          <w:r w:rsidR="00BC1846">
            <w:rPr>
              <w:noProof/>
            </w:rPr>
            <w:t>(CABOLQUI, 2015)</w:t>
          </w:r>
          <w:r>
            <w:fldChar w:fldCharType="end"/>
          </w:r>
        </w:sdtContent>
      </w:sdt>
      <w:r>
        <w:t>.</w:t>
      </w:r>
    </w:p>
    <w:p w14:paraId="41A1B93F" w14:textId="77777777" w:rsidR="005A1309" w:rsidRPr="00744278" w:rsidRDefault="005A1309" w:rsidP="0063286C">
      <w:pPr>
        <w:contextualSpacing/>
      </w:pPr>
      <w:r>
        <w:t xml:space="preserve">La exportación en conjunto de los miembros de la Cámara constituye más del 70% de las exportaciones totales del cereal. Las empresas se distinguen por el trabajo conjunto con los proveedores, formando relaciones de confianza y alianzas estratégicas a largo plazo </w:t>
      </w:r>
      <w:sdt>
        <w:sdtPr>
          <w:id w:val="673464618"/>
          <w:citation/>
        </w:sdtPr>
        <w:sdtEndPr/>
        <w:sdtContent>
          <w:r>
            <w:fldChar w:fldCharType="begin"/>
          </w:r>
          <w:r>
            <w:instrText xml:space="preserve"> CITATION CAB15 \l 12298 </w:instrText>
          </w:r>
          <w:r>
            <w:fldChar w:fldCharType="separate"/>
          </w:r>
          <w:r w:rsidR="00BC1846">
            <w:rPr>
              <w:noProof/>
            </w:rPr>
            <w:t>(CABOLQUI, 2015)</w:t>
          </w:r>
          <w:r>
            <w:fldChar w:fldCharType="end"/>
          </w:r>
        </w:sdtContent>
      </w:sdt>
      <w:r>
        <w:t xml:space="preserve">. </w:t>
      </w:r>
    </w:p>
    <w:p w14:paraId="744C809F" w14:textId="77777777" w:rsidR="005A1309" w:rsidRDefault="005A1309" w:rsidP="0063286C">
      <w:pPr>
        <w:contextualSpacing/>
      </w:pPr>
      <w:r>
        <w:t xml:space="preserve">Entre los proyectos que viene desarrollando la Cámara en beneficio de sus miembros se encuentra la ejecución de uno de cooperación técnica de US$3’997.000 aprobado por el Fondo Multinacional de Inversiones (FOMIN) adscrito al Grupo del Banco Interamericano de </w:t>
      </w:r>
      <w:r>
        <w:lastRenderedPageBreak/>
        <w:t xml:space="preserve">Desarrollo, para aumentar </w:t>
      </w:r>
      <w:r w:rsidRPr="00B6769C">
        <w:t>el ingreso de los pequeños productores de quinua orgánica, que viven en la comunidad de Ayamaya en el departamento de la Paz, y reducir la degradación de los recursos naturales asociados con la producción de</w:t>
      </w:r>
      <w:r>
        <w:t>l cereal</w:t>
      </w:r>
      <w:r w:rsidRPr="00B6769C">
        <w:t xml:space="preserve">. La iniciativa aprobada se enfocará en </w:t>
      </w:r>
      <w:r>
        <w:t>el aprovechamiento</w:t>
      </w:r>
      <w:r w:rsidRPr="00B6769C">
        <w:t xml:space="preserve"> </w:t>
      </w:r>
      <w:r>
        <w:t>d</w:t>
      </w:r>
      <w:r w:rsidRPr="00B6769C">
        <w:t xml:space="preserve">el uso productivo de tierras áridas y </w:t>
      </w:r>
      <w:r>
        <w:t>la adopción de</w:t>
      </w:r>
      <w:r w:rsidRPr="00B6769C">
        <w:t xml:space="preserve"> mejores técnicas de producción</w:t>
      </w:r>
      <w:r>
        <w:t xml:space="preserve"> </w:t>
      </w:r>
      <w:sdt>
        <w:sdtPr>
          <w:id w:val="1459458311"/>
          <w:citation/>
        </w:sdtPr>
        <w:sdtEndPr/>
        <w:sdtContent>
          <w:r>
            <w:fldChar w:fldCharType="begin"/>
          </w:r>
          <w:r>
            <w:instrText xml:space="preserve"> CITATION FOM15 \l 12298 </w:instrText>
          </w:r>
          <w:r>
            <w:fldChar w:fldCharType="separate"/>
          </w:r>
          <w:r w:rsidR="00BC1846">
            <w:rPr>
              <w:noProof/>
            </w:rPr>
            <w:t>(FOMIN, 2015)</w:t>
          </w:r>
          <w:r>
            <w:fldChar w:fldCharType="end"/>
          </w:r>
        </w:sdtContent>
      </w:sdt>
      <w:r w:rsidRPr="00B6769C">
        <w:t>.</w:t>
      </w:r>
      <w:r>
        <w:t xml:space="preserve"> </w:t>
      </w:r>
    </w:p>
    <w:p w14:paraId="35EF52B1" w14:textId="77777777" w:rsidR="005A1309" w:rsidRDefault="005A1309" w:rsidP="0063286C">
      <w:pPr>
        <w:contextualSpacing/>
      </w:pPr>
      <w:r>
        <w:t xml:space="preserve">Los miembros consideran que la formación de esta asociación ha constituido un beneficio para ellos como exportadores debido a que les permite tener presencia internacional de mucha mayor fuerza que si lo hicieran de forma independiente. Esto les ha otorgado mayor capacidad de negociación y cubrimiento de demanda, les ha permitido alcanzar una mayor notoriedad como sector ante el estado para obtener apoyo, visibilidad ante organismos internacionales, etc. </w:t>
      </w:r>
      <w:sdt>
        <w:sdtPr>
          <w:id w:val="-1572571872"/>
          <w:citation/>
        </w:sdtPr>
        <w:sdtEndPr/>
        <w:sdtContent>
          <w:r>
            <w:fldChar w:fldCharType="begin"/>
          </w:r>
          <w:r>
            <w:instrText xml:space="preserve"> CITATION Emp13 \l 12298 </w:instrText>
          </w:r>
          <w:r>
            <w:fldChar w:fldCharType="separate"/>
          </w:r>
          <w:r w:rsidR="00BC1846">
            <w:rPr>
              <w:noProof/>
            </w:rPr>
            <w:t>(CABOLQUI, 2013)</w:t>
          </w:r>
          <w:r>
            <w:fldChar w:fldCharType="end"/>
          </w:r>
        </w:sdtContent>
      </w:sdt>
      <w:r>
        <w:t xml:space="preserve">. </w:t>
      </w:r>
    </w:p>
    <w:p w14:paraId="39441EC0" w14:textId="77777777" w:rsidR="00A03CC9" w:rsidRPr="00D600D7" w:rsidRDefault="00A03CC9" w:rsidP="0063286C">
      <w:pPr>
        <w:pStyle w:val="Ttulo4"/>
        <w:numPr>
          <w:ilvl w:val="2"/>
          <w:numId w:val="14"/>
        </w:numPr>
        <w:spacing w:before="0" w:after="200"/>
        <w:ind w:left="505" w:hanging="505"/>
        <w:contextualSpacing/>
        <w:rPr>
          <w:i w:val="0"/>
        </w:rPr>
      </w:pPr>
      <w:r w:rsidRPr="00D600D7">
        <w:rPr>
          <w:i w:val="0"/>
        </w:rPr>
        <w:t>Formación del Consorcio Ecuatoriano de Exportadores de Quinua</w:t>
      </w:r>
    </w:p>
    <w:p w14:paraId="055C8C69" w14:textId="77777777" w:rsidR="00A03CC9" w:rsidRDefault="00A03CC9" w:rsidP="0063286C">
      <w:pPr>
        <w:contextualSpacing/>
      </w:pPr>
      <w:r>
        <w:t xml:space="preserve">El Consorcio Ecuatoriano de Exportadores de Quinua es una organización fundada el 12 de marzo del 2013, constituido por 5 empresas productoras y comercializadoras del cereal: Maquita MCCH, Fundamyf, Cereales Andinos, Rogetore &amp; Franco y Urcupac. </w:t>
      </w:r>
      <w:r w:rsidRPr="00A03CC9">
        <w:t>Las empresas del Consorcio, trabajan con grupos vulnerables como mujeres y grupos étnicos beneficiando directa e indirectamente a más de 10.000 familias de pequeños productores que se dedican al cultivo de la quinua en las provincias de Imbabura, Pichincha, Tungurahua, Cotopaxi y Chimborazo.</w:t>
      </w:r>
      <w:r>
        <w:t xml:space="preserve"> </w:t>
      </w:r>
      <w:sdt>
        <w:sdtPr>
          <w:id w:val="1808582674"/>
          <w:citation/>
        </w:sdtPr>
        <w:sdtEndPr/>
        <w:sdtContent>
          <w:r>
            <w:fldChar w:fldCharType="begin"/>
          </w:r>
          <w:r>
            <w:instrText xml:space="preserve"> CITATION Con13 \l 12298 </w:instrText>
          </w:r>
          <w:r>
            <w:fldChar w:fldCharType="separate"/>
          </w:r>
          <w:r w:rsidR="00BC1846">
            <w:rPr>
              <w:noProof/>
            </w:rPr>
            <w:t>(Consorcio Ecuatoriano de Exportadores de Quinua, 2013)</w:t>
          </w:r>
          <w:r>
            <w:fldChar w:fldCharType="end"/>
          </w:r>
        </w:sdtContent>
      </w:sdt>
      <w:r>
        <w:t xml:space="preserve">. </w:t>
      </w:r>
    </w:p>
    <w:p w14:paraId="4A8357C2" w14:textId="77777777" w:rsidR="00A03CC9" w:rsidRDefault="00A03CC9" w:rsidP="0063286C">
      <w:pPr>
        <w:contextualSpacing/>
      </w:pPr>
      <w:r>
        <w:t xml:space="preserve">Este consorcio se ha planteado como objetivo el posicionamiento de la quinua en grano junto a otros productos con valor agregado en mercados principalmente internacionales. Los esfuerzos conjuntos se dirigen a lograr reconocimiento del cereal ecuatoriano a través de la participación en ferias internacionales, estudios de mercado, diversificación e innovación de productos y consolidación de volúmenes de exportación </w:t>
      </w:r>
      <w:sdt>
        <w:sdtPr>
          <w:id w:val="22371220"/>
          <w:citation/>
        </w:sdtPr>
        <w:sdtEndPr/>
        <w:sdtContent>
          <w:r>
            <w:fldChar w:fldCharType="begin"/>
          </w:r>
          <w:r>
            <w:instrText xml:space="preserve"> CITATION Con13 \l 12298 </w:instrText>
          </w:r>
          <w:r>
            <w:fldChar w:fldCharType="separate"/>
          </w:r>
          <w:r w:rsidR="00BC1846">
            <w:rPr>
              <w:noProof/>
            </w:rPr>
            <w:t>(Consorcio Ecuatoriano de Exportadores de Quinua, 2013)</w:t>
          </w:r>
          <w:r>
            <w:fldChar w:fldCharType="end"/>
          </w:r>
        </w:sdtContent>
      </w:sdt>
      <w:r w:rsidR="00C435DA">
        <w:t xml:space="preserve"> </w:t>
      </w:r>
      <w:sdt>
        <w:sdtPr>
          <w:id w:val="1112171210"/>
          <w:citation/>
        </w:sdtPr>
        <w:sdtEndPr/>
        <w:sdtContent>
          <w:r w:rsidR="00C435DA">
            <w:fldChar w:fldCharType="begin"/>
          </w:r>
          <w:r w:rsidR="00C435DA">
            <w:instrText xml:space="preserve"> CITATION Tap15 \l 12298 </w:instrText>
          </w:r>
          <w:r w:rsidR="00C435DA">
            <w:fldChar w:fldCharType="separate"/>
          </w:r>
          <w:r w:rsidR="00BC1846">
            <w:rPr>
              <w:noProof/>
            </w:rPr>
            <w:t>(Tapia, 2015)</w:t>
          </w:r>
          <w:r w:rsidR="00C435DA">
            <w:fldChar w:fldCharType="end"/>
          </w:r>
        </w:sdtContent>
      </w:sdt>
      <w:r>
        <w:t xml:space="preserve">. </w:t>
      </w:r>
    </w:p>
    <w:p w14:paraId="2BCA8F7C" w14:textId="77777777" w:rsidR="00A03CC9" w:rsidRDefault="00A03CC9" w:rsidP="0063286C">
      <w:pPr>
        <w:contextualSpacing/>
      </w:pPr>
      <w:r>
        <w:t xml:space="preserve">Las empresas Maquita MCCH y Fundamyf representan un 30% de las exportaciones de quinua que hace Ecuador, por lo que su inclusión en el consorcio ocasiona que sea este uno de los principales proveedores ecuatorianos del cereal. </w:t>
      </w:r>
      <w:r w:rsidRPr="00A03CC9">
        <w:t>Si bien todos los miembros del consorcio tienen como producto la quinua al granel, cada empresa está especializada en distintos elaborados</w:t>
      </w:r>
      <w:r>
        <w:t xml:space="preserve"> por lo que a nivel internacional logran complementarse </w:t>
      </w:r>
      <w:sdt>
        <w:sdtPr>
          <w:id w:val="-825362828"/>
          <w:citation/>
        </w:sdtPr>
        <w:sdtEndPr/>
        <w:sdtContent>
          <w:r>
            <w:fldChar w:fldCharType="begin"/>
          </w:r>
          <w:r>
            <w:instrText xml:space="preserve"> CITATION Ort13 \l 12298 </w:instrText>
          </w:r>
          <w:r>
            <w:fldChar w:fldCharType="separate"/>
          </w:r>
          <w:r w:rsidR="00BC1846">
            <w:rPr>
              <w:noProof/>
            </w:rPr>
            <w:t>(Ortega, 2013)</w:t>
          </w:r>
          <w:r>
            <w:fldChar w:fldCharType="end"/>
          </w:r>
        </w:sdtContent>
      </w:sdt>
      <w:r>
        <w:t>.</w:t>
      </w:r>
    </w:p>
    <w:p w14:paraId="14EF5201" w14:textId="77777777" w:rsidR="00A03CC9" w:rsidRDefault="00A03CC9" w:rsidP="0063286C">
      <w:pPr>
        <w:contextualSpacing/>
      </w:pPr>
      <w:r>
        <w:lastRenderedPageBreak/>
        <w:t xml:space="preserve">La estrategia del Consorcio se enfocó en un inicio en tres mercados objetivo: Alemania, Reino Unido y Suecia. Pero además confirmó su participación en ferias agroalimentarias y gastronómicas en países en los que ya se tiene presencia como Estados Unidos y Francia para reforzar la participación en el mercado </w:t>
      </w:r>
      <w:sdt>
        <w:sdtPr>
          <w:id w:val="-1564099445"/>
          <w:citation/>
        </w:sdtPr>
        <w:sdtEndPr/>
        <w:sdtContent>
          <w:r>
            <w:fldChar w:fldCharType="begin"/>
          </w:r>
          <w:r>
            <w:instrText xml:space="preserve"> CITATION Ort13 \l 12298 </w:instrText>
          </w:r>
          <w:r>
            <w:fldChar w:fldCharType="separate"/>
          </w:r>
          <w:r w:rsidR="00BC1846">
            <w:rPr>
              <w:noProof/>
            </w:rPr>
            <w:t>(Ortega, 2013)</w:t>
          </w:r>
          <w:r>
            <w:fldChar w:fldCharType="end"/>
          </w:r>
        </w:sdtContent>
      </w:sdt>
      <w:r>
        <w:t xml:space="preserve">. </w:t>
      </w:r>
    </w:p>
    <w:p w14:paraId="3C29AE8E" w14:textId="43199CE0" w:rsidR="00F62C4C" w:rsidRPr="00A03CC9" w:rsidRDefault="00F62C4C" w:rsidP="0063286C">
      <w:pPr>
        <w:contextualSpacing/>
      </w:pPr>
      <w:r>
        <w:t>Por el tiempo que tiene de formación todavía no puede ofrecer resultados destacables ya que se encuentra en proceso de consolidación.</w:t>
      </w:r>
    </w:p>
    <w:p w14:paraId="261A4E49" w14:textId="77777777" w:rsidR="005A1309" w:rsidRDefault="005A1309" w:rsidP="0063286C">
      <w:pPr>
        <w:pStyle w:val="Ttulo3"/>
        <w:numPr>
          <w:ilvl w:val="1"/>
          <w:numId w:val="14"/>
        </w:numPr>
        <w:spacing w:before="0" w:after="200"/>
        <w:ind w:left="431" w:hanging="431"/>
        <w:contextualSpacing/>
      </w:pPr>
      <w:bookmarkStart w:id="66" w:name="_Toc446973172"/>
      <w:r>
        <w:t xml:space="preserve">Análisis </w:t>
      </w:r>
      <w:r w:rsidR="00BE102B">
        <w:t>de la estructura financiera de la producción y comercialización de quinua</w:t>
      </w:r>
      <w:bookmarkEnd w:id="66"/>
    </w:p>
    <w:p w14:paraId="5A3A120C" w14:textId="77777777" w:rsidR="005A1309" w:rsidRPr="00D600D7" w:rsidRDefault="005A1309" w:rsidP="0063286C">
      <w:pPr>
        <w:pStyle w:val="Ttulo4"/>
        <w:numPr>
          <w:ilvl w:val="2"/>
          <w:numId w:val="14"/>
        </w:numPr>
        <w:spacing w:before="0" w:after="200"/>
        <w:ind w:left="505" w:hanging="505"/>
        <w:contextualSpacing/>
        <w:rPr>
          <w:i w:val="0"/>
        </w:rPr>
      </w:pPr>
      <w:r w:rsidRPr="00D600D7">
        <w:rPr>
          <w:i w:val="0"/>
        </w:rPr>
        <w:t>Quinoa Foods Company</w:t>
      </w:r>
    </w:p>
    <w:p w14:paraId="00D333CD" w14:textId="77777777" w:rsidR="005A1309" w:rsidRDefault="005A1309" w:rsidP="0063286C">
      <w:pPr>
        <w:contextualSpacing/>
      </w:pPr>
      <w:r w:rsidRPr="00EF190F">
        <w:t>Quinoa Foods Company es u</w:t>
      </w:r>
      <w:r>
        <w:t>na PYME mayorista boliviana,</w:t>
      </w:r>
      <w:r w:rsidRPr="00EF190F">
        <w:t xml:space="preserve"> fundada en 2002, para ser el principal proveedor de soluciones de alimentos basados en quinua real para sus clientes.</w:t>
      </w:r>
      <w:r>
        <w:t xml:space="preserve"> Fundada por el Sr. Juan Pablo Seleme, esta empresa constituye el principal proveedor de quinua real del mayor distribuidor de alimentos orgánicos de Estados Unidos y se encuentra entre los principales proveedores del mercado europeo </w:t>
      </w:r>
      <w:sdt>
        <w:sdtPr>
          <w:id w:val="-703946023"/>
          <w:citation/>
        </w:sdtPr>
        <w:sdtEndPr/>
        <w:sdtContent>
          <w:r>
            <w:fldChar w:fldCharType="begin"/>
          </w:r>
          <w:r>
            <w:instrText xml:space="preserve"> CITATION Qui16 \l 12298 </w:instrText>
          </w:r>
          <w:r>
            <w:fldChar w:fldCharType="separate"/>
          </w:r>
          <w:r w:rsidR="00BC1846">
            <w:rPr>
              <w:noProof/>
            </w:rPr>
            <w:t>(Quinoa Foods Company, 2015)</w:t>
          </w:r>
          <w:r>
            <w:fldChar w:fldCharType="end"/>
          </w:r>
        </w:sdtContent>
      </w:sdt>
      <w:r>
        <w:t>.</w:t>
      </w:r>
    </w:p>
    <w:p w14:paraId="4176DFFE" w14:textId="77777777" w:rsidR="00BE102B" w:rsidRDefault="005A1309" w:rsidP="0063286C">
      <w:pPr>
        <w:contextualSpacing/>
      </w:pPr>
      <w:r w:rsidRPr="00EF190F">
        <w:t>La quin</w:t>
      </w:r>
      <w:r>
        <w:t>u</w:t>
      </w:r>
      <w:r w:rsidRPr="00EF190F">
        <w:t xml:space="preserve">a real que </w:t>
      </w:r>
      <w:r>
        <w:t>ofertan al mercado</w:t>
      </w:r>
      <w:r w:rsidRPr="00EF190F">
        <w:t xml:space="preserve"> proviene de más de cincuenta agricultores asociados a Quinoa Foods Company y a cerca de cien agricultores independientes. Quinoa Foods Company tiene la política de mejorar el nivel de vida</w:t>
      </w:r>
      <w:r>
        <w:t xml:space="preserve"> de los agricultores de quinua</w:t>
      </w:r>
      <w:r w:rsidRPr="00EF190F">
        <w:t>, pagando mayores precios que los del mercado</w:t>
      </w:r>
      <w:r>
        <w:t xml:space="preserve"> </w:t>
      </w:r>
      <w:sdt>
        <w:sdtPr>
          <w:id w:val="-1307855557"/>
          <w:citation/>
        </w:sdtPr>
        <w:sdtEndPr/>
        <w:sdtContent>
          <w:r>
            <w:fldChar w:fldCharType="begin"/>
          </w:r>
          <w:r>
            <w:instrText xml:space="preserve"> CITATION Qui16 \l 12298 </w:instrText>
          </w:r>
          <w:r>
            <w:fldChar w:fldCharType="separate"/>
          </w:r>
          <w:r w:rsidR="00BC1846">
            <w:rPr>
              <w:noProof/>
            </w:rPr>
            <w:t>(Quinoa Foods Company, 2015)</w:t>
          </w:r>
          <w:r>
            <w:fldChar w:fldCharType="end"/>
          </w:r>
        </w:sdtContent>
      </w:sdt>
      <w:r w:rsidRPr="00EF190F">
        <w:t>.</w:t>
      </w:r>
    </w:p>
    <w:p w14:paraId="087BE6AC" w14:textId="77777777" w:rsidR="00BE102B" w:rsidRPr="00D600D7" w:rsidRDefault="00BE102B" w:rsidP="0063286C">
      <w:pPr>
        <w:pStyle w:val="Ttulo5"/>
        <w:numPr>
          <w:ilvl w:val="3"/>
          <w:numId w:val="14"/>
        </w:numPr>
        <w:spacing w:before="0" w:after="200"/>
        <w:ind w:left="505" w:hanging="505"/>
        <w:contextualSpacing/>
        <w:rPr>
          <w:i w:val="0"/>
        </w:rPr>
      </w:pPr>
      <w:r w:rsidRPr="00D600D7">
        <w:rPr>
          <w:i w:val="0"/>
        </w:rPr>
        <w:t xml:space="preserve">Análisis Dupont </w:t>
      </w:r>
    </w:p>
    <w:p w14:paraId="144D19CC" w14:textId="60ADAD30" w:rsidR="00ED1E4D" w:rsidRDefault="00BE102B" w:rsidP="0063286C">
      <w:pPr>
        <w:contextualSpacing/>
      </w:pPr>
      <w:r>
        <w:t xml:space="preserve">Para realizar el análisis Dupont de la empresa Quinua Foods, se incluye </w:t>
      </w:r>
      <w:r w:rsidR="00ED1E4D">
        <w:t xml:space="preserve">a continuación </w:t>
      </w:r>
      <w:r>
        <w:t>el Estado de Resultados y el Balance General de la empresa.</w:t>
      </w:r>
    </w:p>
    <w:p w14:paraId="0BC33B42" w14:textId="77777777" w:rsidR="00ED1E4D" w:rsidRDefault="00ED1E4D" w:rsidP="0063286C">
      <w:pPr>
        <w:contextualSpacing/>
      </w:pPr>
    </w:p>
    <w:p w14:paraId="5BC50F98" w14:textId="0932F1CF" w:rsidR="00ED1E4D" w:rsidRDefault="00ED1E4D" w:rsidP="0063286C">
      <w:pPr>
        <w:contextualSpacing/>
      </w:pPr>
    </w:p>
    <w:p w14:paraId="0723E8C9" w14:textId="06A15E41" w:rsidR="00ED1E4D" w:rsidRDefault="00ED1E4D">
      <w:pPr>
        <w:spacing w:line="276" w:lineRule="auto"/>
        <w:jc w:val="left"/>
      </w:pPr>
      <w:r>
        <w:br w:type="page"/>
      </w:r>
    </w:p>
    <w:p w14:paraId="4DB834CD" w14:textId="79258784" w:rsidR="005F07B4" w:rsidRDefault="00ED1E4D" w:rsidP="00ED1E4D">
      <w:pPr>
        <w:spacing w:line="276" w:lineRule="auto"/>
        <w:jc w:val="left"/>
        <w:rPr>
          <w:sz w:val="18"/>
          <w:szCs w:val="18"/>
        </w:rPr>
      </w:pPr>
      <w:r>
        <w:rPr>
          <w:noProof/>
          <w:lang w:eastAsia="es-EC"/>
        </w:rPr>
        <w:lastRenderedPageBreak/>
        <mc:AlternateContent>
          <mc:Choice Requires="wpg">
            <w:drawing>
              <wp:anchor distT="0" distB="0" distL="114300" distR="114300" simplePos="0" relativeHeight="251659264" behindDoc="0" locked="0" layoutInCell="1" allowOverlap="1" wp14:anchorId="0853EFA5" wp14:editId="42B4549A">
                <wp:simplePos x="0" y="0"/>
                <wp:positionH relativeFrom="margin">
                  <wp:posOffset>28575</wp:posOffset>
                </wp:positionH>
                <wp:positionV relativeFrom="paragraph">
                  <wp:posOffset>-15240</wp:posOffset>
                </wp:positionV>
                <wp:extent cx="5924550" cy="2152015"/>
                <wp:effectExtent l="0" t="0" r="0" b="635"/>
                <wp:wrapSquare wrapText="bothSides"/>
                <wp:docPr id="15" name="Grupo 15"/>
                <wp:cNvGraphicFramePr/>
                <a:graphic xmlns:a="http://schemas.openxmlformats.org/drawingml/2006/main">
                  <a:graphicData uri="http://schemas.microsoft.com/office/word/2010/wordprocessingGroup">
                    <wpg:wgp>
                      <wpg:cNvGrpSpPr/>
                      <wpg:grpSpPr>
                        <a:xfrm>
                          <a:off x="0" y="0"/>
                          <a:ext cx="5924550" cy="2152015"/>
                          <a:chOff x="0" y="-82197"/>
                          <a:chExt cx="6265545" cy="2182792"/>
                        </a:xfrm>
                      </wpg:grpSpPr>
                      <wps:wsp>
                        <wps:cNvPr id="5" name="Cuadro de texto 5"/>
                        <wps:cNvSpPr txBox="1"/>
                        <wps:spPr>
                          <a:xfrm>
                            <a:off x="0" y="-82197"/>
                            <a:ext cx="6240145" cy="390088"/>
                          </a:xfrm>
                          <a:prstGeom prst="rect">
                            <a:avLst/>
                          </a:prstGeom>
                          <a:solidFill>
                            <a:prstClr val="white"/>
                          </a:solidFill>
                          <a:ln>
                            <a:noFill/>
                          </a:ln>
                          <a:effectLst/>
                        </wps:spPr>
                        <wps:txbx>
                          <w:txbxContent>
                            <w:p w14:paraId="359D6BA3" w14:textId="77777777" w:rsidR="0050552F" w:rsidRPr="00D600D7" w:rsidRDefault="0050552F" w:rsidP="00BE102B">
                              <w:pPr>
                                <w:pStyle w:val="TtulodeTDC"/>
                                <w:rPr>
                                  <w:i w:val="0"/>
                                </w:rPr>
                              </w:pPr>
                              <w:bookmarkStart w:id="67" w:name="_Toc446973216"/>
                              <w:r w:rsidRPr="00D600D7">
                                <w:rPr>
                                  <w:i w:val="0"/>
                                </w:rPr>
                                <w:t xml:space="preserve">Tabla </w:t>
                              </w:r>
                              <w:r w:rsidRPr="00D600D7">
                                <w:rPr>
                                  <w:i w:val="0"/>
                                </w:rPr>
                                <w:fldChar w:fldCharType="begin"/>
                              </w:r>
                              <w:r w:rsidRPr="00D600D7">
                                <w:rPr>
                                  <w:i w:val="0"/>
                                </w:rPr>
                                <w:instrText xml:space="preserve"> SEQ Tabla \* ARABIC </w:instrText>
                              </w:r>
                              <w:r w:rsidRPr="00D600D7">
                                <w:rPr>
                                  <w:i w:val="0"/>
                                </w:rPr>
                                <w:fldChar w:fldCharType="separate"/>
                              </w:r>
                              <w:r w:rsidR="00B828B8">
                                <w:rPr>
                                  <w:i w:val="0"/>
                                  <w:noProof/>
                                </w:rPr>
                                <w:t>18</w:t>
                              </w:r>
                              <w:r w:rsidRPr="00D600D7">
                                <w:rPr>
                                  <w:i w:val="0"/>
                                  <w:noProof/>
                                </w:rPr>
                                <w:fldChar w:fldCharType="end"/>
                              </w:r>
                              <w:r w:rsidRPr="00D600D7">
                                <w:rPr>
                                  <w:i w:val="0"/>
                                </w:rPr>
                                <w:t>: Estado de Resultados simplificado de la Empresa Quinoa Foods 2012-2014</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8" name="Imagen 8"/>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28575" y="376570"/>
                            <a:ext cx="6236970" cy="17240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853EFA5" id="Grupo 15" o:spid="_x0000_s1026" style="position:absolute;margin-left:2.25pt;margin-top:-1.2pt;width:466.5pt;height:169.45pt;z-index:251659264;mso-position-horizontal-relative:margin;mso-width-relative:margin;mso-height-relative:margin" coordorigin=",-821" coordsize="62655,218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Q7kj3wMAALsIAAAOAAAAZHJzL2Uyb0RvYy54bWykVttu2zgQfS+w/0Do&#10;3dEllmULsQtXuSBA0AabFn2mKUoiKpEsSVlOi/77DknJbi5Fd7sPUYbkcDhzZuaML94euhbtqdJM&#10;8HUQn0UBopyIkvF6HXz6eD1bBkgbzEvcCk7XwSPVwdvNX28uBpnTRDSiLalCYITrfJDroDFG5mGo&#10;SUM7rM+EpBwOK6E6bGCp6rBUeADrXRsmUbQIB6FKqQShWsPupT8MNs5+VVFiPlSVpga16wB8M+6r&#10;3Hdnv+HmAue1wrJhZHQD/4EXHWYcHj2ausQGo16xF6Y6RpTQojJnRHShqCpGqIsBoomjZ9HcKNFL&#10;F0udD7U8wgTQPsPpj82S9/t7hVgJuUsDxHEHObpRvRQI1gDOIOscdG6UfJD3atyo/crGe6hUZ/9D&#10;JOjgYH08wkoPBhHYTFfJPE0BfQJnSZxCpM42zkkD2Tndmy2TeJX5nJDmary+SBZpOgfv/PVlkq0S&#10;qxNOr4fWyaNPg4RK0iew9P8D66HBkrocaAvECNYRq6LHpRKopMhAuAKNoDldixgyh3cCMIg9mDrX&#10;sPlL4H4GYEJvkcyjeAr/fBVFy+WT6HEulTY3VHTICutAQdG7WsT7O208UJOKfVmLlpXXrG3twh4U&#10;rUJ7DA0yNMzQ0fgTrZZbXS7sLW/Q71DXYeMrFngfnZXMYXdw5aLznSgfAQklfPdpSa4ZPHuHtbnH&#10;CtoNSgMoxHyAT9WKYR2IUQpQI9S31/atPiQWTgM0QPuuA/21x4oGqL3lkHLb65OgJmE3CbzvCgEB&#10;x0BOkjgRLijTTmKlRPcZmGVrX4EjzAm8tQ7MJBbGkwgwE6HbrVOCjpbY3PEHSazpCd6Ph89YyTE5&#10;tkrei6mocP4sR17Xg73tjaiYS6AF1KMIZT8W+OZCMpLD30gLIL2o9N/TJ9wyvYXNU3D3r2x0WH3p&#10;5czHy3asZebRsTHEbJ3i+3tGbJnbxalpYBR4grntcE05cnU8qfgLUJCM3AnyRSMuigbzmm61hIIe&#10;Oyh8qu6WT17btUxOtW3lMS5I1jPGfAUaz8aXgvQd5caPF0VbbGC26YZJDSWS025HS2iy29JnGPIJ&#10;9W8zZhvWUf73ZLmNolXyblakUTGbR9nVbLuaZ7Msusrm0XwZF3Hxw9ZHPM97TSFe3F5KNvoKuy+8&#10;fZXfx0noJ4ebQL6N3VQDdgSHHEtOLsKWhcT6qo2ihjRWrKCn/waEfV8fDxy0JzQt7r+grmSZZsCH&#10;wO3n2SLNxplq0bDkv0jOFyvYdOwdZ0BmiePII3v/R/5yfnlPnAiOuZ5wE9KFO05zO4J/Xjut02+O&#10;zT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CZqHmn4AAAAAgBAAAPAAAAZHJz&#10;L2Rvd25yZXYueG1sTI/BTsMwEETvSPyDtUjcWidNUyDEqaoKOFVItEiI2zbeJlHjdRS7Sfr3mBMc&#10;Z2c08zZfT6YVA/WusawgnkcgiEurG64UfB5eZ48gnEfW2FomBVdysC5ub3LMtB35g4a9r0QoYZeh&#10;gtr7LpPSlTUZdHPbEQfvZHuDPsi+krrHMZSbVi6iaCUNNhwWauxoW1N53l+MgrcRx00Svwy782l7&#10;/T6k71+7mJS6v5s2zyA8Tf4vDL/4AR2KwHS0F9ZOtAqWaQgqmC2WIIL9lDyEw1FBkqxSkEUu/z9Q&#10;/AAAAP//AwBQSwMECgAAAAAAAAAhALJGBf3ebgAA3m4AABQAAABkcnMvbWVkaWEvaW1hZ2UxLnBu&#10;Z4lQTkcNChoKAAAADUlIRFIAAANoAAAA8QgCAAAAMfUDfAAAAAFzUkdCAK7OHOkAAG6YSURBVHhe&#10;7Z09chw5rIBH7yySA5VPIJ9AcuLIqbNxKCXOXPXqVTnbRAqlbFNHTqw5gXUClwNr7rKP/wRIgAR7&#10;/mcwVVtrdfMH+AiCINndPJvpTwkoASWgBJSAElACSkAJUAT+++8/ePl/lJISUAJKQAkoASWgBJSA&#10;EpAQOCsCSUkeTaMElIASUAJKQAkoASVwggR0xfEEG11VVgJKQAkoASWgBJTAFAIaOE6hpnmUgBJQ&#10;AkpACSgBJXCCBDRwPMFGV5WVgBJQAkpACSgBJTCFgAaOU6hpHiWgBJSAElACSkAJnCABDRxPsNFV&#10;ZSWgBJSAElACSkAJTCGggeMUappHCSgBJaAElIASUAInSEADxxNsdFVZCayPwOLzWfp9XlTlLh/e&#10;xdvvHpZ0tbYI4man5PWpoCXtnMDmrGimZrTz1t2WABu0oqwC4622peN+1KOB4360g0qhBA6QgI0K&#10;b56y4E83Zyh2ND724m52/2q+Fvvf6/3s7gLfjmM6LCIU1iv5AGGpyAyBXltPt6JZr2htk6Mh0Gvq&#10;FawIMDKlEN7qaCCKFdHAUYxKEyoBJQAJLB8+ff/ogkIbFl75W0/f0rri4rP1sVcf35/bG+fvP5ok&#10;6Dbrg3slazscD4FeW0+3IjMvufjz1dsnMNAf9bL48dA8VU02aEUZqYlNNWr0ODRwPNWepnorgVUJ&#10;vP/3160LCk1YePtvCB1f/rz6S4sfYC0yVfXy/WfYsL5+tAP685ySol3yqnJr/n0isDkrMhb2eB1U&#10;9fMW85t/iJf2CYLKsiKBzVlRFMxMQ76/nYf58YrSHnx2DRwPvglVASWwGwLn5yFqRNXHgXn59zcp&#10;Vo4ceanbJe9GW611MwQ2Z0VQXrMidfdiosbnHEpuRh0tdScENm1FZrHx2+Xrry+XO9Fu/yrVwHH/&#10;2kQlUgIHSOD1jxmYZ1f3X9a+oLO5kg8Q85GLvIG2dm9MXNiw0TwpcUO8v3XkSE9QvXVbkXvmIe2u&#10;nCDQSmUNHNUKlIASWJ2A25i+uv837l3PvPNew68qeQ1lahH7SWATVuQeiUhPRJTvb+0nB5VqFQLr&#10;tSIz8TCLjemZh1UEO568GjgeT1uqJkpgVwTcGwzzZzgpv7hcy+NARMm7UlLr3TCBzVnRzEaPMXh8&#10;0tdjNtyQOy1+zVZko9AX8z0I9wsL1/7CKS9ea+C4UxvXypXA4RNwLxtWT4+dv3lLqhbfspboTZcs&#10;yalpDo3A5qwokrh+9KHj1eXFocFReYUENm9FQkGOPJkGjkfewKqeEtgsAfuyofkoT97KWTz4D/Jc&#10;f6BemB6IG9mSN6uQlr4DAhuwIv/pefRhebcKPmCBOwChVa5AYANW5Naq0y9+dezKfpv2pHevART9&#10;pxJQAkpghAD5MR2z+Bh+7rZzsvFDevle8Xk9+8Ir/HVKHhFS0+45gc1YUS41mpa9UhrgnqNR8cQE&#10;NmNFuHoUOIolO8KEsyPUSVVSAkpg8wTSN7+LJQI8NINUIYIMkpHZfRJZyZvXUGvYPAFZW0+xovob&#10;oRo0br49d1PDJq0IaqSBY6BxZv6/wtKwZlUCSkAJKAEloASUgBI4FQL6jOOptLTqqQSUgBJQAkpA&#10;CSiBFQlo4LgiQM2uBJSAElACSkAJKIFTIaCB46m0tOqpBJSAElACSkAJKIEVCWjguCJAza4ElIAS&#10;UAJKQAkogVMhoIHjqbS06qkElIASUAJKQAkogRUJaOC4IkDNrgSUgBJQAkpACSiBUyGggeOptLTq&#10;qQSUgBJQAkpACSiBFQlo4LgiQM2uBJSAElACSkAJKIFTIaCB46m0tOqpBJSAElACSkAJKIEVCWjg&#10;uCJAza4ElIASUAJKQAkogVMhoIHjqbS06qkElIASUAJKQAkogRUJaOC4IkDNrgSUwN4TWD68O7O/&#10;dw/LvZdVBdxXAmpF+9oyhyTXUViRBo6HZHIq66ETWHx28Qvz+7yQ6ZdLiTn8FUlYJE8pk2XLqaLX&#10;pQjy+Bb/3L3Mru5f//t1ex4ErhluWZMVqlMrWgGezapWZCCoFakVTSfwn/6UgBLYKoHneeivNpRx&#10;v3TFRTeCX8wwf3aJX++vXJHhz0YB8pQCKXaVJCqRFc4AKQTmLsG1YLgrZabWq1Y0lVzIp1YEPY/6&#10;omnmdKJWpCuO02NuzakEJhG4uPRh3uztm7D+df0Y/c/L3T/CZUdY9fntL+f2Hq97AslT9kraq/vX&#10;jzH4frqp113N3bzUuFdyryCMWtEK8OisakWGi/qiFe3qJKxIA8cVrUSzK4G1Eri6vMjlwd2kxkZs&#10;2v82adAGlIuh4hXzB70/C7OAqCtffvewCM8IVrvhvIRpO9AUuXz4vPGHC6+/hGXXIvaWMQzMGRR5&#10;a9PyCX/lBgG5YCttmwCwQ7WiiZ1SrUitaKLpgGwnYEXT1mc1lxJQAlMJpN2NuK2atzvAjmq46NP4&#10;P/LdYpsV/VkVb7fCY9Zyf9YlhnXA/W4kV/wjC9GSEAjs/incgpchrbeH0IZ9VmGEoWfMoYgLmlf3&#10;9/Or+Ty3BmwZ1EobJQAeT0jPJ6gVyawnplIrUisasxgq9Yla0Wx1clqCElACIwSyr4FzWxxalc8i&#10;hr+Z+I955DGkNnnTk390xOkTVg/9oVixDBybEhbBK5RghBSTtuusvT6TGDIo8mOoDqVFlf6Rw+Iy&#10;WLTtm0LR/gOoQ2jUioZw1YnVimDgiJbZ1BeJbetErUi3qldfl9YSlMA0AjmUMIHIy92FfVXY73Uu&#10;f35/sf9HW47m75fvPwXfkzl//9E9RelTL3/++fiFefjx+kN8UUeswcuf176EUYLZ041VyTxZ2X/8&#10;UiyBMOEgQyGK+QeL0jzH5B4oXfx4cqB9251dmJe3A/btEVArEhrEpGRqRYMECsrqi/resjLM/fdF&#10;GjhO8iaaSQmslcD1Y1zue7qRfpSnIQD01iZuvHwfP0JTuygTAf333683/5iw58YFQev5mVAxvfbr&#10;g8f1lCsrJb11JEvuU9lgcBDF8u9vnxevJro3cXZAQK1opL27adWK1Bd1jaSb4DitSAPHbsNrAiWw&#10;BQLpJdnZ77+CRcWORDly/OefVtxoinFvdtzMzAZs/qbNWvS1gRgIHjcfOr7+cau0Joxzq4Ljv2EU&#10;52/e+lroNts6gZla0XirFznUitSKVjai2bFbkQaOq9uIlqAEVieQPI37SE/a6IwFh9tXH/nFQyTD&#10;+e1Xtwn98vS7sd5oo0a7znh1z+1ls4q1JTQvFLtAEYRO64iHW5iXD9/8imlUZpDhJBQxUKsfIdgB&#10;AaO7WtGKPVGtSK1oRRMy2Y/fijRwXN1KtAQlMEQgj+4xWwha7J/zZ/c04Pntv/Yl3/hpmfAs3fxr&#10;OvmkW2N4TqaZJW61uucWQx3dgkOCpoRmKS59UNEHV+KQV1o/SmfCNP98oeGXPtk4xHAaihifm4b6&#10;FD44FCLGjRNQK5pkKe25h1pRnEuqL5pqXqfhi8RvD2lCJaAEViXQ3A2uPlmDXpwFd2Ep5nLxZ5Ix&#10;vfqLrkR/6MqDNczvw4cQw1vCqFj/BZrwy0/0cRKaPer5M7i5tjeK6XeJnVz0F3+EDNsocK2lMrhR&#10;84vvmyEAXn8nhza1on4nVStSK+pbSS/FKVvRmYEzNbLWfEpACSgBJaAElIASUAInREC3qk+osVVV&#10;JaAElIASUAJKQAmsQkADx1XoaV4loASUgBJQAkpACZwQAQ0cT6ixVVUloASUgBJQAkpACaxCQAPH&#10;VehpXiWgBJSAElACSkAJnBCBsxPSVVVVAkpACSgBJaAElIASGCFQvEWtK44j8DStElACSkAJKAEl&#10;oAROmIB+jueEG19VVwJKQAkoASWgBJTACAFdcRyhpWmVgBJQAkpACSgBJXDCBDRwPOHGV9WVgBJQ&#10;AkpACSgBJTBCQAPHEVqaVgkoASWgBJSAElACJ0xAA8cTbnxVfVcEFg8Py13VfYD1Ki6y0RTLkC0r&#10;LrWiIYNRXA1c7iDv6rTu+f39Vcp0df8ajvt+nseL8+d0Ani+OJu5pM9ze5c9ATxmZRPk+nISm+n5&#10;PglCCQ1EwreJvPD48lKOXA4tobvfFr6rOz4+3SUvxM8pIF+fyoKomyy3iEyjTrMmhliwsuxcCmlI&#10;0V6Ebdo7Vv4I7sPmZNvc64nNP+nONy9lNLiBVikT9XgoOukWrJ1S7mKwCeW4JFiySAWWwsHFu7l2&#10;Oj3rhwgPMFJmF5IcC6sCY12w6sq1l3LZBBJLAPm6SGGZDYxdRJwi0zodWV2hfk+1eJ+3pdxnfBrQ&#10;AEwmSZksKrkVkX5D2DpkxxR1kBBQUPIn0SGXBi4y/ZANodbgh+vCc/sBkLQ5rgNOdqcN9Ufr6pKZ&#10;VWMNaAgmTqyDxnQlyJf+9iWkImOBuYRwBRUJPSzytlWoU11AFTN5CYfClxOtxaeI+EP6lvA4I/AB&#10;tQ3VxUQRi/pSKcUYRPSdvkaFPftoH/9YwcKNti8bbdOurR5BgjjSuDlQe75QeFYq8nY+iWgENNWA&#10;bmuFMsuwFXdxP59xnT3ecH8R10dacQBXOZWjbBMAtyXjJFRnxhNuOuKgmZZNELmwTbMZLOOWUI4H&#10;XmmvJD0H6VoCGTUyA2oxgHAYR2g5u0yLBxM7HVFhR1RsLbyPrwbg0sxCPbVBS8psgFodi6x1pnSQ&#10;htUlc/Rpqo5M4Wp2fKEtDeAS+6LsX3CItII7ZdUfqEtCBGxVX1zmRcZQy+X9s195fLp5F/fWLi4v&#10;w93lw7ubJzc6PF6HS+e3v/jFuNns+osv7vdffqPu+vHX7blNtPz7ezZ7+fPqir5+NOW+DbUsPod6&#10;Q0p331lxlJPPC8eCfjl45Jid3351g+PL95+0Akn4IqOVkNN98cNCNLL/WOBcy4dPdy/OXUM9rReP&#10;IKomk2nUbtYkBCtYTPH2jWuo/k/Qpv1CjiCFI5qM33SW2vWmvvXpz1ffgYs0y59/PsYdAHs720bK&#10;+m0W5gAha7AsY09Ty8w28fnC2mT6LR++GZWuLi+shX9wXfCb9RTc9aFGlOMyFfawzGaLf4zoXtSZ&#10;7Tkvd//EHrf4fHbz5Nx1cmVGAxpj0UnJehc/Yt7YhPMPxkcKy+xAEmNhq+MtAbSsdb/xd/7+o3Hc&#10;0Rm7qwuhJWBjaSMty2QwDhnRTIzLNA/XQeoaC1GbLUtYV1WgJA3MNJq+rnBlXyRrHbpjcnndwN2w&#10;Om96fEcmTWM0PVWI3IokvoiztE2409G6hL0rR5d1rOr3htPAFacB935YqpcP60iVXnFklixf7+dw&#10;LxrMVNAkrF6GQwOsi925vFBCSTlJTXKND075CuGrjBFXtWxhIZMreO1lPadJ0WRSjZrNmhCxgqWm&#10;ZzZ9Glgk7SKZ7xxomqx+a7cKK+fzFGv4rnMLyigyx5InlmmzxYdYgkCog4M1GO76UMMN4ALRNYeF&#10;ECkkxWsiRH4GI47q+eYwNdddhS+zx2gAS+ndKzEaUkSkTq9iYWfAEhht6oqJMnFeEmMPFhwLBB0m&#10;FNdpnLaoReaudWVHHsbsQs5iEAWOn07fR4KLWA8WpnUEHdNZF9qoiM6tWk4EgQfqu/WeG7jCd3wZ&#10;KTjUStyuSGXaFa/BnRLWMlaXDIrg5Zjrx2D6YNnR8ItzgzCFb8WpL3cXZ+534yecaVafMj3dmLsX&#10;d2C2MTPLe//GBy3d7c9heeD1j1/yYNa73LSYywullJRTaOUnBGYY/+oXRf2PEj7d7Oi+fPgxe3/u&#10;12rwQmZc7xMv681mQxoxzRoF5wUTzkhILJJ2kZZ/gOnyGqMzi2jRnCZmSd/2CrjCF63CmYstI+0E&#10;kIU4i3CLXbldp5Zp1li+f3x9fE9UhJaiwH3uurDp5LjkWFB38vL5BYn0TJnBWjZMjTFoIKnXOI3f&#10;919AE/i8bJldOHIsoCiRJaCqo4NwZvbt8jWvbU+whEqpUp5GmT4vg7FLy4wFcWF/aqcr6uiJilXr&#10;W5fEArEIkjJ7YNaLhWud4Q7CW12hENGRmyqPpi8Kk+OSqBwsunLFvtINuFNiKGnX1TMfQeBow7DQ&#10;9axP/dkrsr5vnHKKPenB0s038hZsKAJvfJv4rDfSgqpXyUto6OM/O4jbEQZHvrTwoZC27sufsw82&#10;Bo2RY948G6c8nKPVrGsQbP1tOqzhHmYwz1yktXpj0c24z9pwSByN32b3v9CjXu4+8S9oGx9m7A9Z&#10;68Qy7WMps+dqWzwaLnzMws0kg0FX10dbRIhrDEsxCrtHRfy4QohtrhIYQxGCepc/v88+vq+e6eDL&#10;lCASYslFySyhHCzfvJ1dXbmHi6z/87Y6agm0OlgerkyQl8EogeUedFql08FK+qJi1XwY0bIuZ1/d&#10;NFCG0fQcpPVhYVtnQgc5p6xO1s6bTSXEJVDZy0m5Yr+CtH53OlCXEGK5mQE3wNBrzHnFHe1SFU/D&#10;51rBA555Nm9vo+0SuK1ZrJGizV+wbyvZkOXywiok5aTNKHI5vyF8kZHZ1icecUt0OPEIFaJwUo3g&#10;2+lVs4LdAGRCsNlIxRPzCW0qWx4/nlSmZ92HV46Z/f66mSkTdKi5Ep7njU0o3+7SMvF2W7ALcqM3&#10;S1PkEejJtu8YrhAklBV6swxXgfq9XfUmRiwy0RymIgLyQJkNoxdjmWIJcMM1NqWBN8USKhUKeVpl&#10;5mmSfEeVQSbGBSZmZaVdUUvUPeuydXXSVJuPkjLlvnINWGgjJ0TodhDG6lBRXEcOiRhcdceXI4Ip&#10;x3AxvghVjV0x5zal7rSxVZ2WG8qAITj0ERctWnGM8TGOc8q3Pdz7K/79GitBtR8d3l8xW5i9hcPl&#10;YuHePfmd30FJG6s2UA9vqIT3ZoLWYYU47iLTeWEoJCtHGH/nZFF4lJHWffHXbADFX1yTde8WuPkI&#10;+yLOYlG8RhPqmqIR+YZGUzCGiJ10Nl6WabfpMOXDzLD4nE3//WP52gurk381gXpmwa6Q0c+KmJWR&#10;Hx/iCiHxBbspZdICuslsHP6u8qYsd13edBNx+YXDCotfTUTv5QGkaHso5+1hxMrU9VJLMWNl1rgG&#10;sfSqoy3BCG5fzPOvEkXH0mk6WYv35KEqWWW9cRBXrJ7vIDwFVjXGulBJkjQww2j6Quw1YpG3Tq+D&#10;iKyu3ZHr1hlNT7bvRFyML0JVYEvbnDt1PRkNJbIOS9t7jn3Bol6K3clPA+SLMFCEK1XFo/x52lat&#10;vNWVpidl8TPG7q9yOa4qOCZo5W0s2VGvfTQi+Ibw5Twy/Q1XaMmHoOEKErFQaTUr35SA5YQmYck4&#10;QdrNWq1PCFoNTiUntum0CeBB5bJk/LsGnc/xYKOzbRoatFjNTU0Vmh1Nq3OHT+835DXG4TKLCQ61&#10;b1CtCRGWMNJeYlzlm2ctLF7wVHSahYNPB2EvUmCMs2OwowKe7C8QGMpFXyuXrCaso8mx1N+bbVsC&#10;tCK0DoL9aV4FtGw6liCwTGATODWwuZHVEGxjYlxsp2OFQuozLQszAy+JymTScEtotQlOoLM6Fq51&#10;Km0aY17ZQTirI6yo7sheIGLABsED7Pg780WspUEN6u2g2p0SllmqP7GuHhv/HcfS5tO7k5VjIMIO&#10;vA6Z/EhZZrHB3Zy8urR+6zOX3tk1QLd7eYngMQoEyilUIOIzSgtiP6eheywUU+wLUTcZ+wFwurDC&#10;14RoMhfLCDafVx9tAuQqqTIgUZv2zPXg72NAvL9H5gAND9tJOZOyfxf9MXfhFcrkhvaoDtc3J4RF&#10;qImluAqlKSzIJ5eb9KCemJfFiJw10xx5yKfCKug1Jgz5pb9mixi2hGIcQvnrWqjYpx7tQCpWntzm&#10;ZIxm8k3CVMx1AvbxTicIHJuqEdaFYr9iCM4CVu409yeqzEHvKO1crN9IXQojXaGD5MCvaKyqCZJQ&#10;/FCJOjmVfoyXFJfEFzFIh90p2QWTe/FoBusSQjkz6TobEHpbCSiB9RIwe8cXt/DN/PUWf2ylKS56&#10;+0ytaMTS1YrUikbshU6rVuS4aOC4uilpCUpACSgBJaAElIASOAkC8pdjTgKHKqkElIASUAJKQAko&#10;ASXAEdDAUW1DCSgBJaAElIASUAJKQERAA0cRJk2kBJSAElACSkAJKAEloIGj2oASUAJKQAkoASWg&#10;BJSAiIAGjiJMmkgJKAEloASUgBJQAkpAA0e1ASWgBJSAElACSkAJKAERAQ0cRZg0kRJQAkpACSgB&#10;JaAElIAGjmoDSmDrBIjDo7cuwwFVqLjIxlIsQzasuNSKhgxGcTVw9Y8cBKdI5dNrwCFD8EibcBSq&#10;vcuePsedBJuEpM5Vcmep2QN+q9OpUjb2UFgiLxavPksbncDKHJ7Ins3Dp6eZhMP4mKP8nHBdmFgY&#10;cDYnIWV9kpglO3CGITgADObqYEwHa5EHVBGtTx6GGdMJjUR4gNIWk0H6Kx2ktkWZi5PA0EGCQB/m&#10;7HXbZJPPHjwyXERHnoTmULHwRsufLYsPi1RcmKHlNtWP7NaKqsChNI6WarkjIeW7Y/W+45K4U64L&#10;TMg7+SRGf1a1+4UygFRMnFgHjezZsL6EVGQsMJcQrqAi4SnJ6MTkKjKpLqRybLlMXmCeYgX5igpj&#10;ryBSCmYmxeGULRrV6e01zKIlCXdSH4aJW6i2gdosOI2sVqgd6/rrrKztQa4TjWTLkZWkuui23Byo&#10;Hd5Litt2mmA+leMirvs28ybgb08Y8Y8PFxws/RxowqB/4Fh6c9kKCus2ZPZ/fLiS3vQp2oeApesf&#10;WqoV4SF5gjc1XT0QXKw7zQuArNcYyQsGIBgvicwHbFVfXFZrXpf3z87nz55u3j0svdgXl5dB/uXD&#10;u5sn18sfr8Ol89tf/OrYbHb9xRf3+28oLJNI/7p+/OUP8V3+/T2bvfx5dXeuH025b0OixedQb0jp&#10;7jtLjHLyeXGNbQVn/YpwcaPpZ+e3X90A+/L9J00k0ahJsTAXP2yrGBg/FjjX8uHT3YsbwSE4O7BH&#10;spUNyDTqYIxSsILFBG/fuJbv/wRG0i9k+ykcgGT8prPUccT2hdpIja4Dxt/5+4+m28euLK/v+HAt&#10;fsxcKJ3nS/MP0XeKuRwdluXDt4gldAjguhafz26e3DiZRhkxKZfw6HAl9RefL6w/n/bbLZaef2ip&#10;ZoaxP1/RYlcksPz55yPclMzDnDOEg8XV7CCd5ufzLv4x1nN1eWELsAP/y90/RcDQKjp7sTpW9XvD&#10;aXCLywf33vfxK17IM5rKyxVHZsny9X4O96LBtIJcjS5XMOBqGZe3XB9sKlgvzyFr5dZdqqWVYhmv&#10;scYHp9YFjQS8ATOIZ5QiVg6pJeVqblHYgJBA207yMMkJlkRj5lENLMKGFk2iNp8oSzth+W3z4vVr&#10;wLbL9nPgHcLDK5MWHI8WF4gbYRzZ5+9SHDyWlp5euXILK4xgk3rNkeKyas3v/ULMhFXrXVtRjB4o&#10;/yBWrTAWMA0nB+eDwcW52dz7+RYX50UJhzeFBC/HXD+GrgeWHY2xxjlDCFlbwenL3cWZ+934iWU9&#10;dXy6MXcv7sAqxcysxv3ru4VdSDS3P4dw+PWPn2Uxy1NuYYPLS0rJKDiTVAQLHE1vIT58c6uD869+&#10;lRWoW9BINzswlw8/Zu/Prz/UC5lxvU+8rDcbI8BhDJLzgnWmTE0sQw0trWhj6fIao2vFaNEbq2+H&#10;BUdrcIp+u3z9D8/+RZIdNy7T93/ffxleb7TOLa5UH6EVOSealmH9oohbTrDjnNF3vM8cJS6zevb9&#10;4+vje1E/IhPtGAvvH2Sqme1OGzHABdc4wFl1Xc9Iu6R2sfGwceUmxB1krP2JvCgaGNgUEgSOwFPZ&#10;jvtzTFab2vT8FHvSHT+8HxJ3TEMVeOPbRI8DXmMob+pEExUcR+It21m+9Ys4lKZphEraMJc/Zx9s&#10;DBojx6HV5wlqoCwtjGsQbP1GsqrCE/KbZy7SWr2x6OzbJpS131nO37ydXV25qZ819mmaHi+u5c/v&#10;s4/vhY9mlC19tFjM4G8cXHSHPhTwY1vwaNXzN5JOcGS47DNis+cJM7GC1W6xkP5BrJod34MjjYGB&#10;Vcf/QrTxcvfJPmAnLrNjSrvFFYTDHURi/DnNKnmrmvK2AbdVjRvDFBCWScut6uJ5LZcKLoeSW9uN&#10;557RXi3Ye5Xsn3J5ya1qTkFJRbBAYfrGWnL7KfAuTPBYQW7natentd+zylY1h9FdJx7mg6vtpOKp&#10;EScYiXDXb1fJzOb+vVsTnrbNtCuxUX+GQlQ2DTeRYr+YsqHmKzk2XH5sm7TxiqgfqBWx5vs8x0yI&#10;3bRJ27KHbUUlruLVEO9GphvTTjoX4x/GVeP3WJ3xGJ8zXmbTvW4DFxsilB2EkFSc1ycMTnkTW9Uh&#10;Bqke5S9fznDvr/i9ZStNtR8d3l8x+869hcPlYuFeFfmdXxlJ+6B2/TO8UBLem8mhuKs6bPrSeVsR&#10;eqWgrKJc5Gh64XQh0kDJaZiLv2ZPsJh2PX0LrzU1XsRZLOinYqdoRL7y0RSM4WCXZBovy7SNRMh2&#10;y8kWn7Ppv3+kouktC7Sp6kzb2bew/IPX0YqGKztiXKusNx4pFrMw9ONDXEaD31xEG2iCJ6MKOztS&#10;XMO9aZ+wrMc/OOfiXryjHr+yS9Tj1sJh3QMrYjuIwBSIvH4JH72nPPAUW+dzPOUigYsM88VqLaFc&#10;GyrD32rVkXiLw1wKm5LwMWlcc7U6WlSMn5otpM5h+vO8o2AMhcWf4+kJVqzCliugfhUKzh4jDSJj&#10;veRbTDvrNV5i1dc9iRwf0SeaQ6RRG2M1TxKYQZwvguVKCouwoXe2RIcrtkr5p8EP83M8oyuOocWK&#10;Z9jFjXG0uKxbWWH99dCtiDCAclkIWY73T9AjiE0o5DvoTtdQNmCbYku77VxohYv0D1g18BeOKeyN&#10;YCxFDECszh0KLmLVkO4ghELivGFH39tOsgZpz/KBY7WaG98/isuHoLgq2Cp2IaMRl2UWG9zNKDkE&#10;jvYl61x6uRhfVIBu+11OPi9Sueh2lYKtiijOfPpGSeSCuodELLc3YEYOuFkAHUaI2gbyC58ijWiM&#10;OSsj2HzOfPkcPhtLWYvISKT9YFvpMMkpDn9bkhb1VOaBh/bcQOVb/8mGpwh+dLjCpmmYG09BUvvr&#10;A7IiWuFiBMGDDjCBqYoerBV17WOFSKgc9afC7crIJUCtXtfOBo54o6ZYTQADBaHQ/uOi3SzbQZBC&#10;g3ldu6SSRx91ODOZBSudmkQJKIH1ETA7cRe38EX69RV9jCUpLrJVFcuQsSsutaIhg1FcPC4NHFc3&#10;JS1BCSgBJaAElIASUAInQUD0OZ6TIKFKKgEloASUgBJQAkpACTQJaOCoBqIElIASUAJKQAkoASUg&#10;IqCBowiTJlICSkAJKAEloASUgBLQZxzVBpSAEtgxgbP/O4MS/Pe/+sbejlvkEKtXKzrEVlOZD5GA&#10;rjgeYqupzErgaAlo1Hi0TbtFxdSKtghbqzo5Aho4nlyTq8JKYG8J6Hi/t01zQIKpFR1QY6moh0hA&#10;A8dDbDWVWQkcIQEd74+wUbeuklrR1pFrhSdHQAPHk2tyVXj3BODJp7uXZi8kaI33iotsIsVSYVEr&#10;Gu7MakVDyBSXxzX5xCDNuH0CjXMJ4ZFBzGmP5OGSudNUhw7Z44iKc5saJXeOqLu6v/cHcbsfqAsc&#10;pwQrI44JC4ePEucvhVJzfjZNfc56kMYfUpl/PU3BfatMmZ23DSha55ynnBQ3A3PIJ6yTywrO6xou&#10;M5Yfy3bSQ04tGzSYJx1qNgmXsweyuiQujR6pBk/kagnPNAcn+RrO0ANHheHORJjdsCWg42Ub7iG6&#10;E/o0U7axSXkIx5YKYBUY8L+TrKhvr1Zs0pXRWUvrohQQW2DHkkVwVsTSarWGJZZdT6yyyMGlQz3L&#10;gcbfKJpMhKl0fMUI1mrGamQiEkORJO60MWoIOjvyjdN9kQaOQ6az48S2nfOh5Hl0NPYSrSmaQnlk&#10;ePhbUALuJuwhooI4IMqSLZ0x1CLsCuZfu+R0JZRT/o0i0pKEi5kAhuzyfcpaSoZhiJaKykWHfVoR&#10;bEJ3Hrqrls3GR4fsKeSx5digd4UysT8urcIXzJ8bywZy7Q41gAvHUjTXDJxAH9mQUws+EmXq9aX5&#10;snxzVP+GScb8ihzLBEtIonAqZFlxqwM1WdU4eQrDzGE/b7FyZHJc+Bjk3lSHUj8H2vS8rBWMDlhg&#10;05KFZFbHwrZaJUGtGudPehN2l69pFVxdOaPIVZc6DOCS+KKim2GRancKcXHiN9CRQ4akw7K2pIGj&#10;sJvtRbIcYBW9I96oQ668JhQWiOLCGlNCFXxUrq4KyFg0VOA4n8/tMIrjDBg4csXjqWLVtfggFSjg&#10;4rViKE9dMvbHLkMUCVTZW4biirYiREHCImqdx6gT5C79YL7D1ZQKTZ4kaT25zI7XrZrj+R6t35r7&#10;/fUbergR4XJW3qvBCRlaGQZzaSQqvTdKy6xh0vXiqUiuDF3nhoeeq5Fb0bgl5Lo5FYoRryAakDGq&#10;cfJw1sL3gh4jcF+Oa6i62C+Txry1SBqaSsPh8oETbcliMKtjkfbxkTCIVRno1WqmJuqiycSokvNb&#10;ny+KddMijRAD/ZGzQIGPkpgo4qWB45D57E1iclpVB09OXvpya2Jm86QIrxyPVwwc3XpbnJinBcC0&#10;T9wQC0ZZbOBYLxi5K9jJ5blZSh5jVwnDRva2gSQ3cdWNcnJBWFUwrRRMnGUeSFSmwCW3Vk97UR0F&#10;bgCXQAUUCY1FcLzuTL3YitIYHSwfO/hhMgNYOCvqXy+8RlYhZDUXrq7cFJCKFYP+DdUa5mRu1RmH&#10;R7Y6wJ3e6WrjrNQvI9W8/C6RvJsGJeAteWB8WqsV+bkX2dwyF0QI3mVST/h6Pgpb7ACsvIZoiuh1&#10;WIEv4jpRvk4+giJBkqLcahOS3BOa6os0cBwyn71JTMZXXNCVfARcBWoGjj6MCkmKeGD1wBE+Gces&#10;g/aCoqILUTKBa+afRYE5dmW2WOnN2DhMstk7BgJ8inAJztcE4tu4Xit5egYtTZTBwliZSONqJ7jt&#10;0bgxpdubxLhgQm5bmRh7Pde2askRUybJ14sLLVaz4bo3/7ACi0eMpYxmKhUK68I10iq4NK5Fgxgo&#10;cEQ78i3VXOFkL6espSlnz4zGcfWqI9RnUfeta9gCWUvukUD314ulHTemHfzU4n0svIVENcpmapXZ&#10;bjIBODEuiS/iOtE6A8eImpMn0JroizRwFNjMHiahwr5kIe2gBxkn/RxP3kkt9pRt3nUEjmi4tkNQ&#10;uYEuCxzzE0VEGIY7TF1g4WZQB6qxVME3mV1iKTBje/JK+KrX1/AGT77XQOWqwnVMLBN6GeRxvMbN&#10;wHFy3AiK9i3N4hJgwWEO+KujWtSOrLtZL7XyACvrL8s1zEluRZli1xKq+ujFk9CgmGiMv10lXdUI&#10;y8x+aVzObr+T4+oHCLT6SQSsWt+6UtwIZzGFtaEyWUvuUqgSrA1LJ26sVOtj4S3EaUE0U6PMTpNJ&#10;wYlwCXxRcJmWStGJ2u606WazEhgdK89KvkgDR6nR7Fc6KnBMSydc4IiukyVEu40pQyIUm6wpcETL&#10;jld84FhOmLxouQulzlxq3VxxDK2JCndacljI63V2oZVkD9SLkPN6GBG5+GLYcMrebmwf0VnJMhuL&#10;S93AcbW4sQgeu7iycdC9oNqa6anmTaK3PQXEzAZq66rMs7RnkUa0WcmtaLIl1CoY+THDrIBcNR4p&#10;Yy1sLxd2uGwW+OlqJjtfXUP9POhna+lbVxk7wOE8SlfgQvFDN0bvEZJbEe+LuD7Oqd/HIup0qJnY&#10;MrtN1iOE7g/g4n1RRyQuQJQFjk10yL3LO2yFSL/jCFatDv2fF5d+H/P33yVUZfn3t184vLwQabj4&#10;8fR0c+Z+N08ux8v3n6hEUTHdROe3v0IvfHnxEs5mUYWXP6/hikmFnrd6vMYFXz8G83+6effASHl+&#10;+/UjIvLwsHB/28JTsOjqlDBc8tm7SscEcaevi/b6MfjrolVtQdeP2Y2VNS8f3t38vn8tcblkw2We&#10;v3kLyo+MRMoaa5p/KNpMlBElEuPisRBS2x7RUa2FsVQjN8fis+05b9+cZ9RPP6DJJaubf709H8cx&#10;ZEXTLIFRYfnz+8vL3YV1Dhd3L8453F2Ejud7U1e1ljyctbQsVo5PbEVsdS31jRyVapKOM2yBjCXL&#10;ORQpV8bC9nFOtWGVad1QM3FldppsnJoYF+uL1i5SVqLnr9CQIeywFCINHMcNZ29zmPjILUHhYMRa&#10;qb0qHaIWfy/BBw19ZNINb2bTvouaor7INKowi+OsAPb57b/ugydmCPvEhY7Xt358Xjz4FN+/gZRQ&#10;ChlDNntbXAQpid1V8fqL1c+GIdSPDMuWD5++f3z95ZVOgS7IPlimH6tyOG/+kM1DVokbJ+LyWlZY&#10;8MDi0jikLdW6GOsGsfX6qVoEdP0BfME0ZLD+3YSW82cysF+nFXVVoC2hrwInZEe1pjwta2lbLI9s&#10;ohVNqI5STdJxRi2Qs+SuI4EJ1oil0WqcaqMqs6qBZpKgHkK0BlyML5osRidjt7NT8kzzRUPLtJp4&#10;XwhwO6rVE4jkMxRw46Z6oIh5FyZdJraq7SViyy2mhJtZ+DPbaX0C5Q7K1XtgpQwgVwRSZwIKxh2V&#10;cnvH/c3nLBl2svM2kjYR8ncc6T1QvCdh6wvpio2s+DBq8VBZuQ4JNuHhI9MTyswPK8EWY42MfddS&#10;1I/EuNDzdW7FK6iGWyo3M25wsH3j/lm8ypKctb8OyxQ1B9odygvcsu1vApQcS/XahVeNtS6oGkJX&#10;quCkIlqdcEu4CUjLTDoWO56snCLrqfZ5J3c6eje4VJ9TjbYuCkvdubgyOUseACO2om4rFK1G+iJO&#10;NanKAFdDHq4jRyy8n+qCE+MS+qKWSJyY9XVJ5+J8FNgbED6KAyHpM45dk9m7BKU3qWKP4tGF7nsh&#10;RVTCDp1X989+aY/6FVLUj0+Ak2PqxxGreJJ//KLtoJ1o4bMLhJhx7Hf1gZKGGIZ3eVrZOaPBavFP&#10;ziElYQNi7VMBwKeUfOzqG3guNEAZKxPuQDrA6f38sp3wBKIcU0b7khRX8WY0hcVXnQosOkWGxkWN&#10;CSNy30xzwJosLxzHTniRGoMTYhm2hGJkQtXUtopSx7SVs5FYZtCusha2F4zZkRAXNiKgCD2QN+zA&#10;9TE8YS27XVXmgAU2LVmOZlUsXKsJVOP8CWuxsMymVdQYAZAVAkf8Ok4z0uq7aF4kzp0y10Wdi5aH&#10;7bAyAzozyTa1bqrlKgElQBIw+0Szxwm7lCeKU3GpFa1u+mpFakVqRasTcCVo4LgmkFqMElACSkAJ&#10;KAEloASOnYC+HHPsLaz6KQEloASUgBJQAkpgTQQ0cFwTSC1GCSgBJaAElIASUALHTkADx2NvYdVP&#10;CSgBJaAElIASUAJrIqCB45pAajFKQAkoASWgBJSAEjh2Aho4HnsLq35KQAkoASWgBJSAElgTAQ0c&#10;1wRSi1ECSkAJKAEloASUwLET0MDx2FtY9VMCSkAJKAEloASUwJoIaOC4JpBajBKQE4hHZstznHRK&#10;xUU2v2IZ6hWKS61oyGAUVwNXecAMOp/GnyR5n84XK0/SMuWyJ83ZGz5rdVxOFoc48DbdFJQsOx1H&#10;UymB/SEAOxh/5CA+VazoZakI4nzw4gzUsofC2gc6XyGO76OV9Ok8V5sc1NQQs9suA7hiWUiMooLs&#10;i0j2sTZ4ojd0nr2TKW3a6lD3klRWqdP+DThSLI1W6IrB5eXLLD09pR9ngcBgcLaunF0bwkd2t6E3&#10;j6xDh1bSo5gThrHA0rqg4Cw6ymKJEXVSH5NaERr3yaMUW6dosqoxfoy1EMCLbqZxixXYTk4ygEvg&#10;izgspGrSFu8NDYVldq2d5QPPqq5PL/TlJpsM1WQbDReSKdm/0Vmv7g9TLj6rNScpDoYdLXmo2TWx&#10;Etg1gdhv3YzK9Td2GCtcBQ5H8uHT5IDB5PXd1ef1SZgAaaTQIlJF+qx0NiwYgAW4WmLUwbQb9LGW&#10;pS8jggQCCxxLUDjNNZ/L4CfkoDXG7HLAioAWSHqpGFwLktc5ncuhl7BATh6pnC2Aclxla/YCX3IC&#10;FSiQ0e9ob2925OaMpm9Rcizl0g+ypG4fZ3QA3q8KG0gfRQdw1Qx2yGL7lFKKAVwSX8Qw5SyQ9TPV&#10;5KMxNBSWKbF2FlDeql4+fLp7cd701+15sMnrRzvCvPV/LT7fPDmnB++7yp9u3j0szf+Xf3/PZi9/&#10;Xl1ykzdkPb/9RR/Le/3oi5pcMuw6+m8lsO8EFj9MD/r91/YV8zP9ovYHQQXTG/989b0Wp1n8Y3rp&#10;1eWFTXdxeTV7uftnUajN5XXdM/7O3380kWPorMuffz6aGV765R6eM7TTLD5fWO+x3p8cV6y3JQaL&#10;1Hmgs5sn53Khp+pjWfyYuTA8/ExTzT9cW0/INN/y4ZuxAN981x+c7/zmXOfIbxxLWfpaxKhE7uPi&#10;LJCTZy1yinGZ2mJrhj739KPsWzOuxVsWSFsX5Eej46yoJ4PImMRYWGMWVTNjrILxY7yPSrWJmkkm&#10;20AqOS6JLzIegnK5rGqiFu8MDYVvXBUj8HlWY3bFu16ORMNaXFqM1OipVXOeWlYN1zfBrGX69s7A&#10;9EKTKoENEMhmLN9Z8nmi1aM9ALxqSMiL86YQ1FUOpvkgNGXlaqWx1czvnZzkprpcWazDIC5ejAJN&#10;gaWY/JcbLE23iEq2cSOMI+3NbvPxa86cAQ5iiVMP0AqEFXFioKQ4Ri6GixErKiyQk2dATr63DuOq&#10;m40tvGhx0gLxihvZF7roSouFAlFWJ/BdU7CQYnAWUk17oeqsH4soSh9Fa0QJJLdYAaWUZBBXzxd1&#10;W7xwHF0/U/Tycmhoy9MyLwZSXHF0AbX5vX0TVxuLaPz1j19QYBK4pYvz23/96GEXIc/Ozj5X8zUq&#10;xN9cyQMTCk2qBDZPIK8xvtxd9PvH8uHd2Rm1koc6YVzix+JTea8fvYdwlX+7fP0vLPiHvm8LcLf8&#10;/gH6Rf9ApDEz2e8fXx/frx/fEC6ZGBQWP1N3D3Jbf24QOMfVUJlU1Uzhf99/seuN4cc2H91iYn5D&#10;WBqlriiG3EJySsYCfQJOnhXlnITLDUp+9Zj/FS1OWyBjXbDUpqWxVuRLqKxOakaDWDpicLW2OxHh&#10;x5oWUtUiaiYpkWa6IVxdXyTwLaxq7RYnh4aePBMwrvmtaoMXzN9N9CiLHQVNu7mSBZVrEiWwJgL2&#10;6Y843TT9g4jRckXW5kPi4a5E5z1/83Z2deUmdzZE9LVbkfwvTKtf7j6VoSOXxownNzPw8MqaKKVi&#10;hLjEYhBYvBP3DtdvH8/cFqUEC1B3+fP77ON7OO0m6oLlh7zhsYMxcEIsXKHrEgOWL8RFWyDADrGs&#10;S85hXMYmzEyCfsAqKY1anLNAzrrE6NpOoLa6AUMawTLRFwmtAgpNWgitlaiZBoC0kwpxSXxRHwur&#10;2nCL9+WZhBEPGatuVc/zC9hwp7kYmPByvWwTvFPyyKqzplUCOyZg3va4dyFK4+2YLCLYd/C9Cr1r&#10;1t4IBnnhhkTsdMSDH66KzgMhMQ3ehotjfukEpm5VJwI9XD0x6taukAYZQ0njWExGTk28bVTIusqT&#10;Nz0sUW1q804qxtSNP9KKGhbIySOVU9ChpbjMXE1isajFWQucsNtOd8By8zHO9CSiNuGIsYC5Jbvr&#10;3GmGpBrnx4Q+ylXDNNNUixVYkKu147rHfVFYHICegLdA3s8wSLvyyKy9pBNXHM9vv7oh6eX7z3Kb&#10;arGwGzcpQXj3JQwSYc11/tW/UPM7Z49rzt2Af3Mld6vWBEpgmwQWn/MK/PvH4rUXXhD/IotbE/Nr&#10;MOn9GpuHfbrEFZjzmqmqffnNv1cTOx1Rqa2itwwmSbM62Im4JBUDpD452g+l1G+r3FoHwHW5pZuw&#10;K27m6XBvWyK4SbMWLKuL0ZaWwtWyQE6e1eUcxGUWaH58iG+HNT79OLTy07UuCJO2tMpiTZYhGYr2&#10;GsQSc1NiCO3WJEuqMX5M6qPsFr2smeSytVNOxCWrHrd4S7VGiw8PDVa26RhBJBl30EDo656pTM97&#10;h+A1TzdCjpgCP2Pp/sIT6qoAdilytGThdEGTKYEdErBW7Z/67nyOB8+abbdJnQ50q1Rc2mS23Y3N&#10;i9YsQF8t+lqagcLVNy5NuSy61pdjxLhAk+IlQ/AXj7TSM3/RwrjW/FpSY1HSFIEXDKxTjk2Gmi/F&#10;jI0XEQXLNiIraq04xtAViUGst4rXbyRWxFmgF5Tao9oyrnJ5xjchgQV8Y65srSI1Y12CztVwAr7O&#10;wurGHJu4c/XEqCxEoFqEWn07hrMQslunqAytuootdoiXGJfEF0VTr3xL/dHraneW+t4Z3IGSf46n&#10;+sD2yOI1/I5jsEUYJNdFFV0LJXi9txvKMf4sPGO+7Ctg3j+kjaFZ8pABaGIlsEMCuPvw+5Sot5S9&#10;MN3MNwhn7XsSzouKTbXjrpkuI2fNpGEDx2qHZMQrpVKluDgxhFigC81tIsGSQh7ys31lE0R1JrGo&#10;R6TgKxu73XQrsGKgFudakLsuw0VZICfPlnGVI1QapOh4msNepwbEhjpX0wm4QHuVBx2KuGGCL2Is&#10;Qew3CD+W5w84SgBlss1UnzSCp3o5sJnU/9bpi4rNJvzNDLRKiZqlavHK1mikwXU0GoYOyRoD5Zm5&#10;J1tO1VRKQAmsiYDZAru4TZ9LXVOhx1uM4iLbVrEMmbziUisaMhjFxePSwHF1U9ISlIASUAJKQAko&#10;ASVwEgTW/Dmek2CmSioBJaAElIASUAJK4CQJaOB4ks2uSisBJaAElIASUAJKYJyABo7jzDSHElAC&#10;SkAJKAEloAROkoAGjifZ7Kq0ElACSkAJKAEloATGCWjgOM5McygBJaAElIASUAJK4CQJaOB4ks2u&#10;SisBJaAElIASUAJKYJyABo7jzDSHElACSkAJKAEloAROkoAGjifZ7Kr0bgk0zsDdrWD7WbviIttF&#10;sQyZq+JSKxoyGMXVwFWcKgPP8/Hnoc7rs4jc0TXEEUX5UB53Zq49j7c+BijLAg/+KU8vKkqnSibP&#10;w+HLqc5HcoK4euhb5q6TkL1LH9LEwUHnsXoIrgCLqaoCFC3TqDo/PBZfHMZGnh2emqQ6GJM2nOqk&#10;u1CZb3H9NQnAHrbSiWH+cN/OwWelGTDngVZGThXL5QXnZ9HStOTsWcsacYGqYqnRkmnVQN2SQ8oK&#10;NdmO2zwWrMcj3F8jFrZ1Gupjf+xlIvwkSS0XWx6nRvqhakQSEkLJ1oiL0JQ4u3O4I7DWQqG2ujEY&#10;h+isEQtnRZxVNKyF9TNQN1J9QYc9JF+ED4zthEiiDlj6vUR0GAs8qzqUSh+nWXvdsm/Y7MgRx7Ar&#10;JAyK5ySF165iH9Qf65KrLhLk58uJvQ0dXR9lLrW3icui0t+xAWr/UBcT5axPXvVpWQzJOfQ1SmFo&#10;DE8HBKuwUS4XlJex0C0+5LpOLHHsny7Ebk8xemSIA3RTlsLH1OERmLhQgz4x4MMxBlmbu+GnQM6c&#10;S8trydnTcY24kIvEYrKqgXCoGzhWajJtABoddp8eiapPpqn55qyIU19oXeSkhrEWaDq+eA+cu74r&#10;XK3OslJHaFkLsdTSq0vCZ42dq9HHy84VrUJ6nYzAW+oXYQYicSi+yCsNO0IVFgpcNO6AfGASp3xD&#10;yxhpq3r58O7myTnUx+tgqee3v6hp5OKHTTebPf1YwAWp5d/fs9nLn1d37frR5Hxr/2UKSQWi9avr&#10;x1/usN7F51Cv/9Pndlo+3bx7WJr/MyWj0iTlFBnOb7+6ke7l+09bS/2LElK3vjjvNvv9t8jKwDFK&#10;PHy6e3H+EOpp7cFhMr+LS1dk/vXJ2LSX989elojLFXVZCs0KFhO+fRPxkzDyxYRF1i6d0k7qtmuE&#10;ZDOma9TuU8hj8fnCmhP5M6b252ucQeQUy4dvM+eQ0oQk9eDlzz8f4VpxNtGQnc1rbhiVri4vTMLr&#10;D67XfnOdNvxacnZVXR+uLM7ZzZNzkMkpNbB0BWyoySBd/GOazeNyHf7l7h/kRSVVrg/LlNZhrGu2&#10;+BGtK5rY/EMcSaJWnLU4TxJ/5+8/Gn/mRhLuuoRSbpu1dTpfJN2yq3UErkyyI5uxpN3pRHi2Y0Wc&#10;VTDXRZ1xqvpTrH1jVmQDlsoXNQy+66KbHZCqa0UXHSJyfgmtnLzYxRJqkQrMmRp7uHj1NcfRZQAN&#10;a+iWnKLzsvRqza6xxgcj8tf7ebHpijPGfYJKUQ5OzNBauCimSvUCJRr00yqS2x5OAUicq9yHECG2&#10;HitYysvMNxpYJO0imfqeTppMrLuC1YJii5nf++lCc5ro6yOS4BsgfBXIhfKiflFO6MVyMsquCRez&#10;EEuoSvEqej4hKqUmg5TAJSBe1LkmLLLWaajPWpefmhBmx1pLxOVggJVY7vqIy1gTruRJ3WqD+8Gm&#10;W6kjdDsg1V9D7VNX0daERWZFOcrgVhDr66x5NVHjXcVsJ0NyMp28bvURO8Rp8RJztZXJdYTC6vj6&#10;YQdk6oqrmqKhpKwprDjGqV2YC/NTluXDj9n7c7+2gNfqzm//9UOZXfs6Ozv7LJpJv/7x6ybMepeb&#10;d0pKlpRTaOUnLmZc/ZqWOqPsF3dgBgyyvdxdGM3M78bProu1VB5OXO8TL+vNZkMaXT8G4wDLjkBu&#10;XjDR5JTBImkXafmnkS6vMTpLknWREo2ZOH//+Pr4vo3M7CCcnbGrks644opQNE7Xpa1cfqGf+6G8&#10;PlHcaEBZZHK2tFgLrlyBX+1LW6BG1bIBCNW6hkmq2UaKvADJrlnrWrCs1jpt67JLYr/vv5TrjVEp&#10;QuPov5z5fbt8/S+seXPXu60CEqwFVyqv3bLTOkKzTBb1uOEgamvBMmRFnFUw1zudcUj9ITlJ41oL&#10;rr4vYgx+0EXjDsj7vRWwDL5Vvfw5+2DDrBg5oo0WvLVtosdpAyPRbmsu2cd/dlS1wwiO/tzMJ+8f&#10;Y2FM8hSg1co14Yy4uilpk2Hb8fAnLmENgtFY1twuU/Q+tDzmIY60Pmy6SDtGq5WzT5TMnqut5Dqh&#10;bZpQUd0TjR8yphwN34rkf8G4X+4+8aFjkddPIeFjK27yKZaz034r4oKle+frg7bgv4qnbbBqEsvi&#10;1BxDKqkJp1kRy8qt07Qus5n7ffbxPfHkC4E9LlWcv3k7u7pyKw/WPad+wV0fYrYiLlgX17KcahLU&#10;TWshUDcwbhOLRDUgD2cVzHW+M46qPygni3CNVtTwRaTBD/oThJSra0UszFZ18fBVWEgmHskCr9KA&#10;7d3GXjbempFsyKKNY6rkqVvVaPm18fCo33oxP/jEdrUF2IbjF2M3tVWNB35TEVz5bwmWVCt2lhLz&#10;BhZJu0xfyz/qnObJgfuw5TX0SDLedAgurrnZ6XOgJPClL4Kya3FOKiJvIVOYYhTP6/aMv93aU3ER&#10;HZzf4GOwtLaqpc2RkPrC0NuC41vVSaupWKRi24raO/WEdbnpB68UZS1hwgJfCfCQ4G5lzDjUX7AB&#10;TOx0LduEnWVdHYHugBg1iXGay9yGFfkRmrQK+nrHR7XULy12xNoFBKfiEvkiocE3XXSJmtnZXxFL&#10;XHG8Lt72cG+3eOdve6pfnFj8NZsIxeoEeBb+d37LJG2d9mZA6Q2V8FZNSB+WZuMucr9kWTk9aar7&#10;y8Wi3rUL7+6YHXm46tiE03gRZ7Gg9/SnaES+btFpNZKJnbI0XpaJWPrtMkz8qDMsPmeLef8Ivqix&#10;Oa39qwZ5c9TMM398iCuW5Jft7ISefmSFzuuWRGKIccXvUI7ruAlcaIcrq9nHMi5+zpGQ+sUS9Erd&#10;wNMr0Tlu34o45UvrsunY9UZXCGUtJod9b9C/MhT9ni+JvD7WFJuwoiQB7Czr6gh0B8SoV69ro1jq&#10;FhpZb+x3xtXVH7Mh+yrL+l135YukBs+7aLYDMn5vFENOnwPhakpXLDZVk4C4kgVninE+6ArDk8NQ&#10;fj3tqG4UFeOnZImS8XpbrqBeLWvMn4mlTPCAaZkR644/3ZOH0RB2e/nKLGGdNEEiBOiRcaWS3z8B&#10;pRbAKzHqeuGEpoFF2i6CadyJJLEw/WPP6/4cT7AU2+zYVO2NZAHlLBOtoEeTSf0clBlsFbqZ+s0A&#10;ej0dlzLU0OvElTVweqI5O40liFq5DFohfJV3ncB9JfWGoICXRzZpRVEm2vHFxkfW5bOYS8gj1bhq&#10;l4JW04Bb4a4PAVuvFbUHRcJblistaLkZfscqDZexAzY6MhhPpq5YrxML6SlKKyCXiktrqb9G6PWT&#10;WBHXYasQZ8qi9Tpx8b6IM3jO6ihfVCGFiZDfi2CmuGj4HUcY3YQhAsWB7lq00xh/+ITu4T+7VZ0v&#10;F7tjOLStmq7w3Shzs+TCh/DlNGooBw4gqxG0vMtv2/NwiiaKFUD/iwABPiKNCp4hmsxZmVabz4kd&#10;RdCi7N2wH9lo8SHffjqJcWtO8WB0b6+cQ2li8IvBydRIU05CVcFobaJRncboNcUrlYNt4Y2mmwvA&#10;n+PkataNx/Z8mxvDQrxkE9Kl4nZOPnLqmF+4pM1YUf0lNvygDhoNcouAyXYKJCOYlrWg8QRoxF0f&#10;sYH1dbo45Sh7UIIl7gioW+DBtFxKSA456CzodCI668PSDRwrq8hBHrJeDMIpDpelwPML1GNf1The&#10;tsa++6IqAqNNIa/IEQqRqAm/B0xkCpYzk3/6cqXmVAJKYAIBs0d8cQtf5p9QxgllUVxkYyuWoT6g&#10;uNSKhgxGcfG4NHBc3ZS0BCWgBJSAElACSkAJnASBwc/xnAQTVVIJKAEloASUgBJQAkqAIKCBo5qF&#10;ElACSkAJKAEloASUgIiABo4iTJpICSgBJaAElIASUAJKQANHtQEloASUgBJQAkpACSgBEQENHEWY&#10;NJESUAJKQAkoASWgBJSABo5qA0pACSgBJaAElIASUAIiAho4ijBpIiWgBJSAElACSkAJKAENHNUG&#10;lMDWCZCHRG9dioOpUHGRTaVYhixYcakVDRmM4mrgKg4ngmf++FN1q7OQw8GRxEFX+WAbd2auPY+3&#10;PrgqywIPBGLO9auP6ssl12fmuKKro6rNNf4Ev+I87fqoJl4w+qDCcBgfc1ifE4494ZA+O8wlZ48V&#10;q4/kstyrKkQEYK4OxnTKGhasrBef+cQqnpNRJiQ6P+tgEsEGW+WwuGkKM0eCckeFkpXEMjhjro5d&#10;sxmmqrpbXKCvCnpg29qp0wgnHzq4CyymziAv7RSBTP2T99IwUGOhM2ere76/GuW2Q1yE02tKX3YW&#10;7oBK7Cn98ceHgIVwKazKnNdoWBqHK2eZ6onwoa3TS5nkuKVWxKjfCa+S+5cbEDyrujhJmzhY3Otc&#10;psvnTuLDmuPAgo9+zccmFwcoV6EKOqgRJSb1I00Dxb0hBV8RHUW30vsi0SG2EUKNKZ5enyGmoqPw&#10;tT0ytL2nIENllmtqur5GtmB0YuyAYBVmhLWFxd7rN/SknrcfmaKLdJOq9oxgAwKjSQZoYO56LQLV&#10;eOWstLCUKQehxop3i6uc4VFeh0dX+OqQ2aeH5+/KfXVqjh1gQbZKq+bEC7d4pVpYsiWRh3sXJ1iL&#10;we0WV2khzTlU2VkAdugbOctEaXoOZAdYKJFKlR0v19Swr7ArOsgKOFzSMlvIdotLZEWc+k1HxscX&#10;TQNKgWPs0LXbL0OGpAO12JSvvd7P7fJa/jE+hRQcxR4+Y6PkEM/e35u5qHc+yZxezUUQ2OJwKAfB&#10;jTGB9GFFwEeGau0WgRFny+MytHkXnblXwPuoLZEORjioO9ZVSClRnJxLChu65xH3974jY43Fr8bT&#10;6/mbEt/QLVd34vI4eb2SI7vffKvYkDBJyP4ybcVxp7ist8VcaifBIXURVOH+YFyFptLDaxfbx4Jb&#10;nlbN20QvcCTzNjCG8IGetspCx93i6nUQ2MsqX59ET2TpHosXAvYVC+XYSpW9/aBZFqMOYWk8LmGZ&#10;Dde7fSvCloF6QOVmXVpGfc4XpSzDDsjmjIFjbMB+IXbMQ3FdUBBMJelCSJ9Sr5qFKNDNzL0FdUtO&#10;gaPbWg/z1jirD4GjpCLYVML0OP5DXGD8VPvLInDkgi2OdtSz5SQK4FKNXEzDYUyIWMHYFemQtYFF&#10;2NCbiqw2X25WUObcNyZRGaLHirjrOSQIvYuWv3BotrT5vZ/M9R1Lrey+4GpQyULjRKn/wGdnonOP&#10;js0mmmAI28bi6qs2KdD8HM4kmBt5bCvm9rjdC9bAJcD1gGiPEno7xoXUo0d8l4ToLGiMQCEV31+L&#10;xuI9yLaxEJLIVG7vVwML4HAR18fd0R7gymNvOT0HfSvwgNbC+aJiIVLSl3Ijhpdjln9/+0Dt8qLc&#10;ecJ/Lx9+zN6fX39w4dnL95/LdPv89t+43vd0c3Z29nnRLsnfff3z4v7/9s05lfzlz+tsNlTy9WNo&#10;4qebdw9ZOlFFUAKJYIXEy4dvT26M/HoLlHEwLu483/L3cndh7prfzcwtjD5eoxQ87cUPVxXHjapr&#10;SCMOYyiYF0zS6DYNhWWooaUV7VO689tfoRe7hpd1kU0o4Gxh/gFbW+yOxPXZbPHP3UuIHqwKRv5K&#10;emP/v++/pDIXny++f3x9fD9d/j3AtXx4Z3uvd1LNH0Iau6fN4Zo6+qLYr9zFb5ev//2CvqJXh7+/&#10;ZSzLn9+N+slBs6oJhBfkxZbZsLrzN2+LEYgRYLe4oFBFB4G3Gp0FDY1uQHQ/xjL3FUvdOA2Vs5YC&#10;oyqSMLhmq5S5/U7X0LthRSZXrT7b6QQunRdj8K3q5c/ZB+vpYuR49w8ID00PBUGsiQzWNjAOlZwc&#10;hR3cfo5b3oQcPv6z44sN23H0FzYXjJcjfiZ5inNrWk3aE8QcytLCuAbBaCxDDT2kzr4kvn7My7mm&#10;i6DJzdZkNL7EWF4xSzG1c9fdneSVQud/+oGnhibAmH18H6ZMZlgzc6EJUVHBYNe4rEGG5fe2Q8Po&#10;rNj+F7r3y92nMI21I/vVlVuFtW5jmgFsE0uccIaWaajWtd9+Xoyxb3WycGCHuAAT1EFwQDmhszQt&#10;c/+wFLbB+QfCt3QXs3pmt64yt2lFvE6sFXFZuE7X71xNsHgDMS3hguVNmz1sNBVXwZ1iI72xl41X&#10;RCX7p2iflyrZ6xCfG4P+OosuqQiupgvTFzvOsARu9zlIC96qYZ4TaNMuX4yptwJW2arGw17GWG44&#10;RduCO5Gk4qkRG1iEDc1vvxzMHWOr9+GZiil7uKvpCd/RwgbL71b0t3uMteXseIcxGMnYXgiSbJe4&#10;gD9hNeCQQu9qGxpuxEZG0w1gO1YEH52qDc/dLV5bkW7Al3lNhI4JN61O9ADB9q2IxYU6CDXUoHHa&#10;PQkN3qQKpkM+Z2syll1vwKi2Y0XYclr+objHalINvQ1c0jIFjnUXuIBYrBXJrAU8M9x36S0accXx&#10;+ovfZ/7912/vmjAVOja/OLH4a/ZW4i+ulH1LG8K/88512unszQbOb7/6Xe+0BO9yhOXVuOk7XnLe&#10;nwgSyCrK4o6m7yka7i8XC7B/Hi5eP/pGfLqBq45N2kk8+LSAL26xoB8SmKJRhVFgBiQJO0+in0Zw&#10;ySOW8YYWct+PZIvPuYHfP4Jv4GxPPDPV//EhrgSCL9tx15FkqJfilYDhibBA5T3AFaU8f//R+Ef6&#10;gZo+OrvmYXH5Xd8ALvZHAQicZBdY2CWsqNqwFiYDzstiZKyuWAllBdgTXBM6iF8qi0OyU7C2wNIy&#10;9xmLyEjcUqpdCPJvEuZnX3q5G7gml5nq3IUVEQo3rEhkLWWnw4HXyOJujiqrGXCxNlTNqvFCGZ4A&#10;ur+o166Jp8GLlbHq7YpuyXENr5yclEL0KiojbEH6/oojnCOCZ6PLjOWqY4d26lnGuIDa7nHj4jVy&#10;KIBIozbGvmD1ojBcWiCWjCMWYUMLpoV7msTq7ppjN5/jqb4gGk2jXADw18PV+JZZfselWilyaZml&#10;AVTKWLvsFBfuoFYL9Nx57GY0Os51+tSooIG1IbB+uUUrKlb2OqNC5RBh+/N5aYzIBMm1TcEq9pat&#10;iFkILTsI3S3Kq2AES2qE+Sbsu8UYI1rx3TIWtudTIOoxgkhFDL0kLrjqLyJDirofuNpWRKvPdrqq&#10;Z464IvgdRxiMhGA3FpX7dbTRGOj4hO5ZPfv9iXwZdWmcmnjHsnAcKHOzZLCR5CQplK++X96qiLIY&#10;Pn2jpNINgqmDka+8yz8HgD9qmEoBdBghKgGK4BIIRBdGY+yawXzOfPk8mAh7Nzzy2DChsZhjX1Pj&#10;hhnpqStrVPbB2Fm469V3XIHspeBgRsTMvqapukNceD247iVWIRZdcYd4kMP3wGlUCg8ysRCxQblG&#10;yACw0rnyyucQ0w86L48xT18qWoVULW22a0WkYFUHkQWOceEtjLE4BkpDL9R9b7FwDYRAxJaq5gNk&#10;KmpATLaUimDLFHcAn3C7VsRFr+RiXL5Yq196KVRAw6V36JSB4yBMTa4ElMA4AfQ87nj2U8uhuOhx&#10;JHwNdOPmAJYyNl6XsIK8ACfMUDwEL841IeEOce0zlgkk9zCL+iLXKGfmv96zA3pfCSgBJaAETpeA&#10;eQDx4u7tc/m9sF0BWXw+u/l9/7r6W/sbUmBHuPYdy4Zoa7HbJzD4OZ7tC6g1KgEloASUwE4JuO9k&#10;XX6b9vGgNUvuP+Uy5QuYaxaEL24XuA4Ay9b4a0WbJqArjpsmrOUrASWgBJSAElACSuBICOiK45E0&#10;pKqhBJSAElACSkAJKIFNE9DAcdOEtXwloASUgBJQAkpACRwJAQ0cj6QhVQ0loASUgBJQAkpACWya&#10;gAaOmyas5SsBJaAElIASUAJK4EgIaOB4JA2paigBJaAElIASUAJKYNMEDiJwNB8aONvYhyA2Wvim&#10;m0/LP0QCy4fP6YD3Q5R/yzIrLhK4YhmyQ8WlVjRkMIqrhasIHM0XROPv82K2fHhYrM5aWIIN4Oqf&#10;kUJ/SuB4CNgednH3dHexuakQAyt3sDwJi9fQtIy8CApNTqKbK1c5tR/vAhdwgtYhZdHbc0yKb6AW&#10;bkVeh4klWwCnTt3IRcraMosEpGklXFONaLYLKzKjZxzQsNyilQqbqFT3aKyI7ClkK9OuBpsRyZOD&#10;3DXIxkizBSsS6iJwIG3GafBhfV13xM2H+lBHkgrOkMenAlVnQw8dGmRFwAe2b/oc1iHxNLESWIlA&#10;sO90+Po2rft5XnVmcz5ZPk84ykJeRF4Cnq3eypVKcse8DrsSfzqsybZdXK/39+YU6vAzEkS5wymw&#10;nBpZxULZ6vDgw8QCiMCDq+1JuAGJBQQNuntqcpnA/E2YFlu+tCfuxIrsYeWBC7KHjhVlszMDdxPm&#10;4VoR2VOoVqbtoYw3XISDeyUDuWuQLYvaghWRYhMXJU1PeHvQVXNnpn2doGuls6qp8zW9xx742UJW&#10;GQwnDjADEmpSJbA7AmFsDf0KhSibFoqY0WUHZH1KcL7kRRA3Pj8njwB6K5ULXrPlj3uGneB6fc0u&#10;D8SNDgFSqRrBYIgJAupC7wPF4rWtmxHgMjez8+82eJXglTQtrnx5f9mJFbVauWFFTivrHp7RSFrD&#10;PGArAqInvahWpu2BaHeSZ3Wxa5Bti9qSFQl0kTQ9uX5XX2z5uk4Hi1vVi3/uXmbzD9dohfL89vH2&#10;3F+BG8lpCR1tbNsUF6aQp5uzuBCaMuU9LbwX3loPXXyO9bhi7B/hH7FYdD/scodrTEqkh0+aCsda&#10;Bon90vHCbTqAS66yKUp1F4A1wTETuP5yf/X07eHV63h+e4v72+ZUXz58e7IdE25/LX48XX18H/r3&#10;xeXVyx8jF3kRyHV+fR1yGPnfvJ29fWP/pHIt//4G+Uz5s99/l2Ma7gTX+XlScPnz+ywR6oh+/WH+&#10;cvfJPrpqYMyfH13LWuzz+cyCj+gPFQujzizhWnw25wB6tUnFMT+CDG1adPkjdrQLK1qhlZcP/8y+&#10;3F4ADY/MiqieQrUybQ8jLd9mOFbSLqyIlFBgWpS3d76oHAIm+jonlw8sO6u4eG0h72/FCWZcO0FR&#10;fYqM82JmXnw2NYJV0rx0egVgudJdZvOb34d/hHXpJFItW8xSpnRlgc2QKzevc4XHmsJdL3GqESyE&#10;T1BKPjfWlKdAwHaSCfu260BjqyZ30PKuMNxT7mwApBUmnC7+hfYwpu8l7A5Xud7YXHHMrqpYdZs/&#10;JzfmWv1wsTjvXqqTFiKjG00Lk2TKYMV8UWllE+5cObudsGSd+8y2rajVyq0Vx7jFWAxVFfbDtaIU&#10;blTt2WhltJhdekLZKh1jukNudfNWJNBF3PTQ2yc1yYvOK42NSVzgmIOvcocJh074Lggc0UgRgftS&#10;+c1smAksrKZiYWBKIc7XqJR0h40pgcY+eLUgi/FuklJDpqmJT4BAMLVVHuqYTCmNSGS0R4eAZGVo&#10;EkiHm0WXmqrvjnARvrQ15LstxvncOjjq4Tawy3ugWLBtoDWCYu2hkzI9vAqjyPxcqbtd24qjNja4&#10;IbvdthXxrcxbUR7zcuDIwTxQKwrrVLin5IYiW5m0BzQpqO0CQe4apNidbtqKBIFjXkwLi2wNv5rN&#10;CGhIXByOG/8LW9V212nm9qrC7/z2V3R1cfvBbMLYd65vnnISU59b/axeAJvNXv+85MVDu1Flf6bU&#10;Rha8Mnv9mCsm12yxwFi2MoNVDa/xkkWiJvgVt+lz0pWVYhTRyydG4K2ZlDzPbjb2jSke5/nt17nb&#10;M3ZdHv3MtjN5kSps+fDpz9fYQblc1omEgcJGll8mb8zvAtfIPrUhZB5q+TT78vho3ebL3UX9AnDe&#10;rD9oLNEYqmcPzm//vb96+f6zehyh+5RCkQCZVrY9tnyx69iuFU1oZfOQgx9O7YcX3ENflYM4Aitq&#10;9hSilRl7EDd7lbBrkM2it2tFpChy00reHpZTXxz0dbaw+IyjefBgNjOPX8FuH8M97xaNNf/4YIaB&#10;sKAcA0G/RfNUjYE2M4xEw9NQNnbkskw0BUa2qjQ7vCGJ6vqefrS//rM9pSay0Gx7TSA/t2vEtI8V&#10;EuPsFhTwDybGxxpdhWZKdHVpHqwiL1YiLT5/mv0L5nXtXMbz373Mv9bzsJ6qu8Q16EtN8jhRvn40&#10;LtLG5rXD8eDD79CwdNQBz7yKUmJXnMiUpgVsJD9T2zMcdH+XVmRHTrnxXz+mdaGwKmQWL47MimZU&#10;T0FhTXpy2l1t2IPcCroG2S9qt1ZEyic0LeR0YkHYEw08y50kwY+BoM2AvKRZb/ya93HAU4pxpROm&#10;A4vOYHssPdhILo7iJWW0L+8WAws53KY3KRuZ0se8aVUxyJ/y+1Xo/DoksVUNnwUVKyVeBteEx04g&#10;bES4t6o3/7wMSRN+pwE9dSL8HE+xkRg318iirADMMzWilt4hLnrvprFVDZozeyTnUjzYIutBYuHV&#10;iXvV+aF3TvHQ8HRRaE+yfAmU3HYT2NEOrYhu5fYDD3mNvg/zIK2I7CllxJwowCeGmT1ZyfZu23T3&#10;x4okujhpZU0v+irP+D61qT99jsezg8uJNraEX5VAUa/7vFp+k6VIB77s5XLFRxCoLLHR4D34yELx&#10;LIcvLckJ/x0FvPJPGtUpsYIxMAQSgrpiTIrkR4gkSgksUpOcEoFWD9gch8Kuc0XxBnpGqL6YJ4Gl&#10;g4DzMN/pUlGhmBUeS8NP80x9RHIKVsKXEgzB3NhUkhPgT9EGt4TCgJWe1tsdFjBAECMDbqBkKWCm&#10;jp5SLBPQpgWuTjaAHXQ6zvi7VgQCa6BvBfOQOxfRU6hWZlwN1+nAqxO0u6sNcswzbNyKSLHri3TT&#10;AyzCckDgNcFHn9ngUX9KQAlsj4A5/ezn+/Slq+3Ve6A1KS5mp0qtaMCi1YrUigbMhUmqVhTAaOC4&#10;ujFpCUpACSgBJaAElIASOAkCxVnVJ6GzKqkElIASUAJKQAkoASUwgYAGjhOgaRYloASUgBJQAkpA&#10;CZwiAQ0cT7HVVWcloASUgBJQAkpACUwgoIHjBGiaRQkoASWgBJSAElACp0hAA8dTbHXVWQkoASWg&#10;BJSAElACEwho4DgBmmZRAkpACSgBJaAElMApEtDA8RRbXXVWAkpACSgBJaAElMAEAho4ToCmWZTA&#10;agTQyaerFXUKuRUX2cqKZcj4FZda0ZDBKK4GrrFjd44idX2IYeLTOusQnAAlLCGd4lgcllVml5yl&#10;hfL4g7vv71/rw+OiKmWZIL8/a9Ecl4zPLiuMRIjCSUAXDowFSR9LjmdAcQceYUzhsHIicT4bGJvn&#10;blXmugo8Satz1FNOypzm5puMMh8uKzhUlCuTtkbC5F1CeL1QZ0BT3q8MFFKcUUbqkcSl0ZcmyWKE&#10;AlOJGlhi1p75N32tHMuwJYB62VqYQiVS0efB4dNuycaxGSecjZaccPRvEzsd1RyFSALUdIcVWIvr&#10;aNQpt1ORoONzjVgTsHA+AaISqLa2TleqBH1jp+OLAhuJeYeCJL6o796RC+M6Dim60FoGNCqqKc6q&#10;FvE79EQWqm+SyC39VfbM4oDZOEYLSsDDQz2IRTOQBI1YzCR3eSpwiiCqssFBlmmsd7kFipSFyQvH&#10;dkKOk6YwGkBIDbxZfQX1UTJQLghtW+W6o1glrBTPcyMvbpUyMe968B3C4bMTE65MgZsrkhTxqr9b&#10;n9HsW8XLI7H0AsIALhx50ONgBk6grzoZiom5AB0E4kRMUGPxCtZ1DflUOZZhS6iiRqIFGWvxl9st&#10;DiwBJg9AWnk5lAJwclzt1qR7KBXMFdbS7bDQKlozGnxvBSTRCFfzRW2fAHHJOwJrsXVxaaWDOtTb&#10;3URtk7x/L0amTWrAiiS+aNAVcx2Hl7V0gWt20acZOLrVttqBh2W46D5QN40GHcyvU0Jsz9QNqlFT&#10;HDgyCc3lIB8VUSFpiYHb5JEpskrhhVETLFz8VP84NnAa1SFcxyq7UJkcaqzKUfHnOTPRzxF1GWSw&#10;sXaqLBVaEOfK5OvK8uPlbdtDUMtVXslXjQfV4cjRlSrC5YLTXvmuuCBSYR/UwMZhhI3aQUeOlyuO&#10;92FUEmEZtYRCNbIFG1bUbXFkFYBD11piJ5iyvCa3IklHAL3MBy7JCyPLAhMlgWX2Akda/dUMaXUs&#10;HZ/QDRzX3+kY1I2OL5h3gMYRdTqJLxp1xVzHIcUXWku30zXZnGLgCIZDN0kuFkNw0JUS05fLYR3D&#10;NpHofG5H0Hq9RRo48hX4fiuRNgUQebSPMXLlB8nV8cJfozolhYdaCouuZCiSEYFAFWhxhCVSkWjX&#10;xbPdpa+6UU5ppMTChmAUbc/06wKEY1EZN4apFigPY0yDlNhPo3ndVR9Xbm92PQE5yiFPXKtH6EEP&#10;g+VCrKioDqXUjfpYOCvqXy8cC9mCSGVJi1MZbC/v5LVzvivnRgUmX8FbK65YekskbAkCy0R+j+yU&#10;pPrCzspY07qxVD6hEzh2pe8mMBWIUPMdf8AdDeCSt7itX+SiuY5D+yGZtUg6LA9IA8cqquNCNTKQ&#10;bwaOPjIKSZjgq7NM0g5Mk93VgSmWNv6FFvCRVZAVyVD0C481pS4Fp26lcZKcGQtuEO5LtRWVy5mE&#10;n0ZQUwlaRS9kshLglCSluNzVUFSUWUweegt3ztcViQjvh/hPGvHxA5RNsSRYWOeLJaVEpTHWI2Mp&#10;Y42lX5dgMIPa9lvLFzhmCShuRytrZcjZ3SasKaHt7IC7YS3O2oLKUwJH9MiBDBfXQUDY2BAJoZZY&#10;ZjNw5NXnQg6BBdkk41bUwlL7hHbg2O8Iw52OQ812fCEon0yMa6DFY9hYW2WBOtCCz3LQLnXIWlZx&#10;0Ro4lmM4Cm4Ir4cbjAutvK/2DR3SYKcnW3FkhSFDsaa0RU+lxzgcgMpRdAovRxtTzb1/O4f4xbIE&#10;g0STcPmkSfWQHdV2G1C5VBGyao9jhK96fQ3Q8r0GJ1cVroPzf2K/SMWNzLR5bOrNuHERLgEWHHqA&#10;v6BTRg46CURghMLy6KqhvV+XdDATYSn6ncwSGNXIB3dY58ksDkL9AzZqTgTqCgHJKoEj8MGCGVu/&#10;I3REwtYisEwQjlbTvFZdKwaOa8XSjhtr/9DvCOOdjkHNdnxpV6tHr+a8X9ziI6641XGQfGABX/JE&#10;7GQXrYHj8Ioj8XAX+eR/foCPihxlgWP/MXouciWvo8kQZVeFIusqHHTRbiicVM7ylXO42AJtwvVE&#10;sZikkdptQOVGcCzYfEsRArlz33RhNisZmnJltuqCYVRVKDGG2Uv+2fuhFdbmXEKAKw+HzeW/HLXg&#10;cYWKHFmM1EQNAS+x9OsaGsxy8NibZA1bQsTYasGyZUUtXvZl8KB2XZdJjJ8c7OnZxCfH1TDarkhN&#10;a/EiMNPFqhN16lpD4IiDxy5dti934sYqcOx3hOmdLthARo04ldOVoQ43iIv3RUQsSu7hAGNhOk4u&#10;adxaRB2WAaTfcUxbh/EfF5d+O/H33yW8t/z722/0Xl5UWagLix9PTzdn7nfz5BK8fP+JSpQUE4V5&#10;+rGgk0ukXT48+Nznt7+MHYTu//LntSfBBgo/f/O2U2usNMtnxY79xjq3x2tXRIvwPqlM6hu3urpG&#10;cf0YGqywR1vq9WMeDMtalg/vbn7fvwZW+C5XZquuWIKhPv/gG6DxW3y2Rv/2zbmRMcjPmnCvLHtf&#10;jIvHEu0KVGf7MjbIKlELIxRcgq5XlwQETiPCMsUSTO/qtiBWuZ8euKDkheZfb8/ZupY/v7+83F1Y&#10;F3px92Kzm7/ePQw70cRMhMtbENPpOiL1rKXVYavWX7v6nH2tjEXmE0D1W+h0GTXT8cd7W8ghxtVz&#10;0S1LqyzQj91FxwE6DFuLsMMymDRwrMCc335180I8pNt2cSOY83T93+LvJdiJ9eN7N0gw3vozDhCj&#10;MLNq2A2hkUza79+Au71+LGcvnDobLbxXaa0yztEhvI8qo+Y9v/3XvXrc/11/sQltFEb9yDBu+fDp&#10;+8fXX95WUxQNsnNltuty0bogbvSzrDjHuv4QVx37usIUE3H5IiopiSmLQ+rHFTSNSpPDLkYobg+d&#10;SduqS8xmDEtXBVpsWQvmvLL0UUcbYJmJxfzZzWvG8oo5hYRjuFLpgtYsJemiZixzVKO1pF8jFplP&#10;QFJvqdM5J8B1/CGME3FJWnzEFeOOM6RBkXjVTje8VHtMGbh9ybS+FdeP2Uds6BLyqnGkBRfM3DVi&#10;q9peonYLYh34yR/iFVZOWvJpoqKmySgkhVN7eu3H+4I49XZ13rpi3jbylyVSbU1luMvr96nydxxp&#10;DHgXyioT0hVbqWmzHutbrkM6JlyZbF3Urg69J1V3D5S3uUHX8Cdpu6qHKy6iV88wYBXcX45F/lex&#10;neREjZZFYoSmxaLzSlFeA7BAdQ24VTmW6jFfr5qoxZkWFOWF32WsrIjodn1rYR1wn5sYl0y1VGEp&#10;Em0tsg7LWUsxfFDPmXb3lxlCq2OJBZc+ofYbIx1heqfjUMPujjt+33jGXbfEFw27YrDUiJ50oDfe&#10;KdzrdtGn+4xjaaDVCF4sy9UdlCkhX6YHoKv7Z36liQunCmHqZC1pw3dvgLw4/0ooeoWjzolr6rzi&#10;WK6LphboE37tSbU9lbFzwjrxAJB80PQYgsAvlKrZ1Tf0uXs39cSzkDwbrecjRe2FzGUj5YLRnU5T&#10;cx5ciqv4cnP5wgXxuCwzb+KjxoQRumC2mXgsMJibOugLsQxbQjG6kC3IqlycQ0XMYmN5lNoda1kh&#10;cCzPxxrvdHTl6CqLWmSZLWuhpiDd9KKISGhFWANyGCTfukIzeNLB9Py43zkAZwjAeU8oUeAb0ULN&#10;xO87gKWesIhIfYDYY++7aBYp07nYjiOwTOJ4uMRsBRd9ZhRdZcFT8yoBJTBMwGx8zB7Jxw+HizqF&#10;DIqLbGXFMmT8ikutaMhgFBePSwPH1U1JS1ACSkAJKAEloASUwEkQ0JdjTqKZVUkloASUgBJQAkpA&#10;CaxOQAPH1RlqCUpACSgBJaAElIASOAkCGjieRDOrkkpACSgBJaAElIASWJ2APuO4OkMtQQkogZUI&#10;nP3fGcz/3//qG3sr8TzNzGpFp9nuqvX2CeiK4/aZa41KQAmwBDRqVONYnYBa0eoMtQQlwBHQwFFt&#10;QwkogX0hoOP9vrTEIcuhVnTIraeyHwABDRwPoJFURCVwCgR0vD+FVt60jmpFmyas5SsBDRzVBpTA&#10;1glUZ5JvXYK9q7A13isusrkUS4VFrWi4Y6sVDSFTXB6X6HAicSLyJLd8cf5cHZaUG80chFMfMlee&#10;zkcebpTK4E/za58z1TtGLVQgOzctHQKaqUEs9FlvPTLEkVZeqCwTgGfrCIfuwabj4EO9BBWFInuN&#10;VdMqD1Qi6yKOx4tqQkMSyEkDaVtgeRJtMq1Smz7txhmxsdSpR86J+6MsIUTSEImx4nTsOrJGfEaX&#10;rOdQ0nKVyjTbRipolaz5QDZkhkFJd4ilZS3pHm9GnPaj1jUEbE9xUTpYhJEe4avycexo5ByigQ5g&#10;3oIvKnx1eSAoOv/UyiawIjKNxI9BvKPQtmBFXItLVCtOOyS7IGddwyPRmgNHcFQjFuV5ns+cxKFB&#10;+itkqM9ljFfo0YdPXx4VTcLxxsCf/SwqBFpgr8CithTfWT1kZJKwIER1FIozKFnLsRq39KqAE7Gw&#10;V5k4RDObeFE/eQMdthk7ZsgY/qQNCdY+BKTPOWlVHLebrURMu3RNViWrj+sOuJRRL7b29B4350Gg&#10;WftGg4fIun8jywdpuB7R12CfceEOEIdfalxHMzxuEO3DyCn2AQthLdmeWcsux0WMq7Ko0BNr6xqh&#10;5exy152u3blw07bOS4cjRI1rP7Fgk0dBsfuD8KbEdahb09JaqKXNQIDcjhXV6yH1qs6oi+asy1+f&#10;iGT7W9Vv779c12vD11/u3w6tGDcSn7/BRV0/en/1cvfpYYnzLR++PdkrTz8WRYEDhcCcfIGz2dv5&#10;3Iphart5VwpiLw+TuX6Mdrb8+f3FFPDm3MtyfvurtsBwSw4n65UrkrTRx3uHe/by/SfAvfw5++iv&#10;sz9jBERGSZUhjQxIh/Pi88WdgWm6ZzxM+vz2XydYbDc57UL2xQ9jbZJWGtB5O0mXf3+biq4uL5x5&#10;vf9ocLg+41H469cfbOj59M3aNnd9SNr9x7X45/tHM/TlGVRwJIu/l+5y+JnOOP9gvZ5xDzMbY0d/&#10;TTiePqE9xbL4x3Sbq4/vjQ9yBvJy90/pVDlco9bVZwRS7CkuSofF5xs3HIUfa0VMZ9xLLNnkfWf4&#10;desGKc5aBFbE5u3pX+DtJUf3t2NFXItLROU6UTYnbF2SMvk02w4cz28fveGUP/bGavr53H6ks6Ej&#10;9mXLn3/e+mCujhxrCZlCYMJ2gZdfYjz3cnfxufCqg2QWD3Z8vn6MwY1T4ubsLBYrj8Q5ONF7ERV1&#10;2uQNQcrEjW/er6MtuTKkQDqcY+TvR8D4S4xALDyNtmuld99sGGZ+14/Bj26SzPrKjlOv1z8mWnSh&#10;kPtX/F1cuvnZn1f++rgse40rtd/57Ve/YOtD6+tb6OXMoOPjRjujCx3WR9kx/RFg8eMW+v3+W8zT&#10;OVw+l9y6jgAXoYKJa35fwak1Z0Ucrn3EYmeQ1lOaH1wt4axFYkWSNBK8e4ir3eISgetOFHJV1iUp&#10;jU+z7cBxNWkn507rh8iXmTDv8suj9/h+oaT5owuBWfoFxtVPdtlRpqIJb77DlHHc8sGj66LySLyl&#10;V1mRTLwYZ+V4fPHPnzfEQjMuzs02zW/+lZ5cNCpfG5AYCaV1QV9pZORWUSfTTkuqL8aZljMHGdod&#10;pYoqmxmPsa+bJ7Aea4d8GyumX+5j3HWhEoeHC083ostOcWPW2y9+zJ+nzBv2EwuaQnhFcfMTjR5x&#10;TbOu47IiYxGz538/skrl2UfyP3Rn3CssfuchmIP1HcHrcdYisSJJmgpCD2+P2g46HWjxnnRuiApz&#10;V9IqVlW/EuBEAseZXwzBvswEMx9MhBLm/nhjlWwpqhCYUFRg3kYmlh0lBmJjQ7eZin7Xj+FpBacl&#10;6KKCIjm9yIoE5WUjjpHj4sfML7kwv2js5rZ5pgOuokqqWyMQYjZLSTCVtmn81ExwxVKi5Y7TGJWJ&#10;J7dD50EL9jbm5q6PKXFAuNxWFjnjqfz/8uGdCb0tiYmzh33EQnacaskxNX+Ja8y6js+K3MDe8nvY&#10;imhc+4jl/b/4YWD/uA9nLRIrkqQpSXTx9tFtvdMNxo1GA9Yq1qB+CehUAseod9hKsn+mYEYeOYZS&#10;QCGQp7hAuOz4Ca0c9u3Xh1bEEO7sBt5gnqRsVFHqxVUkkTJA9Su55tEN6sHWXA543nc0alwvkPLR&#10;1krVtBI5mbbNGJ9AHW8jCfuNpFl8PruwD/R50dOkJ9iyW+j205nwwKN/sLi6PizbYeCygdCcHPlr&#10;/2+HoGgBE0NH39n3yYrIjlMs2+e2r3ANWtdxWZGZSXy7TE9Uk7oVVsTg2j8s5+f5sftgsHYdmrMW&#10;iRVJ0iAQArxCcNvsdONx44y2ivWpDymdSuBY70CahgnPXoTpf/EyB2FLzDZmSDlSIFh2fKkeDRJY&#10;sVmWRpsay4cH/8ikG5TiiNLdKgo1NfQqKxLIFpKAN10e/s7gA4PyMuQp1wYkrr4WiyVxmuuiotVo&#10;e6Xi95cEC91yCptL6bdW3VpiXNqOq4ze5JLVpVU37vokIfcal3HNN7/zu1RIQc7/J4z8qpwA1B5h&#10;iR0HSM1MsGtcE6xLAKdOske4gHB2O9dvucSdJPMXfn0SW1ED135jyS8vctYisSJJmjG8Y9S2YkXj&#10;cSNjFQLrGlPfp95A4BjaFUUty78z/9T4+n4jH+JMbzzkN7rx+0thGQW9BlyKShQCk4wWmJcdJzGJ&#10;j9H6d0Jms+/wGc2hsjt6lRWJpc0v3XyfFjeOGdKagKQnRYpXwv2jOjEqmkgb2Wx8V1sMdIcJ0Rt7&#10;cR8ayWOjAffUXrFizF2XKHMYuJYPn8xKbHhYMc0pgn4t/++nVuyqHEtoP7EQC0GkagSu6dZ1PFbU&#10;1ARbUR/XXmNx74lx1iKxIkkaCYGhNFvudONx43qsQs5k6NNPssTVx/3MBf5r0NyXlfPuJfEdR/Ad&#10;y/53HMkUzEcGi08h5k9qEV8sBDTM3X6Bc/vRKvyLH4dCV+MOFEcGXLff+bCf9wjS4U+rir7jSOlF&#10;AI8VFfKT33G89x8cSWtQLNMsOP1pqp4hNeSUAOE4c99xLPUQ0CaaO3yULj4GQH+cVNbR1poKfVHT&#10;lQwZIp7lhxk5kCxgoeA2/77iwiae/W351VH0iVj8zbT8RVEhD9Crdo2lthb4PT74ZT7cE8uvhHlc&#10;k6xLCm0frKjdubImFFa3gYTcRBPXfmEJ7Z2/10k4Tcl3HLEV5Rw4L/BarcGP+xBiC912rYgebldw&#10;0dChI/Vpi+sb0QY+AA5aL/jTqqFK91F+aTn6Yf4kGLv6Uz/qx6aHEuTKy49g+2pFhUCy/QLv3XNh&#10;7ldHgyie5Mhwn2UMH2wOnxEHqaiAJAZaxbQCNU+nIqB3WRrmlr9UCyNbULOpFdfVjHNj06TQe0Ug&#10;HOekX6Fd0dlcm3Vok50PF7snUWNlF2g4R1/sLcyYm061p1l9txRT7CWuLD5hhKhJK/+PMkwZv3zd&#10;O8XCWAsWrJr2+y9wVwsaOI4QWpfcfvYXFz1gk1epKAI1wkQ3shUrwm2OJU0CMIsu4DSCCgyVt2WZ&#10;bOQkNqat4PLS1C0+3UXXIzbp0H3kU61ssXTOzB358qSmVAJKYA0EzMbHDH2Ccw1lHnERiotsXMUy&#10;ZPOKS61oyGAUF49LA8fVTUlLUAJKQAkoASWgBJTASRDYwMsxJ8FNlVQCSkAJKAEloASUwMkR0MDx&#10;5JpcFVYCSkAJKAEloASUwDQCZ9OyaS4loASUgBJQAkpACSiBoydQvAyjK45H3+KqoBJQAkpACSgB&#10;JaAE1kNAX45ZD0ctRQkoASWgBJSAElACR09AVxyPvolVQSWgBJSAElACSkAJrIeABo7r4ailKAEl&#10;oASUgBJQAkrg6Alo4Hj0TawKKgEloASUgBJQAkpgPQT+H99110Ksezq4AAAAAElFTkSuQmCCUEsB&#10;Ai0AFAAGAAgAAAAhALGCZ7YKAQAAEwIAABMAAAAAAAAAAAAAAAAAAAAAAFtDb250ZW50X1R5cGVz&#10;XS54bWxQSwECLQAUAAYACAAAACEAOP0h/9YAAACUAQAACwAAAAAAAAAAAAAAAAA7AQAAX3JlbHMv&#10;LnJlbHNQSwECLQAUAAYACAAAACEA7EO5I98DAAC7CAAADgAAAAAAAAAAAAAAAAA6AgAAZHJzL2Uy&#10;b0RvYy54bWxQSwECLQAUAAYACAAAACEAqiYOvrwAAAAhAQAAGQAAAAAAAAAAAAAAAABFBgAAZHJz&#10;L19yZWxzL2Uyb0RvYy54bWwucmVsc1BLAQItABQABgAIAAAAIQCZqHmn4AAAAAgBAAAPAAAAAAAA&#10;AAAAAAAAADgHAABkcnMvZG93bnJldi54bWxQSwECLQAKAAAAAAAAACEAskYF/d5uAADebgAAFAAA&#10;AAAAAAAAAAAAAABFCAAAZHJzL21lZGlhL2ltYWdlMS5wbmdQSwUGAAAAAAYABgB8AQAAVXcAAAAA&#10;">
                <v:shapetype id="_x0000_t202" coordsize="21600,21600" o:spt="202" path="m,l,21600r21600,l21600,xe">
                  <v:stroke joinstyle="miter"/>
                  <v:path gradientshapeok="t" o:connecttype="rect"/>
                </v:shapetype>
                <v:shape id="Cuadro de texto 5" o:spid="_x0000_s1027" type="#_x0000_t202" style="position:absolute;top:-821;width:62401;height:3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6xOsIA&#10;AADaAAAADwAAAGRycy9kb3ducmV2LnhtbESPT4vCMBTE7wt+h/AEL4umCsp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3rE6wgAAANoAAAAPAAAAAAAAAAAAAAAAAJgCAABkcnMvZG93&#10;bnJldi54bWxQSwUGAAAAAAQABAD1AAAAhwMAAAAA&#10;" stroked="f">
                  <v:textbox inset="0,0,0,0">
                    <w:txbxContent>
                      <w:p w14:paraId="359D6BA3" w14:textId="77777777" w:rsidR="0050552F" w:rsidRPr="00D600D7" w:rsidRDefault="0050552F" w:rsidP="00BE102B">
                        <w:pPr>
                          <w:pStyle w:val="TtulodeTDC"/>
                          <w:rPr>
                            <w:i w:val="0"/>
                          </w:rPr>
                        </w:pPr>
                        <w:bookmarkStart w:id="68" w:name="_Toc446973216"/>
                        <w:r w:rsidRPr="00D600D7">
                          <w:rPr>
                            <w:i w:val="0"/>
                          </w:rPr>
                          <w:t xml:space="preserve">Tabla </w:t>
                        </w:r>
                        <w:r w:rsidRPr="00D600D7">
                          <w:rPr>
                            <w:i w:val="0"/>
                          </w:rPr>
                          <w:fldChar w:fldCharType="begin"/>
                        </w:r>
                        <w:r w:rsidRPr="00D600D7">
                          <w:rPr>
                            <w:i w:val="0"/>
                          </w:rPr>
                          <w:instrText xml:space="preserve"> SEQ Tabla \* ARABIC </w:instrText>
                        </w:r>
                        <w:r w:rsidRPr="00D600D7">
                          <w:rPr>
                            <w:i w:val="0"/>
                          </w:rPr>
                          <w:fldChar w:fldCharType="separate"/>
                        </w:r>
                        <w:r w:rsidR="00B828B8">
                          <w:rPr>
                            <w:i w:val="0"/>
                            <w:noProof/>
                          </w:rPr>
                          <w:t>18</w:t>
                        </w:r>
                        <w:r w:rsidRPr="00D600D7">
                          <w:rPr>
                            <w:i w:val="0"/>
                            <w:noProof/>
                          </w:rPr>
                          <w:fldChar w:fldCharType="end"/>
                        </w:r>
                        <w:r w:rsidRPr="00D600D7">
                          <w:rPr>
                            <w:i w:val="0"/>
                          </w:rPr>
                          <w:t>: Estado de Resultados simplificado de la Empresa Quinoa Foods 2012-2014</w:t>
                        </w:r>
                        <w:bookmarkEnd w:id="68"/>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 o:spid="_x0000_s1028" type="#_x0000_t75" style="position:absolute;left:285;top:3765;width:62370;height:172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Q1TjAAAAA2gAAAA8AAABkcnMvZG93bnJldi54bWxET89rwjAUvg/8H8ITvM3UoXXrjKUIBWGn&#10;qQePj+YtLW1eapPZ+t8vB2HHj+/3Lp9sJ+40+MaxgtUyAUFcOd2wUXA5l6/vIHxA1tg5JgUP8pDv&#10;Zy87zLQb+Zvup2BEDGGfoYI6hD6T0lc1WfRL1xNH7scNFkOEg5F6wDGG206+JUkqLTYcG2rs6VBT&#10;1Z5+rYK23wZ3azfXIi0PqTHT19p+bJVazKfiE0SgKfyLn+6jVhC3xivxBsj9H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VDVOMAAAADaAAAADwAAAAAAAAAAAAAAAACfAgAA&#10;ZHJzL2Rvd25yZXYueG1sUEsFBgAAAAAEAAQA9wAAAIwDAAAAAA==&#10;">
                  <v:imagedata r:id="rId18" o:title=""/>
                  <v:path arrowok="t"/>
                </v:shape>
                <w10:wrap type="square" anchorx="margin"/>
              </v:group>
            </w:pict>
          </mc:Fallback>
        </mc:AlternateContent>
      </w:r>
      <w:r w:rsidR="00F87368" w:rsidRPr="0063286C">
        <w:rPr>
          <w:sz w:val="18"/>
          <w:szCs w:val="18"/>
        </w:rPr>
        <w:t>*El Estado de Resultados a d</w:t>
      </w:r>
      <w:r w:rsidR="005F07B4">
        <w:rPr>
          <w:sz w:val="18"/>
          <w:szCs w:val="18"/>
        </w:rPr>
        <w:t>etalle se incluye en el Anexo 1</w:t>
      </w:r>
    </w:p>
    <w:p w14:paraId="6930DCFF" w14:textId="720D998F" w:rsidR="005A1309" w:rsidRDefault="0053747B" w:rsidP="00ED1E4D">
      <w:pPr>
        <w:spacing w:line="276" w:lineRule="auto"/>
        <w:contextualSpacing/>
        <w:jc w:val="left"/>
        <w:rPr>
          <w:sz w:val="18"/>
          <w:szCs w:val="18"/>
        </w:rPr>
      </w:pPr>
      <w:r w:rsidRPr="005F07B4">
        <w:rPr>
          <w:noProof/>
          <w:sz w:val="18"/>
          <w:szCs w:val="18"/>
          <w:lang w:eastAsia="es-EC"/>
        </w:rPr>
        <mc:AlternateContent>
          <mc:Choice Requires="wps">
            <w:drawing>
              <wp:anchor distT="0" distB="0" distL="114300" distR="114300" simplePos="0" relativeHeight="251656192" behindDoc="0" locked="0" layoutInCell="1" allowOverlap="1" wp14:anchorId="7147C97C" wp14:editId="4F994BC7">
                <wp:simplePos x="0" y="0"/>
                <wp:positionH relativeFrom="column">
                  <wp:posOffset>-32385</wp:posOffset>
                </wp:positionH>
                <wp:positionV relativeFrom="paragraph">
                  <wp:posOffset>324485</wp:posOffset>
                </wp:positionV>
                <wp:extent cx="6215380" cy="466725"/>
                <wp:effectExtent l="0" t="0" r="0" b="9525"/>
                <wp:wrapSquare wrapText="bothSides"/>
                <wp:docPr id="13" name="Cuadro de texto 13"/>
                <wp:cNvGraphicFramePr/>
                <a:graphic xmlns:a="http://schemas.openxmlformats.org/drawingml/2006/main">
                  <a:graphicData uri="http://schemas.microsoft.com/office/word/2010/wordprocessingShape">
                    <wps:wsp>
                      <wps:cNvSpPr txBox="1"/>
                      <wps:spPr>
                        <a:xfrm>
                          <a:off x="0" y="0"/>
                          <a:ext cx="6215380" cy="466725"/>
                        </a:xfrm>
                        <a:prstGeom prst="rect">
                          <a:avLst/>
                        </a:prstGeom>
                        <a:solidFill>
                          <a:prstClr val="white"/>
                        </a:solidFill>
                        <a:ln>
                          <a:noFill/>
                        </a:ln>
                        <a:effectLst/>
                      </wps:spPr>
                      <wps:txbx>
                        <w:txbxContent>
                          <w:p w14:paraId="23A230F2" w14:textId="77777777" w:rsidR="0050552F" w:rsidRPr="00D600D7" w:rsidRDefault="0050552F" w:rsidP="00BE102B">
                            <w:pPr>
                              <w:pStyle w:val="TtulodeTDC"/>
                              <w:rPr>
                                <w:i w:val="0"/>
                              </w:rPr>
                            </w:pPr>
                            <w:bookmarkStart w:id="69" w:name="_Toc446973217"/>
                            <w:r w:rsidRPr="00D600D7">
                              <w:rPr>
                                <w:i w:val="0"/>
                              </w:rPr>
                              <w:t xml:space="preserve">Tabla </w:t>
                            </w:r>
                            <w:r w:rsidRPr="00D600D7">
                              <w:rPr>
                                <w:i w:val="0"/>
                              </w:rPr>
                              <w:fldChar w:fldCharType="begin"/>
                            </w:r>
                            <w:r w:rsidRPr="00D600D7">
                              <w:rPr>
                                <w:i w:val="0"/>
                              </w:rPr>
                              <w:instrText xml:space="preserve"> SEQ Tabla \* ARABIC </w:instrText>
                            </w:r>
                            <w:r w:rsidRPr="00D600D7">
                              <w:rPr>
                                <w:i w:val="0"/>
                              </w:rPr>
                              <w:fldChar w:fldCharType="separate"/>
                            </w:r>
                            <w:r w:rsidR="00B828B8">
                              <w:rPr>
                                <w:i w:val="0"/>
                                <w:noProof/>
                              </w:rPr>
                              <w:t>19</w:t>
                            </w:r>
                            <w:r w:rsidRPr="00D600D7">
                              <w:rPr>
                                <w:i w:val="0"/>
                                <w:noProof/>
                              </w:rPr>
                              <w:fldChar w:fldCharType="end"/>
                            </w:r>
                            <w:r w:rsidRPr="00D600D7">
                              <w:rPr>
                                <w:i w:val="0"/>
                              </w:rPr>
                              <w:t>: Balance General simplificado de la empresa Quinoa Foods 2012-2014</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7147C97C" id="Cuadro de texto 13" o:spid="_x0000_s1029" type="#_x0000_t202" style="position:absolute;margin-left:-2.55pt;margin-top:25.55pt;width:489.4pt;height:36.7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LptOwIAAH4EAAAOAAAAZHJzL2Uyb0RvYy54bWysVMFu2zAMvQ/YPwi6L07SNSuMOEWWIsOA&#10;oi2QDj0rshwLkEWNUmJnXz9KttOt22nYRaFI6tHvkczytmsMOyn0GmzBZ5MpZ8pKKLU9FPzb8/bD&#10;DWc+CFsKA1YV/Kw8v129f7dsXa7mUIMpFTICsT5vXcHrEFyeZV7WqhF+Ak5ZClaAjQh0xUNWomgJ&#10;vTHZfDpdZC1g6RCk8p68d32QrxJ+VSkZHqvKq8BMwenbQjoxnft4ZqulyA8oXK3l8BniH76iEdpS&#10;0QvUnQiCHVH/AdVoieChChMJTQZVpaVKHIjNbPqGza4WTiUuJI53F5n8/4OVD6cnZLqk3l1xZkVD&#10;PdocRYnASsWC6gIwipBMrfM5Ze8c5YfuM3T0ZPR7ckb2XYVN/CVejOIk+PkiMkExSc7FfHZ9dUMh&#10;SbGPi8Wn+XWEyV5fO/Thi4KGRaPgSE1M2orTvQ996pgSi3kwutxqY+IlBjYG2UlQw9taBzWA/5Zl&#10;bMy1EF/1gL1HpYkZqkTCPbFohW7f9TqNpPdQnkkLhH6ovJNbTdXvhQ9PAmmKiCNtRnikozLQFhwG&#10;i7Ma8Mff/DGfmktRzlqayoL770eBijPz1VLb4wiPBo7GfjTssdkA8Z7RzjmZTHqAwYxmhdC80MKs&#10;YxUKCSupVsHDaG5Cvxu0cFKt1ymJBtWJcG93TkboUeXn7kWgG3oUB+UBxnkV+ZtW9bm95utjgEqn&#10;PkZdexWp//FCQ54mYVjIuEW/3lPW69/G6icAAAD//wMAUEsDBBQABgAIAAAAIQAUyxzq3wAAAAkB&#10;AAAPAAAAZHJzL2Rvd25yZXYueG1sTI/BTsMwDIbvSLxDZCQuaEtbWAel6QQbu8FhY9o5a0xb0ThV&#10;k67d22NOcLKs/9Pvz/lqsq04Y+8bRwrieQQCqXSmoUrB4XM7ewThgyajW0eo4IIeVsX1Va4z40ba&#10;4XkfKsEl5DOtoA6hy6T0ZY1W+7nrkDj7cr3Vgde+kqbXI5fbViZRlEqrG+ILte5wXWP5vR+sgnTT&#10;D+OO1nebw9u7/uiq5Ph6OSp1ezO9PIMIOIU/GH71WR0Kdjq5gYwXrYLZImZSwSLmyfnT8n4J4sRg&#10;8pCCLHL5/4PiBwAA//8DAFBLAQItABQABgAIAAAAIQC2gziS/gAAAOEBAAATAAAAAAAAAAAAAAAA&#10;AAAAAABbQ29udGVudF9UeXBlc10ueG1sUEsBAi0AFAAGAAgAAAAhADj9If/WAAAAlAEAAAsAAAAA&#10;AAAAAAAAAAAALwEAAF9yZWxzLy5yZWxzUEsBAi0AFAAGAAgAAAAhAM9sum07AgAAfgQAAA4AAAAA&#10;AAAAAAAAAAAALgIAAGRycy9lMm9Eb2MueG1sUEsBAi0AFAAGAAgAAAAhABTLHOrfAAAACQEAAA8A&#10;AAAAAAAAAAAAAAAAlQQAAGRycy9kb3ducmV2LnhtbFBLBQYAAAAABAAEAPMAAAChBQAAAAA=&#10;" stroked="f">
                <v:textbox inset="0,0,0,0">
                  <w:txbxContent>
                    <w:p w14:paraId="23A230F2" w14:textId="77777777" w:rsidR="0050552F" w:rsidRPr="00D600D7" w:rsidRDefault="0050552F" w:rsidP="00BE102B">
                      <w:pPr>
                        <w:pStyle w:val="TtulodeTDC"/>
                        <w:rPr>
                          <w:i w:val="0"/>
                        </w:rPr>
                      </w:pPr>
                      <w:bookmarkStart w:id="70" w:name="_Toc446973217"/>
                      <w:r w:rsidRPr="00D600D7">
                        <w:rPr>
                          <w:i w:val="0"/>
                        </w:rPr>
                        <w:t xml:space="preserve">Tabla </w:t>
                      </w:r>
                      <w:r w:rsidRPr="00D600D7">
                        <w:rPr>
                          <w:i w:val="0"/>
                        </w:rPr>
                        <w:fldChar w:fldCharType="begin"/>
                      </w:r>
                      <w:r w:rsidRPr="00D600D7">
                        <w:rPr>
                          <w:i w:val="0"/>
                        </w:rPr>
                        <w:instrText xml:space="preserve"> SEQ Tabla \* ARABIC </w:instrText>
                      </w:r>
                      <w:r w:rsidRPr="00D600D7">
                        <w:rPr>
                          <w:i w:val="0"/>
                        </w:rPr>
                        <w:fldChar w:fldCharType="separate"/>
                      </w:r>
                      <w:r w:rsidR="00B828B8">
                        <w:rPr>
                          <w:i w:val="0"/>
                          <w:noProof/>
                        </w:rPr>
                        <w:t>19</w:t>
                      </w:r>
                      <w:r w:rsidRPr="00D600D7">
                        <w:rPr>
                          <w:i w:val="0"/>
                          <w:noProof/>
                        </w:rPr>
                        <w:fldChar w:fldCharType="end"/>
                      </w:r>
                      <w:r w:rsidRPr="00D600D7">
                        <w:rPr>
                          <w:i w:val="0"/>
                        </w:rPr>
                        <w:t>: Balance General simplificado de la empresa Quinoa Foods 2012-2014</w:t>
                      </w:r>
                      <w:bookmarkEnd w:id="70"/>
                    </w:p>
                  </w:txbxContent>
                </v:textbox>
                <w10:wrap type="square"/>
              </v:shape>
            </w:pict>
          </mc:Fallback>
        </mc:AlternateContent>
      </w:r>
      <w:r w:rsidR="00F87368" w:rsidRPr="005F07B4">
        <w:rPr>
          <w:sz w:val="18"/>
          <w:szCs w:val="18"/>
        </w:rPr>
        <w:t xml:space="preserve">Fuente: </w:t>
      </w:r>
      <w:sdt>
        <w:sdtPr>
          <w:rPr>
            <w:sz w:val="18"/>
            <w:szCs w:val="18"/>
          </w:rPr>
          <w:id w:val="-980772090"/>
          <w:citation/>
        </w:sdtPr>
        <w:sdtEndPr/>
        <w:sdtContent>
          <w:r w:rsidR="00F87368" w:rsidRPr="005F07B4">
            <w:rPr>
              <w:sz w:val="18"/>
              <w:szCs w:val="18"/>
            </w:rPr>
            <w:fldChar w:fldCharType="begin"/>
          </w:r>
          <w:r w:rsidR="00F87368" w:rsidRPr="005F07B4">
            <w:rPr>
              <w:sz w:val="18"/>
              <w:szCs w:val="18"/>
            </w:rPr>
            <w:instrText xml:space="preserve"> CITATION ASF15 \l 12298 </w:instrText>
          </w:r>
          <w:r w:rsidR="00F87368" w:rsidRPr="005F07B4">
            <w:rPr>
              <w:sz w:val="18"/>
              <w:szCs w:val="18"/>
            </w:rPr>
            <w:fldChar w:fldCharType="separate"/>
          </w:r>
          <w:r w:rsidR="00BC1846" w:rsidRPr="005F07B4">
            <w:rPr>
              <w:noProof/>
              <w:sz w:val="18"/>
              <w:szCs w:val="18"/>
            </w:rPr>
            <w:t>(ASFI, 2015)</w:t>
          </w:r>
          <w:r w:rsidR="00F87368" w:rsidRPr="005F07B4">
            <w:rPr>
              <w:sz w:val="18"/>
              <w:szCs w:val="18"/>
            </w:rPr>
            <w:fldChar w:fldCharType="end"/>
          </w:r>
        </w:sdtContent>
      </w:sdt>
    </w:p>
    <w:p w14:paraId="4C73D09D" w14:textId="0EC8FCDC" w:rsidR="003E5431" w:rsidRPr="005F07B4" w:rsidRDefault="00560D4B" w:rsidP="00ED1E4D">
      <w:pPr>
        <w:spacing w:line="276" w:lineRule="auto"/>
        <w:contextualSpacing/>
        <w:jc w:val="left"/>
        <w:rPr>
          <w:sz w:val="18"/>
          <w:szCs w:val="18"/>
        </w:rPr>
      </w:pPr>
      <w:r w:rsidRPr="005F07B4">
        <w:rPr>
          <w:noProof/>
          <w:sz w:val="18"/>
          <w:szCs w:val="18"/>
          <w:lang w:eastAsia="es-EC"/>
        </w:rPr>
        <w:drawing>
          <wp:anchor distT="0" distB="0" distL="114300" distR="114300" simplePos="0" relativeHeight="251660288" behindDoc="0" locked="0" layoutInCell="1" allowOverlap="1" wp14:anchorId="55CA76BC" wp14:editId="52B89854">
            <wp:simplePos x="0" y="0"/>
            <wp:positionH relativeFrom="column">
              <wp:posOffset>51435</wp:posOffset>
            </wp:positionH>
            <wp:positionV relativeFrom="paragraph">
              <wp:posOffset>334645</wp:posOffset>
            </wp:positionV>
            <wp:extent cx="6209030" cy="2581275"/>
            <wp:effectExtent l="0" t="0" r="1270" b="952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209030" cy="2581275"/>
                    </a:xfrm>
                    <a:prstGeom prst="rect">
                      <a:avLst/>
                    </a:prstGeom>
                  </pic:spPr>
                </pic:pic>
              </a:graphicData>
            </a:graphic>
            <wp14:sizeRelH relativeFrom="page">
              <wp14:pctWidth>0</wp14:pctWidth>
            </wp14:sizeRelH>
            <wp14:sizeRelV relativeFrom="page">
              <wp14:pctHeight>0</wp14:pctHeight>
            </wp14:sizeRelV>
          </wp:anchor>
        </w:drawing>
      </w:r>
    </w:p>
    <w:p w14:paraId="45104DDF" w14:textId="6EA63A75" w:rsidR="00ED1E4D" w:rsidRDefault="00D40E74" w:rsidP="00ED1E4D">
      <w:pPr>
        <w:jc w:val="left"/>
        <w:rPr>
          <w:sz w:val="18"/>
          <w:szCs w:val="18"/>
        </w:rPr>
      </w:pPr>
      <w:r w:rsidRPr="00ED1E4D">
        <w:rPr>
          <w:sz w:val="18"/>
          <w:szCs w:val="18"/>
        </w:rPr>
        <w:t>*El Balance General a detalle se incluye en el Anexo 2</w:t>
      </w:r>
    </w:p>
    <w:p w14:paraId="64B6E239" w14:textId="1D8838C2" w:rsidR="002211EB" w:rsidRPr="00ED1E4D" w:rsidRDefault="00D40E74" w:rsidP="00ED1E4D">
      <w:pPr>
        <w:jc w:val="left"/>
        <w:rPr>
          <w:sz w:val="18"/>
          <w:szCs w:val="18"/>
        </w:rPr>
      </w:pPr>
      <w:r w:rsidRPr="00ED1E4D">
        <w:rPr>
          <w:sz w:val="18"/>
          <w:szCs w:val="18"/>
        </w:rPr>
        <w:t xml:space="preserve">Fuente: </w:t>
      </w:r>
      <w:sdt>
        <w:sdtPr>
          <w:id w:val="1375043325"/>
          <w:citation/>
        </w:sdtPr>
        <w:sdtEndPr/>
        <w:sdtContent>
          <w:r w:rsidRPr="00ED1E4D">
            <w:rPr>
              <w:sz w:val="18"/>
              <w:szCs w:val="18"/>
            </w:rPr>
            <w:fldChar w:fldCharType="begin"/>
          </w:r>
          <w:r w:rsidRPr="00ED1E4D">
            <w:rPr>
              <w:sz w:val="18"/>
              <w:szCs w:val="18"/>
            </w:rPr>
            <w:instrText xml:space="preserve"> CITATION ASF15 \l 12298 </w:instrText>
          </w:r>
          <w:r w:rsidRPr="00ED1E4D">
            <w:rPr>
              <w:sz w:val="18"/>
              <w:szCs w:val="18"/>
            </w:rPr>
            <w:fldChar w:fldCharType="separate"/>
          </w:r>
          <w:r w:rsidR="00BC1846" w:rsidRPr="00ED1E4D">
            <w:rPr>
              <w:noProof/>
              <w:sz w:val="18"/>
              <w:szCs w:val="18"/>
            </w:rPr>
            <w:t>(ASFI, 2015)</w:t>
          </w:r>
          <w:r w:rsidRPr="00ED1E4D">
            <w:rPr>
              <w:sz w:val="18"/>
              <w:szCs w:val="18"/>
            </w:rPr>
            <w:fldChar w:fldCharType="end"/>
          </w:r>
        </w:sdtContent>
      </w:sdt>
      <w:r w:rsidR="002211EB" w:rsidRPr="00ED1E4D">
        <w:rPr>
          <w:sz w:val="18"/>
          <w:szCs w:val="18"/>
        </w:rPr>
        <w:br w:type="page"/>
      </w:r>
    </w:p>
    <w:p w14:paraId="5711995F" w14:textId="77777777" w:rsidR="002211EB" w:rsidRPr="00D600D7" w:rsidRDefault="002211EB" w:rsidP="002211EB">
      <w:pPr>
        <w:pStyle w:val="TtulodeTDC"/>
        <w:rPr>
          <w:i w:val="0"/>
        </w:rPr>
      </w:pPr>
      <w:bookmarkStart w:id="71" w:name="_Toc446973218"/>
      <w:r w:rsidRPr="00D600D7">
        <w:rPr>
          <w:i w:val="0"/>
        </w:rPr>
        <w:lastRenderedPageBreak/>
        <w:t xml:space="preserve">Tabla </w:t>
      </w:r>
      <w:r w:rsidR="00CB1C2A" w:rsidRPr="00D600D7">
        <w:rPr>
          <w:i w:val="0"/>
        </w:rPr>
        <w:fldChar w:fldCharType="begin"/>
      </w:r>
      <w:r w:rsidR="00CB1C2A" w:rsidRPr="00D600D7">
        <w:rPr>
          <w:i w:val="0"/>
        </w:rPr>
        <w:instrText xml:space="preserve"> SEQ Tabla \* ARABIC </w:instrText>
      </w:r>
      <w:r w:rsidR="00CB1C2A" w:rsidRPr="00D600D7">
        <w:rPr>
          <w:i w:val="0"/>
        </w:rPr>
        <w:fldChar w:fldCharType="separate"/>
      </w:r>
      <w:r w:rsidR="00B828B8">
        <w:rPr>
          <w:i w:val="0"/>
          <w:noProof/>
        </w:rPr>
        <w:t>20</w:t>
      </w:r>
      <w:r w:rsidR="00CB1C2A" w:rsidRPr="00D600D7">
        <w:rPr>
          <w:i w:val="0"/>
          <w:noProof/>
        </w:rPr>
        <w:fldChar w:fldCharType="end"/>
      </w:r>
      <w:r w:rsidRPr="00D600D7">
        <w:rPr>
          <w:i w:val="0"/>
        </w:rPr>
        <w:t>: Análisis DUPONT Quinoa Foods Co.</w:t>
      </w:r>
      <w:bookmarkEnd w:id="71"/>
    </w:p>
    <w:tbl>
      <w:tblPr>
        <w:tblW w:w="6741" w:type="dxa"/>
        <w:jc w:val="center"/>
        <w:tblCellMar>
          <w:left w:w="70" w:type="dxa"/>
          <w:right w:w="70" w:type="dxa"/>
        </w:tblCellMar>
        <w:tblLook w:val="04A0" w:firstRow="1" w:lastRow="0" w:firstColumn="1" w:lastColumn="0" w:noHBand="0" w:noVBand="1"/>
      </w:tblPr>
      <w:tblGrid>
        <w:gridCol w:w="2868"/>
        <w:gridCol w:w="1333"/>
        <w:gridCol w:w="1270"/>
        <w:gridCol w:w="1270"/>
      </w:tblGrid>
      <w:tr w:rsidR="002211EB" w:rsidRPr="002211EB" w14:paraId="1FAC3CDD" w14:textId="77777777" w:rsidTr="002211EB">
        <w:trPr>
          <w:trHeight w:val="353"/>
          <w:jc w:val="center"/>
        </w:trPr>
        <w:tc>
          <w:tcPr>
            <w:tcW w:w="2868" w:type="dxa"/>
            <w:tcBorders>
              <w:top w:val="single" w:sz="12" w:space="0" w:color="auto"/>
              <w:left w:val="nil"/>
              <w:bottom w:val="single" w:sz="12" w:space="0" w:color="auto"/>
              <w:right w:val="nil"/>
            </w:tcBorders>
            <w:shd w:val="clear" w:color="auto" w:fill="auto"/>
            <w:noWrap/>
            <w:vAlign w:val="bottom"/>
            <w:hideMark/>
          </w:tcPr>
          <w:p w14:paraId="5935A43B" w14:textId="77777777" w:rsidR="002211EB" w:rsidRPr="002211EB" w:rsidRDefault="002211EB" w:rsidP="002211EB">
            <w:pPr>
              <w:spacing w:after="0" w:line="240" w:lineRule="auto"/>
              <w:jc w:val="left"/>
              <w:rPr>
                <w:rFonts w:eastAsia="Times New Roman"/>
                <w:sz w:val="20"/>
                <w:szCs w:val="24"/>
                <w:lang w:eastAsia="es-EC"/>
              </w:rPr>
            </w:pPr>
          </w:p>
        </w:tc>
        <w:tc>
          <w:tcPr>
            <w:tcW w:w="1333" w:type="dxa"/>
            <w:tcBorders>
              <w:top w:val="single" w:sz="12" w:space="0" w:color="auto"/>
              <w:left w:val="nil"/>
              <w:bottom w:val="single" w:sz="12" w:space="0" w:color="auto"/>
              <w:right w:val="nil"/>
            </w:tcBorders>
            <w:shd w:val="clear" w:color="auto" w:fill="auto"/>
            <w:noWrap/>
            <w:vAlign w:val="bottom"/>
            <w:hideMark/>
          </w:tcPr>
          <w:p w14:paraId="79EA59A6"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2012</w:t>
            </w:r>
          </w:p>
        </w:tc>
        <w:tc>
          <w:tcPr>
            <w:tcW w:w="1270" w:type="dxa"/>
            <w:tcBorders>
              <w:top w:val="single" w:sz="12" w:space="0" w:color="auto"/>
              <w:left w:val="nil"/>
              <w:bottom w:val="single" w:sz="12" w:space="0" w:color="auto"/>
              <w:right w:val="nil"/>
            </w:tcBorders>
            <w:shd w:val="clear" w:color="auto" w:fill="auto"/>
            <w:noWrap/>
            <w:vAlign w:val="bottom"/>
            <w:hideMark/>
          </w:tcPr>
          <w:p w14:paraId="2E7E3CED"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2013</w:t>
            </w:r>
          </w:p>
        </w:tc>
        <w:tc>
          <w:tcPr>
            <w:tcW w:w="1270" w:type="dxa"/>
            <w:tcBorders>
              <w:top w:val="single" w:sz="12" w:space="0" w:color="auto"/>
              <w:left w:val="nil"/>
              <w:bottom w:val="single" w:sz="12" w:space="0" w:color="auto"/>
              <w:right w:val="nil"/>
            </w:tcBorders>
            <w:shd w:val="clear" w:color="auto" w:fill="auto"/>
            <w:noWrap/>
            <w:vAlign w:val="bottom"/>
            <w:hideMark/>
          </w:tcPr>
          <w:p w14:paraId="3BF4213F"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2014</w:t>
            </w:r>
          </w:p>
        </w:tc>
      </w:tr>
      <w:tr w:rsidR="002211EB" w:rsidRPr="002211EB" w14:paraId="2D070EC4" w14:textId="77777777" w:rsidTr="002211EB">
        <w:trPr>
          <w:trHeight w:val="353"/>
          <w:jc w:val="center"/>
        </w:trPr>
        <w:tc>
          <w:tcPr>
            <w:tcW w:w="2868" w:type="dxa"/>
            <w:tcBorders>
              <w:top w:val="single" w:sz="12" w:space="0" w:color="auto"/>
              <w:left w:val="nil"/>
              <w:bottom w:val="nil"/>
              <w:right w:val="nil"/>
            </w:tcBorders>
            <w:shd w:val="clear" w:color="auto" w:fill="auto"/>
            <w:noWrap/>
            <w:vAlign w:val="bottom"/>
            <w:hideMark/>
          </w:tcPr>
          <w:p w14:paraId="2DA7AEFF"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Eficiencia operativa</w:t>
            </w:r>
          </w:p>
        </w:tc>
        <w:tc>
          <w:tcPr>
            <w:tcW w:w="1333" w:type="dxa"/>
            <w:tcBorders>
              <w:top w:val="single" w:sz="12" w:space="0" w:color="auto"/>
              <w:left w:val="nil"/>
              <w:bottom w:val="nil"/>
              <w:right w:val="nil"/>
            </w:tcBorders>
            <w:shd w:val="clear" w:color="auto" w:fill="auto"/>
            <w:noWrap/>
            <w:vAlign w:val="bottom"/>
            <w:hideMark/>
          </w:tcPr>
          <w:p w14:paraId="14F135C5"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0,00 </w:t>
            </w:r>
          </w:p>
        </w:tc>
        <w:tc>
          <w:tcPr>
            <w:tcW w:w="1270" w:type="dxa"/>
            <w:tcBorders>
              <w:top w:val="single" w:sz="12" w:space="0" w:color="auto"/>
              <w:left w:val="nil"/>
              <w:bottom w:val="nil"/>
              <w:right w:val="nil"/>
            </w:tcBorders>
            <w:shd w:val="clear" w:color="auto" w:fill="auto"/>
            <w:noWrap/>
            <w:vAlign w:val="bottom"/>
            <w:hideMark/>
          </w:tcPr>
          <w:p w14:paraId="04A884D6"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0,00 </w:t>
            </w:r>
          </w:p>
        </w:tc>
        <w:tc>
          <w:tcPr>
            <w:tcW w:w="1270" w:type="dxa"/>
            <w:tcBorders>
              <w:top w:val="single" w:sz="12" w:space="0" w:color="auto"/>
              <w:left w:val="nil"/>
              <w:bottom w:val="nil"/>
              <w:right w:val="nil"/>
            </w:tcBorders>
            <w:shd w:val="clear" w:color="auto" w:fill="auto"/>
            <w:noWrap/>
            <w:vAlign w:val="bottom"/>
            <w:hideMark/>
          </w:tcPr>
          <w:p w14:paraId="4FFCB70B"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0,01 </w:t>
            </w:r>
          </w:p>
        </w:tc>
      </w:tr>
      <w:tr w:rsidR="002211EB" w:rsidRPr="002211EB" w14:paraId="3E2F5288" w14:textId="77777777" w:rsidTr="002211EB">
        <w:trPr>
          <w:trHeight w:val="353"/>
          <w:jc w:val="center"/>
        </w:trPr>
        <w:tc>
          <w:tcPr>
            <w:tcW w:w="2868" w:type="dxa"/>
            <w:tcBorders>
              <w:top w:val="nil"/>
              <w:left w:val="nil"/>
              <w:bottom w:val="nil"/>
              <w:right w:val="nil"/>
            </w:tcBorders>
            <w:shd w:val="clear" w:color="auto" w:fill="auto"/>
            <w:noWrap/>
            <w:vAlign w:val="bottom"/>
            <w:hideMark/>
          </w:tcPr>
          <w:p w14:paraId="02CE5304"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Eficiencia de uso de activos</w:t>
            </w:r>
          </w:p>
        </w:tc>
        <w:tc>
          <w:tcPr>
            <w:tcW w:w="1333" w:type="dxa"/>
            <w:tcBorders>
              <w:top w:val="nil"/>
              <w:left w:val="nil"/>
              <w:bottom w:val="nil"/>
              <w:right w:val="nil"/>
            </w:tcBorders>
            <w:shd w:val="clear" w:color="auto" w:fill="auto"/>
            <w:noWrap/>
            <w:vAlign w:val="bottom"/>
            <w:hideMark/>
          </w:tcPr>
          <w:p w14:paraId="405383D0"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1,68 </w:t>
            </w:r>
          </w:p>
        </w:tc>
        <w:tc>
          <w:tcPr>
            <w:tcW w:w="1270" w:type="dxa"/>
            <w:tcBorders>
              <w:top w:val="nil"/>
              <w:left w:val="nil"/>
              <w:bottom w:val="nil"/>
              <w:right w:val="nil"/>
            </w:tcBorders>
            <w:shd w:val="clear" w:color="auto" w:fill="auto"/>
            <w:noWrap/>
            <w:vAlign w:val="bottom"/>
            <w:hideMark/>
          </w:tcPr>
          <w:p w14:paraId="5EF4A7B7"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1,11 </w:t>
            </w:r>
          </w:p>
        </w:tc>
        <w:tc>
          <w:tcPr>
            <w:tcW w:w="1270" w:type="dxa"/>
            <w:tcBorders>
              <w:top w:val="nil"/>
              <w:left w:val="nil"/>
              <w:bottom w:val="nil"/>
              <w:right w:val="nil"/>
            </w:tcBorders>
            <w:shd w:val="clear" w:color="auto" w:fill="auto"/>
            <w:noWrap/>
            <w:vAlign w:val="bottom"/>
            <w:hideMark/>
          </w:tcPr>
          <w:p w14:paraId="6AD31090"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1,77 </w:t>
            </w:r>
          </w:p>
        </w:tc>
      </w:tr>
      <w:tr w:rsidR="002211EB" w:rsidRPr="002211EB" w14:paraId="39871108" w14:textId="77777777" w:rsidTr="002211EB">
        <w:trPr>
          <w:trHeight w:val="353"/>
          <w:jc w:val="center"/>
        </w:trPr>
        <w:tc>
          <w:tcPr>
            <w:tcW w:w="2868" w:type="dxa"/>
            <w:tcBorders>
              <w:top w:val="nil"/>
              <w:left w:val="nil"/>
              <w:bottom w:val="nil"/>
              <w:right w:val="nil"/>
            </w:tcBorders>
            <w:shd w:val="clear" w:color="auto" w:fill="auto"/>
            <w:noWrap/>
            <w:vAlign w:val="bottom"/>
            <w:hideMark/>
          </w:tcPr>
          <w:p w14:paraId="387E0CBD"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Apalancamiento</w:t>
            </w:r>
          </w:p>
        </w:tc>
        <w:tc>
          <w:tcPr>
            <w:tcW w:w="1333" w:type="dxa"/>
            <w:tcBorders>
              <w:top w:val="nil"/>
              <w:left w:val="nil"/>
              <w:bottom w:val="nil"/>
              <w:right w:val="nil"/>
            </w:tcBorders>
            <w:shd w:val="clear" w:color="auto" w:fill="auto"/>
            <w:noWrap/>
            <w:vAlign w:val="bottom"/>
            <w:hideMark/>
          </w:tcPr>
          <w:p w14:paraId="56BB86A0"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10,81 </w:t>
            </w:r>
          </w:p>
        </w:tc>
        <w:tc>
          <w:tcPr>
            <w:tcW w:w="1270" w:type="dxa"/>
            <w:tcBorders>
              <w:top w:val="nil"/>
              <w:left w:val="nil"/>
              <w:bottom w:val="nil"/>
              <w:right w:val="nil"/>
            </w:tcBorders>
            <w:shd w:val="clear" w:color="auto" w:fill="auto"/>
            <w:noWrap/>
            <w:vAlign w:val="bottom"/>
            <w:hideMark/>
          </w:tcPr>
          <w:p w14:paraId="73288B67"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11,58 </w:t>
            </w:r>
          </w:p>
        </w:tc>
        <w:tc>
          <w:tcPr>
            <w:tcW w:w="1270" w:type="dxa"/>
            <w:tcBorders>
              <w:top w:val="nil"/>
              <w:left w:val="nil"/>
              <w:bottom w:val="nil"/>
              <w:right w:val="nil"/>
            </w:tcBorders>
            <w:shd w:val="clear" w:color="auto" w:fill="auto"/>
            <w:noWrap/>
            <w:vAlign w:val="bottom"/>
            <w:hideMark/>
          </w:tcPr>
          <w:p w14:paraId="7578E21B"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6,25 </w:t>
            </w:r>
          </w:p>
        </w:tc>
      </w:tr>
      <w:tr w:rsidR="002211EB" w:rsidRPr="002211EB" w14:paraId="4F360359" w14:textId="77777777" w:rsidTr="002211EB">
        <w:trPr>
          <w:trHeight w:val="353"/>
          <w:jc w:val="center"/>
        </w:trPr>
        <w:tc>
          <w:tcPr>
            <w:tcW w:w="2868" w:type="dxa"/>
            <w:tcBorders>
              <w:top w:val="nil"/>
              <w:left w:val="nil"/>
              <w:right w:val="nil"/>
            </w:tcBorders>
            <w:shd w:val="clear" w:color="auto" w:fill="auto"/>
            <w:noWrap/>
            <w:vAlign w:val="bottom"/>
            <w:hideMark/>
          </w:tcPr>
          <w:p w14:paraId="0DA5370D" w14:textId="77777777" w:rsidR="002211EB" w:rsidRPr="002211EB" w:rsidRDefault="002211EB" w:rsidP="002211EB">
            <w:pPr>
              <w:spacing w:after="0" w:line="240" w:lineRule="auto"/>
              <w:jc w:val="center"/>
              <w:rPr>
                <w:rFonts w:eastAsia="Times New Roman"/>
                <w:color w:val="000000"/>
                <w:szCs w:val="24"/>
                <w:lang w:eastAsia="es-EC"/>
              </w:rPr>
            </w:pPr>
          </w:p>
        </w:tc>
        <w:tc>
          <w:tcPr>
            <w:tcW w:w="1333" w:type="dxa"/>
            <w:tcBorders>
              <w:top w:val="nil"/>
              <w:left w:val="nil"/>
              <w:right w:val="nil"/>
            </w:tcBorders>
            <w:shd w:val="clear" w:color="auto" w:fill="auto"/>
            <w:noWrap/>
            <w:vAlign w:val="bottom"/>
            <w:hideMark/>
          </w:tcPr>
          <w:p w14:paraId="163DAAB8" w14:textId="77777777" w:rsidR="002211EB" w:rsidRPr="002211EB" w:rsidRDefault="002211EB" w:rsidP="002211EB">
            <w:pPr>
              <w:spacing w:after="0" w:line="240" w:lineRule="auto"/>
              <w:jc w:val="left"/>
              <w:rPr>
                <w:rFonts w:eastAsia="Times New Roman"/>
                <w:sz w:val="20"/>
                <w:szCs w:val="20"/>
                <w:lang w:eastAsia="es-EC"/>
              </w:rPr>
            </w:pPr>
          </w:p>
        </w:tc>
        <w:tc>
          <w:tcPr>
            <w:tcW w:w="1270" w:type="dxa"/>
            <w:tcBorders>
              <w:top w:val="nil"/>
              <w:left w:val="nil"/>
              <w:right w:val="nil"/>
            </w:tcBorders>
            <w:shd w:val="clear" w:color="auto" w:fill="auto"/>
            <w:noWrap/>
            <w:vAlign w:val="bottom"/>
            <w:hideMark/>
          </w:tcPr>
          <w:p w14:paraId="56CB02C6" w14:textId="77777777" w:rsidR="002211EB" w:rsidRPr="002211EB" w:rsidRDefault="002211EB" w:rsidP="002211EB">
            <w:pPr>
              <w:spacing w:after="0" w:line="240" w:lineRule="auto"/>
              <w:jc w:val="center"/>
              <w:rPr>
                <w:rFonts w:eastAsia="Times New Roman"/>
                <w:sz w:val="20"/>
                <w:szCs w:val="20"/>
                <w:lang w:eastAsia="es-EC"/>
              </w:rPr>
            </w:pPr>
          </w:p>
        </w:tc>
        <w:tc>
          <w:tcPr>
            <w:tcW w:w="1270" w:type="dxa"/>
            <w:tcBorders>
              <w:top w:val="nil"/>
              <w:left w:val="nil"/>
              <w:right w:val="nil"/>
            </w:tcBorders>
            <w:shd w:val="clear" w:color="auto" w:fill="auto"/>
            <w:noWrap/>
            <w:vAlign w:val="bottom"/>
            <w:hideMark/>
          </w:tcPr>
          <w:p w14:paraId="45364D08" w14:textId="77777777" w:rsidR="002211EB" w:rsidRPr="002211EB" w:rsidRDefault="002211EB" w:rsidP="002211EB">
            <w:pPr>
              <w:spacing w:after="0" w:line="240" w:lineRule="auto"/>
              <w:jc w:val="center"/>
              <w:rPr>
                <w:rFonts w:eastAsia="Times New Roman"/>
                <w:sz w:val="20"/>
                <w:szCs w:val="20"/>
                <w:lang w:eastAsia="es-EC"/>
              </w:rPr>
            </w:pPr>
          </w:p>
        </w:tc>
      </w:tr>
      <w:tr w:rsidR="002211EB" w:rsidRPr="002211EB" w14:paraId="38A12DD3" w14:textId="77777777" w:rsidTr="002211EB">
        <w:trPr>
          <w:trHeight w:val="353"/>
          <w:jc w:val="center"/>
        </w:trPr>
        <w:tc>
          <w:tcPr>
            <w:tcW w:w="2868" w:type="dxa"/>
            <w:tcBorders>
              <w:top w:val="nil"/>
              <w:left w:val="nil"/>
              <w:bottom w:val="single" w:sz="12" w:space="0" w:color="auto"/>
              <w:right w:val="nil"/>
            </w:tcBorders>
            <w:shd w:val="clear" w:color="auto" w:fill="auto"/>
            <w:noWrap/>
            <w:vAlign w:val="bottom"/>
            <w:hideMark/>
          </w:tcPr>
          <w:p w14:paraId="662B4632" w14:textId="77777777" w:rsidR="002211EB" w:rsidRPr="002211EB" w:rsidRDefault="002211EB" w:rsidP="002211EB">
            <w:pPr>
              <w:spacing w:after="0" w:line="240" w:lineRule="auto"/>
              <w:jc w:val="left"/>
              <w:rPr>
                <w:rFonts w:eastAsia="Times New Roman"/>
                <w:b/>
                <w:color w:val="000000"/>
                <w:szCs w:val="24"/>
                <w:lang w:eastAsia="es-EC"/>
              </w:rPr>
            </w:pPr>
            <w:r w:rsidRPr="002211EB">
              <w:rPr>
                <w:rFonts w:eastAsia="Times New Roman"/>
                <w:b/>
                <w:color w:val="000000"/>
                <w:szCs w:val="24"/>
                <w:lang w:eastAsia="es-EC"/>
              </w:rPr>
              <w:t>DUPONT</w:t>
            </w:r>
          </w:p>
        </w:tc>
        <w:tc>
          <w:tcPr>
            <w:tcW w:w="1333" w:type="dxa"/>
            <w:tcBorders>
              <w:top w:val="nil"/>
              <w:left w:val="nil"/>
              <w:bottom w:val="single" w:sz="12" w:space="0" w:color="auto"/>
              <w:right w:val="nil"/>
            </w:tcBorders>
            <w:shd w:val="clear" w:color="auto" w:fill="auto"/>
            <w:noWrap/>
            <w:vAlign w:val="bottom"/>
            <w:hideMark/>
          </w:tcPr>
          <w:p w14:paraId="2530D657" w14:textId="77777777" w:rsidR="002211EB" w:rsidRPr="002211EB" w:rsidRDefault="002211EB" w:rsidP="002211EB">
            <w:pPr>
              <w:spacing w:after="0" w:line="240" w:lineRule="auto"/>
              <w:jc w:val="center"/>
              <w:rPr>
                <w:rFonts w:eastAsia="Times New Roman"/>
                <w:b/>
                <w:color w:val="000000"/>
                <w:szCs w:val="24"/>
                <w:lang w:eastAsia="es-EC"/>
              </w:rPr>
            </w:pPr>
            <w:r w:rsidRPr="002211EB">
              <w:rPr>
                <w:rFonts w:eastAsia="Times New Roman"/>
                <w:b/>
                <w:color w:val="000000"/>
                <w:szCs w:val="24"/>
                <w:lang w:eastAsia="es-EC"/>
              </w:rPr>
              <w:t xml:space="preserve">           0,00 </w:t>
            </w:r>
          </w:p>
        </w:tc>
        <w:tc>
          <w:tcPr>
            <w:tcW w:w="1270" w:type="dxa"/>
            <w:tcBorders>
              <w:top w:val="nil"/>
              <w:left w:val="nil"/>
              <w:bottom w:val="single" w:sz="12" w:space="0" w:color="auto"/>
              <w:right w:val="nil"/>
            </w:tcBorders>
            <w:shd w:val="clear" w:color="auto" w:fill="auto"/>
            <w:noWrap/>
            <w:vAlign w:val="bottom"/>
            <w:hideMark/>
          </w:tcPr>
          <w:p w14:paraId="5D9B89D7" w14:textId="77777777" w:rsidR="002211EB" w:rsidRPr="002211EB" w:rsidRDefault="002211EB" w:rsidP="002211EB">
            <w:pPr>
              <w:spacing w:after="0" w:line="240" w:lineRule="auto"/>
              <w:jc w:val="center"/>
              <w:rPr>
                <w:rFonts w:eastAsia="Times New Roman"/>
                <w:b/>
                <w:color w:val="000000"/>
                <w:szCs w:val="24"/>
                <w:lang w:eastAsia="es-EC"/>
              </w:rPr>
            </w:pPr>
            <w:r w:rsidRPr="002211EB">
              <w:rPr>
                <w:rFonts w:eastAsia="Times New Roman"/>
                <w:b/>
                <w:color w:val="000000"/>
                <w:szCs w:val="24"/>
                <w:lang w:eastAsia="es-EC"/>
              </w:rPr>
              <w:t xml:space="preserve">          0,01 </w:t>
            </w:r>
          </w:p>
        </w:tc>
        <w:tc>
          <w:tcPr>
            <w:tcW w:w="1270" w:type="dxa"/>
            <w:tcBorders>
              <w:top w:val="nil"/>
              <w:left w:val="nil"/>
              <w:bottom w:val="single" w:sz="12" w:space="0" w:color="auto"/>
              <w:right w:val="nil"/>
            </w:tcBorders>
            <w:shd w:val="clear" w:color="auto" w:fill="auto"/>
            <w:noWrap/>
            <w:vAlign w:val="bottom"/>
            <w:hideMark/>
          </w:tcPr>
          <w:p w14:paraId="3303ECD3" w14:textId="77777777" w:rsidR="002211EB" w:rsidRPr="002211EB" w:rsidRDefault="002211EB" w:rsidP="002211EB">
            <w:pPr>
              <w:spacing w:after="0" w:line="240" w:lineRule="auto"/>
              <w:jc w:val="center"/>
              <w:rPr>
                <w:rFonts w:eastAsia="Times New Roman"/>
                <w:b/>
                <w:color w:val="000000"/>
                <w:szCs w:val="24"/>
                <w:lang w:eastAsia="es-EC"/>
              </w:rPr>
            </w:pPr>
            <w:r w:rsidRPr="002211EB">
              <w:rPr>
                <w:rFonts w:eastAsia="Times New Roman"/>
                <w:b/>
                <w:color w:val="000000"/>
                <w:szCs w:val="24"/>
                <w:lang w:eastAsia="es-EC"/>
              </w:rPr>
              <w:t xml:space="preserve">          0,15 </w:t>
            </w:r>
          </w:p>
        </w:tc>
      </w:tr>
    </w:tbl>
    <w:p w14:paraId="1A67C2F5" w14:textId="77777777" w:rsidR="002211EB" w:rsidRPr="005F07B4" w:rsidRDefault="00536F28" w:rsidP="00536F28">
      <w:pPr>
        <w:jc w:val="center"/>
        <w:rPr>
          <w:sz w:val="18"/>
          <w:szCs w:val="18"/>
          <w:lang w:eastAsia="es-EC"/>
        </w:rPr>
      </w:pPr>
      <w:r w:rsidRPr="005F07B4">
        <w:rPr>
          <w:sz w:val="18"/>
          <w:szCs w:val="18"/>
          <w:lang w:eastAsia="es-EC"/>
        </w:rPr>
        <w:t>Fuente: Elaboración propia en base a la información de los Estados Financieros</w:t>
      </w:r>
    </w:p>
    <w:p w14:paraId="2DBD1083" w14:textId="77777777" w:rsidR="005F07B4" w:rsidRDefault="005F07B4" w:rsidP="005F07B4">
      <w:pPr>
        <w:contextualSpacing/>
        <w:rPr>
          <w:lang w:eastAsia="es-EC"/>
        </w:rPr>
      </w:pPr>
    </w:p>
    <w:p w14:paraId="19AEF98A" w14:textId="77777777" w:rsidR="002211EB" w:rsidRDefault="002211EB" w:rsidP="005F07B4">
      <w:pPr>
        <w:contextualSpacing/>
        <w:rPr>
          <w:lang w:eastAsia="es-EC"/>
        </w:rPr>
      </w:pPr>
      <w:r>
        <w:rPr>
          <w:lang w:eastAsia="es-EC"/>
        </w:rPr>
        <w:t>En lo que respecta a la eficiencia operativa de la empresa, la misma presenta una estructura de costos que representa casi la totalidad de los ingresos</w:t>
      </w:r>
      <w:r w:rsidR="00683FFB">
        <w:rPr>
          <w:lang w:eastAsia="es-EC"/>
        </w:rPr>
        <w:t>, dejando un margen de ganancias que para el 2014 llegó a ser de 1,3%.</w:t>
      </w:r>
      <w:r>
        <w:rPr>
          <w:lang w:eastAsia="es-EC"/>
        </w:rPr>
        <w:t xml:space="preserve"> </w:t>
      </w:r>
      <w:r w:rsidR="00683FFB">
        <w:rPr>
          <w:lang w:eastAsia="es-EC"/>
        </w:rPr>
        <w:t xml:space="preserve">Los egresos de la empresa se encuentran concentrados en los costos que vienen de la operación de la misma, ya que, debido a la naturaleza del negocio, el cultivo y procesamiento de la quinua orgánica es intensivo en mano de obra para asegurar la calidad requerida para la exportación. </w:t>
      </w:r>
    </w:p>
    <w:p w14:paraId="68A7D003" w14:textId="1A69E76C" w:rsidR="00FB676D" w:rsidRDefault="00D02D0B" w:rsidP="005F07B4">
      <w:pPr>
        <w:contextualSpacing/>
        <w:rPr>
          <w:lang w:eastAsia="es-EC"/>
        </w:rPr>
      </w:pPr>
      <w:r>
        <w:rPr>
          <w:lang w:eastAsia="es-EC"/>
        </w:rPr>
        <w:t>Por otro lado, la rotación de los activos, en promedio de los tres años analizados, es de 1</w:t>
      </w:r>
      <w:r w:rsidR="00FF4DDA">
        <w:rPr>
          <w:lang w:eastAsia="es-EC"/>
        </w:rPr>
        <w:t>,</w:t>
      </w:r>
      <w:r>
        <w:rPr>
          <w:lang w:eastAsia="es-EC"/>
        </w:rPr>
        <w:t xml:space="preserve">52 veces en el año. Esto indica alta eficiencia en el uso de los mismos. El resultado se explica porque se tiene una mayor proporción de activos corrientes sobre los no corrientes, y dentro de estos primeros, el 65% de los mismos se traducen en inventarios, que dado que es producto agrícola de ciclo corto destinado a la exportación, la producción no se almacena por largos períodos sino que se distribuye de forma inmediata. También se encuentran las cuentas por cobrar, lo que significa que la empresa maneja una política de crédito con los clientes con plazos menores a </w:t>
      </w:r>
      <w:r w:rsidR="00FB676D">
        <w:rPr>
          <w:lang w:eastAsia="es-EC"/>
        </w:rPr>
        <w:t>un año</w:t>
      </w:r>
      <w:r w:rsidR="00F96F0D">
        <w:rPr>
          <w:lang w:eastAsia="es-EC"/>
        </w:rPr>
        <w:t xml:space="preserve"> </w:t>
      </w:r>
      <w:sdt>
        <w:sdtPr>
          <w:rPr>
            <w:lang w:eastAsia="es-EC"/>
          </w:rPr>
          <w:id w:val="932019256"/>
          <w:citation/>
        </w:sdtPr>
        <w:sdtEndPr/>
        <w:sdtContent>
          <w:r w:rsidR="00F96F0D">
            <w:rPr>
              <w:lang w:eastAsia="es-EC"/>
            </w:rPr>
            <w:fldChar w:fldCharType="begin"/>
          </w:r>
          <w:r w:rsidR="00F96F0D">
            <w:rPr>
              <w:lang w:eastAsia="es-EC"/>
            </w:rPr>
            <w:instrText xml:space="preserve"> CITATION Qui151 \l 12298 </w:instrText>
          </w:r>
          <w:r w:rsidR="00F96F0D">
            <w:rPr>
              <w:lang w:eastAsia="es-EC"/>
            </w:rPr>
            <w:fldChar w:fldCharType="separate"/>
          </w:r>
          <w:r w:rsidR="00BC1846">
            <w:rPr>
              <w:noProof/>
              <w:lang w:eastAsia="es-EC"/>
            </w:rPr>
            <w:t>(Quinoa Foods Company, 2015)</w:t>
          </w:r>
          <w:r w:rsidR="00F96F0D">
            <w:rPr>
              <w:lang w:eastAsia="es-EC"/>
            </w:rPr>
            <w:fldChar w:fldCharType="end"/>
          </w:r>
        </w:sdtContent>
      </w:sdt>
      <w:r w:rsidR="00FB676D">
        <w:rPr>
          <w:lang w:eastAsia="es-EC"/>
        </w:rPr>
        <w:t xml:space="preserve">. </w:t>
      </w:r>
    </w:p>
    <w:p w14:paraId="08E3FBBA" w14:textId="77777777" w:rsidR="00683FFB" w:rsidRDefault="00FB676D" w:rsidP="005F07B4">
      <w:pPr>
        <w:contextualSpacing/>
        <w:rPr>
          <w:lang w:eastAsia="es-EC"/>
        </w:rPr>
      </w:pPr>
      <w:r>
        <w:rPr>
          <w:lang w:eastAsia="es-EC"/>
        </w:rPr>
        <w:t xml:space="preserve">El multiplicador de Apalancamiento Financiero que los activos representaban hasta el 2013 un promedio de 10 veces el patrimonio de los accionistas, situación que para el 2014 disminuyó a una proporción de 6 veces. Consecuentemente, se puede observar que existe un alto grado de apalancamiento en terceros, principalmente con deuda a largo plazo por préstamos para mejorar la infraestructura del negocio y la flota de autos para distribución. </w:t>
      </w:r>
      <w:r w:rsidR="00D02D0B">
        <w:rPr>
          <w:lang w:eastAsia="es-EC"/>
        </w:rPr>
        <w:t xml:space="preserve"> </w:t>
      </w:r>
    </w:p>
    <w:p w14:paraId="2D3CD2FB" w14:textId="77777777" w:rsidR="002211EB" w:rsidRDefault="00FB676D" w:rsidP="005F07B4">
      <w:pPr>
        <w:contextualSpacing/>
      </w:pPr>
      <w:r>
        <w:t xml:space="preserve">Por último, se puede observar una notable mejora para el 2014 de la rentabilidad sobre el patrimonio invertido por los accionistas de la empresa, llegando a ser del 15%, con un </w:t>
      </w:r>
      <w:r>
        <w:lastRenderedPageBreak/>
        <w:t xml:space="preserve">crecimiento de 25 veces </w:t>
      </w:r>
      <w:r w:rsidR="0053747B">
        <w:t xml:space="preserve">frente al presentado en el 2012, destacando la prominencia del apalancamiento frente al retorno sobre los activos. </w:t>
      </w:r>
    </w:p>
    <w:p w14:paraId="1176BACF" w14:textId="77777777" w:rsidR="00B01B91" w:rsidRPr="00E04A9D" w:rsidRDefault="00B01B91" w:rsidP="005F07B4">
      <w:pPr>
        <w:contextualSpacing/>
      </w:pPr>
      <w:r>
        <w:t xml:space="preserve">La empresa presenta una tendencia creciente de sus ingresos de un 7% en el período estudiado, con una proyección de crecimiento de costos operacionales de 5%. Proponiendo un escenario con estas premisas y considerando que la estructura del balance general se mantuviera como ha sido el comportamiento en este mismo período, se podría estimar una mejora del rendimiento sobre la </w:t>
      </w:r>
      <w:r w:rsidRPr="00E04A9D">
        <w:t>inversión que alcanzaría un 30%.</w:t>
      </w:r>
    </w:p>
    <w:p w14:paraId="12E93F97" w14:textId="77777777" w:rsidR="0053747B" w:rsidRPr="00E04A9D" w:rsidRDefault="0053747B" w:rsidP="005F07B4">
      <w:pPr>
        <w:pStyle w:val="Ttulo4"/>
        <w:numPr>
          <w:ilvl w:val="2"/>
          <w:numId w:val="14"/>
        </w:numPr>
        <w:spacing w:before="0" w:after="200"/>
        <w:ind w:left="505" w:hanging="505"/>
        <w:contextualSpacing/>
        <w:rPr>
          <w:i w:val="0"/>
        </w:rPr>
      </w:pPr>
      <w:r w:rsidRPr="00E04A9D">
        <w:rPr>
          <w:i w:val="0"/>
        </w:rPr>
        <w:t>Cereales Andinos</w:t>
      </w:r>
    </w:p>
    <w:p w14:paraId="193933AA" w14:textId="77777777" w:rsidR="0053747B" w:rsidRDefault="0053747B" w:rsidP="005F07B4">
      <w:pPr>
        <w:contextualSpacing/>
      </w:pPr>
      <w:r w:rsidRPr="0053747B">
        <w:t>Cereales Andinos es una empresa dedicada al fortalecimiento de la cadena de valor de la quinua ecuatoriana. Abarca todas las etapas del proceso productivo: siembra, cosecha, procesamiento e industrialización</w:t>
      </w:r>
      <w:r w:rsidR="00EE6E14">
        <w:t xml:space="preserve"> </w:t>
      </w:r>
      <w:sdt>
        <w:sdtPr>
          <w:id w:val="1575779110"/>
          <w:citation/>
        </w:sdtPr>
        <w:sdtEndPr/>
        <w:sdtContent>
          <w:r w:rsidR="00EE6E14">
            <w:fldChar w:fldCharType="begin"/>
          </w:r>
          <w:r w:rsidR="00EE6E14">
            <w:instrText xml:space="preserve"> CITATION Cer15 \l 12298 </w:instrText>
          </w:r>
          <w:r w:rsidR="00EE6E14">
            <w:fldChar w:fldCharType="separate"/>
          </w:r>
          <w:r w:rsidR="00BC1846">
            <w:rPr>
              <w:noProof/>
            </w:rPr>
            <w:t>(Cereales Andinos, 2015)</w:t>
          </w:r>
          <w:r w:rsidR="00EE6E14">
            <w:fldChar w:fldCharType="end"/>
          </w:r>
        </w:sdtContent>
      </w:sdt>
      <w:r w:rsidRPr="0053747B">
        <w:t>.</w:t>
      </w:r>
    </w:p>
    <w:p w14:paraId="427FAFE3" w14:textId="77777777" w:rsidR="00EE6E14" w:rsidRDefault="00EE6E14" w:rsidP="005F07B4">
      <w:pPr>
        <w:contextualSpacing/>
      </w:pPr>
      <w:r>
        <w:t>Dese de su inicio, hace 9 años, a</w:t>
      </w:r>
      <w:r w:rsidRPr="00EE6E14">
        <w:t>p</w:t>
      </w:r>
      <w:r>
        <w:t>oya a amplios sectores de pequeñ</w:t>
      </w:r>
      <w:r w:rsidRPr="00EE6E14">
        <w:t>os agricultores dedicados al cultivo de quinua y otros granos andinos.</w:t>
      </w:r>
      <w:r>
        <w:t xml:space="preserve"> Elabora productos con valor agregado a base de quinua como granola, hojuelas de quinua, y snacks. Se encuentra presente en todas las cadenas minoristas ecuatorianas </w:t>
      </w:r>
      <w:sdt>
        <w:sdtPr>
          <w:id w:val="1197123625"/>
          <w:citation/>
        </w:sdtPr>
        <w:sdtEndPr/>
        <w:sdtContent>
          <w:r>
            <w:fldChar w:fldCharType="begin"/>
          </w:r>
          <w:r>
            <w:instrText xml:space="preserve"> CITATION Tap15 \l 12298 </w:instrText>
          </w:r>
          <w:r>
            <w:fldChar w:fldCharType="separate"/>
          </w:r>
          <w:r w:rsidR="00BC1846">
            <w:rPr>
              <w:noProof/>
            </w:rPr>
            <w:t>(Tapia, 2015)</w:t>
          </w:r>
          <w:r>
            <w:fldChar w:fldCharType="end"/>
          </w:r>
        </w:sdtContent>
      </w:sdt>
      <w:r>
        <w:t>. Desde el 2012, exporta quinua en grano con estándares internacionales.</w:t>
      </w:r>
    </w:p>
    <w:p w14:paraId="378B7AF8" w14:textId="77777777" w:rsidR="0053747B" w:rsidRPr="002C53CC" w:rsidRDefault="00EE6E14" w:rsidP="005F07B4">
      <w:pPr>
        <w:pStyle w:val="Ttulo5"/>
        <w:numPr>
          <w:ilvl w:val="3"/>
          <w:numId w:val="14"/>
        </w:numPr>
        <w:spacing w:before="0" w:after="200"/>
        <w:ind w:left="505" w:hanging="505"/>
        <w:contextualSpacing/>
        <w:rPr>
          <w:i w:val="0"/>
        </w:rPr>
      </w:pPr>
      <w:r w:rsidRPr="002C53CC">
        <w:rPr>
          <w:i w:val="0"/>
        </w:rPr>
        <w:t>Análisis Dupont</w:t>
      </w:r>
    </w:p>
    <w:p w14:paraId="05A47504" w14:textId="6DF97C28" w:rsidR="0026749E" w:rsidRDefault="00EE6E14" w:rsidP="005F07B4">
      <w:pPr>
        <w:contextualSpacing/>
        <w:jc w:val="left"/>
      </w:pPr>
      <w:r>
        <w:t>Para realizar el análisis Dupont de la empresa Cereales Andinos, se incluye el Estado de Resultados y el Balance General de la empresa.</w:t>
      </w:r>
    </w:p>
    <w:p w14:paraId="1129CC6F" w14:textId="77777777" w:rsidR="00536F28" w:rsidRPr="00304120" w:rsidRDefault="00536F28" w:rsidP="005F07B4">
      <w:pPr>
        <w:pStyle w:val="TtulodeTDC"/>
        <w:spacing w:before="0" w:after="200"/>
        <w:contextualSpacing/>
        <w:rPr>
          <w:i w:val="0"/>
        </w:rPr>
      </w:pPr>
      <w:bookmarkStart w:id="72" w:name="_Toc446973219"/>
      <w:r w:rsidRPr="00304120">
        <w:rPr>
          <w:i w:val="0"/>
        </w:rPr>
        <w:t xml:space="preserve">Tabla </w:t>
      </w:r>
      <w:r w:rsidR="00CB1C2A" w:rsidRPr="00304120">
        <w:rPr>
          <w:i w:val="0"/>
        </w:rPr>
        <w:fldChar w:fldCharType="begin"/>
      </w:r>
      <w:r w:rsidR="00CB1C2A" w:rsidRPr="00304120">
        <w:rPr>
          <w:i w:val="0"/>
        </w:rPr>
        <w:instrText xml:space="preserve"> SEQ Tabla \* ARABIC </w:instrText>
      </w:r>
      <w:r w:rsidR="00CB1C2A" w:rsidRPr="00304120">
        <w:rPr>
          <w:i w:val="0"/>
        </w:rPr>
        <w:fldChar w:fldCharType="separate"/>
      </w:r>
      <w:r w:rsidR="00B828B8">
        <w:rPr>
          <w:i w:val="0"/>
          <w:noProof/>
        </w:rPr>
        <w:t>21</w:t>
      </w:r>
      <w:r w:rsidR="00CB1C2A" w:rsidRPr="00304120">
        <w:rPr>
          <w:i w:val="0"/>
          <w:noProof/>
        </w:rPr>
        <w:fldChar w:fldCharType="end"/>
      </w:r>
      <w:r w:rsidRPr="00304120">
        <w:rPr>
          <w:i w:val="0"/>
        </w:rPr>
        <w:t>: Estado de Resultados de la empresa Cereales Andinos 2012-2014</w:t>
      </w:r>
      <w:bookmarkEnd w:id="72"/>
    </w:p>
    <w:tbl>
      <w:tblPr>
        <w:tblW w:w="9214" w:type="dxa"/>
        <w:tblCellMar>
          <w:left w:w="70" w:type="dxa"/>
          <w:right w:w="70" w:type="dxa"/>
        </w:tblCellMar>
        <w:tblLook w:val="04A0" w:firstRow="1" w:lastRow="0" w:firstColumn="1" w:lastColumn="0" w:noHBand="0" w:noVBand="1"/>
      </w:tblPr>
      <w:tblGrid>
        <w:gridCol w:w="4253"/>
        <w:gridCol w:w="1843"/>
        <w:gridCol w:w="1559"/>
        <w:gridCol w:w="1559"/>
      </w:tblGrid>
      <w:tr w:rsidR="00536F28" w:rsidRPr="00536F28" w14:paraId="3211284A" w14:textId="77777777" w:rsidTr="00536F28">
        <w:trPr>
          <w:trHeight w:val="375"/>
        </w:trPr>
        <w:tc>
          <w:tcPr>
            <w:tcW w:w="4253" w:type="dxa"/>
            <w:tcBorders>
              <w:top w:val="single" w:sz="12" w:space="0" w:color="auto"/>
              <w:left w:val="nil"/>
              <w:bottom w:val="single" w:sz="12" w:space="0" w:color="auto"/>
              <w:right w:val="nil"/>
            </w:tcBorders>
            <w:shd w:val="clear" w:color="auto" w:fill="auto"/>
            <w:noWrap/>
            <w:vAlign w:val="bottom"/>
            <w:hideMark/>
          </w:tcPr>
          <w:p w14:paraId="0B9477B9"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w:t>
            </w:r>
          </w:p>
        </w:tc>
        <w:tc>
          <w:tcPr>
            <w:tcW w:w="1843" w:type="dxa"/>
            <w:tcBorders>
              <w:top w:val="single" w:sz="12" w:space="0" w:color="auto"/>
              <w:left w:val="nil"/>
              <w:bottom w:val="single" w:sz="12" w:space="0" w:color="auto"/>
              <w:right w:val="nil"/>
            </w:tcBorders>
            <w:shd w:val="clear" w:color="auto" w:fill="auto"/>
            <w:noWrap/>
            <w:vAlign w:val="bottom"/>
            <w:hideMark/>
          </w:tcPr>
          <w:p w14:paraId="59C1ACED" w14:textId="77777777" w:rsidR="00536F28" w:rsidRPr="00536F28" w:rsidRDefault="00536F28" w:rsidP="005F07B4">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2012</w:t>
            </w:r>
          </w:p>
        </w:tc>
        <w:tc>
          <w:tcPr>
            <w:tcW w:w="1559" w:type="dxa"/>
            <w:tcBorders>
              <w:top w:val="single" w:sz="12" w:space="0" w:color="auto"/>
              <w:left w:val="nil"/>
              <w:bottom w:val="single" w:sz="12" w:space="0" w:color="auto"/>
              <w:right w:val="nil"/>
            </w:tcBorders>
            <w:shd w:val="clear" w:color="auto" w:fill="auto"/>
            <w:noWrap/>
            <w:vAlign w:val="bottom"/>
            <w:hideMark/>
          </w:tcPr>
          <w:p w14:paraId="7613ED31" w14:textId="77777777" w:rsidR="00536F28" w:rsidRPr="00536F28" w:rsidRDefault="00536F28" w:rsidP="005F07B4">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2013</w:t>
            </w:r>
          </w:p>
        </w:tc>
        <w:tc>
          <w:tcPr>
            <w:tcW w:w="1559" w:type="dxa"/>
            <w:tcBorders>
              <w:top w:val="single" w:sz="12" w:space="0" w:color="auto"/>
              <w:left w:val="nil"/>
              <w:bottom w:val="single" w:sz="12" w:space="0" w:color="auto"/>
              <w:right w:val="nil"/>
            </w:tcBorders>
            <w:shd w:val="clear" w:color="auto" w:fill="auto"/>
            <w:noWrap/>
            <w:vAlign w:val="bottom"/>
            <w:hideMark/>
          </w:tcPr>
          <w:p w14:paraId="757F5C9F" w14:textId="77777777" w:rsidR="00536F28" w:rsidRPr="00536F28" w:rsidRDefault="00536F28" w:rsidP="005F07B4">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2014</w:t>
            </w:r>
          </w:p>
        </w:tc>
      </w:tr>
      <w:tr w:rsidR="00536F28" w:rsidRPr="00536F28" w14:paraId="7FD65491" w14:textId="77777777" w:rsidTr="00536F28">
        <w:trPr>
          <w:trHeight w:val="315"/>
        </w:trPr>
        <w:tc>
          <w:tcPr>
            <w:tcW w:w="4253" w:type="dxa"/>
            <w:tcBorders>
              <w:top w:val="nil"/>
              <w:left w:val="nil"/>
              <w:bottom w:val="nil"/>
              <w:right w:val="nil"/>
            </w:tcBorders>
            <w:shd w:val="clear" w:color="auto" w:fill="auto"/>
            <w:noWrap/>
            <w:vAlign w:val="bottom"/>
            <w:hideMark/>
          </w:tcPr>
          <w:p w14:paraId="7D970976"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Ingresos por actividades ordinarias </w:t>
            </w:r>
          </w:p>
        </w:tc>
        <w:tc>
          <w:tcPr>
            <w:tcW w:w="1843" w:type="dxa"/>
            <w:tcBorders>
              <w:top w:val="nil"/>
              <w:left w:val="nil"/>
              <w:bottom w:val="nil"/>
              <w:right w:val="nil"/>
            </w:tcBorders>
            <w:shd w:val="clear" w:color="auto" w:fill="auto"/>
            <w:noWrap/>
            <w:vAlign w:val="bottom"/>
            <w:hideMark/>
          </w:tcPr>
          <w:p w14:paraId="2652F220"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521.183 </w:t>
            </w:r>
          </w:p>
        </w:tc>
        <w:tc>
          <w:tcPr>
            <w:tcW w:w="1559" w:type="dxa"/>
            <w:tcBorders>
              <w:top w:val="nil"/>
              <w:left w:val="nil"/>
              <w:bottom w:val="nil"/>
              <w:right w:val="nil"/>
            </w:tcBorders>
            <w:shd w:val="clear" w:color="auto" w:fill="auto"/>
            <w:noWrap/>
            <w:vAlign w:val="bottom"/>
            <w:hideMark/>
          </w:tcPr>
          <w:p w14:paraId="571F6BA6"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642.451 </w:t>
            </w:r>
          </w:p>
        </w:tc>
        <w:tc>
          <w:tcPr>
            <w:tcW w:w="1559" w:type="dxa"/>
            <w:tcBorders>
              <w:top w:val="nil"/>
              <w:left w:val="nil"/>
              <w:bottom w:val="nil"/>
              <w:right w:val="nil"/>
            </w:tcBorders>
            <w:shd w:val="clear" w:color="auto" w:fill="auto"/>
            <w:noWrap/>
            <w:vAlign w:val="bottom"/>
            <w:hideMark/>
          </w:tcPr>
          <w:p w14:paraId="6B7197B8"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833.505 </w:t>
            </w:r>
          </w:p>
        </w:tc>
      </w:tr>
      <w:tr w:rsidR="00536F28" w:rsidRPr="00536F28" w14:paraId="69F4F17E" w14:textId="77777777" w:rsidTr="00536F28">
        <w:trPr>
          <w:trHeight w:val="315"/>
        </w:trPr>
        <w:tc>
          <w:tcPr>
            <w:tcW w:w="4253" w:type="dxa"/>
            <w:tcBorders>
              <w:top w:val="nil"/>
              <w:left w:val="nil"/>
              <w:bottom w:val="nil"/>
              <w:right w:val="nil"/>
            </w:tcBorders>
            <w:shd w:val="clear" w:color="auto" w:fill="auto"/>
            <w:noWrap/>
            <w:vAlign w:val="bottom"/>
            <w:hideMark/>
          </w:tcPr>
          <w:p w14:paraId="5C774013" w14:textId="77777777" w:rsidR="00536F28" w:rsidRPr="00536F28" w:rsidRDefault="00536F28" w:rsidP="005F07B4">
            <w:pPr>
              <w:spacing w:after="0" w:line="240" w:lineRule="auto"/>
              <w:jc w:val="right"/>
              <w:rPr>
                <w:rFonts w:eastAsia="Times New Roman"/>
                <w:b/>
                <w:bCs/>
                <w:color w:val="000000"/>
                <w:szCs w:val="24"/>
                <w:lang w:eastAsia="es-EC"/>
              </w:rPr>
            </w:pPr>
            <w:r w:rsidRPr="00536F28">
              <w:rPr>
                <w:rFonts w:eastAsia="Times New Roman"/>
                <w:b/>
                <w:bCs/>
                <w:color w:val="000000"/>
                <w:szCs w:val="24"/>
                <w:lang w:eastAsia="es-EC"/>
              </w:rPr>
              <w:t xml:space="preserve"> TOTAL INGRESOS </w:t>
            </w:r>
          </w:p>
        </w:tc>
        <w:tc>
          <w:tcPr>
            <w:tcW w:w="1843" w:type="dxa"/>
            <w:tcBorders>
              <w:top w:val="nil"/>
              <w:left w:val="nil"/>
              <w:bottom w:val="nil"/>
              <w:right w:val="nil"/>
            </w:tcBorders>
            <w:shd w:val="clear" w:color="auto" w:fill="auto"/>
            <w:noWrap/>
            <w:vAlign w:val="bottom"/>
            <w:hideMark/>
          </w:tcPr>
          <w:p w14:paraId="65E20D6A"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521.183 </w:t>
            </w:r>
          </w:p>
        </w:tc>
        <w:tc>
          <w:tcPr>
            <w:tcW w:w="1559" w:type="dxa"/>
            <w:tcBorders>
              <w:top w:val="nil"/>
              <w:left w:val="nil"/>
              <w:bottom w:val="nil"/>
              <w:right w:val="nil"/>
            </w:tcBorders>
            <w:shd w:val="clear" w:color="auto" w:fill="auto"/>
            <w:noWrap/>
            <w:vAlign w:val="bottom"/>
            <w:hideMark/>
          </w:tcPr>
          <w:p w14:paraId="2C2986A8"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642.451 </w:t>
            </w:r>
          </w:p>
        </w:tc>
        <w:tc>
          <w:tcPr>
            <w:tcW w:w="1559" w:type="dxa"/>
            <w:tcBorders>
              <w:top w:val="nil"/>
              <w:left w:val="nil"/>
              <w:bottom w:val="nil"/>
              <w:right w:val="nil"/>
            </w:tcBorders>
            <w:shd w:val="clear" w:color="auto" w:fill="auto"/>
            <w:noWrap/>
            <w:vAlign w:val="bottom"/>
            <w:hideMark/>
          </w:tcPr>
          <w:p w14:paraId="501FAB21"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833.505 </w:t>
            </w:r>
          </w:p>
        </w:tc>
      </w:tr>
      <w:tr w:rsidR="00536F28" w:rsidRPr="00536F28" w14:paraId="49BF21B9" w14:textId="77777777" w:rsidTr="00536F28">
        <w:trPr>
          <w:trHeight w:val="315"/>
        </w:trPr>
        <w:tc>
          <w:tcPr>
            <w:tcW w:w="4253" w:type="dxa"/>
            <w:tcBorders>
              <w:top w:val="nil"/>
              <w:left w:val="nil"/>
              <w:bottom w:val="nil"/>
              <w:right w:val="nil"/>
            </w:tcBorders>
            <w:shd w:val="clear" w:color="auto" w:fill="auto"/>
            <w:noWrap/>
            <w:vAlign w:val="bottom"/>
            <w:hideMark/>
          </w:tcPr>
          <w:p w14:paraId="74E16D2D"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COSTOS </w:t>
            </w:r>
          </w:p>
        </w:tc>
        <w:tc>
          <w:tcPr>
            <w:tcW w:w="1843" w:type="dxa"/>
            <w:tcBorders>
              <w:top w:val="nil"/>
              <w:left w:val="nil"/>
              <w:bottom w:val="nil"/>
              <w:right w:val="nil"/>
            </w:tcBorders>
            <w:shd w:val="clear" w:color="auto" w:fill="auto"/>
            <w:noWrap/>
            <w:vAlign w:val="bottom"/>
            <w:hideMark/>
          </w:tcPr>
          <w:p w14:paraId="0726419A"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469.262 </w:t>
            </w:r>
          </w:p>
        </w:tc>
        <w:tc>
          <w:tcPr>
            <w:tcW w:w="1559" w:type="dxa"/>
            <w:tcBorders>
              <w:top w:val="nil"/>
              <w:left w:val="nil"/>
              <w:bottom w:val="nil"/>
              <w:right w:val="nil"/>
            </w:tcBorders>
            <w:shd w:val="clear" w:color="auto" w:fill="auto"/>
            <w:noWrap/>
            <w:vAlign w:val="bottom"/>
            <w:hideMark/>
          </w:tcPr>
          <w:p w14:paraId="61AF53EF"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558.969 </w:t>
            </w:r>
          </w:p>
        </w:tc>
        <w:tc>
          <w:tcPr>
            <w:tcW w:w="1559" w:type="dxa"/>
            <w:tcBorders>
              <w:top w:val="nil"/>
              <w:left w:val="nil"/>
              <w:bottom w:val="nil"/>
              <w:right w:val="nil"/>
            </w:tcBorders>
            <w:shd w:val="clear" w:color="auto" w:fill="auto"/>
            <w:noWrap/>
            <w:vAlign w:val="bottom"/>
            <w:hideMark/>
          </w:tcPr>
          <w:p w14:paraId="1E33F15C"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663.603 </w:t>
            </w:r>
          </w:p>
        </w:tc>
      </w:tr>
      <w:tr w:rsidR="00536F28" w:rsidRPr="00536F28" w14:paraId="7DD8232E" w14:textId="77777777" w:rsidTr="00536F28">
        <w:trPr>
          <w:trHeight w:val="315"/>
        </w:trPr>
        <w:tc>
          <w:tcPr>
            <w:tcW w:w="4253" w:type="dxa"/>
            <w:tcBorders>
              <w:top w:val="nil"/>
              <w:left w:val="nil"/>
              <w:bottom w:val="nil"/>
              <w:right w:val="nil"/>
            </w:tcBorders>
            <w:shd w:val="clear" w:color="auto" w:fill="auto"/>
            <w:noWrap/>
            <w:vAlign w:val="bottom"/>
            <w:hideMark/>
          </w:tcPr>
          <w:p w14:paraId="447DA51A"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GASTOS ADMINISTRATIVOS Y FINANCIEROS </w:t>
            </w:r>
          </w:p>
        </w:tc>
        <w:tc>
          <w:tcPr>
            <w:tcW w:w="1843" w:type="dxa"/>
            <w:tcBorders>
              <w:top w:val="nil"/>
              <w:left w:val="nil"/>
              <w:bottom w:val="nil"/>
              <w:right w:val="nil"/>
            </w:tcBorders>
            <w:shd w:val="clear" w:color="auto" w:fill="auto"/>
            <w:noWrap/>
            <w:vAlign w:val="bottom"/>
            <w:hideMark/>
          </w:tcPr>
          <w:p w14:paraId="2333A9B1"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85.430 </w:t>
            </w:r>
          </w:p>
        </w:tc>
        <w:tc>
          <w:tcPr>
            <w:tcW w:w="1559" w:type="dxa"/>
            <w:tcBorders>
              <w:top w:val="nil"/>
              <w:left w:val="nil"/>
              <w:bottom w:val="nil"/>
              <w:right w:val="nil"/>
            </w:tcBorders>
            <w:shd w:val="clear" w:color="auto" w:fill="auto"/>
            <w:noWrap/>
            <w:vAlign w:val="bottom"/>
            <w:hideMark/>
          </w:tcPr>
          <w:p w14:paraId="1001BD93"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83.092 </w:t>
            </w:r>
          </w:p>
        </w:tc>
        <w:tc>
          <w:tcPr>
            <w:tcW w:w="1559" w:type="dxa"/>
            <w:tcBorders>
              <w:top w:val="nil"/>
              <w:left w:val="nil"/>
              <w:bottom w:val="nil"/>
              <w:right w:val="nil"/>
            </w:tcBorders>
            <w:shd w:val="clear" w:color="auto" w:fill="auto"/>
            <w:noWrap/>
            <w:vAlign w:val="bottom"/>
            <w:hideMark/>
          </w:tcPr>
          <w:p w14:paraId="2DD274D0"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111.497 </w:t>
            </w:r>
          </w:p>
        </w:tc>
      </w:tr>
      <w:tr w:rsidR="00536F28" w:rsidRPr="00536F28" w14:paraId="72088C53" w14:textId="77777777" w:rsidTr="00536F28">
        <w:trPr>
          <w:trHeight w:val="315"/>
        </w:trPr>
        <w:tc>
          <w:tcPr>
            <w:tcW w:w="4253" w:type="dxa"/>
            <w:tcBorders>
              <w:top w:val="nil"/>
              <w:left w:val="nil"/>
              <w:bottom w:val="nil"/>
              <w:right w:val="nil"/>
            </w:tcBorders>
            <w:shd w:val="clear" w:color="auto" w:fill="auto"/>
            <w:noWrap/>
            <w:vAlign w:val="bottom"/>
            <w:hideMark/>
          </w:tcPr>
          <w:p w14:paraId="67CA90D2"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Gastos Administrativos </w:t>
            </w:r>
          </w:p>
        </w:tc>
        <w:tc>
          <w:tcPr>
            <w:tcW w:w="1843" w:type="dxa"/>
            <w:tcBorders>
              <w:top w:val="nil"/>
              <w:left w:val="nil"/>
              <w:bottom w:val="nil"/>
              <w:right w:val="nil"/>
            </w:tcBorders>
            <w:shd w:val="clear" w:color="auto" w:fill="auto"/>
            <w:noWrap/>
            <w:vAlign w:val="bottom"/>
            <w:hideMark/>
          </w:tcPr>
          <w:p w14:paraId="6122C4E5"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67.962 </w:t>
            </w:r>
          </w:p>
        </w:tc>
        <w:tc>
          <w:tcPr>
            <w:tcW w:w="1559" w:type="dxa"/>
            <w:tcBorders>
              <w:top w:val="nil"/>
              <w:left w:val="nil"/>
              <w:bottom w:val="nil"/>
              <w:right w:val="nil"/>
            </w:tcBorders>
            <w:shd w:val="clear" w:color="auto" w:fill="auto"/>
            <w:noWrap/>
            <w:vAlign w:val="bottom"/>
            <w:hideMark/>
          </w:tcPr>
          <w:p w14:paraId="0DE861A8"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59.095 </w:t>
            </w:r>
          </w:p>
        </w:tc>
        <w:tc>
          <w:tcPr>
            <w:tcW w:w="1559" w:type="dxa"/>
            <w:tcBorders>
              <w:top w:val="nil"/>
              <w:left w:val="nil"/>
              <w:bottom w:val="nil"/>
              <w:right w:val="nil"/>
            </w:tcBorders>
            <w:shd w:val="clear" w:color="auto" w:fill="auto"/>
            <w:noWrap/>
            <w:vAlign w:val="bottom"/>
            <w:hideMark/>
          </w:tcPr>
          <w:p w14:paraId="26F7230E"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83.623 </w:t>
            </w:r>
          </w:p>
        </w:tc>
      </w:tr>
      <w:tr w:rsidR="00536F28" w:rsidRPr="00536F28" w14:paraId="45C46593" w14:textId="77777777" w:rsidTr="00536F28">
        <w:trPr>
          <w:trHeight w:val="315"/>
        </w:trPr>
        <w:tc>
          <w:tcPr>
            <w:tcW w:w="4253" w:type="dxa"/>
            <w:tcBorders>
              <w:top w:val="nil"/>
              <w:left w:val="nil"/>
              <w:bottom w:val="nil"/>
              <w:right w:val="nil"/>
            </w:tcBorders>
            <w:shd w:val="clear" w:color="auto" w:fill="auto"/>
            <w:noWrap/>
            <w:vAlign w:val="bottom"/>
            <w:hideMark/>
          </w:tcPr>
          <w:p w14:paraId="4CFC4DDA"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Gastos Financieros </w:t>
            </w:r>
          </w:p>
        </w:tc>
        <w:tc>
          <w:tcPr>
            <w:tcW w:w="1843" w:type="dxa"/>
            <w:tcBorders>
              <w:top w:val="nil"/>
              <w:left w:val="nil"/>
              <w:bottom w:val="nil"/>
              <w:right w:val="nil"/>
            </w:tcBorders>
            <w:shd w:val="clear" w:color="auto" w:fill="auto"/>
            <w:noWrap/>
            <w:vAlign w:val="bottom"/>
            <w:hideMark/>
          </w:tcPr>
          <w:p w14:paraId="06438E39"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17.468 </w:t>
            </w:r>
          </w:p>
        </w:tc>
        <w:tc>
          <w:tcPr>
            <w:tcW w:w="1559" w:type="dxa"/>
            <w:tcBorders>
              <w:top w:val="nil"/>
              <w:left w:val="nil"/>
              <w:bottom w:val="nil"/>
              <w:right w:val="nil"/>
            </w:tcBorders>
            <w:shd w:val="clear" w:color="auto" w:fill="auto"/>
            <w:noWrap/>
            <w:vAlign w:val="bottom"/>
            <w:hideMark/>
          </w:tcPr>
          <w:p w14:paraId="68B3D501"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23.997 </w:t>
            </w:r>
          </w:p>
        </w:tc>
        <w:tc>
          <w:tcPr>
            <w:tcW w:w="1559" w:type="dxa"/>
            <w:tcBorders>
              <w:top w:val="nil"/>
              <w:left w:val="nil"/>
              <w:bottom w:val="nil"/>
              <w:right w:val="nil"/>
            </w:tcBorders>
            <w:shd w:val="clear" w:color="auto" w:fill="auto"/>
            <w:noWrap/>
            <w:vAlign w:val="bottom"/>
            <w:hideMark/>
          </w:tcPr>
          <w:p w14:paraId="55FF7F53" w14:textId="77777777" w:rsidR="00536F28" w:rsidRPr="00536F28" w:rsidRDefault="00536F28" w:rsidP="005F07B4">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27.874 </w:t>
            </w:r>
          </w:p>
        </w:tc>
      </w:tr>
      <w:tr w:rsidR="00536F28" w:rsidRPr="00536F28" w14:paraId="4757846A" w14:textId="77777777" w:rsidTr="00536F28">
        <w:trPr>
          <w:trHeight w:val="315"/>
        </w:trPr>
        <w:tc>
          <w:tcPr>
            <w:tcW w:w="4253" w:type="dxa"/>
            <w:tcBorders>
              <w:top w:val="nil"/>
              <w:left w:val="nil"/>
              <w:right w:val="nil"/>
            </w:tcBorders>
            <w:shd w:val="clear" w:color="auto" w:fill="auto"/>
            <w:noWrap/>
            <w:vAlign w:val="bottom"/>
            <w:hideMark/>
          </w:tcPr>
          <w:p w14:paraId="1A798AC0" w14:textId="77777777" w:rsidR="00536F28" w:rsidRPr="00536F28" w:rsidRDefault="00536F28" w:rsidP="005F07B4">
            <w:pPr>
              <w:spacing w:after="0" w:line="240" w:lineRule="auto"/>
              <w:jc w:val="right"/>
              <w:rPr>
                <w:rFonts w:eastAsia="Times New Roman"/>
                <w:b/>
                <w:bCs/>
                <w:color w:val="000000"/>
                <w:szCs w:val="24"/>
                <w:lang w:eastAsia="es-EC"/>
              </w:rPr>
            </w:pPr>
            <w:r w:rsidRPr="00536F28">
              <w:rPr>
                <w:rFonts w:eastAsia="Times New Roman"/>
                <w:b/>
                <w:bCs/>
                <w:color w:val="000000"/>
                <w:szCs w:val="24"/>
                <w:lang w:eastAsia="es-EC"/>
              </w:rPr>
              <w:t xml:space="preserve"> TOTAL COSTOS Y GASTOS </w:t>
            </w:r>
          </w:p>
        </w:tc>
        <w:tc>
          <w:tcPr>
            <w:tcW w:w="1843" w:type="dxa"/>
            <w:tcBorders>
              <w:top w:val="nil"/>
              <w:left w:val="nil"/>
              <w:right w:val="nil"/>
            </w:tcBorders>
            <w:shd w:val="clear" w:color="auto" w:fill="auto"/>
            <w:noWrap/>
            <w:vAlign w:val="bottom"/>
            <w:hideMark/>
          </w:tcPr>
          <w:p w14:paraId="43CCB321"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554.691 </w:t>
            </w:r>
          </w:p>
        </w:tc>
        <w:tc>
          <w:tcPr>
            <w:tcW w:w="1559" w:type="dxa"/>
            <w:tcBorders>
              <w:top w:val="nil"/>
              <w:left w:val="nil"/>
              <w:right w:val="nil"/>
            </w:tcBorders>
            <w:shd w:val="clear" w:color="auto" w:fill="auto"/>
            <w:noWrap/>
            <w:vAlign w:val="bottom"/>
            <w:hideMark/>
          </w:tcPr>
          <w:p w14:paraId="1F00C87D"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642.060 </w:t>
            </w:r>
          </w:p>
        </w:tc>
        <w:tc>
          <w:tcPr>
            <w:tcW w:w="1559" w:type="dxa"/>
            <w:tcBorders>
              <w:top w:val="nil"/>
              <w:left w:val="nil"/>
              <w:right w:val="nil"/>
            </w:tcBorders>
            <w:shd w:val="clear" w:color="auto" w:fill="auto"/>
            <w:noWrap/>
            <w:vAlign w:val="bottom"/>
            <w:hideMark/>
          </w:tcPr>
          <w:p w14:paraId="7C183288"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775.100 </w:t>
            </w:r>
          </w:p>
        </w:tc>
      </w:tr>
      <w:tr w:rsidR="00536F28" w:rsidRPr="00536F28" w14:paraId="143E84C8" w14:textId="77777777" w:rsidTr="00536F28">
        <w:trPr>
          <w:trHeight w:val="330"/>
        </w:trPr>
        <w:tc>
          <w:tcPr>
            <w:tcW w:w="4253" w:type="dxa"/>
            <w:tcBorders>
              <w:top w:val="nil"/>
              <w:left w:val="nil"/>
              <w:bottom w:val="single" w:sz="12" w:space="0" w:color="auto"/>
              <w:right w:val="nil"/>
            </w:tcBorders>
            <w:shd w:val="clear" w:color="auto" w:fill="auto"/>
            <w:noWrap/>
            <w:vAlign w:val="bottom"/>
            <w:hideMark/>
          </w:tcPr>
          <w:p w14:paraId="037FBDD7" w14:textId="77777777" w:rsidR="00536F28" w:rsidRPr="00536F28" w:rsidRDefault="00536F28" w:rsidP="005F07B4">
            <w:pPr>
              <w:spacing w:after="0" w:line="240" w:lineRule="auto"/>
              <w:jc w:val="right"/>
              <w:rPr>
                <w:rFonts w:eastAsia="Times New Roman"/>
                <w:b/>
                <w:bCs/>
                <w:color w:val="000000"/>
                <w:szCs w:val="24"/>
                <w:lang w:eastAsia="es-EC"/>
              </w:rPr>
            </w:pPr>
            <w:r w:rsidRPr="00536F28">
              <w:rPr>
                <w:rFonts w:eastAsia="Times New Roman"/>
                <w:b/>
                <w:bCs/>
                <w:color w:val="000000"/>
                <w:szCs w:val="24"/>
                <w:lang w:eastAsia="es-EC"/>
              </w:rPr>
              <w:t xml:space="preserve"> UTILIDAD ANTES DE IMPUESTOS </w:t>
            </w:r>
          </w:p>
        </w:tc>
        <w:tc>
          <w:tcPr>
            <w:tcW w:w="1843" w:type="dxa"/>
            <w:tcBorders>
              <w:top w:val="nil"/>
              <w:left w:val="nil"/>
              <w:bottom w:val="single" w:sz="12" w:space="0" w:color="auto"/>
              <w:right w:val="nil"/>
            </w:tcBorders>
            <w:shd w:val="clear" w:color="auto" w:fill="auto"/>
            <w:noWrap/>
            <w:vAlign w:val="bottom"/>
            <w:hideMark/>
          </w:tcPr>
          <w:p w14:paraId="56A280B9"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(33.508)</w:t>
            </w:r>
          </w:p>
        </w:tc>
        <w:tc>
          <w:tcPr>
            <w:tcW w:w="1559" w:type="dxa"/>
            <w:tcBorders>
              <w:top w:val="nil"/>
              <w:left w:val="nil"/>
              <w:bottom w:val="single" w:sz="12" w:space="0" w:color="auto"/>
              <w:right w:val="nil"/>
            </w:tcBorders>
            <w:shd w:val="clear" w:color="auto" w:fill="auto"/>
            <w:noWrap/>
            <w:vAlign w:val="bottom"/>
            <w:hideMark/>
          </w:tcPr>
          <w:p w14:paraId="33312C13"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391 </w:t>
            </w:r>
          </w:p>
        </w:tc>
        <w:tc>
          <w:tcPr>
            <w:tcW w:w="1559" w:type="dxa"/>
            <w:tcBorders>
              <w:top w:val="nil"/>
              <w:left w:val="nil"/>
              <w:bottom w:val="single" w:sz="12" w:space="0" w:color="auto"/>
              <w:right w:val="nil"/>
            </w:tcBorders>
            <w:shd w:val="clear" w:color="auto" w:fill="auto"/>
            <w:noWrap/>
            <w:vAlign w:val="bottom"/>
            <w:hideMark/>
          </w:tcPr>
          <w:p w14:paraId="007499D7" w14:textId="77777777" w:rsidR="00536F28" w:rsidRPr="00536F28" w:rsidRDefault="00536F28" w:rsidP="005F07B4">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58.405 </w:t>
            </w:r>
          </w:p>
        </w:tc>
      </w:tr>
    </w:tbl>
    <w:p w14:paraId="5767B83D" w14:textId="77777777" w:rsidR="00536F28" w:rsidRPr="005F07B4" w:rsidRDefault="00536F28" w:rsidP="00304120">
      <w:pPr>
        <w:rPr>
          <w:sz w:val="18"/>
          <w:szCs w:val="18"/>
        </w:rPr>
      </w:pPr>
      <w:r w:rsidRPr="005F07B4">
        <w:rPr>
          <w:sz w:val="18"/>
          <w:szCs w:val="18"/>
        </w:rPr>
        <w:t xml:space="preserve">Fuente: </w:t>
      </w:r>
      <w:sdt>
        <w:sdtPr>
          <w:rPr>
            <w:sz w:val="18"/>
            <w:szCs w:val="18"/>
          </w:rPr>
          <w:id w:val="1264572784"/>
          <w:citation/>
        </w:sdtPr>
        <w:sdtEndPr/>
        <w:sdtContent>
          <w:r w:rsidRPr="005F07B4">
            <w:rPr>
              <w:sz w:val="18"/>
              <w:szCs w:val="18"/>
            </w:rPr>
            <w:fldChar w:fldCharType="begin"/>
          </w:r>
          <w:r w:rsidRPr="005F07B4">
            <w:rPr>
              <w:sz w:val="18"/>
              <w:szCs w:val="18"/>
            </w:rPr>
            <w:instrText xml:space="preserve"> CITATION Sup16 \l 12298 </w:instrText>
          </w:r>
          <w:r w:rsidRPr="005F07B4">
            <w:rPr>
              <w:sz w:val="18"/>
              <w:szCs w:val="18"/>
            </w:rPr>
            <w:fldChar w:fldCharType="separate"/>
          </w:r>
          <w:r w:rsidR="00BC1846" w:rsidRPr="005F07B4">
            <w:rPr>
              <w:noProof/>
              <w:sz w:val="18"/>
              <w:szCs w:val="18"/>
            </w:rPr>
            <w:t>(Superintendencia de Compañías, Valores y Seguros, 2016)</w:t>
          </w:r>
          <w:r w:rsidRPr="005F07B4">
            <w:rPr>
              <w:sz w:val="18"/>
              <w:szCs w:val="18"/>
            </w:rPr>
            <w:fldChar w:fldCharType="end"/>
          </w:r>
        </w:sdtContent>
      </w:sdt>
    </w:p>
    <w:p w14:paraId="4113EE0D" w14:textId="77777777" w:rsidR="00536F28" w:rsidRPr="00304120" w:rsidRDefault="00536F28" w:rsidP="00536F28">
      <w:pPr>
        <w:pStyle w:val="TtulodeTDC"/>
        <w:rPr>
          <w:i w:val="0"/>
        </w:rPr>
      </w:pPr>
      <w:bookmarkStart w:id="73" w:name="_Toc446973220"/>
      <w:r w:rsidRPr="00304120">
        <w:rPr>
          <w:i w:val="0"/>
        </w:rPr>
        <w:lastRenderedPageBreak/>
        <w:t xml:space="preserve">Tabla </w:t>
      </w:r>
      <w:r w:rsidR="00CB1C2A" w:rsidRPr="00304120">
        <w:rPr>
          <w:i w:val="0"/>
        </w:rPr>
        <w:fldChar w:fldCharType="begin"/>
      </w:r>
      <w:r w:rsidR="00CB1C2A" w:rsidRPr="00304120">
        <w:rPr>
          <w:i w:val="0"/>
        </w:rPr>
        <w:instrText xml:space="preserve"> SEQ Tabla \* ARABIC </w:instrText>
      </w:r>
      <w:r w:rsidR="00CB1C2A" w:rsidRPr="00304120">
        <w:rPr>
          <w:i w:val="0"/>
        </w:rPr>
        <w:fldChar w:fldCharType="separate"/>
      </w:r>
      <w:r w:rsidR="00B828B8">
        <w:rPr>
          <w:i w:val="0"/>
          <w:noProof/>
        </w:rPr>
        <w:t>22</w:t>
      </w:r>
      <w:r w:rsidR="00CB1C2A" w:rsidRPr="00304120">
        <w:rPr>
          <w:i w:val="0"/>
          <w:noProof/>
        </w:rPr>
        <w:fldChar w:fldCharType="end"/>
      </w:r>
      <w:r w:rsidRPr="00304120">
        <w:rPr>
          <w:i w:val="0"/>
        </w:rPr>
        <w:t>: Balance General Simplificado de la empresa Cereales Andinos 2012-2014</w:t>
      </w:r>
      <w:bookmarkEnd w:id="73"/>
    </w:p>
    <w:tbl>
      <w:tblPr>
        <w:tblW w:w="8604" w:type="dxa"/>
        <w:jc w:val="center"/>
        <w:tblCellMar>
          <w:left w:w="70" w:type="dxa"/>
          <w:right w:w="70" w:type="dxa"/>
        </w:tblCellMar>
        <w:tblLook w:val="04A0" w:firstRow="1" w:lastRow="0" w:firstColumn="1" w:lastColumn="0" w:noHBand="0" w:noVBand="1"/>
      </w:tblPr>
      <w:tblGrid>
        <w:gridCol w:w="4044"/>
        <w:gridCol w:w="1520"/>
        <w:gridCol w:w="1520"/>
        <w:gridCol w:w="1520"/>
      </w:tblGrid>
      <w:tr w:rsidR="00536F28" w:rsidRPr="00536F28" w14:paraId="6A1AF7F8" w14:textId="77777777" w:rsidTr="00536F28">
        <w:trPr>
          <w:trHeight w:val="330"/>
          <w:jc w:val="center"/>
        </w:trPr>
        <w:tc>
          <w:tcPr>
            <w:tcW w:w="4044" w:type="dxa"/>
            <w:tcBorders>
              <w:top w:val="single" w:sz="12" w:space="0" w:color="auto"/>
              <w:left w:val="nil"/>
              <w:bottom w:val="single" w:sz="12" w:space="0" w:color="auto"/>
              <w:right w:val="nil"/>
            </w:tcBorders>
            <w:shd w:val="clear" w:color="auto" w:fill="auto"/>
            <w:noWrap/>
            <w:vAlign w:val="bottom"/>
            <w:hideMark/>
          </w:tcPr>
          <w:p w14:paraId="34A04629"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w:t>
            </w:r>
          </w:p>
        </w:tc>
        <w:tc>
          <w:tcPr>
            <w:tcW w:w="1520" w:type="dxa"/>
            <w:tcBorders>
              <w:top w:val="single" w:sz="12" w:space="0" w:color="auto"/>
              <w:left w:val="nil"/>
              <w:bottom w:val="single" w:sz="12" w:space="0" w:color="auto"/>
              <w:right w:val="nil"/>
            </w:tcBorders>
            <w:shd w:val="clear" w:color="auto" w:fill="auto"/>
            <w:noWrap/>
            <w:vAlign w:val="bottom"/>
            <w:hideMark/>
          </w:tcPr>
          <w:p w14:paraId="03B059C8"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2012</w:t>
            </w:r>
          </w:p>
        </w:tc>
        <w:tc>
          <w:tcPr>
            <w:tcW w:w="1520" w:type="dxa"/>
            <w:tcBorders>
              <w:top w:val="single" w:sz="12" w:space="0" w:color="auto"/>
              <w:left w:val="nil"/>
              <w:bottom w:val="single" w:sz="12" w:space="0" w:color="auto"/>
              <w:right w:val="nil"/>
            </w:tcBorders>
            <w:shd w:val="clear" w:color="auto" w:fill="auto"/>
            <w:noWrap/>
            <w:vAlign w:val="bottom"/>
            <w:hideMark/>
          </w:tcPr>
          <w:p w14:paraId="1F70FAB1"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2013</w:t>
            </w:r>
          </w:p>
        </w:tc>
        <w:tc>
          <w:tcPr>
            <w:tcW w:w="1520" w:type="dxa"/>
            <w:tcBorders>
              <w:top w:val="single" w:sz="12" w:space="0" w:color="auto"/>
              <w:left w:val="nil"/>
              <w:bottom w:val="single" w:sz="12" w:space="0" w:color="auto"/>
              <w:right w:val="nil"/>
            </w:tcBorders>
            <w:shd w:val="clear" w:color="auto" w:fill="auto"/>
            <w:noWrap/>
            <w:vAlign w:val="bottom"/>
            <w:hideMark/>
          </w:tcPr>
          <w:p w14:paraId="4C4E1225"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2014</w:t>
            </w:r>
          </w:p>
        </w:tc>
      </w:tr>
      <w:tr w:rsidR="00536F28" w:rsidRPr="00536F28" w14:paraId="194AABD0" w14:textId="77777777" w:rsidTr="00536F28">
        <w:trPr>
          <w:trHeight w:val="315"/>
          <w:jc w:val="center"/>
        </w:trPr>
        <w:tc>
          <w:tcPr>
            <w:tcW w:w="4044" w:type="dxa"/>
            <w:tcBorders>
              <w:top w:val="single" w:sz="12" w:space="0" w:color="auto"/>
              <w:left w:val="nil"/>
              <w:bottom w:val="nil"/>
              <w:right w:val="nil"/>
            </w:tcBorders>
            <w:shd w:val="clear" w:color="auto" w:fill="auto"/>
            <w:noWrap/>
            <w:vAlign w:val="bottom"/>
            <w:hideMark/>
          </w:tcPr>
          <w:p w14:paraId="27A7DFD4"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ACTIVO</w:t>
            </w:r>
          </w:p>
        </w:tc>
        <w:tc>
          <w:tcPr>
            <w:tcW w:w="1520" w:type="dxa"/>
            <w:tcBorders>
              <w:top w:val="single" w:sz="12" w:space="0" w:color="auto"/>
              <w:left w:val="nil"/>
              <w:bottom w:val="nil"/>
              <w:right w:val="nil"/>
            </w:tcBorders>
            <w:shd w:val="clear" w:color="auto" w:fill="auto"/>
            <w:noWrap/>
            <w:vAlign w:val="bottom"/>
            <w:hideMark/>
          </w:tcPr>
          <w:p w14:paraId="6E428FB8" w14:textId="77777777" w:rsidR="00536F28" w:rsidRPr="00536F28" w:rsidRDefault="00536F28" w:rsidP="00536F28">
            <w:pPr>
              <w:spacing w:after="0" w:line="240" w:lineRule="auto"/>
              <w:jc w:val="center"/>
              <w:rPr>
                <w:rFonts w:eastAsia="Times New Roman"/>
                <w:b/>
                <w:bCs/>
                <w:color w:val="000000"/>
                <w:szCs w:val="24"/>
                <w:lang w:eastAsia="es-EC"/>
              </w:rPr>
            </w:pPr>
          </w:p>
        </w:tc>
        <w:tc>
          <w:tcPr>
            <w:tcW w:w="1520" w:type="dxa"/>
            <w:tcBorders>
              <w:top w:val="single" w:sz="12" w:space="0" w:color="auto"/>
              <w:left w:val="nil"/>
              <w:bottom w:val="nil"/>
              <w:right w:val="nil"/>
            </w:tcBorders>
            <w:shd w:val="clear" w:color="auto" w:fill="auto"/>
            <w:noWrap/>
            <w:vAlign w:val="bottom"/>
            <w:hideMark/>
          </w:tcPr>
          <w:p w14:paraId="0A907F88"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single" w:sz="12" w:space="0" w:color="auto"/>
              <w:left w:val="nil"/>
              <w:bottom w:val="nil"/>
              <w:right w:val="nil"/>
            </w:tcBorders>
            <w:shd w:val="clear" w:color="auto" w:fill="auto"/>
            <w:noWrap/>
            <w:vAlign w:val="bottom"/>
            <w:hideMark/>
          </w:tcPr>
          <w:p w14:paraId="64793748" w14:textId="77777777" w:rsidR="00536F28" w:rsidRPr="00536F28" w:rsidRDefault="00536F28" w:rsidP="00536F28">
            <w:pPr>
              <w:spacing w:after="0" w:line="240" w:lineRule="auto"/>
              <w:jc w:val="left"/>
              <w:rPr>
                <w:rFonts w:eastAsia="Times New Roman"/>
                <w:sz w:val="20"/>
                <w:szCs w:val="20"/>
                <w:lang w:eastAsia="es-EC"/>
              </w:rPr>
            </w:pPr>
          </w:p>
        </w:tc>
      </w:tr>
      <w:tr w:rsidR="00536F28" w:rsidRPr="00536F28" w14:paraId="40D51C15"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60ADF831"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Activo Corriente</w:t>
            </w:r>
          </w:p>
        </w:tc>
        <w:tc>
          <w:tcPr>
            <w:tcW w:w="1520" w:type="dxa"/>
            <w:tcBorders>
              <w:top w:val="nil"/>
              <w:left w:val="nil"/>
              <w:bottom w:val="nil"/>
              <w:right w:val="nil"/>
            </w:tcBorders>
            <w:shd w:val="clear" w:color="auto" w:fill="auto"/>
            <w:noWrap/>
            <w:vAlign w:val="bottom"/>
            <w:hideMark/>
          </w:tcPr>
          <w:p w14:paraId="0D176165"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139.690 </w:t>
            </w:r>
          </w:p>
        </w:tc>
        <w:tc>
          <w:tcPr>
            <w:tcW w:w="1520" w:type="dxa"/>
            <w:tcBorders>
              <w:top w:val="nil"/>
              <w:left w:val="nil"/>
              <w:bottom w:val="nil"/>
              <w:right w:val="nil"/>
            </w:tcBorders>
            <w:shd w:val="clear" w:color="auto" w:fill="auto"/>
            <w:noWrap/>
            <w:vAlign w:val="bottom"/>
            <w:hideMark/>
          </w:tcPr>
          <w:p w14:paraId="55002141"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158.923 </w:t>
            </w:r>
          </w:p>
        </w:tc>
        <w:tc>
          <w:tcPr>
            <w:tcW w:w="1520" w:type="dxa"/>
            <w:tcBorders>
              <w:top w:val="nil"/>
              <w:left w:val="nil"/>
              <w:bottom w:val="nil"/>
              <w:right w:val="nil"/>
            </w:tcBorders>
            <w:shd w:val="clear" w:color="auto" w:fill="auto"/>
            <w:noWrap/>
            <w:vAlign w:val="bottom"/>
            <w:hideMark/>
          </w:tcPr>
          <w:p w14:paraId="010891FC"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152.021 </w:t>
            </w:r>
          </w:p>
        </w:tc>
      </w:tr>
      <w:tr w:rsidR="00536F28" w:rsidRPr="00536F28" w14:paraId="697DD15E"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4AA31990"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Activo no Corriente</w:t>
            </w:r>
          </w:p>
        </w:tc>
        <w:tc>
          <w:tcPr>
            <w:tcW w:w="1520" w:type="dxa"/>
            <w:tcBorders>
              <w:top w:val="nil"/>
              <w:left w:val="nil"/>
              <w:bottom w:val="nil"/>
              <w:right w:val="nil"/>
            </w:tcBorders>
            <w:shd w:val="clear" w:color="auto" w:fill="auto"/>
            <w:noWrap/>
            <w:vAlign w:val="bottom"/>
            <w:hideMark/>
          </w:tcPr>
          <w:p w14:paraId="6E1876A3"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474.033 </w:t>
            </w:r>
          </w:p>
        </w:tc>
        <w:tc>
          <w:tcPr>
            <w:tcW w:w="1520" w:type="dxa"/>
            <w:tcBorders>
              <w:top w:val="nil"/>
              <w:left w:val="nil"/>
              <w:bottom w:val="nil"/>
              <w:right w:val="nil"/>
            </w:tcBorders>
            <w:shd w:val="clear" w:color="auto" w:fill="auto"/>
            <w:noWrap/>
            <w:vAlign w:val="bottom"/>
            <w:hideMark/>
          </w:tcPr>
          <w:p w14:paraId="3B8C3670"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454.848 </w:t>
            </w:r>
          </w:p>
        </w:tc>
        <w:tc>
          <w:tcPr>
            <w:tcW w:w="1520" w:type="dxa"/>
            <w:tcBorders>
              <w:top w:val="nil"/>
              <w:left w:val="nil"/>
              <w:bottom w:val="nil"/>
              <w:right w:val="nil"/>
            </w:tcBorders>
            <w:shd w:val="clear" w:color="auto" w:fill="auto"/>
            <w:noWrap/>
            <w:vAlign w:val="bottom"/>
            <w:hideMark/>
          </w:tcPr>
          <w:p w14:paraId="0D113DD5"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611.509 </w:t>
            </w:r>
          </w:p>
        </w:tc>
      </w:tr>
      <w:tr w:rsidR="00536F28" w:rsidRPr="00536F28" w14:paraId="4227FFDE"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1AD5FDCF"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TOTAL ACTIVO</w:t>
            </w:r>
          </w:p>
        </w:tc>
        <w:tc>
          <w:tcPr>
            <w:tcW w:w="1520" w:type="dxa"/>
            <w:tcBorders>
              <w:top w:val="nil"/>
              <w:left w:val="nil"/>
              <w:bottom w:val="nil"/>
              <w:right w:val="nil"/>
            </w:tcBorders>
            <w:shd w:val="clear" w:color="auto" w:fill="auto"/>
            <w:noWrap/>
            <w:vAlign w:val="bottom"/>
            <w:hideMark/>
          </w:tcPr>
          <w:p w14:paraId="1E76AEF1"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613.723 </w:t>
            </w:r>
          </w:p>
        </w:tc>
        <w:tc>
          <w:tcPr>
            <w:tcW w:w="1520" w:type="dxa"/>
            <w:tcBorders>
              <w:top w:val="nil"/>
              <w:left w:val="nil"/>
              <w:bottom w:val="nil"/>
              <w:right w:val="nil"/>
            </w:tcBorders>
            <w:shd w:val="clear" w:color="auto" w:fill="auto"/>
            <w:noWrap/>
            <w:vAlign w:val="bottom"/>
            <w:hideMark/>
          </w:tcPr>
          <w:p w14:paraId="4A2204A1"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613.771 </w:t>
            </w:r>
          </w:p>
        </w:tc>
        <w:tc>
          <w:tcPr>
            <w:tcW w:w="1520" w:type="dxa"/>
            <w:tcBorders>
              <w:top w:val="nil"/>
              <w:left w:val="nil"/>
              <w:bottom w:val="nil"/>
              <w:right w:val="nil"/>
            </w:tcBorders>
            <w:shd w:val="clear" w:color="auto" w:fill="auto"/>
            <w:noWrap/>
            <w:vAlign w:val="bottom"/>
            <w:hideMark/>
          </w:tcPr>
          <w:p w14:paraId="16186D5B"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763.530 </w:t>
            </w:r>
          </w:p>
        </w:tc>
      </w:tr>
      <w:tr w:rsidR="00536F28" w:rsidRPr="00536F28" w14:paraId="2F704C84"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138FD040" w14:textId="77777777" w:rsidR="00536F28" w:rsidRPr="00536F28" w:rsidRDefault="00536F28" w:rsidP="00536F28">
            <w:pPr>
              <w:spacing w:after="0" w:line="240" w:lineRule="auto"/>
              <w:jc w:val="left"/>
              <w:rPr>
                <w:rFonts w:eastAsia="Times New Roman"/>
                <w:b/>
                <w:bCs/>
                <w:color w:val="000000"/>
                <w:szCs w:val="24"/>
                <w:lang w:eastAsia="es-EC"/>
              </w:rPr>
            </w:pPr>
          </w:p>
        </w:tc>
        <w:tc>
          <w:tcPr>
            <w:tcW w:w="1520" w:type="dxa"/>
            <w:tcBorders>
              <w:top w:val="nil"/>
              <w:left w:val="nil"/>
              <w:bottom w:val="nil"/>
              <w:right w:val="nil"/>
            </w:tcBorders>
            <w:shd w:val="clear" w:color="auto" w:fill="auto"/>
            <w:noWrap/>
            <w:vAlign w:val="bottom"/>
            <w:hideMark/>
          </w:tcPr>
          <w:p w14:paraId="0F34F09C"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7CFF3D7A"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66E662FC" w14:textId="77777777" w:rsidR="00536F28" w:rsidRPr="00536F28" w:rsidRDefault="00536F28" w:rsidP="00536F28">
            <w:pPr>
              <w:spacing w:after="0" w:line="240" w:lineRule="auto"/>
              <w:jc w:val="left"/>
              <w:rPr>
                <w:rFonts w:eastAsia="Times New Roman"/>
                <w:sz w:val="20"/>
                <w:szCs w:val="20"/>
                <w:lang w:eastAsia="es-EC"/>
              </w:rPr>
            </w:pPr>
          </w:p>
        </w:tc>
      </w:tr>
      <w:tr w:rsidR="00536F28" w:rsidRPr="00536F28" w14:paraId="3D4E1B92"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02343E2C"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PASIVO</w:t>
            </w:r>
          </w:p>
        </w:tc>
        <w:tc>
          <w:tcPr>
            <w:tcW w:w="1520" w:type="dxa"/>
            <w:tcBorders>
              <w:top w:val="nil"/>
              <w:left w:val="nil"/>
              <w:bottom w:val="nil"/>
              <w:right w:val="nil"/>
            </w:tcBorders>
            <w:shd w:val="clear" w:color="auto" w:fill="auto"/>
            <w:noWrap/>
            <w:vAlign w:val="bottom"/>
            <w:hideMark/>
          </w:tcPr>
          <w:p w14:paraId="2941C5C6" w14:textId="77777777" w:rsidR="00536F28" w:rsidRPr="00536F28" w:rsidRDefault="00536F28" w:rsidP="00536F28">
            <w:pPr>
              <w:spacing w:after="0" w:line="240" w:lineRule="auto"/>
              <w:jc w:val="center"/>
              <w:rPr>
                <w:rFonts w:eastAsia="Times New Roman"/>
                <w:b/>
                <w:bCs/>
                <w:color w:val="000000"/>
                <w:szCs w:val="24"/>
                <w:lang w:eastAsia="es-EC"/>
              </w:rPr>
            </w:pPr>
          </w:p>
        </w:tc>
        <w:tc>
          <w:tcPr>
            <w:tcW w:w="1520" w:type="dxa"/>
            <w:tcBorders>
              <w:top w:val="nil"/>
              <w:left w:val="nil"/>
              <w:bottom w:val="nil"/>
              <w:right w:val="nil"/>
            </w:tcBorders>
            <w:shd w:val="clear" w:color="auto" w:fill="auto"/>
            <w:noWrap/>
            <w:vAlign w:val="bottom"/>
            <w:hideMark/>
          </w:tcPr>
          <w:p w14:paraId="5B4D01B7"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3447B095" w14:textId="77777777" w:rsidR="00536F28" w:rsidRPr="00536F28" w:rsidRDefault="00536F28" w:rsidP="00536F28">
            <w:pPr>
              <w:spacing w:after="0" w:line="240" w:lineRule="auto"/>
              <w:jc w:val="left"/>
              <w:rPr>
                <w:rFonts w:eastAsia="Times New Roman"/>
                <w:sz w:val="20"/>
                <w:szCs w:val="20"/>
                <w:lang w:eastAsia="es-EC"/>
              </w:rPr>
            </w:pPr>
          </w:p>
        </w:tc>
      </w:tr>
      <w:tr w:rsidR="00536F28" w:rsidRPr="00536F28" w14:paraId="34BDE07C"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788488E7"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Pasivo Corriente</w:t>
            </w:r>
          </w:p>
        </w:tc>
        <w:tc>
          <w:tcPr>
            <w:tcW w:w="1520" w:type="dxa"/>
            <w:tcBorders>
              <w:top w:val="nil"/>
              <w:left w:val="nil"/>
              <w:bottom w:val="nil"/>
              <w:right w:val="nil"/>
            </w:tcBorders>
            <w:shd w:val="clear" w:color="auto" w:fill="auto"/>
            <w:noWrap/>
            <w:vAlign w:val="bottom"/>
            <w:hideMark/>
          </w:tcPr>
          <w:p w14:paraId="0F84F018"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320.268 </w:t>
            </w:r>
          </w:p>
        </w:tc>
        <w:tc>
          <w:tcPr>
            <w:tcW w:w="1520" w:type="dxa"/>
            <w:tcBorders>
              <w:top w:val="nil"/>
              <w:left w:val="nil"/>
              <w:bottom w:val="nil"/>
              <w:right w:val="nil"/>
            </w:tcBorders>
            <w:shd w:val="clear" w:color="auto" w:fill="auto"/>
            <w:noWrap/>
            <w:vAlign w:val="bottom"/>
            <w:hideMark/>
          </w:tcPr>
          <w:p w14:paraId="79FB8B07"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368.675 </w:t>
            </w:r>
          </w:p>
        </w:tc>
        <w:tc>
          <w:tcPr>
            <w:tcW w:w="1520" w:type="dxa"/>
            <w:tcBorders>
              <w:top w:val="nil"/>
              <w:left w:val="nil"/>
              <w:bottom w:val="nil"/>
              <w:right w:val="nil"/>
            </w:tcBorders>
            <w:shd w:val="clear" w:color="auto" w:fill="auto"/>
            <w:noWrap/>
            <w:vAlign w:val="bottom"/>
            <w:hideMark/>
          </w:tcPr>
          <w:p w14:paraId="4211823B"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155.506 </w:t>
            </w:r>
          </w:p>
        </w:tc>
      </w:tr>
      <w:tr w:rsidR="00536F28" w:rsidRPr="00536F28" w14:paraId="0E4AF42D"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7359C0B9"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Pasivo no Corriente</w:t>
            </w:r>
          </w:p>
        </w:tc>
        <w:tc>
          <w:tcPr>
            <w:tcW w:w="1520" w:type="dxa"/>
            <w:tcBorders>
              <w:top w:val="nil"/>
              <w:left w:val="nil"/>
              <w:bottom w:val="nil"/>
              <w:right w:val="nil"/>
            </w:tcBorders>
            <w:shd w:val="clear" w:color="auto" w:fill="auto"/>
            <w:noWrap/>
            <w:vAlign w:val="bottom"/>
            <w:hideMark/>
          </w:tcPr>
          <w:p w14:paraId="55436494"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209.994 </w:t>
            </w:r>
          </w:p>
        </w:tc>
        <w:tc>
          <w:tcPr>
            <w:tcW w:w="1520" w:type="dxa"/>
            <w:tcBorders>
              <w:top w:val="nil"/>
              <w:left w:val="nil"/>
              <w:bottom w:val="nil"/>
              <w:right w:val="nil"/>
            </w:tcBorders>
            <w:shd w:val="clear" w:color="auto" w:fill="auto"/>
            <w:noWrap/>
            <w:vAlign w:val="bottom"/>
            <w:hideMark/>
          </w:tcPr>
          <w:p w14:paraId="157666D9"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161.496 </w:t>
            </w:r>
          </w:p>
        </w:tc>
        <w:tc>
          <w:tcPr>
            <w:tcW w:w="1520" w:type="dxa"/>
            <w:tcBorders>
              <w:top w:val="nil"/>
              <w:left w:val="nil"/>
              <w:bottom w:val="nil"/>
              <w:right w:val="nil"/>
            </w:tcBorders>
            <w:shd w:val="clear" w:color="auto" w:fill="auto"/>
            <w:noWrap/>
            <w:vAlign w:val="bottom"/>
            <w:hideMark/>
          </w:tcPr>
          <w:p w14:paraId="7A544794" w14:textId="77777777" w:rsidR="00536F28" w:rsidRPr="00536F28" w:rsidRDefault="00536F28" w:rsidP="00536F28">
            <w:pPr>
              <w:spacing w:after="0" w:line="240" w:lineRule="auto"/>
              <w:jc w:val="left"/>
              <w:rPr>
                <w:rFonts w:eastAsia="Times New Roman"/>
                <w:color w:val="000000"/>
                <w:szCs w:val="24"/>
                <w:lang w:eastAsia="es-EC"/>
              </w:rPr>
            </w:pPr>
            <w:r w:rsidRPr="00536F28">
              <w:rPr>
                <w:rFonts w:eastAsia="Times New Roman"/>
                <w:color w:val="000000"/>
                <w:szCs w:val="24"/>
                <w:lang w:eastAsia="es-EC"/>
              </w:rPr>
              <w:t xml:space="preserve"> $       304.381 </w:t>
            </w:r>
          </w:p>
        </w:tc>
      </w:tr>
      <w:tr w:rsidR="00536F28" w:rsidRPr="00536F28" w14:paraId="21CA639C"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6C861C1D"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TOTAL PASIVO</w:t>
            </w:r>
          </w:p>
        </w:tc>
        <w:tc>
          <w:tcPr>
            <w:tcW w:w="1520" w:type="dxa"/>
            <w:tcBorders>
              <w:top w:val="nil"/>
              <w:left w:val="nil"/>
              <w:bottom w:val="nil"/>
              <w:right w:val="nil"/>
            </w:tcBorders>
            <w:shd w:val="clear" w:color="auto" w:fill="auto"/>
            <w:noWrap/>
            <w:vAlign w:val="bottom"/>
            <w:hideMark/>
          </w:tcPr>
          <w:p w14:paraId="6FF18675"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530.262 </w:t>
            </w:r>
          </w:p>
        </w:tc>
        <w:tc>
          <w:tcPr>
            <w:tcW w:w="1520" w:type="dxa"/>
            <w:tcBorders>
              <w:top w:val="nil"/>
              <w:left w:val="nil"/>
              <w:bottom w:val="nil"/>
              <w:right w:val="nil"/>
            </w:tcBorders>
            <w:shd w:val="clear" w:color="auto" w:fill="auto"/>
            <w:noWrap/>
            <w:vAlign w:val="bottom"/>
            <w:hideMark/>
          </w:tcPr>
          <w:p w14:paraId="1FC03582"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530.172 </w:t>
            </w:r>
          </w:p>
        </w:tc>
        <w:tc>
          <w:tcPr>
            <w:tcW w:w="1520" w:type="dxa"/>
            <w:tcBorders>
              <w:top w:val="nil"/>
              <w:left w:val="nil"/>
              <w:bottom w:val="nil"/>
              <w:right w:val="nil"/>
            </w:tcBorders>
            <w:shd w:val="clear" w:color="auto" w:fill="auto"/>
            <w:noWrap/>
            <w:vAlign w:val="bottom"/>
            <w:hideMark/>
          </w:tcPr>
          <w:p w14:paraId="2BD19192"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459.886 </w:t>
            </w:r>
          </w:p>
        </w:tc>
      </w:tr>
      <w:tr w:rsidR="00536F28" w:rsidRPr="00536F28" w14:paraId="673076A3"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6C5C1BC8" w14:textId="77777777" w:rsidR="00536F28" w:rsidRPr="00536F28" w:rsidRDefault="00536F28" w:rsidP="00536F28">
            <w:pPr>
              <w:spacing w:after="0" w:line="240" w:lineRule="auto"/>
              <w:jc w:val="left"/>
              <w:rPr>
                <w:rFonts w:eastAsia="Times New Roman"/>
                <w:b/>
                <w:bCs/>
                <w:color w:val="000000"/>
                <w:szCs w:val="24"/>
                <w:lang w:eastAsia="es-EC"/>
              </w:rPr>
            </w:pPr>
          </w:p>
        </w:tc>
        <w:tc>
          <w:tcPr>
            <w:tcW w:w="1520" w:type="dxa"/>
            <w:tcBorders>
              <w:top w:val="nil"/>
              <w:left w:val="nil"/>
              <w:bottom w:val="nil"/>
              <w:right w:val="nil"/>
            </w:tcBorders>
            <w:shd w:val="clear" w:color="auto" w:fill="auto"/>
            <w:noWrap/>
            <w:vAlign w:val="bottom"/>
            <w:hideMark/>
          </w:tcPr>
          <w:p w14:paraId="24A2A5C5"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0EBE2F71"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312EB05C" w14:textId="77777777" w:rsidR="00536F28" w:rsidRPr="00536F28" w:rsidRDefault="00536F28" w:rsidP="00536F28">
            <w:pPr>
              <w:spacing w:after="0" w:line="240" w:lineRule="auto"/>
              <w:jc w:val="left"/>
              <w:rPr>
                <w:rFonts w:eastAsia="Times New Roman"/>
                <w:sz w:val="20"/>
                <w:szCs w:val="20"/>
                <w:lang w:eastAsia="es-EC"/>
              </w:rPr>
            </w:pPr>
          </w:p>
        </w:tc>
      </w:tr>
      <w:tr w:rsidR="00536F28" w:rsidRPr="00536F28" w14:paraId="236BA7C6"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4944346A"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PATRIMONIO</w:t>
            </w:r>
          </w:p>
        </w:tc>
        <w:tc>
          <w:tcPr>
            <w:tcW w:w="1520" w:type="dxa"/>
            <w:tcBorders>
              <w:top w:val="nil"/>
              <w:left w:val="nil"/>
              <w:bottom w:val="nil"/>
              <w:right w:val="nil"/>
            </w:tcBorders>
            <w:shd w:val="clear" w:color="auto" w:fill="auto"/>
            <w:noWrap/>
            <w:vAlign w:val="bottom"/>
            <w:hideMark/>
          </w:tcPr>
          <w:p w14:paraId="589BA13F" w14:textId="77777777" w:rsidR="00536F28" w:rsidRPr="00536F28" w:rsidRDefault="00536F28" w:rsidP="00536F28">
            <w:pPr>
              <w:spacing w:after="0" w:line="240" w:lineRule="auto"/>
              <w:jc w:val="center"/>
              <w:rPr>
                <w:rFonts w:eastAsia="Times New Roman"/>
                <w:b/>
                <w:bCs/>
                <w:color w:val="000000"/>
                <w:szCs w:val="24"/>
                <w:lang w:eastAsia="es-EC"/>
              </w:rPr>
            </w:pPr>
          </w:p>
        </w:tc>
        <w:tc>
          <w:tcPr>
            <w:tcW w:w="1520" w:type="dxa"/>
            <w:tcBorders>
              <w:top w:val="nil"/>
              <w:left w:val="nil"/>
              <w:bottom w:val="nil"/>
              <w:right w:val="nil"/>
            </w:tcBorders>
            <w:shd w:val="clear" w:color="auto" w:fill="auto"/>
            <w:noWrap/>
            <w:vAlign w:val="bottom"/>
            <w:hideMark/>
          </w:tcPr>
          <w:p w14:paraId="6585C673" w14:textId="77777777" w:rsidR="00536F28" w:rsidRPr="00536F28" w:rsidRDefault="00536F28" w:rsidP="00536F28">
            <w:pPr>
              <w:spacing w:after="0" w:line="240" w:lineRule="auto"/>
              <w:jc w:val="left"/>
              <w:rPr>
                <w:rFonts w:eastAsia="Times New Roman"/>
                <w:sz w:val="20"/>
                <w:szCs w:val="20"/>
                <w:lang w:eastAsia="es-EC"/>
              </w:rPr>
            </w:pPr>
          </w:p>
        </w:tc>
        <w:tc>
          <w:tcPr>
            <w:tcW w:w="1520" w:type="dxa"/>
            <w:tcBorders>
              <w:top w:val="nil"/>
              <w:left w:val="nil"/>
              <w:bottom w:val="nil"/>
              <w:right w:val="nil"/>
            </w:tcBorders>
            <w:shd w:val="clear" w:color="auto" w:fill="auto"/>
            <w:noWrap/>
            <w:vAlign w:val="bottom"/>
            <w:hideMark/>
          </w:tcPr>
          <w:p w14:paraId="581B1E71" w14:textId="77777777" w:rsidR="00536F28" w:rsidRPr="00536F28" w:rsidRDefault="00536F28" w:rsidP="00536F28">
            <w:pPr>
              <w:spacing w:after="0" w:line="240" w:lineRule="auto"/>
              <w:jc w:val="left"/>
              <w:rPr>
                <w:rFonts w:eastAsia="Times New Roman"/>
                <w:sz w:val="20"/>
                <w:szCs w:val="20"/>
                <w:lang w:eastAsia="es-EC"/>
              </w:rPr>
            </w:pPr>
          </w:p>
        </w:tc>
      </w:tr>
      <w:tr w:rsidR="00536F28" w:rsidRPr="00536F28" w14:paraId="7E0E4DC0" w14:textId="77777777" w:rsidTr="00536F28">
        <w:trPr>
          <w:trHeight w:val="315"/>
          <w:jc w:val="center"/>
        </w:trPr>
        <w:tc>
          <w:tcPr>
            <w:tcW w:w="4044" w:type="dxa"/>
            <w:tcBorders>
              <w:top w:val="nil"/>
              <w:left w:val="nil"/>
              <w:bottom w:val="nil"/>
              <w:right w:val="nil"/>
            </w:tcBorders>
            <w:shd w:val="clear" w:color="auto" w:fill="auto"/>
            <w:noWrap/>
            <w:vAlign w:val="bottom"/>
            <w:hideMark/>
          </w:tcPr>
          <w:p w14:paraId="74101EC8" w14:textId="77777777" w:rsidR="00536F28" w:rsidRPr="00536F28" w:rsidRDefault="00536F28" w:rsidP="00536F28">
            <w:pPr>
              <w:spacing w:after="0" w:line="240" w:lineRule="auto"/>
              <w:jc w:val="center"/>
              <w:rPr>
                <w:rFonts w:eastAsia="Times New Roman"/>
                <w:b/>
                <w:bCs/>
                <w:color w:val="000000"/>
                <w:szCs w:val="24"/>
                <w:lang w:eastAsia="es-EC"/>
              </w:rPr>
            </w:pPr>
            <w:r w:rsidRPr="00536F28">
              <w:rPr>
                <w:rFonts w:eastAsia="Times New Roman"/>
                <w:b/>
                <w:bCs/>
                <w:color w:val="000000"/>
                <w:szCs w:val="24"/>
                <w:lang w:eastAsia="es-EC"/>
              </w:rPr>
              <w:t>TOTAL PATRIMONIO</w:t>
            </w:r>
          </w:p>
        </w:tc>
        <w:tc>
          <w:tcPr>
            <w:tcW w:w="1520" w:type="dxa"/>
            <w:tcBorders>
              <w:top w:val="nil"/>
              <w:left w:val="nil"/>
              <w:bottom w:val="nil"/>
              <w:right w:val="nil"/>
            </w:tcBorders>
            <w:shd w:val="clear" w:color="auto" w:fill="auto"/>
            <w:noWrap/>
            <w:vAlign w:val="bottom"/>
            <w:hideMark/>
          </w:tcPr>
          <w:p w14:paraId="2979E647"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83.461 </w:t>
            </w:r>
          </w:p>
        </w:tc>
        <w:tc>
          <w:tcPr>
            <w:tcW w:w="1520" w:type="dxa"/>
            <w:tcBorders>
              <w:top w:val="nil"/>
              <w:left w:val="nil"/>
              <w:bottom w:val="nil"/>
              <w:right w:val="nil"/>
            </w:tcBorders>
            <w:shd w:val="clear" w:color="auto" w:fill="auto"/>
            <w:noWrap/>
            <w:vAlign w:val="bottom"/>
            <w:hideMark/>
          </w:tcPr>
          <w:p w14:paraId="448402F1"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83.599 </w:t>
            </w:r>
          </w:p>
        </w:tc>
        <w:tc>
          <w:tcPr>
            <w:tcW w:w="1520" w:type="dxa"/>
            <w:tcBorders>
              <w:top w:val="nil"/>
              <w:left w:val="nil"/>
              <w:bottom w:val="nil"/>
              <w:right w:val="nil"/>
            </w:tcBorders>
            <w:shd w:val="clear" w:color="auto" w:fill="auto"/>
            <w:noWrap/>
            <w:vAlign w:val="bottom"/>
            <w:hideMark/>
          </w:tcPr>
          <w:p w14:paraId="1771A687"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 xml:space="preserve"> $       303.644 </w:t>
            </w:r>
          </w:p>
        </w:tc>
      </w:tr>
      <w:tr w:rsidR="00536F28" w:rsidRPr="00536F28" w14:paraId="7841C4B0" w14:textId="77777777" w:rsidTr="0026749E">
        <w:trPr>
          <w:trHeight w:val="315"/>
          <w:jc w:val="center"/>
        </w:trPr>
        <w:tc>
          <w:tcPr>
            <w:tcW w:w="4044" w:type="dxa"/>
            <w:tcBorders>
              <w:top w:val="nil"/>
              <w:left w:val="nil"/>
              <w:bottom w:val="single" w:sz="12" w:space="0" w:color="auto"/>
              <w:right w:val="nil"/>
            </w:tcBorders>
            <w:shd w:val="clear" w:color="auto" w:fill="auto"/>
            <w:noWrap/>
            <w:vAlign w:val="bottom"/>
            <w:hideMark/>
          </w:tcPr>
          <w:p w14:paraId="05C9AE3F" w14:textId="77777777" w:rsidR="00536F28" w:rsidRPr="00536F28" w:rsidRDefault="00536F28" w:rsidP="00536F28">
            <w:pPr>
              <w:spacing w:after="0" w:line="240" w:lineRule="auto"/>
              <w:jc w:val="left"/>
              <w:rPr>
                <w:rFonts w:eastAsia="Times New Roman"/>
                <w:b/>
                <w:bCs/>
                <w:color w:val="000000"/>
                <w:szCs w:val="24"/>
                <w:lang w:eastAsia="es-EC"/>
              </w:rPr>
            </w:pPr>
            <w:r w:rsidRPr="00536F28">
              <w:rPr>
                <w:rFonts w:eastAsia="Times New Roman"/>
                <w:b/>
                <w:bCs/>
                <w:color w:val="000000"/>
                <w:szCs w:val="24"/>
                <w:lang w:eastAsia="es-EC"/>
              </w:rPr>
              <w:t>TOTAL PASIVO Y PATRIMONIO</w:t>
            </w:r>
          </w:p>
        </w:tc>
        <w:tc>
          <w:tcPr>
            <w:tcW w:w="1520" w:type="dxa"/>
            <w:tcBorders>
              <w:top w:val="nil"/>
              <w:left w:val="nil"/>
              <w:bottom w:val="single" w:sz="12" w:space="0" w:color="auto"/>
              <w:right w:val="nil"/>
            </w:tcBorders>
            <w:shd w:val="clear" w:color="auto" w:fill="auto"/>
            <w:noWrap/>
            <w:vAlign w:val="bottom"/>
            <w:hideMark/>
          </w:tcPr>
          <w:p w14:paraId="252E6527" w14:textId="77777777" w:rsidR="00536F28" w:rsidRPr="00536F28" w:rsidRDefault="00536F28" w:rsidP="00536F28">
            <w:pPr>
              <w:spacing w:after="0" w:line="240" w:lineRule="auto"/>
              <w:jc w:val="center"/>
              <w:rPr>
                <w:rFonts w:eastAsia="Times New Roman"/>
                <w:sz w:val="20"/>
                <w:szCs w:val="20"/>
                <w:lang w:eastAsia="es-EC"/>
              </w:rPr>
            </w:pPr>
            <w:r w:rsidRPr="00536F28">
              <w:rPr>
                <w:rFonts w:eastAsia="Times New Roman"/>
                <w:b/>
                <w:bCs/>
                <w:color w:val="000000"/>
                <w:szCs w:val="24"/>
                <w:lang w:eastAsia="es-EC"/>
              </w:rPr>
              <w:t xml:space="preserve"> $       613.723 </w:t>
            </w:r>
          </w:p>
        </w:tc>
        <w:tc>
          <w:tcPr>
            <w:tcW w:w="1520" w:type="dxa"/>
            <w:tcBorders>
              <w:top w:val="nil"/>
              <w:left w:val="nil"/>
              <w:bottom w:val="single" w:sz="12" w:space="0" w:color="auto"/>
              <w:right w:val="nil"/>
            </w:tcBorders>
            <w:shd w:val="clear" w:color="auto" w:fill="auto"/>
            <w:noWrap/>
            <w:vAlign w:val="bottom"/>
            <w:hideMark/>
          </w:tcPr>
          <w:p w14:paraId="7FEB60D5" w14:textId="77777777" w:rsidR="00536F28" w:rsidRPr="00536F28" w:rsidRDefault="00536F28" w:rsidP="00536F28">
            <w:pPr>
              <w:spacing w:after="0" w:line="240" w:lineRule="auto"/>
              <w:jc w:val="left"/>
              <w:rPr>
                <w:rFonts w:eastAsia="Times New Roman"/>
                <w:sz w:val="20"/>
                <w:szCs w:val="20"/>
                <w:lang w:eastAsia="es-EC"/>
              </w:rPr>
            </w:pPr>
            <w:r w:rsidRPr="00536F28">
              <w:rPr>
                <w:rFonts w:eastAsia="Times New Roman"/>
                <w:b/>
                <w:bCs/>
                <w:color w:val="000000"/>
                <w:szCs w:val="24"/>
                <w:lang w:eastAsia="es-EC"/>
              </w:rPr>
              <w:t xml:space="preserve"> $       613.771 </w:t>
            </w:r>
          </w:p>
        </w:tc>
        <w:tc>
          <w:tcPr>
            <w:tcW w:w="1520" w:type="dxa"/>
            <w:tcBorders>
              <w:top w:val="nil"/>
              <w:left w:val="nil"/>
              <w:bottom w:val="single" w:sz="12" w:space="0" w:color="auto"/>
              <w:right w:val="nil"/>
            </w:tcBorders>
            <w:shd w:val="clear" w:color="auto" w:fill="auto"/>
            <w:noWrap/>
            <w:vAlign w:val="bottom"/>
            <w:hideMark/>
          </w:tcPr>
          <w:p w14:paraId="03EEB927" w14:textId="77777777" w:rsidR="00536F28" w:rsidRPr="00536F28" w:rsidRDefault="00536F28" w:rsidP="00536F28">
            <w:pPr>
              <w:spacing w:after="0" w:line="240" w:lineRule="auto"/>
              <w:jc w:val="left"/>
              <w:rPr>
                <w:rFonts w:eastAsia="Times New Roman"/>
                <w:sz w:val="20"/>
                <w:szCs w:val="20"/>
                <w:lang w:eastAsia="es-EC"/>
              </w:rPr>
            </w:pPr>
            <w:r w:rsidRPr="00536F28">
              <w:rPr>
                <w:rFonts w:eastAsia="Times New Roman"/>
                <w:b/>
                <w:bCs/>
                <w:color w:val="000000"/>
                <w:szCs w:val="24"/>
                <w:lang w:eastAsia="es-EC"/>
              </w:rPr>
              <w:t xml:space="preserve"> $       763.530 </w:t>
            </w:r>
          </w:p>
        </w:tc>
      </w:tr>
    </w:tbl>
    <w:p w14:paraId="0E2384A2" w14:textId="77777777" w:rsidR="00EE6E14" w:rsidRPr="005F07B4" w:rsidRDefault="00536F28" w:rsidP="00ED1E4D">
      <w:pPr>
        <w:ind w:firstLine="708"/>
        <w:contextualSpacing/>
        <w:jc w:val="left"/>
        <w:rPr>
          <w:sz w:val="18"/>
          <w:szCs w:val="18"/>
        </w:rPr>
      </w:pPr>
      <w:r w:rsidRPr="005F07B4">
        <w:rPr>
          <w:sz w:val="18"/>
          <w:szCs w:val="18"/>
        </w:rPr>
        <w:t>*El Estado de Resultados a detalle se incluye en el Anexo 3</w:t>
      </w:r>
    </w:p>
    <w:p w14:paraId="03A3F586" w14:textId="77777777" w:rsidR="00536F28" w:rsidRPr="005F07B4" w:rsidRDefault="00536F28" w:rsidP="00ED1E4D">
      <w:pPr>
        <w:ind w:firstLine="708"/>
        <w:contextualSpacing/>
        <w:jc w:val="left"/>
        <w:rPr>
          <w:sz w:val="18"/>
          <w:szCs w:val="18"/>
        </w:rPr>
      </w:pPr>
      <w:r w:rsidRPr="005F07B4">
        <w:rPr>
          <w:sz w:val="18"/>
          <w:szCs w:val="18"/>
        </w:rPr>
        <w:t xml:space="preserve">Fuente: </w:t>
      </w:r>
      <w:sdt>
        <w:sdtPr>
          <w:rPr>
            <w:sz w:val="18"/>
            <w:szCs w:val="18"/>
          </w:rPr>
          <w:id w:val="-351882686"/>
          <w:citation/>
        </w:sdtPr>
        <w:sdtEndPr/>
        <w:sdtContent>
          <w:r w:rsidRPr="005F07B4">
            <w:rPr>
              <w:sz w:val="18"/>
              <w:szCs w:val="18"/>
            </w:rPr>
            <w:fldChar w:fldCharType="begin"/>
          </w:r>
          <w:r w:rsidRPr="005F07B4">
            <w:rPr>
              <w:sz w:val="18"/>
              <w:szCs w:val="18"/>
            </w:rPr>
            <w:instrText xml:space="preserve"> CITATION Sup16 \l 12298 </w:instrText>
          </w:r>
          <w:r w:rsidRPr="005F07B4">
            <w:rPr>
              <w:sz w:val="18"/>
              <w:szCs w:val="18"/>
            </w:rPr>
            <w:fldChar w:fldCharType="separate"/>
          </w:r>
          <w:r w:rsidR="00BC1846" w:rsidRPr="005F07B4">
            <w:rPr>
              <w:noProof/>
              <w:sz w:val="18"/>
              <w:szCs w:val="18"/>
            </w:rPr>
            <w:t>(Superintendencia de Compañías, Valores y Seguros, 2016)</w:t>
          </w:r>
          <w:r w:rsidRPr="005F07B4">
            <w:rPr>
              <w:sz w:val="18"/>
              <w:szCs w:val="18"/>
            </w:rPr>
            <w:fldChar w:fldCharType="end"/>
          </w:r>
        </w:sdtContent>
      </w:sdt>
    </w:p>
    <w:p w14:paraId="440ED1C6" w14:textId="77777777" w:rsidR="002211EB" w:rsidRPr="005F07B4" w:rsidRDefault="002211EB" w:rsidP="002211EB">
      <w:pPr>
        <w:pStyle w:val="TtulodeTDC"/>
        <w:rPr>
          <w:i w:val="0"/>
        </w:rPr>
      </w:pPr>
      <w:bookmarkStart w:id="74" w:name="_Toc446973221"/>
      <w:r w:rsidRPr="005F07B4">
        <w:rPr>
          <w:i w:val="0"/>
        </w:rPr>
        <w:t xml:space="preserve">Tabla </w:t>
      </w:r>
      <w:r w:rsidR="00750F71" w:rsidRPr="005F07B4">
        <w:rPr>
          <w:i w:val="0"/>
        </w:rPr>
        <w:fldChar w:fldCharType="begin"/>
      </w:r>
      <w:r w:rsidR="00750F71" w:rsidRPr="005F07B4">
        <w:rPr>
          <w:i w:val="0"/>
        </w:rPr>
        <w:instrText xml:space="preserve"> SEQ Tabla \* ARABIC </w:instrText>
      </w:r>
      <w:r w:rsidR="00750F71" w:rsidRPr="005F07B4">
        <w:rPr>
          <w:i w:val="0"/>
        </w:rPr>
        <w:fldChar w:fldCharType="separate"/>
      </w:r>
      <w:r w:rsidR="00B828B8">
        <w:rPr>
          <w:i w:val="0"/>
          <w:noProof/>
        </w:rPr>
        <w:t>23</w:t>
      </w:r>
      <w:r w:rsidR="00750F71" w:rsidRPr="005F07B4">
        <w:rPr>
          <w:i w:val="0"/>
          <w:noProof/>
        </w:rPr>
        <w:fldChar w:fldCharType="end"/>
      </w:r>
      <w:r w:rsidRPr="005F07B4">
        <w:rPr>
          <w:i w:val="0"/>
        </w:rPr>
        <w:t xml:space="preserve">: Análisis DUPONT de </w:t>
      </w:r>
      <w:r w:rsidR="00EE6E14" w:rsidRPr="005F07B4">
        <w:rPr>
          <w:i w:val="0"/>
        </w:rPr>
        <w:t>Cereales Andinos</w:t>
      </w:r>
      <w:bookmarkEnd w:id="74"/>
    </w:p>
    <w:tbl>
      <w:tblPr>
        <w:tblW w:w="6309" w:type="dxa"/>
        <w:jc w:val="center"/>
        <w:tblCellMar>
          <w:left w:w="70" w:type="dxa"/>
          <w:right w:w="70" w:type="dxa"/>
        </w:tblCellMar>
        <w:tblLook w:val="04A0" w:firstRow="1" w:lastRow="0" w:firstColumn="1" w:lastColumn="0" w:noHBand="0" w:noVBand="1"/>
      </w:tblPr>
      <w:tblGrid>
        <w:gridCol w:w="2977"/>
        <w:gridCol w:w="932"/>
        <w:gridCol w:w="1200"/>
        <w:gridCol w:w="1200"/>
      </w:tblGrid>
      <w:tr w:rsidR="002211EB" w:rsidRPr="002211EB" w14:paraId="21E59D47" w14:textId="77777777" w:rsidTr="002211EB">
        <w:trPr>
          <w:trHeight w:val="330"/>
          <w:jc w:val="center"/>
        </w:trPr>
        <w:tc>
          <w:tcPr>
            <w:tcW w:w="2977" w:type="dxa"/>
            <w:tcBorders>
              <w:top w:val="single" w:sz="12" w:space="0" w:color="auto"/>
              <w:left w:val="nil"/>
              <w:bottom w:val="single" w:sz="12" w:space="0" w:color="auto"/>
              <w:right w:val="nil"/>
            </w:tcBorders>
            <w:shd w:val="clear" w:color="auto" w:fill="auto"/>
            <w:noWrap/>
            <w:vAlign w:val="bottom"/>
            <w:hideMark/>
          </w:tcPr>
          <w:p w14:paraId="07926656"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 </w:t>
            </w:r>
          </w:p>
        </w:tc>
        <w:tc>
          <w:tcPr>
            <w:tcW w:w="932" w:type="dxa"/>
            <w:tcBorders>
              <w:top w:val="single" w:sz="12" w:space="0" w:color="auto"/>
              <w:left w:val="nil"/>
              <w:bottom w:val="single" w:sz="12" w:space="0" w:color="auto"/>
              <w:right w:val="nil"/>
            </w:tcBorders>
            <w:shd w:val="clear" w:color="auto" w:fill="auto"/>
            <w:noWrap/>
            <w:vAlign w:val="bottom"/>
            <w:hideMark/>
          </w:tcPr>
          <w:p w14:paraId="166C96B6"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2012</w:t>
            </w:r>
          </w:p>
        </w:tc>
        <w:tc>
          <w:tcPr>
            <w:tcW w:w="1200" w:type="dxa"/>
            <w:tcBorders>
              <w:top w:val="single" w:sz="12" w:space="0" w:color="auto"/>
              <w:left w:val="nil"/>
              <w:bottom w:val="single" w:sz="12" w:space="0" w:color="auto"/>
              <w:right w:val="nil"/>
            </w:tcBorders>
            <w:shd w:val="clear" w:color="auto" w:fill="auto"/>
            <w:noWrap/>
            <w:vAlign w:val="bottom"/>
            <w:hideMark/>
          </w:tcPr>
          <w:p w14:paraId="5EDE70B3"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2013</w:t>
            </w:r>
          </w:p>
        </w:tc>
        <w:tc>
          <w:tcPr>
            <w:tcW w:w="1200" w:type="dxa"/>
            <w:tcBorders>
              <w:top w:val="single" w:sz="12" w:space="0" w:color="auto"/>
              <w:left w:val="nil"/>
              <w:bottom w:val="single" w:sz="12" w:space="0" w:color="auto"/>
              <w:right w:val="nil"/>
            </w:tcBorders>
            <w:shd w:val="clear" w:color="auto" w:fill="auto"/>
            <w:noWrap/>
            <w:vAlign w:val="bottom"/>
            <w:hideMark/>
          </w:tcPr>
          <w:p w14:paraId="16965FCB"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2014</w:t>
            </w:r>
          </w:p>
        </w:tc>
      </w:tr>
      <w:tr w:rsidR="002211EB" w:rsidRPr="002211EB" w14:paraId="752EFC35" w14:textId="77777777" w:rsidTr="002211EB">
        <w:trPr>
          <w:trHeight w:val="315"/>
          <w:jc w:val="center"/>
        </w:trPr>
        <w:tc>
          <w:tcPr>
            <w:tcW w:w="2977" w:type="dxa"/>
            <w:tcBorders>
              <w:top w:val="single" w:sz="12" w:space="0" w:color="auto"/>
              <w:left w:val="nil"/>
              <w:bottom w:val="nil"/>
              <w:right w:val="nil"/>
            </w:tcBorders>
            <w:shd w:val="clear" w:color="auto" w:fill="auto"/>
            <w:noWrap/>
            <w:vAlign w:val="bottom"/>
            <w:hideMark/>
          </w:tcPr>
          <w:p w14:paraId="00CF7EEB"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Eficiencia operativa</w:t>
            </w:r>
          </w:p>
        </w:tc>
        <w:tc>
          <w:tcPr>
            <w:tcW w:w="932" w:type="dxa"/>
            <w:tcBorders>
              <w:top w:val="single" w:sz="12" w:space="0" w:color="auto"/>
              <w:left w:val="nil"/>
              <w:bottom w:val="nil"/>
              <w:right w:val="nil"/>
            </w:tcBorders>
            <w:shd w:val="clear" w:color="auto" w:fill="auto"/>
            <w:noWrap/>
            <w:vAlign w:val="bottom"/>
            <w:hideMark/>
          </w:tcPr>
          <w:p w14:paraId="3344B3D8"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(0,06)</w:t>
            </w:r>
          </w:p>
        </w:tc>
        <w:tc>
          <w:tcPr>
            <w:tcW w:w="1200" w:type="dxa"/>
            <w:tcBorders>
              <w:top w:val="single" w:sz="12" w:space="0" w:color="auto"/>
              <w:left w:val="nil"/>
              <w:bottom w:val="nil"/>
              <w:right w:val="nil"/>
            </w:tcBorders>
            <w:shd w:val="clear" w:color="auto" w:fill="auto"/>
            <w:noWrap/>
            <w:vAlign w:val="bottom"/>
            <w:hideMark/>
          </w:tcPr>
          <w:p w14:paraId="6DB44154"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0,00 </w:t>
            </w:r>
          </w:p>
        </w:tc>
        <w:tc>
          <w:tcPr>
            <w:tcW w:w="1200" w:type="dxa"/>
            <w:tcBorders>
              <w:top w:val="single" w:sz="12" w:space="0" w:color="auto"/>
              <w:left w:val="nil"/>
              <w:bottom w:val="nil"/>
              <w:right w:val="nil"/>
            </w:tcBorders>
            <w:shd w:val="clear" w:color="auto" w:fill="auto"/>
            <w:noWrap/>
            <w:vAlign w:val="bottom"/>
            <w:hideMark/>
          </w:tcPr>
          <w:p w14:paraId="373B3362"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0,07 </w:t>
            </w:r>
          </w:p>
        </w:tc>
      </w:tr>
      <w:tr w:rsidR="002211EB" w:rsidRPr="002211EB" w14:paraId="6BF498E0" w14:textId="77777777" w:rsidTr="002211EB">
        <w:trPr>
          <w:trHeight w:val="315"/>
          <w:jc w:val="center"/>
        </w:trPr>
        <w:tc>
          <w:tcPr>
            <w:tcW w:w="2977" w:type="dxa"/>
            <w:tcBorders>
              <w:top w:val="nil"/>
              <w:left w:val="nil"/>
              <w:bottom w:val="nil"/>
              <w:right w:val="nil"/>
            </w:tcBorders>
            <w:shd w:val="clear" w:color="auto" w:fill="auto"/>
            <w:noWrap/>
            <w:vAlign w:val="bottom"/>
            <w:hideMark/>
          </w:tcPr>
          <w:p w14:paraId="268E73A4"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Eficiencia de uso de activos</w:t>
            </w:r>
          </w:p>
        </w:tc>
        <w:tc>
          <w:tcPr>
            <w:tcW w:w="932" w:type="dxa"/>
            <w:tcBorders>
              <w:top w:val="nil"/>
              <w:left w:val="nil"/>
              <w:bottom w:val="nil"/>
              <w:right w:val="nil"/>
            </w:tcBorders>
            <w:shd w:val="clear" w:color="auto" w:fill="auto"/>
            <w:noWrap/>
            <w:vAlign w:val="bottom"/>
            <w:hideMark/>
          </w:tcPr>
          <w:p w14:paraId="41F7341E"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0,85 </w:t>
            </w:r>
          </w:p>
        </w:tc>
        <w:tc>
          <w:tcPr>
            <w:tcW w:w="1200" w:type="dxa"/>
            <w:tcBorders>
              <w:top w:val="nil"/>
              <w:left w:val="nil"/>
              <w:bottom w:val="nil"/>
              <w:right w:val="nil"/>
            </w:tcBorders>
            <w:shd w:val="clear" w:color="auto" w:fill="auto"/>
            <w:noWrap/>
            <w:vAlign w:val="bottom"/>
            <w:hideMark/>
          </w:tcPr>
          <w:p w14:paraId="43973F0F"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1,05 </w:t>
            </w:r>
          </w:p>
        </w:tc>
        <w:tc>
          <w:tcPr>
            <w:tcW w:w="1200" w:type="dxa"/>
            <w:tcBorders>
              <w:top w:val="nil"/>
              <w:left w:val="nil"/>
              <w:bottom w:val="nil"/>
              <w:right w:val="nil"/>
            </w:tcBorders>
            <w:shd w:val="clear" w:color="auto" w:fill="auto"/>
            <w:noWrap/>
            <w:vAlign w:val="bottom"/>
            <w:hideMark/>
          </w:tcPr>
          <w:p w14:paraId="1C5B0C53"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1,09 </w:t>
            </w:r>
          </w:p>
        </w:tc>
      </w:tr>
      <w:tr w:rsidR="002211EB" w:rsidRPr="002211EB" w14:paraId="4EC8BCBA" w14:textId="77777777" w:rsidTr="002211EB">
        <w:trPr>
          <w:trHeight w:val="251"/>
          <w:jc w:val="center"/>
        </w:trPr>
        <w:tc>
          <w:tcPr>
            <w:tcW w:w="2977" w:type="dxa"/>
            <w:tcBorders>
              <w:top w:val="nil"/>
              <w:left w:val="nil"/>
              <w:bottom w:val="nil"/>
              <w:right w:val="nil"/>
            </w:tcBorders>
            <w:shd w:val="clear" w:color="auto" w:fill="auto"/>
            <w:noWrap/>
            <w:vAlign w:val="bottom"/>
            <w:hideMark/>
          </w:tcPr>
          <w:p w14:paraId="2199C994" w14:textId="77777777" w:rsidR="002211EB" w:rsidRPr="002211EB" w:rsidRDefault="002211EB" w:rsidP="002211EB">
            <w:pPr>
              <w:spacing w:after="0" w:line="240" w:lineRule="auto"/>
              <w:jc w:val="left"/>
              <w:rPr>
                <w:rFonts w:eastAsia="Times New Roman"/>
                <w:color w:val="000000"/>
                <w:szCs w:val="24"/>
                <w:lang w:eastAsia="es-EC"/>
              </w:rPr>
            </w:pPr>
            <w:r w:rsidRPr="002211EB">
              <w:rPr>
                <w:rFonts w:eastAsia="Times New Roman"/>
                <w:color w:val="000000"/>
                <w:szCs w:val="24"/>
                <w:lang w:eastAsia="es-EC"/>
              </w:rPr>
              <w:t>Apalancamiento</w:t>
            </w:r>
          </w:p>
        </w:tc>
        <w:tc>
          <w:tcPr>
            <w:tcW w:w="932" w:type="dxa"/>
            <w:tcBorders>
              <w:top w:val="nil"/>
              <w:left w:val="nil"/>
              <w:bottom w:val="nil"/>
              <w:right w:val="nil"/>
            </w:tcBorders>
            <w:shd w:val="clear" w:color="auto" w:fill="auto"/>
            <w:noWrap/>
            <w:vAlign w:val="bottom"/>
            <w:hideMark/>
          </w:tcPr>
          <w:p w14:paraId="23D70484"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7,35 </w:t>
            </w:r>
          </w:p>
        </w:tc>
        <w:tc>
          <w:tcPr>
            <w:tcW w:w="1200" w:type="dxa"/>
            <w:tcBorders>
              <w:top w:val="nil"/>
              <w:left w:val="nil"/>
              <w:bottom w:val="nil"/>
              <w:right w:val="nil"/>
            </w:tcBorders>
            <w:shd w:val="clear" w:color="auto" w:fill="auto"/>
            <w:noWrap/>
            <w:vAlign w:val="bottom"/>
            <w:hideMark/>
          </w:tcPr>
          <w:p w14:paraId="0AD4F5F4"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7,34 </w:t>
            </w:r>
          </w:p>
        </w:tc>
        <w:tc>
          <w:tcPr>
            <w:tcW w:w="1200" w:type="dxa"/>
            <w:tcBorders>
              <w:top w:val="nil"/>
              <w:left w:val="nil"/>
              <w:bottom w:val="nil"/>
              <w:right w:val="nil"/>
            </w:tcBorders>
            <w:shd w:val="clear" w:color="auto" w:fill="auto"/>
            <w:noWrap/>
            <w:vAlign w:val="bottom"/>
            <w:hideMark/>
          </w:tcPr>
          <w:p w14:paraId="26EC3562" w14:textId="77777777" w:rsidR="002211EB" w:rsidRPr="002211EB" w:rsidRDefault="002211EB" w:rsidP="002211EB">
            <w:pPr>
              <w:spacing w:after="0" w:line="240" w:lineRule="auto"/>
              <w:jc w:val="center"/>
              <w:rPr>
                <w:rFonts w:eastAsia="Times New Roman"/>
                <w:color w:val="000000"/>
                <w:szCs w:val="24"/>
                <w:lang w:eastAsia="es-EC"/>
              </w:rPr>
            </w:pPr>
            <w:r w:rsidRPr="002211EB">
              <w:rPr>
                <w:rFonts w:eastAsia="Times New Roman"/>
                <w:color w:val="000000"/>
                <w:szCs w:val="24"/>
                <w:lang w:eastAsia="es-EC"/>
              </w:rPr>
              <w:t xml:space="preserve">          2,51 </w:t>
            </w:r>
          </w:p>
        </w:tc>
      </w:tr>
      <w:tr w:rsidR="002211EB" w:rsidRPr="002211EB" w14:paraId="4A9E87BD" w14:textId="77777777" w:rsidTr="002211EB">
        <w:trPr>
          <w:trHeight w:val="330"/>
          <w:jc w:val="center"/>
        </w:trPr>
        <w:tc>
          <w:tcPr>
            <w:tcW w:w="2977" w:type="dxa"/>
            <w:tcBorders>
              <w:top w:val="nil"/>
              <w:left w:val="nil"/>
              <w:bottom w:val="single" w:sz="12" w:space="0" w:color="auto"/>
              <w:right w:val="nil"/>
            </w:tcBorders>
            <w:shd w:val="clear" w:color="auto" w:fill="auto"/>
            <w:noWrap/>
            <w:vAlign w:val="bottom"/>
            <w:hideMark/>
          </w:tcPr>
          <w:p w14:paraId="05FD1A65" w14:textId="77777777" w:rsidR="002211EB" w:rsidRPr="002211EB" w:rsidRDefault="002211EB" w:rsidP="002211EB">
            <w:pPr>
              <w:spacing w:after="0" w:line="240" w:lineRule="auto"/>
              <w:jc w:val="left"/>
              <w:rPr>
                <w:rFonts w:eastAsia="Times New Roman"/>
                <w:b/>
                <w:bCs/>
                <w:color w:val="000000"/>
                <w:szCs w:val="24"/>
                <w:lang w:eastAsia="es-EC"/>
              </w:rPr>
            </w:pPr>
            <w:r w:rsidRPr="002211EB">
              <w:rPr>
                <w:rFonts w:eastAsia="Times New Roman"/>
                <w:b/>
                <w:bCs/>
                <w:color w:val="000000"/>
                <w:szCs w:val="24"/>
                <w:lang w:eastAsia="es-EC"/>
              </w:rPr>
              <w:t>DUPONT</w:t>
            </w:r>
          </w:p>
        </w:tc>
        <w:tc>
          <w:tcPr>
            <w:tcW w:w="932" w:type="dxa"/>
            <w:tcBorders>
              <w:top w:val="nil"/>
              <w:left w:val="nil"/>
              <w:bottom w:val="single" w:sz="12" w:space="0" w:color="auto"/>
              <w:right w:val="nil"/>
            </w:tcBorders>
            <w:shd w:val="clear" w:color="auto" w:fill="auto"/>
            <w:noWrap/>
            <w:vAlign w:val="bottom"/>
            <w:hideMark/>
          </w:tcPr>
          <w:p w14:paraId="59EA3A9B"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 xml:space="preserve">         (0,40)</w:t>
            </w:r>
          </w:p>
        </w:tc>
        <w:tc>
          <w:tcPr>
            <w:tcW w:w="1200" w:type="dxa"/>
            <w:tcBorders>
              <w:top w:val="nil"/>
              <w:left w:val="nil"/>
              <w:bottom w:val="single" w:sz="12" w:space="0" w:color="auto"/>
              <w:right w:val="nil"/>
            </w:tcBorders>
            <w:shd w:val="clear" w:color="auto" w:fill="auto"/>
            <w:noWrap/>
            <w:vAlign w:val="bottom"/>
            <w:hideMark/>
          </w:tcPr>
          <w:p w14:paraId="09D722B4"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 xml:space="preserve">          0,00 </w:t>
            </w:r>
          </w:p>
        </w:tc>
        <w:tc>
          <w:tcPr>
            <w:tcW w:w="1200" w:type="dxa"/>
            <w:tcBorders>
              <w:top w:val="nil"/>
              <w:left w:val="nil"/>
              <w:bottom w:val="single" w:sz="12" w:space="0" w:color="auto"/>
              <w:right w:val="nil"/>
            </w:tcBorders>
            <w:shd w:val="clear" w:color="auto" w:fill="auto"/>
            <w:noWrap/>
            <w:vAlign w:val="bottom"/>
            <w:hideMark/>
          </w:tcPr>
          <w:p w14:paraId="1D5B176E" w14:textId="77777777" w:rsidR="002211EB" w:rsidRPr="002211EB" w:rsidRDefault="002211EB" w:rsidP="002211EB">
            <w:pPr>
              <w:spacing w:after="0" w:line="240" w:lineRule="auto"/>
              <w:jc w:val="center"/>
              <w:rPr>
                <w:rFonts w:eastAsia="Times New Roman"/>
                <w:b/>
                <w:bCs/>
                <w:color w:val="000000"/>
                <w:szCs w:val="24"/>
                <w:lang w:eastAsia="es-EC"/>
              </w:rPr>
            </w:pPr>
            <w:r w:rsidRPr="002211EB">
              <w:rPr>
                <w:rFonts w:eastAsia="Times New Roman"/>
                <w:b/>
                <w:bCs/>
                <w:color w:val="000000"/>
                <w:szCs w:val="24"/>
                <w:lang w:eastAsia="es-EC"/>
              </w:rPr>
              <w:t xml:space="preserve">          0,19 </w:t>
            </w:r>
          </w:p>
        </w:tc>
      </w:tr>
    </w:tbl>
    <w:p w14:paraId="3ECA4104" w14:textId="77777777" w:rsidR="00536F28" w:rsidRPr="005F07B4" w:rsidRDefault="00536F28" w:rsidP="00ED1E4D">
      <w:pPr>
        <w:ind w:left="708" w:firstLine="708"/>
        <w:contextualSpacing/>
        <w:jc w:val="left"/>
        <w:rPr>
          <w:sz w:val="18"/>
          <w:szCs w:val="18"/>
          <w:lang w:eastAsia="es-EC"/>
        </w:rPr>
      </w:pPr>
      <w:r w:rsidRPr="005F07B4">
        <w:rPr>
          <w:sz w:val="18"/>
          <w:szCs w:val="18"/>
          <w:lang w:eastAsia="es-EC"/>
        </w:rPr>
        <w:t>Fuente: Elaboración propia en base a la información de los Estados Financieros</w:t>
      </w:r>
    </w:p>
    <w:p w14:paraId="25FA7FF3" w14:textId="77777777" w:rsidR="005F07B4" w:rsidRDefault="005F07B4" w:rsidP="009B2B63"/>
    <w:p w14:paraId="702D0ABF" w14:textId="40D3C912" w:rsidR="00536F28" w:rsidRDefault="00536F28" w:rsidP="009B2B63">
      <w:r>
        <w:t xml:space="preserve">En lo referente a eficiencia operativa, la empresa </w:t>
      </w:r>
      <w:r w:rsidR="00FF4DDA">
        <w:t xml:space="preserve">ha </w:t>
      </w:r>
      <w:r>
        <w:t xml:space="preserve">sufrido una transición de presentar pérdidas en el ejercicio en el año 2012 a tener un margen de utilidad de 7%. Ésta presenta una estructura de costos que deja márgenes ajustados con una tendencia creciente. Dentro de los egresos, los costos operacionales constituyen la mayor proporción y dependen de la mano de obra y materias, rubros propios del giro del negocio. </w:t>
      </w:r>
    </w:p>
    <w:p w14:paraId="0B02287E" w14:textId="6BDFD93F" w:rsidR="00536F28" w:rsidRDefault="00536F28" w:rsidP="009B2B63">
      <w:r>
        <w:lastRenderedPageBreak/>
        <w:t xml:space="preserve">La eficiencia en el uso de activos también presenta una tendencia creciente con un promedio de rotación de los mismos de 1 vez por año. Es decir, que los activos son eficientemente utilizados en la generación de los ingresos fruto de la operación de la compañía. La mayor proporción de los activos de la compañía son a largo plazo e incluyen </w:t>
      </w:r>
      <w:r w:rsidR="00FF4DDA">
        <w:t>p</w:t>
      </w:r>
      <w:r>
        <w:t xml:space="preserve">lanta, maquinaria y equipos que permiten la industrialización de la quinua para la fabricación de los productos con valor agregado que ofertan. Disponen además de inventarios con alta rotación que siguen la misma lógica descrita con anterioridad. </w:t>
      </w:r>
    </w:p>
    <w:p w14:paraId="6CD81AD9" w14:textId="77777777" w:rsidR="00536F28" w:rsidRDefault="00536F28" w:rsidP="009B2B63">
      <w:r>
        <w:t>Los activos de la compañía hasta el 2013 representaban 7 veces el patrimonio de la misma, estando así fuertemente apalancada en terceros. Para el año 2014, la proporción disminuyó a 2,5 veces, contando con mayor inversión de capital por parte de los propietarios. Los pasivos a corto plazo constituían la porción más grande del total hasta el año 2013, destacando obligaciones con instituciones financieras y anticipos de clientes, sin embargo, en el último año, los pasivos pasaron en su mayoría a ser de largo plazo por créditos para mejora de la planta procesadora.</w:t>
      </w:r>
      <w:r w:rsidR="00B01B91">
        <w:t xml:space="preserve"> </w:t>
      </w:r>
    </w:p>
    <w:p w14:paraId="398AF610" w14:textId="77777777" w:rsidR="00B01B91" w:rsidRDefault="00B01B91" w:rsidP="009B2B63">
      <w:r>
        <w:t xml:space="preserve">Tomando en cuenta, el análisis anterior se puede observar que el retorno sobre la inversión realizada ha mejorado notablemente en estos años llegando a ser de 19% en el 2014. </w:t>
      </w:r>
    </w:p>
    <w:p w14:paraId="230E87C6" w14:textId="77777777" w:rsidR="00B633D5" w:rsidRDefault="00B633D5" w:rsidP="009B2B63">
      <w:r>
        <w:t>Considerando un escenario con premisas de un crecimiento de ingresos de 27% y de costos de 18%, promedio de los últimos años, y manteniendo la estructura de balance general del último año con los cambios optados por los propietarios, se estimaría una mejora del retorno sobre la inversión que llegaría a un 40%.</w:t>
      </w:r>
    </w:p>
    <w:p w14:paraId="7F7B8719" w14:textId="77777777" w:rsidR="00536F28" w:rsidRPr="00536F28" w:rsidRDefault="00536F28" w:rsidP="009B2B63"/>
    <w:p w14:paraId="40FAD7EC" w14:textId="77777777" w:rsidR="00536F28" w:rsidRDefault="00536F28" w:rsidP="009B2B63"/>
    <w:p w14:paraId="723A4CBA" w14:textId="77777777" w:rsidR="00536F28" w:rsidRDefault="00536F28" w:rsidP="009B2B63"/>
    <w:p w14:paraId="419E6D29" w14:textId="77777777" w:rsidR="007C5DDB" w:rsidRDefault="007C5DDB">
      <w:pPr>
        <w:spacing w:line="276" w:lineRule="auto"/>
        <w:jc w:val="left"/>
      </w:pPr>
    </w:p>
    <w:p w14:paraId="75CEA5D1" w14:textId="77777777" w:rsidR="0026749E" w:rsidRDefault="0026749E">
      <w:pPr>
        <w:spacing w:line="276" w:lineRule="auto"/>
        <w:jc w:val="left"/>
      </w:pPr>
      <w:r>
        <w:br w:type="page"/>
      </w:r>
    </w:p>
    <w:p w14:paraId="13BC40A9" w14:textId="77777777" w:rsidR="009B2B63" w:rsidRDefault="009B2B63" w:rsidP="005F07B4">
      <w:pPr>
        <w:spacing w:line="276" w:lineRule="auto"/>
        <w:contextualSpacing/>
        <w:jc w:val="left"/>
      </w:pPr>
    </w:p>
    <w:p w14:paraId="38093F14" w14:textId="77777777" w:rsidR="009B2B63" w:rsidRDefault="009B2B63" w:rsidP="005F07B4">
      <w:pPr>
        <w:spacing w:line="276" w:lineRule="auto"/>
        <w:contextualSpacing/>
        <w:jc w:val="left"/>
      </w:pPr>
    </w:p>
    <w:p w14:paraId="55C5B822" w14:textId="77777777" w:rsidR="009B2B63" w:rsidRDefault="009B2B63" w:rsidP="005F07B4">
      <w:pPr>
        <w:pStyle w:val="Ttulo1"/>
        <w:spacing w:before="0" w:after="200"/>
        <w:ind w:left="360"/>
        <w:contextualSpacing/>
      </w:pPr>
      <w:bookmarkStart w:id="75" w:name="_Toc446973173"/>
      <w:r>
        <w:t>CONCLUSIONES Y RECOMENDACIONES</w:t>
      </w:r>
      <w:bookmarkEnd w:id="75"/>
    </w:p>
    <w:p w14:paraId="1D35D056" w14:textId="77777777" w:rsidR="009B2B63" w:rsidRDefault="009B2B63" w:rsidP="005F07B4">
      <w:pPr>
        <w:pStyle w:val="Ttulo2"/>
        <w:spacing w:before="0" w:after="200"/>
        <w:contextualSpacing/>
      </w:pPr>
      <w:bookmarkStart w:id="76" w:name="_Toc446973174"/>
      <w:r>
        <w:t>Conclusiones</w:t>
      </w:r>
      <w:bookmarkEnd w:id="76"/>
    </w:p>
    <w:p w14:paraId="348640DE" w14:textId="059E3CE0" w:rsidR="00617BA0" w:rsidRDefault="00617BA0" w:rsidP="005F07B4">
      <w:r>
        <w:t xml:space="preserve">Francia presenta un mercado en crecimiento con potencialidad para </w:t>
      </w:r>
      <w:r w:rsidR="00423D84">
        <w:t xml:space="preserve">el incremento del volumen exportado de quinua </w:t>
      </w:r>
      <w:r w:rsidR="007C5DDB">
        <w:t>para</w:t>
      </w:r>
      <w:r w:rsidR="00423D84">
        <w:t xml:space="preserve"> quienes ya se encuentran en el mercado y de nuevos ofertantes. El cereal tiene presencia no sólo en minoristas relacionados con productos orgánicos sino también en grandes cadenas comerciales tanto para el producto a granel como para otros con valor agregado. </w:t>
      </w:r>
    </w:p>
    <w:p w14:paraId="1D736562" w14:textId="095CEA10" w:rsidR="00423D84" w:rsidRDefault="007C5DDB" w:rsidP="005F07B4">
      <w:r>
        <w:t>Bolivia es un país con mayor madurez en la producción de quinua por los años de experiencia en el sector, a</w:t>
      </w:r>
      <w:r w:rsidR="00304120">
        <w:t xml:space="preserve"> diferencia de Ecuador</w:t>
      </w:r>
      <w:r w:rsidR="00E45EFB">
        <w:t>,</w:t>
      </w:r>
      <w:r w:rsidR="00304120">
        <w:t xml:space="preserve"> que</w:t>
      </w:r>
      <w:r>
        <w:t xml:space="preserve"> ha mostrado ma</w:t>
      </w:r>
      <w:r w:rsidR="00304120">
        <w:t>yor interés por el cereal en el</w:t>
      </w:r>
      <w:r>
        <w:t xml:space="preserve"> último</w:t>
      </w:r>
      <w:r w:rsidR="00304120">
        <w:t xml:space="preserve"> período. </w:t>
      </w:r>
      <w:r>
        <w:t xml:space="preserve">Bolivia fue por mucho tiempo el primer productor de quinua del mundo (superado en los dos últimos años por Perú), por lo que el número de hectáreas producidas y las toneladas obtenidas representan 10 veces más de lo obtenido en Ecuador. </w:t>
      </w:r>
    </w:p>
    <w:p w14:paraId="6F05272E" w14:textId="77777777" w:rsidR="000754A9" w:rsidRDefault="007C5DDB" w:rsidP="005F07B4">
      <w:r>
        <w:t>Sin embargo, el rendimiento de la producción ha sido similar entre ambos países e incluso e</w:t>
      </w:r>
      <w:r w:rsidR="000754A9">
        <w:t>n el último año Ecuador ha presentado un rendimiento que duplica el boliviano, mostrando una mayor eficiencia en el cultivo del cereal sobre, incluso, otros productos considerados tradicionales.</w:t>
      </w:r>
    </w:p>
    <w:p w14:paraId="33BD13F6" w14:textId="77777777" w:rsidR="000754A9" w:rsidRDefault="000754A9" w:rsidP="005F07B4">
      <w:r>
        <w:t xml:space="preserve">A raíz de la declaratoria del Año Internacional de la Quinua, tanto Bolivia como Ecuador desarrollaron planes para promover y mejorar el cultivo de quinua. Bolivia le ha dado un enfoque a la investigación para generar mayor rendimiento e implementar tecnología en la cadena productiva sin afectar la calidad. Ecuador se ha enfocado en la tecnificación de la producción y capacitación de los agricultores, además de entregar semillas de calidad. </w:t>
      </w:r>
    </w:p>
    <w:p w14:paraId="77B38EC5" w14:textId="77777777" w:rsidR="000754A9" w:rsidRDefault="0087632F" w:rsidP="005F07B4">
      <w:r>
        <w:t xml:space="preserve">La naturaleza de la producción de quinua ha impulsado </w:t>
      </w:r>
      <w:r w:rsidR="009D626E">
        <w:t>la creación de asociaciones entre agricultores para buscar beneficios comunes mayores</w:t>
      </w:r>
      <w:r w:rsidR="001D7830">
        <w:t xml:space="preserve"> tanto en Bolivia como en Ecuador</w:t>
      </w:r>
      <w:r w:rsidR="009D626E">
        <w:t xml:space="preserve">. Sea por localización o por afinidad en su actividad productiva, </w:t>
      </w:r>
      <w:r w:rsidR="001D7830">
        <w:t xml:space="preserve">estos son una alternativa que ha resultado en créditos para aumentar la infraestructura y tecnología de producción, consolidación </w:t>
      </w:r>
      <w:r w:rsidR="001D7830">
        <w:lastRenderedPageBreak/>
        <w:t xml:space="preserve">de la demanda para exportar, mayor poder de negociación tanto nacional como internacionalmente, desarrollo de la calidad de vida de los pequeños agricultores, entre otros. </w:t>
      </w:r>
    </w:p>
    <w:p w14:paraId="3E790391" w14:textId="77777777" w:rsidR="001D7830" w:rsidRDefault="001D7830" w:rsidP="005F07B4">
      <w:r>
        <w:t xml:space="preserve">El mayor porcentaje de la producción de quinua en Bolivia y Ecuador está destinada a la exportación. Esto en parte porque están subvalorados y poco promocionados los beneficios nutricionales del cereal en el mercado interno, por lo que están generando estrategias que incrementen el consumo las cuales ya han dado sus primeros resultados, pero todavía deben madurarse. </w:t>
      </w:r>
    </w:p>
    <w:p w14:paraId="438AB003" w14:textId="77777777" w:rsidR="001D7830" w:rsidRDefault="001D7830" w:rsidP="005F07B4">
      <w:r>
        <w:t xml:space="preserve">Bolivia ha desarrollado más de 15 tipos de productos con valor agregado a la quinua al granel que está comercializando internacionalmente. Ecuador, aunque todavía depende en mayor medida de la venta de quinua sin procesar, también ha desarrollado 7 tipos de productos que se están comercializando en mercado externo. </w:t>
      </w:r>
    </w:p>
    <w:p w14:paraId="3A8F30DE" w14:textId="77777777" w:rsidR="001D7830" w:rsidRDefault="001D7830" w:rsidP="005F07B4">
      <w:r>
        <w:t xml:space="preserve">El precio de la quinua boliviana y ecuatoriana ha presentado una tendencia creciente en los últimos años. Adicionalmente, el precio con el que se ha comercializado a Francia sigue la misma tendencia, siendo incluso mayor al precio internacional del cereal y del total de las exportaciones de cada país. </w:t>
      </w:r>
    </w:p>
    <w:p w14:paraId="22527CF5" w14:textId="77777777" w:rsidR="001D7830" w:rsidRDefault="001D7830" w:rsidP="005F07B4">
      <w:r>
        <w:t xml:space="preserve">Bolivia ha mantenido una tendencia al alza en ingresos por exportación de quinua que viene por el precio más que por el volumen exportado. Ecuador, por su parte, tiene perspectivas de crecimiento tanto en ingresos como en volumen que le permitirían aumentar su participación de mercado donde ya tenga presencia e incursionar en nuevos destinos. </w:t>
      </w:r>
    </w:p>
    <w:p w14:paraId="51908158" w14:textId="77777777" w:rsidR="001D7830" w:rsidRDefault="001D7830" w:rsidP="005F07B4">
      <w:r>
        <w:t xml:space="preserve">Bolivia cuenta con una mayor participación de mercado en Francia que Ecuador, no solo porque tienen mayor antigüedad en las relaciones comerciales sino porque ofertan una quinua orgánica, mejor valorada por el mercado destino, y han logrado atender los volúmenes demandados llegando incluso a no necesitar intermediarios para entregar a grandes minoristas.  </w:t>
      </w:r>
    </w:p>
    <w:p w14:paraId="2FBEEB9B" w14:textId="77777777" w:rsidR="001D7830" w:rsidRDefault="001D7830" w:rsidP="005F07B4">
      <w:r>
        <w:t xml:space="preserve">La mayoría de la cadena de valor de Bolivia y Ecuador en el mercado francés llega hasta la colocación del producto en manos de intermediarios que elaboran productos o los procesan para venderlos en presentaciones que son preferidas por el consumidor. Son pocas las asociaciones y no existen empresas individuales que expandan la cadena hasta los minoristas y menos aún, al consumidor final. El margen existente entre el precio de venta del país y el precio de venta a </w:t>
      </w:r>
      <w:r>
        <w:lastRenderedPageBreak/>
        <w:t>cliente final llega a ser del 50% adicional por kg en quinua al granel y hasta 10 veces más por kg en productos elaborados</w:t>
      </w:r>
      <w:r w:rsidR="0026749E">
        <w:t xml:space="preserve"> que podría ser aprovechado por los países de origen</w:t>
      </w:r>
      <w:r>
        <w:t>.</w:t>
      </w:r>
    </w:p>
    <w:p w14:paraId="4A615C98" w14:textId="77777777" w:rsidR="008C584D" w:rsidRDefault="009D4D8E" w:rsidP="005F07B4">
      <w:r>
        <w:t>La declaratoria del 2013 como el Año Internacional de la Quinua permitió a los países productores la generación de estrategias que permitan atraer la atención de diversos sectores hacia</w:t>
      </w:r>
      <w:r w:rsidR="008C584D">
        <w:t xml:space="preserve"> la producción de en ámbitos como Innovación, d</w:t>
      </w:r>
      <w:r w:rsidR="008C584D" w:rsidRPr="00C12D62">
        <w:t>esarrol</w:t>
      </w:r>
      <w:r w:rsidR="008C584D">
        <w:t>lo tecnológico, preservación y uso sostenible de recursos naturales y m</w:t>
      </w:r>
      <w:r w:rsidR="008C584D" w:rsidRPr="00C12D62">
        <w:t xml:space="preserve">edio Ambiente, </w:t>
      </w:r>
      <w:r w:rsidR="008C584D">
        <w:t>impulso al comercio interno y e</w:t>
      </w:r>
      <w:r w:rsidR="008C584D" w:rsidRPr="00C12D62">
        <w:t>xterno</w:t>
      </w:r>
      <w:r w:rsidR="008C584D">
        <w:t xml:space="preserve"> y al consumo por la promoción de las cualidades del cereal</w:t>
      </w:r>
      <w:r w:rsidR="008C584D" w:rsidRPr="00C12D62">
        <w:t xml:space="preserve">, </w:t>
      </w:r>
      <w:r w:rsidR="008C584D">
        <w:t>formas de f</w:t>
      </w:r>
      <w:r w:rsidR="008C584D" w:rsidRPr="00C12D62">
        <w:t>inanciamiento</w:t>
      </w:r>
      <w:r w:rsidR="008C584D">
        <w:t xml:space="preserve"> y formulación de políticas públicas.</w:t>
      </w:r>
    </w:p>
    <w:p w14:paraId="142A1168" w14:textId="77777777" w:rsidR="009D4D8E" w:rsidRDefault="008C584D" w:rsidP="005F07B4">
      <w:r>
        <w:t xml:space="preserve">El mercado francés valora como un requisito fundamental para el consumo de quinua que esta sea catalogada como orgánica. Bolivia trabaja en pos de cumplir al 100% este objetivo y está muy cerca de lograrlo. Ecuador por su parte todavía produce en una proporción de 7 a 1 quinua convencional frente a orgánica. </w:t>
      </w:r>
    </w:p>
    <w:p w14:paraId="2CEA829F" w14:textId="77777777" w:rsidR="008C584D" w:rsidRDefault="008C584D" w:rsidP="005F07B4">
      <w:r>
        <w:t xml:space="preserve">Otro requisito importante para el acceso de quinua a Francia es la inclusión de los agricultores dentro de la red de Comercio Justo que garantice que las condiciones de vida y trabajo de ellos sean las adecuadas dentro de esta actividad. Bolivia tiene más de 1500 pequeños agricultores con la certificación, pertenecientes a diversas asociaciones. Ecuador cuenta con dos organizaciones con la certificación que agrupan a casi 1000 productores. </w:t>
      </w:r>
    </w:p>
    <w:p w14:paraId="3BA1DE4F" w14:textId="77777777" w:rsidR="008C584D" w:rsidRDefault="008C584D" w:rsidP="005F07B4">
      <w:r>
        <w:t xml:space="preserve">El gobierno boliviano ha procurado ofrecer alternativas de financiamiento que fomenten la producción de quinua en el país a través de la definición de dos líneas de crédito para agricultores de productos no tradicionales y una de ellas específica para este cereal, beneficiando a una gran cantidad de productores. Por otro lado, Ecuador ha otorgado créditos pero de forma puntual para organizaciones productoras sin establecer condiciones específicas accesibles a los demás agricultores del sector. </w:t>
      </w:r>
    </w:p>
    <w:p w14:paraId="4BDA60A7" w14:textId="77777777" w:rsidR="0085633B" w:rsidRDefault="000F3FD7" w:rsidP="005F07B4">
      <w:r>
        <w:t xml:space="preserve">El caso de asociación con mayor trascendencia en ambos países es la formación de Consorcios de Exportación. Para el caso boliviano, CABOLQUI, con 11 empresas y 10 años de experiencia, constituye el 70% del volumen exportado y ha logrado generar beneficios como créditos para el fomento de la producción. En Ecuador, el Consorcio de Exportadores tiene 2 años de formación y, con 5 empresas, representa el 30% del volumen exportado y todavía no se pueden ver resultados concluyentes de su operación. </w:t>
      </w:r>
    </w:p>
    <w:p w14:paraId="13BACC59" w14:textId="77777777" w:rsidR="000F3FD7" w:rsidRDefault="0085633B" w:rsidP="005F07B4">
      <w:r>
        <w:lastRenderedPageBreak/>
        <w:t>Comparando la estructura financiera de la actividad productora y comercializadora de ambos países, se puede concluir que a nivel de ingresos tienen una tendencia creciente para los próximos años, teniendo un enfoque de exportación y elaboración de productos con valor agregado.</w:t>
      </w:r>
    </w:p>
    <w:p w14:paraId="003E3878" w14:textId="77777777" w:rsidR="005E784A" w:rsidRDefault="005E784A" w:rsidP="005F07B4">
      <w:r>
        <w:t xml:space="preserve">Los márgenes de utilidad oscilan entre 2% y 7%, con una alta dependencia de costos de mano de obra y otros relacionados a la operación del negocio. Coinciden con una alta rotación de activos, especialmente los inventarios, dada la naturaleza del producto. Presentan además un elevado nivel de apalancamiento en terceros principalmente para la adquisición de implementos que mejoren la infraestructura de las plantas productoras e incremente la producción. </w:t>
      </w:r>
    </w:p>
    <w:p w14:paraId="6E0907AB" w14:textId="77777777" w:rsidR="005E784A" w:rsidRDefault="005E784A" w:rsidP="005F07B4">
      <w:r>
        <w:t xml:space="preserve">El retorno sobre la inversión reflejado va desde un 15% a 19% con proyecciones de crecimiento positivas. </w:t>
      </w:r>
    </w:p>
    <w:p w14:paraId="6B780E2D" w14:textId="77777777" w:rsidR="00C435DA" w:rsidRDefault="00C435DA">
      <w:pPr>
        <w:spacing w:line="276" w:lineRule="auto"/>
        <w:jc w:val="left"/>
        <w:rPr>
          <w:rFonts w:eastAsiaTheme="majorEastAsia" w:cstheme="majorBidi"/>
          <w:b/>
          <w:szCs w:val="26"/>
        </w:rPr>
      </w:pPr>
      <w:r>
        <w:br w:type="page"/>
      </w:r>
    </w:p>
    <w:p w14:paraId="77C4C184" w14:textId="77777777" w:rsidR="007C5DDB" w:rsidRDefault="000754A9" w:rsidP="005F07B4">
      <w:pPr>
        <w:pStyle w:val="Ttulo2"/>
      </w:pPr>
      <w:bookmarkStart w:id="77" w:name="_Toc446973175"/>
      <w:r>
        <w:lastRenderedPageBreak/>
        <w:t>Recomendaciones</w:t>
      </w:r>
      <w:bookmarkEnd w:id="77"/>
    </w:p>
    <w:p w14:paraId="5240D7D1" w14:textId="77777777" w:rsidR="000754A9" w:rsidRDefault="000754A9" w:rsidP="005F07B4">
      <w:r>
        <w:t xml:space="preserve">Dada la situación del rendimiento presentado en la producción de quinua en Ecuador, se recomienda promover el cultivo del cereal procurando un rendimiento similar al presentado en el 2014, destinando un mayor número de hectáreas al cultivo del cereal. Esto de la mano con el apoyo del Gobierno para otorgar semillas de calidad y asesorías para una producción eficiente. </w:t>
      </w:r>
    </w:p>
    <w:p w14:paraId="1CA4584D" w14:textId="77777777" w:rsidR="000754A9" w:rsidRDefault="001D7830" w:rsidP="005F07B4">
      <w:r>
        <w:t xml:space="preserve">Si bien Ecuador ha considerado la asociación entre productores, podría generarse mayores beneficios para las mismas desde el Gobierno favoreciendo el trabajo conjunto, como créditos para financiamiento, talleres de capacitación, investigación y desarrollo, etc. </w:t>
      </w:r>
    </w:p>
    <w:p w14:paraId="67DC409C" w14:textId="77777777" w:rsidR="001D7830" w:rsidRDefault="001D7830" w:rsidP="005F07B4">
      <w:r>
        <w:t>Ecuador debe aprovechar la potencialidad del mercado interno de la quinua y generar estrategias que favorezcan el consumo. Estas pueden ser: Elaboración de campañas por parte del Ministerio de Salud en las que se promocione los beneficios nutricionales del cereal, Elaboración de Ferias gastronómicas y distribución de recetarios para que se enseñe a la población diferentes preparaciones del mismo, Inclusión de alimentos preparados con el cereal en el desayuno escolar de los estudiantes, entre otras.</w:t>
      </w:r>
    </w:p>
    <w:p w14:paraId="07A79B2F" w14:textId="77777777" w:rsidR="001D7830" w:rsidRDefault="001D7830" w:rsidP="005F07B4">
      <w:r>
        <w:t xml:space="preserve">Ecuador debería apostar aún más por  las empresas que generan productos de quinua con valor agregado a través de financiamiento o capacitación para obtener una mayor variedad a precios y volúmenes competitivos que le permitan llegar a los empresarios con el producto final y la marca ecuatoriana hasta los minoristas de cadenas internacionales. </w:t>
      </w:r>
    </w:p>
    <w:p w14:paraId="43F90CE0" w14:textId="77777777" w:rsidR="001D7830" w:rsidRDefault="001D7830" w:rsidP="005F07B4">
      <w:r>
        <w:t>Las exportaciones de quinua ecuatoriana podrían orientarse a mercados que le den mayor valor a las características particulares del cereal en lugar de al volumen adquirido, como es el caso del mercado francés. Así podría potencializarse la obtención de certificados de producción orgánica y de comercio justo, para no competir por precio sino por beneficios otorgados. Sin embargo, deben ir de la mano con el aumento de la producción que permita cubrir la demanda insatisfecha y fortalecer las relaciones asociativas que otorguen mayor poder de negociación.</w:t>
      </w:r>
    </w:p>
    <w:p w14:paraId="446FCD0F" w14:textId="77777777" w:rsidR="008C584D" w:rsidRDefault="001D7830" w:rsidP="005F07B4">
      <w:r>
        <w:t xml:space="preserve">Una recomendación a largo plazo es la evaluación de la factibilidad de extender la cadena de distribución de la quinua ecuatoriana </w:t>
      </w:r>
      <w:r w:rsidR="00B170D0">
        <w:t xml:space="preserve">hasta al menos los minoristas internacionales, con la oferta de quinua al granel y más aún productos elaborados para aprovechar los márgenes de ganancias por los precios que están dispuestos a pagar los consumidores por productos que cumplan sus expectativas. </w:t>
      </w:r>
    </w:p>
    <w:p w14:paraId="101A9091" w14:textId="77777777" w:rsidR="008C584D" w:rsidRDefault="008C584D" w:rsidP="005F07B4">
      <w:r>
        <w:lastRenderedPageBreak/>
        <w:t xml:space="preserve">Es necesario que el país produzca más quinua certificada como orgánica para poder abarcar mayor mercado francés. Para esto es necesario que el gobierno brinde capacitación para los agricultores acerca de las implicaciones en el sistema productivo que tiene la certificación y más aún, se otorgue financiamiento para adecuar las instalaciones y los procesos pertinentes que permitan la obtención del mismo. </w:t>
      </w:r>
    </w:p>
    <w:p w14:paraId="6628D587" w14:textId="77777777" w:rsidR="008C584D" w:rsidRDefault="008C584D" w:rsidP="005F07B4">
      <w:r>
        <w:t xml:space="preserve">De la mano con la certificación orgánica, </w:t>
      </w:r>
      <w:r w:rsidR="0026749E">
        <w:t>hay que enfocarse</w:t>
      </w:r>
      <w:r>
        <w:t xml:space="preserve"> en la inclusión de productores dentro de la Red de Comercio Justo. Esto no solo garantizaría mejor acceso al mercado francés sino una mejora considerable en las condiciones de vida de los agricultores de quinua, viendo en la producción del cereal una opción más viable de cultivo. </w:t>
      </w:r>
    </w:p>
    <w:p w14:paraId="4794877D" w14:textId="77777777" w:rsidR="008C584D" w:rsidRDefault="008C584D" w:rsidP="005F07B4">
      <w:r>
        <w:t xml:space="preserve">Tomando en cuenta la potencialidad de producción de quinua que posee el país, siendo este un cultivo de ciclo corto y que no necesita condiciones específicas para su crecimiento, el MAGAP de la mano con instituciones financieras podría analizar la creación de un fondo dedicado al cultivo de quinua accesible para los pequeños agricultores del sector y otras asociaciones, tomando el ejemplo boliviano. </w:t>
      </w:r>
    </w:p>
    <w:p w14:paraId="281EB262" w14:textId="77777777" w:rsidR="008C584D" w:rsidRDefault="000F3FD7" w:rsidP="005F07B4">
      <w:r>
        <w:t>Se debe fortalecer la actividad realizada por el Consorcio de Exportadores para encontrar beneficios en financiamiento, negociaci</w:t>
      </w:r>
      <w:r w:rsidR="00BE102B">
        <w:t>ón en conjunto, descuentos y demás, de manera que</w:t>
      </w:r>
      <w:r>
        <w:t xml:space="preserve"> resulte más atractiva a otra</w:t>
      </w:r>
      <w:r w:rsidR="00BE102B">
        <w:t>s empresas que puedan unirse.</w:t>
      </w:r>
    </w:p>
    <w:p w14:paraId="3CAE29A0" w14:textId="77777777" w:rsidR="00055BB7" w:rsidRDefault="00055BB7" w:rsidP="005F07B4">
      <w:r>
        <w:t>Teniendo en cuenta que los costos operacionales en las empresas productoras y comercializadoras de quinua representan gran parte de los ingresos, se podría optar por la tecnificación de la producción e industrialización que redujera el porcentaje de costos generando mayor eficiencia en los procesos.</w:t>
      </w:r>
    </w:p>
    <w:p w14:paraId="007FB8AB" w14:textId="77777777" w:rsidR="009B2B63" w:rsidRDefault="009B2B63" w:rsidP="005F07B4">
      <w:pPr>
        <w:ind w:left="360"/>
      </w:pPr>
      <w:r>
        <w:br w:type="page"/>
      </w:r>
    </w:p>
    <w:bookmarkStart w:id="78" w:name="_Toc446973176" w:displacedByCustomXml="next"/>
    <w:sdt>
      <w:sdtPr>
        <w:rPr>
          <w:rFonts w:eastAsiaTheme="minorHAnsi" w:cstheme="minorBidi"/>
          <w:b w:val="0"/>
          <w:szCs w:val="22"/>
          <w:lang w:val="es-ES" w:eastAsia="en-US"/>
        </w:rPr>
        <w:id w:val="-2090529525"/>
        <w:docPartObj>
          <w:docPartGallery w:val="Bibliographies"/>
          <w:docPartUnique/>
        </w:docPartObj>
      </w:sdtPr>
      <w:sdtEndPr>
        <w:rPr>
          <w:rFonts w:cs="Times New Roman"/>
          <w:lang w:val="es-EC"/>
        </w:rPr>
      </w:sdtEndPr>
      <w:sdtContent>
        <w:p w14:paraId="3EDC2DEC" w14:textId="77777777" w:rsidR="0075555F" w:rsidRDefault="0075555F" w:rsidP="005F07B4">
          <w:pPr>
            <w:pStyle w:val="Ttulo1"/>
            <w:spacing w:before="0" w:after="200"/>
            <w:contextualSpacing/>
          </w:pPr>
          <w:r>
            <w:rPr>
              <w:lang w:val="es-ES"/>
            </w:rPr>
            <w:t>BIBLIOGRAFIA</w:t>
          </w:r>
          <w:bookmarkEnd w:id="78"/>
        </w:p>
        <w:sdt>
          <w:sdtPr>
            <w:id w:val="111145805"/>
            <w:bibliography/>
          </w:sdtPr>
          <w:sdtEndPr/>
          <w:sdtContent>
            <w:p w14:paraId="1FDA7A40" w14:textId="77777777" w:rsidR="00BC1846" w:rsidRDefault="0075555F" w:rsidP="005F07B4">
              <w:pPr>
                <w:pStyle w:val="Bibliografa"/>
                <w:ind w:left="720" w:hanging="720"/>
                <w:contextualSpacing/>
                <w:rPr>
                  <w:noProof/>
                  <w:szCs w:val="24"/>
                  <w:lang w:val="es-ES"/>
                </w:rPr>
              </w:pPr>
              <w:r>
                <w:fldChar w:fldCharType="begin"/>
              </w:r>
              <w:r>
                <w:instrText>BIBLIOGRAPHY</w:instrText>
              </w:r>
              <w:r>
                <w:fldChar w:fldCharType="separate"/>
              </w:r>
              <w:r w:rsidR="00BC1846">
                <w:rPr>
                  <w:noProof/>
                  <w:lang w:val="es-ES"/>
                </w:rPr>
                <w:t xml:space="preserve">Agencia Peruana de Cooperación Internacional. (2007). </w:t>
              </w:r>
              <w:r w:rsidR="00BC1846">
                <w:rPr>
                  <w:i/>
                  <w:iCs/>
                  <w:noProof/>
                  <w:lang w:val="es-ES"/>
                </w:rPr>
                <w:t>Estudio de Mercado para la Quínoa y la Kiwicha en Francia .</w:t>
              </w:r>
              <w:r w:rsidR="00BC1846">
                <w:rPr>
                  <w:noProof/>
                  <w:lang w:val="es-ES"/>
                </w:rPr>
                <w:t xml:space="preserve"> Lima: Agencia Peruana de Cooperación Internacional.</w:t>
              </w:r>
            </w:p>
            <w:p w14:paraId="1B909B14" w14:textId="77777777" w:rsidR="00BC1846" w:rsidRDefault="00BC1846" w:rsidP="005F07B4">
              <w:pPr>
                <w:pStyle w:val="Bibliografa"/>
                <w:ind w:left="720" w:hanging="720"/>
                <w:contextualSpacing/>
                <w:rPr>
                  <w:noProof/>
                  <w:lang w:val="es-ES"/>
                </w:rPr>
              </w:pPr>
              <w:r>
                <w:rPr>
                  <w:noProof/>
                  <w:lang w:val="es-ES"/>
                </w:rPr>
                <w:t xml:space="preserve">Agencia Pública de Noticias del Ecuador y Suramérica. (03 de febrero de 2014). </w:t>
              </w:r>
              <w:r>
                <w:rPr>
                  <w:i/>
                  <w:iCs/>
                  <w:noProof/>
                  <w:lang w:val="es-ES"/>
                </w:rPr>
                <w:t>Estados Unidos tiene apetito por la quinua de Bolivia, Perú y Ecuador</w:t>
              </w:r>
              <w:r>
                <w:rPr>
                  <w:noProof/>
                  <w:lang w:val="es-ES"/>
                </w:rPr>
                <w:t>. Recuperado el 28 de Agosto de 2015, de Andes: http://www.andes.info.ec/es/noticias/estados-unidos-tiene-apetito-quinua-bolivia-peru-ecuador.html</w:t>
              </w:r>
            </w:p>
            <w:p w14:paraId="159A2017" w14:textId="77777777" w:rsidR="00BC1846" w:rsidRDefault="00BC1846" w:rsidP="005F07B4">
              <w:pPr>
                <w:pStyle w:val="Bibliografa"/>
                <w:ind w:left="720" w:hanging="720"/>
                <w:contextualSpacing/>
                <w:rPr>
                  <w:noProof/>
                  <w:lang w:val="es-ES"/>
                </w:rPr>
              </w:pPr>
              <w:r>
                <w:rPr>
                  <w:noProof/>
                  <w:lang w:val="es-ES"/>
                </w:rPr>
                <w:t xml:space="preserve">ALADI- FAO. (2014). </w:t>
              </w:r>
              <w:r>
                <w:rPr>
                  <w:i/>
                  <w:iCs/>
                  <w:noProof/>
                  <w:lang w:val="es-ES"/>
                </w:rPr>
                <w:t>Tendencias y Perspectivas del Comercio Internacional de Quinua.</w:t>
              </w:r>
              <w:r>
                <w:rPr>
                  <w:noProof/>
                  <w:lang w:val="es-ES"/>
                </w:rPr>
                <w:t xml:space="preserve"> Santiago.</w:t>
              </w:r>
            </w:p>
            <w:p w14:paraId="54CDD351" w14:textId="77777777" w:rsidR="00BC1846" w:rsidRDefault="00BC1846" w:rsidP="005F07B4">
              <w:pPr>
                <w:pStyle w:val="Bibliografa"/>
                <w:ind w:left="720" w:hanging="720"/>
                <w:contextualSpacing/>
                <w:rPr>
                  <w:noProof/>
                  <w:lang w:val="es-ES"/>
                </w:rPr>
              </w:pPr>
              <w:r>
                <w:rPr>
                  <w:noProof/>
                  <w:lang w:val="es-ES"/>
                </w:rPr>
                <w:t xml:space="preserve">América Economía. (09 de Septiembre de 2012). Bolivia se convierte en el principal exportador de gas de Sudamérica. </w:t>
              </w:r>
              <w:r>
                <w:rPr>
                  <w:i/>
                  <w:iCs/>
                  <w:noProof/>
                  <w:lang w:val="es-ES"/>
                </w:rPr>
                <w:t>América Economía</w:t>
              </w:r>
              <w:r>
                <w:rPr>
                  <w:noProof/>
                  <w:lang w:val="es-ES"/>
                </w:rPr>
                <w:t>.</w:t>
              </w:r>
            </w:p>
            <w:p w14:paraId="7730B6C5" w14:textId="77777777" w:rsidR="00BC1846" w:rsidRDefault="00BC1846" w:rsidP="005F07B4">
              <w:pPr>
                <w:pStyle w:val="Bibliografa"/>
                <w:ind w:left="720" w:hanging="720"/>
                <w:contextualSpacing/>
                <w:rPr>
                  <w:noProof/>
                  <w:lang w:val="es-ES"/>
                </w:rPr>
              </w:pPr>
              <w:r>
                <w:rPr>
                  <w:noProof/>
                  <w:lang w:val="es-ES"/>
                </w:rPr>
                <w:t xml:space="preserve">ARGENCERT. (2015). </w:t>
              </w:r>
              <w:r>
                <w:rPr>
                  <w:i/>
                  <w:iCs/>
                  <w:noProof/>
                  <w:lang w:val="es-ES"/>
                </w:rPr>
                <w:t>Certificación Orgánica</w:t>
              </w:r>
              <w:r>
                <w:rPr>
                  <w:noProof/>
                  <w:lang w:val="es-ES"/>
                </w:rPr>
                <w:t>. Recuperado el 30 de octubre de 2015, de ARGENCERT. Servicios internacionales de Certificación: http://argencert.com.ar/sitio/certificaciones-y-servicios/certificacion-organica/</w:t>
              </w:r>
            </w:p>
            <w:p w14:paraId="22E0966F" w14:textId="77777777" w:rsidR="00BC1846" w:rsidRDefault="00BC1846" w:rsidP="005F07B4">
              <w:pPr>
                <w:pStyle w:val="Bibliografa"/>
                <w:ind w:left="720" w:hanging="720"/>
                <w:contextualSpacing/>
                <w:rPr>
                  <w:noProof/>
                  <w:lang w:val="es-ES"/>
                </w:rPr>
              </w:pPr>
              <w:r>
                <w:rPr>
                  <w:noProof/>
                  <w:lang w:val="es-ES"/>
                </w:rPr>
                <w:t xml:space="preserve">ASFI. (2015). </w:t>
              </w:r>
              <w:r>
                <w:rPr>
                  <w:i/>
                  <w:iCs/>
                  <w:noProof/>
                  <w:lang w:val="es-ES"/>
                </w:rPr>
                <w:t>Mercados Regulados: Quinua Foods Company S.R.L</w:t>
              </w:r>
              <w:r>
                <w:rPr>
                  <w:noProof/>
                  <w:lang w:val="es-ES"/>
                </w:rPr>
                <w:t>. Recuperado el 30 de Octubre de 2015, de Autoridad de Supervisión del Sistema Financiero: https://www.asfi.gob.bo/reportes_asp/rmi/tarjeta.asp?c=53064&amp;t=3</w:t>
              </w:r>
            </w:p>
            <w:p w14:paraId="1CF7E556" w14:textId="77777777" w:rsidR="00BC1846" w:rsidRDefault="00BC1846" w:rsidP="005F07B4">
              <w:pPr>
                <w:pStyle w:val="Bibliografa"/>
                <w:ind w:left="720" w:hanging="720"/>
                <w:contextualSpacing/>
                <w:rPr>
                  <w:noProof/>
                  <w:lang w:val="es-ES"/>
                </w:rPr>
              </w:pPr>
              <w:r>
                <w:rPr>
                  <w:noProof/>
                  <w:lang w:val="es-ES"/>
                </w:rPr>
                <w:t xml:space="preserve">Banco Central de Bolivia. (2013). </w:t>
              </w:r>
              <w:r>
                <w:rPr>
                  <w:i/>
                  <w:iCs/>
                  <w:noProof/>
                  <w:lang w:val="es-ES"/>
                </w:rPr>
                <w:t>Bolivia: Principales productos exportados al mundo, según volumen y valor.</w:t>
              </w:r>
              <w:r>
                <w:rPr>
                  <w:noProof/>
                  <w:lang w:val="es-ES"/>
                </w:rPr>
                <w:t xml:space="preserve"> La Paz: Banco Central de Bolivia.</w:t>
              </w:r>
            </w:p>
            <w:p w14:paraId="6D25D2E1" w14:textId="77777777" w:rsidR="00BC1846" w:rsidRDefault="00BC1846" w:rsidP="005F07B4">
              <w:pPr>
                <w:pStyle w:val="Bibliografa"/>
                <w:ind w:left="720" w:hanging="720"/>
                <w:contextualSpacing/>
                <w:rPr>
                  <w:noProof/>
                  <w:lang w:val="es-ES"/>
                </w:rPr>
              </w:pPr>
              <w:r>
                <w:rPr>
                  <w:noProof/>
                  <w:lang w:val="es-ES"/>
                </w:rPr>
                <w:t xml:space="preserve">Banco Central de Bolivia. (2013). </w:t>
              </w:r>
              <w:r>
                <w:rPr>
                  <w:i/>
                  <w:iCs/>
                  <w:noProof/>
                  <w:lang w:val="es-ES"/>
                </w:rPr>
                <w:t>Reporte de Balanza de Pagos y Posición de Inversión Internacional.</w:t>
              </w:r>
              <w:r>
                <w:rPr>
                  <w:noProof/>
                  <w:lang w:val="es-ES"/>
                </w:rPr>
                <w:t xml:space="preserve"> La Paz: Banco Central de Bolivia.</w:t>
              </w:r>
            </w:p>
            <w:p w14:paraId="5F17FC3F" w14:textId="77777777" w:rsidR="00BC1846" w:rsidRDefault="00BC1846" w:rsidP="005F07B4">
              <w:pPr>
                <w:pStyle w:val="Bibliografa"/>
                <w:ind w:left="720" w:hanging="720"/>
                <w:contextualSpacing/>
                <w:rPr>
                  <w:noProof/>
                  <w:lang w:val="es-ES"/>
                </w:rPr>
              </w:pPr>
              <w:r>
                <w:rPr>
                  <w:noProof/>
                  <w:lang w:val="es-ES"/>
                </w:rPr>
                <w:t xml:space="preserve">Banco Central de Bolivia. (2014). </w:t>
              </w:r>
              <w:r>
                <w:rPr>
                  <w:i/>
                  <w:iCs/>
                  <w:noProof/>
                  <w:lang w:val="es-ES"/>
                </w:rPr>
                <w:t>Reporte de Balanza de Pagos y Posición de Inversión Internacional.</w:t>
              </w:r>
              <w:r>
                <w:rPr>
                  <w:noProof/>
                  <w:lang w:val="es-ES"/>
                </w:rPr>
                <w:t xml:space="preserve"> La Paz: Banco Central de Bolivia.</w:t>
              </w:r>
            </w:p>
            <w:p w14:paraId="3634D621" w14:textId="77777777" w:rsidR="00BC1846" w:rsidRDefault="00BC1846" w:rsidP="005F07B4">
              <w:pPr>
                <w:pStyle w:val="Bibliografa"/>
                <w:ind w:left="720" w:hanging="720"/>
                <w:contextualSpacing/>
                <w:rPr>
                  <w:noProof/>
                  <w:lang w:val="es-ES"/>
                </w:rPr>
              </w:pPr>
              <w:r>
                <w:rPr>
                  <w:noProof/>
                  <w:lang w:val="es-ES"/>
                </w:rPr>
                <w:t xml:space="preserve">Banco Central de Bolivia. (2016). </w:t>
              </w:r>
              <w:r>
                <w:rPr>
                  <w:i/>
                  <w:iCs/>
                  <w:noProof/>
                  <w:lang w:val="es-ES"/>
                </w:rPr>
                <w:t>Información Económica</w:t>
              </w:r>
              <w:r>
                <w:rPr>
                  <w:noProof/>
                  <w:lang w:val="es-ES"/>
                </w:rPr>
                <w:t>. Obtenido de Banco Central de Bolivia: https://www.bcb.gob.bo/?q=estad-sticas-semanales</w:t>
              </w:r>
            </w:p>
            <w:p w14:paraId="24077047" w14:textId="77777777" w:rsidR="00BC1846" w:rsidRDefault="00BC1846" w:rsidP="005F07B4">
              <w:pPr>
                <w:pStyle w:val="Bibliografa"/>
                <w:ind w:left="720" w:hanging="720"/>
                <w:contextualSpacing/>
                <w:rPr>
                  <w:noProof/>
                  <w:lang w:val="es-ES"/>
                </w:rPr>
              </w:pPr>
              <w:r>
                <w:rPr>
                  <w:noProof/>
                  <w:lang w:val="es-ES"/>
                </w:rPr>
                <w:t xml:space="preserve">Banco Central del Ecuador. (Marzo de 2015). </w:t>
              </w:r>
              <w:r>
                <w:rPr>
                  <w:i/>
                  <w:iCs/>
                  <w:noProof/>
                  <w:lang w:val="es-ES"/>
                </w:rPr>
                <w:t>Publicaciones de Banca Central.</w:t>
              </w:r>
              <w:r>
                <w:rPr>
                  <w:noProof/>
                  <w:lang w:val="es-ES"/>
                </w:rPr>
                <w:t xml:space="preserve"> Recuperado el 01 de Febrero de 2016, de Banco Central del Ecuador: http://www.bce.fin.ec/index.php/component/k2/item/756</w:t>
              </w:r>
            </w:p>
            <w:p w14:paraId="4C6B27CA" w14:textId="77777777" w:rsidR="00BC1846" w:rsidRDefault="00BC1846" w:rsidP="005F07B4">
              <w:pPr>
                <w:pStyle w:val="Bibliografa"/>
                <w:ind w:left="720" w:hanging="720"/>
                <w:contextualSpacing/>
                <w:rPr>
                  <w:noProof/>
                  <w:lang w:val="es-ES"/>
                </w:rPr>
              </w:pPr>
              <w:r>
                <w:rPr>
                  <w:noProof/>
                  <w:lang w:val="es-ES"/>
                </w:rPr>
                <w:t xml:space="preserve">Banco Central del Ecuador. (Enero de 2016). </w:t>
              </w:r>
              <w:r>
                <w:rPr>
                  <w:i/>
                  <w:iCs/>
                  <w:noProof/>
                  <w:lang w:val="es-ES"/>
                </w:rPr>
                <w:t>CONSULTA DE TOTALES POR NANDINA - PAIS</w:t>
              </w:r>
              <w:r>
                <w:rPr>
                  <w:noProof/>
                  <w:lang w:val="es-ES"/>
                </w:rPr>
                <w:t xml:space="preserve">. Recuperado el 15 de Diciembre de 2015, de Banco Central del Ecuador: </w:t>
              </w:r>
              <w:r>
                <w:rPr>
                  <w:noProof/>
                  <w:lang w:val="es-ES"/>
                </w:rPr>
                <w:lastRenderedPageBreak/>
                <w:t>http://www.bce.fin.ec/comercioExterior/comercio/consultaTotXNandinaPaisConGrafico.jsp</w:t>
              </w:r>
            </w:p>
            <w:p w14:paraId="45E23B9C" w14:textId="77777777" w:rsidR="00BC1846" w:rsidRDefault="00BC1846" w:rsidP="005F07B4">
              <w:pPr>
                <w:pStyle w:val="Bibliografa"/>
                <w:ind w:left="720" w:hanging="720"/>
                <w:contextualSpacing/>
                <w:rPr>
                  <w:noProof/>
                  <w:lang w:val="es-ES"/>
                </w:rPr>
              </w:pPr>
              <w:r>
                <w:rPr>
                  <w:noProof/>
                  <w:lang w:val="es-ES"/>
                </w:rPr>
                <w:t xml:space="preserve">Banco de Desarrollo Productivo. (20 de Julio de 2013). </w:t>
              </w:r>
              <w:r>
                <w:rPr>
                  <w:i/>
                  <w:iCs/>
                  <w:noProof/>
                  <w:lang w:val="es-ES"/>
                </w:rPr>
                <w:t>Fideicomiso para el Desarrollo Productivo - FDP</w:t>
              </w:r>
              <w:r>
                <w:rPr>
                  <w:noProof/>
                  <w:lang w:val="es-ES"/>
                </w:rPr>
                <w:t>. Recuperado el 28 de Septiembre de 2015, de Banco de Desarrollo Productivo: http://www.bdp.com.bo/es/Fideicomiso_fdp.php#</w:t>
              </w:r>
            </w:p>
            <w:p w14:paraId="1315B79A" w14:textId="77777777" w:rsidR="00BC1846" w:rsidRDefault="00BC1846" w:rsidP="005F07B4">
              <w:pPr>
                <w:pStyle w:val="Bibliografa"/>
                <w:ind w:left="720" w:hanging="720"/>
                <w:contextualSpacing/>
                <w:rPr>
                  <w:noProof/>
                  <w:lang w:val="es-ES"/>
                </w:rPr>
              </w:pPr>
              <w:r>
                <w:rPr>
                  <w:noProof/>
                  <w:lang w:val="es-ES"/>
                </w:rPr>
                <w:t xml:space="preserve">Banco Nacional de Fomento. (07 de Enero de 2015). </w:t>
              </w:r>
              <w:r>
                <w:rPr>
                  <w:i/>
                  <w:iCs/>
                  <w:noProof/>
                  <w:lang w:val="es-ES"/>
                </w:rPr>
                <w:t>Chimborazo: productores de quinua reciben crédito por 300 mil dólares</w:t>
              </w:r>
              <w:r>
                <w:rPr>
                  <w:noProof/>
                  <w:lang w:val="es-ES"/>
                </w:rPr>
                <w:t>. Obtenido de Banco Nacional de Fomento: https://www.bnf.fin.ec/index.php?option=com_content&amp;view=article&amp;id=541%3A671-productores-de-quinua-se-benefician-cpn-credito-asociativo-en-chimborazo&amp;catid=27%3Anoticias-principales&amp;lang=es</w:t>
              </w:r>
            </w:p>
            <w:p w14:paraId="43313FF3" w14:textId="77777777" w:rsidR="00BC1846" w:rsidRDefault="00BC1846" w:rsidP="005F07B4">
              <w:pPr>
                <w:pStyle w:val="Bibliografa"/>
                <w:ind w:left="720" w:hanging="720"/>
                <w:contextualSpacing/>
                <w:rPr>
                  <w:noProof/>
                  <w:lang w:val="es-ES"/>
                </w:rPr>
              </w:pPr>
              <w:r>
                <w:rPr>
                  <w:noProof/>
                  <w:lang w:val="es-ES"/>
                </w:rPr>
                <w:t xml:space="preserve">Bazile, D., Bertero, D., &amp; Nieto, C. (2014). </w:t>
              </w:r>
              <w:r>
                <w:rPr>
                  <w:i/>
                  <w:iCs/>
                  <w:noProof/>
                  <w:lang w:val="es-ES"/>
                </w:rPr>
                <w:t>Estado del Arte de la Quinua en el Mundo en 2013.</w:t>
              </w:r>
              <w:r>
                <w:rPr>
                  <w:noProof/>
                  <w:lang w:val="es-ES"/>
                </w:rPr>
                <w:t xml:space="preserve"> Santiago de Chile: FAO.</w:t>
              </w:r>
            </w:p>
            <w:p w14:paraId="536F1F2C" w14:textId="77777777" w:rsidR="00BC1846" w:rsidRDefault="00BC1846" w:rsidP="005F07B4">
              <w:pPr>
                <w:pStyle w:val="Bibliografa"/>
                <w:ind w:left="720" w:hanging="720"/>
                <w:contextualSpacing/>
                <w:rPr>
                  <w:noProof/>
                  <w:lang w:val="es-ES"/>
                </w:rPr>
              </w:pPr>
              <w:r>
                <w:rPr>
                  <w:noProof/>
                  <w:lang w:val="es-ES"/>
                </w:rPr>
                <w:t xml:space="preserve">CABOLQUI. (2015). </w:t>
              </w:r>
              <w:r>
                <w:rPr>
                  <w:i/>
                  <w:iCs/>
                  <w:noProof/>
                  <w:lang w:val="es-ES"/>
                </w:rPr>
                <w:t>Acerca de nosotros</w:t>
              </w:r>
              <w:r>
                <w:rPr>
                  <w:noProof/>
                  <w:lang w:val="es-ES"/>
                </w:rPr>
                <w:t>. Recuperado el 28 de octubre de 2015, de Cámara Boliviana de Exportadores de Quinoa y Productos Orgánicos – CABOLQUI: http://www.cabolqui.org/es/cabolqui/</w:t>
              </w:r>
            </w:p>
            <w:p w14:paraId="690BC947" w14:textId="77777777" w:rsidR="00BC1846" w:rsidRDefault="00BC1846" w:rsidP="005F07B4">
              <w:pPr>
                <w:pStyle w:val="Bibliografa"/>
                <w:ind w:left="720" w:hanging="720"/>
                <w:contextualSpacing/>
                <w:rPr>
                  <w:noProof/>
                  <w:lang w:val="es-ES"/>
                </w:rPr>
              </w:pPr>
              <w:r>
                <w:rPr>
                  <w:noProof/>
                  <w:lang w:val="es-ES"/>
                </w:rPr>
                <w:t>CABOLQUI, E. m. (1 de julio de 2013). Historias de éxito de los exportadores bolivianos de quinua. (CABOLQUI, Entrevistador)</w:t>
              </w:r>
            </w:p>
            <w:p w14:paraId="04359106" w14:textId="77777777" w:rsidR="00BC1846" w:rsidRDefault="00BC1846" w:rsidP="005F07B4">
              <w:pPr>
                <w:pStyle w:val="Bibliografa"/>
                <w:ind w:left="720" w:hanging="720"/>
                <w:contextualSpacing/>
                <w:rPr>
                  <w:noProof/>
                  <w:lang w:val="es-ES"/>
                </w:rPr>
              </w:pPr>
              <w:r>
                <w:rPr>
                  <w:noProof/>
                  <w:lang w:val="es-ES"/>
                </w:rPr>
                <w:t xml:space="preserve">Cano, M. J., &amp; Beviá, B. (2010). Estrategias y Plan de Internacionalización. </w:t>
              </w:r>
              <w:r>
                <w:rPr>
                  <w:i/>
                  <w:iCs/>
                  <w:noProof/>
                  <w:lang w:val="es-ES"/>
                </w:rPr>
                <w:t>Escuela de Organización Industrial</w:t>
              </w:r>
              <w:r>
                <w:rPr>
                  <w:noProof/>
                  <w:lang w:val="es-ES"/>
                </w:rPr>
                <w:t>, 8.</w:t>
              </w:r>
            </w:p>
            <w:p w14:paraId="160939B2" w14:textId="77777777" w:rsidR="00BC1846" w:rsidRDefault="00BC1846" w:rsidP="005F07B4">
              <w:pPr>
                <w:pStyle w:val="Bibliografa"/>
                <w:ind w:left="720" w:hanging="720"/>
                <w:contextualSpacing/>
                <w:rPr>
                  <w:noProof/>
                  <w:lang w:val="es-ES"/>
                </w:rPr>
              </w:pPr>
              <w:r>
                <w:rPr>
                  <w:noProof/>
                  <w:lang w:val="es-ES"/>
                </w:rPr>
                <w:t xml:space="preserve">Centro de Comercio Internacional. (2015). </w:t>
              </w:r>
              <w:r>
                <w:rPr>
                  <w:i/>
                  <w:iCs/>
                  <w:noProof/>
                  <w:lang w:val="es-ES"/>
                </w:rPr>
                <w:t>Trade Map</w:t>
              </w:r>
              <w:r>
                <w:rPr>
                  <w:noProof/>
                  <w:lang w:val="es-ES"/>
                </w:rPr>
                <w:t>. Recuperado el 27 de septiembre de 2015, de Centro de Comercio Internacional: http://www.trademap.org/Country_SelProduct_TS.aspx</w:t>
              </w:r>
            </w:p>
            <w:p w14:paraId="7AF72313" w14:textId="77777777" w:rsidR="00BC1846" w:rsidRDefault="00BC1846" w:rsidP="005F07B4">
              <w:pPr>
                <w:pStyle w:val="Bibliografa"/>
                <w:ind w:left="720" w:hanging="720"/>
                <w:contextualSpacing/>
                <w:rPr>
                  <w:noProof/>
                  <w:lang w:val="es-ES"/>
                </w:rPr>
              </w:pPr>
              <w:r>
                <w:rPr>
                  <w:noProof/>
                  <w:lang w:val="es-ES"/>
                </w:rPr>
                <w:t xml:space="preserve">Centro de Comercio Internacional. (2015). </w:t>
              </w:r>
              <w:r>
                <w:rPr>
                  <w:i/>
                  <w:iCs/>
                  <w:noProof/>
                  <w:lang w:val="es-ES"/>
                </w:rPr>
                <w:t>Trade Map</w:t>
              </w:r>
              <w:r>
                <w:rPr>
                  <w:noProof/>
                  <w:lang w:val="es-ES"/>
                </w:rPr>
                <w:t>. Recuperado el 29 de Septiembre de 2015, de ITC: http://www.trademap.org/Country_SelProduct_TS.aspx</w:t>
              </w:r>
            </w:p>
            <w:p w14:paraId="76097FB1" w14:textId="77777777" w:rsidR="00BC1846" w:rsidRDefault="00BC1846" w:rsidP="005F07B4">
              <w:pPr>
                <w:pStyle w:val="Bibliografa"/>
                <w:ind w:left="720" w:hanging="720"/>
                <w:contextualSpacing/>
                <w:rPr>
                  <w:noProof/>
                  <w:lang w:val="es-ES"/>
                </w:rPr>
              </w:pPr>
              <w:r>
                <w:rPr>
                  <w:noProof/>
                  <w:lang w:val="es-ES"/>
                </w:rPr>
                <w:t xml:space="preserve">CEPEC. (2012). </w:t>
              </w:r>
              <w:r>
                <w:rPr>
                  <w:i/>
                  <w:iCs/>
                  <w:noProof/>
                  <w:lang w:val="es-ES"/>
                </w:rPr>
                <w:t>Centro para la Promoción del Comercio Exterior y la Inversión Extranjera de Cuba</w:t>
              </w:r>
              <w:r>
                <w:rPr>
                  <w:noProof/>
                  <w:lang w:val="es-ES"/>
                </w:rPr>
                <w:t>. Recuperado el 25 de Julio de 2015, de Estrategia de Exportación: http://www.cepec.cu/es/capitulo3</w:t>
              </w:r>
            </w:p>
            <w:p w14:paraId="6574A9CD" w14:textId="77777777" w:rsidR="00BC1846" w:rsidRDefault="00BC1846" w:rsidP="005F07B4">
              <w:pPr>
                <w:pStyle w:val="Bibliografa"/>
                <w:ind w:left="720" w:hanging="720"/>
                <w:contextualSpacing/>
                <w:rPr>
                  <w:noProof/>
                  <w:lang w:val="es-ES"/>
                </w:rPr>
              </w:pPr>
              <w:r>
                <w:rPr>
                  <w:noProof/>
                  <w:lang w:val="es-ES"/>
                </w:rPr>
                <w:t xml:space="preserve">Cereales Andinos. (2015). </w:t>
              </w:r>
              <w:r>
                <w:rPr>
                  <w:i/>
                  <w:iCs/>
                  <w:noProof/>
                  <w:lang w:val="es-ES"/>
                </w:rPr>
                <w:t>Acerca de Nosotros</w:t>
              </w:r>
              <w:r>
                <w:rPr>
                  <w:noProof/>
                  <w:lang w:val="es-ES"/>
                </w:rPr>
                <w:t>. Recuperado el 13 de Enero de 2016, de Cereales Andinos: http://www.cerealesandinos.com/?page_id=21573&amp;lang=es</w:t>
              </w:r>
            </w:p>
            <w:p w14:paraId="47A30B18" w14:textId="77777777" w:rsidR="00BC1846" w:rsidRDefault="00BC1846" w:rsidP="005F07B4">
              <w:pPr>
                <w:pStyle w:val="Bibliografa"/>
                <w:ind w:left="720" w:hanging="720"/>
                <w:contextualSpacing/>
                <w:rPr>
                  <w:noProof/>
                  <w:lang w:val="es-ES"/>
                </w:rPr>
              </w:pPr>
              <w:r>
                <w:rPr>
                  <w:noProof/>
                  <w:lang w:val="es-ES"/>
                </w:rPr>
                <w:lastRenderedPageBreak/>
                <w:t xml:space="preserve">Consorcio Ecuatoriano de Exportadores de Quinua. (2013). </w:t>
              </w:r>
              <w:r>
                <w:rPr>
                  <w:i/>
                  <w:iCs/>
                  <w:noProof/>
                  <w:lang w:val="es-ES"/>
                </w:rPr>
                <w:t>Empresas del Consorcio</w:t>
              </w:r>
              <w:r>
                <w:rPr>
                  <w:noProof/>
                  <w:lang w:val="es-ES"/>
                </w:rPr>
                <w:t>. Obtenido de Consorcio Ecuatoriano de Exportadores de Quinua: http://quinoaecuador.com/?page_id=55</w:t>
              </w:r>
            </w:p>
            <w:p w14:paraId="54ED6797" w14:textId="77777777" w:rsidR="00BC1846" w:rsidRDefault="00BC1846" w:rsidP="005F07B4">
              <w:pPr>
                <w:pStyle w:val="Bibliografa"/>
                <w:ind w:left="720" w:hanging="720"/>
                <w:contextualSpacing/>
                <w:rPr>
                  <w:noProof/>
                  <w:lang w:val="es-ES"/>
                </w:rPr>
              </w:pPr>
              <w:r>
                <w:rPr>
                  <w:noProof/>
                  <w:lang w:val="es-ES"/>
                </w:rPr>
                <w:t xml:space="preserve">Coordinadora Ecuatoriana de Comercio Justo. (2015). </w:t>
              </w:r>
              <w:r>
                <w:rPr>
                  <w:i/>
                  <w:iCs/>
                  <w:noProof/>
                  <w:lang w:val="es-ES"/>
                </w:rPr>
                <w:t>¿Qué es?</w:t>
              </w:r>
              <w:r>
                <w:rPr>
                  <w:noProof/>
                  <w:lang w:val="es-ES"/>
                </w:rPr>
                <w:t xml:space="preserve"> Recuperado el 14 de octubre de 2015, de Coordinadora Ecuatoriana de Comercio Justo: http://www.cecjecuador.org.ec/comercio-justo/que-es/</w:t>
              </w:r>
            </w:p>
            <w:p w14:paraId="32ABFDD3" w14:textId="77777777" w:rsidR="00BC1846" w:rsidRDefault="00BC1846" w:rsidP="005F07B4">
              <w:pPr>
                <w:pStyle w:val="Bibliografa"/>
                <w:ind w:left="720" w:hanging="720"/>
                <w:contextualSpacing/>
                <w:rPr>
                  <w:noProof/>
                  <w:lang w:val="es-ES"/>
                </w:rPr>
              </w:pPr>
              <w:r>
                <w:rPr>
                  <w:noProof/>
                  <w:lang w:val="es-ES"/>
                </w:rPr>
                <w:t xml:space="preserve">Coordinadora Estatal de Comercio Justo. (18 de Febrero de 2013). </w:t>
              </w:r>
              <w:r>
                <w:rPr>
                  <w:i/>
                  <w:iCs/>
                  <w:noProof/>
                  <w:lang w:val="es-ES"/>
                </w:rPr>
                <w:t>La quinua de Comercio Justo aporta ingresos estables a las organizaciones campesinas y consolida sus prácticas ecológicas</w:t>
              </w:r>
              <w:r>
                <w:rPr>
                  <w:noProof/>
                  <w:lang w:val="es-ES"/>
                </w:rPr>
                <w:t>. Recuperado el 30 de Octubre de 2015, de Coordinadora Estatal de Comercio Justo: http://comerciojusto.org/la-quinua-de-comercio-justo-aporta-ingresos-estables-a-las-organizaciones-campesinas-y-consolida-sus-practicas-ecologicas/</w:t>
              </w:r>
            </w:p>
            <w:p w14:paraId="0B3545B2" w14:textId="77777777" w:rsidR="00BC1846" w:rsidRDefault="00BC1846" w:rsidP="005F07B4">
              <w:pPr>
                <w:pStyle w:val="Bibliografa"/>
                <w:ind w:left="720" w:hanging="720"/>
                <w:contextualSpacing/>
                <w:rPr>
                  <w:noProof/>
                  <w:lang w:val="es-ES"/>
                </w:rPr>
              </w:pPr>
              <w:r>
                <w:rPr>
                  <w:noProof/>
                  <w:lang w:val="es-ES"/>
                </w:rPr>
                <w:t xml:space="preserve">Cuadrado Alvear, S. A. (2012). </w:t>
              </w:r>
              <w:r>
                <w:rPr>
                  <w:i/>
                  <w:iCs/>
                  <w:noProof/>
                  <w:lang w:val="es-ES"/>
                </w:rPr>
                <w:t>La quinua en el Ecuador: situación actual y su industrialización.</w:t>
              </w:r>
              <w:r>
                <w:rPr>
                  <w:noProof/>
                  <w:lang w:val="es-ES"/>
                </w:rPr>
                <w:t xml:space="preserve"> Quito: Universidad Politécnica Salesiana.</w:t>
              </w:r>
            </w:p>
            <w:p w14:paraId="15BF806E" w14:textId="77777777" w:rsidR="00BC1846" w:rsidRDefault="00BC1846" w:rsidP="005F07B4">
              <w:pPr>
                <w:pStyle w:val="Bibliografa"/>
                <w:ind w:left="720" w:hanging="720"/>
                <w:contextualSpacing/>
                <w:rPr>
                  <w:noProof/>
                  <w:lang w:val="es-ES"/>
                </w:rPr>
              </w:pPr>
              <w:r>
                <w:rPr>
                  <w:noProof/>
                  <w:lang w:val="es-ES"/>
                </w:rPr>
                <w:t xml:space="preserve">Daniels, J., Radebaugh, L., &amp; Sullivan, D. (2004). </w:t>
              </w:r>
              <w:r>
                <w:rPr>
                  <w:i/>
                  <w:iCs/>
                  <w:noProof/>
                  <w:lang w:val="es-ES"/>
                </w:rPr>
                <w:t>Negocios Internacionales</w:t>
              </w:r>
              <w:r>
                <w:rPr>
                  <w:noProof/>
                  <w:lang w:val="es-ES"/>
                </w:rPr>
                <w:t xml:space="preserve"> (4ta ed.). México: Pearson Education.</w:t>
              </w:r>
            </w:p>
            <w:p w14:paraId="6EAEA95D" w14:textId="77777777" w:rsidR="00BC1846" w:rsidRDefault="00BC1846" w:rsidP="005F07B4">
              <w:pPr>
                <w:pStyle w:val="Bibliografa"/>
                <w:ind w:left="720" w:hanging="720"/>
                <w:contextualSpacing/>
                <w:rPr>
                  <w:noProof/>
                  <w:lang w:val="es-ES"/>
                </w:rPr>
              </w:pPr>
              <w:r>
                <w:rPr>
                  <w:noProof/>
                  <w:lang w:val="es-ES"/>
                </w:rPr>
                <w:t xml:space="preserve">El Universo. (02 de Noviembre de 2014). Proyecto de comercialización de quinua ecuatoriana tiene apoyo de Diputación española. </w:t>
              </w:r>
              <w:r>
                <w:rPr>
                  <w:i/>
                  <w:iCs/>
                  <w:noProof/>
                  <w:lang w:val="es-ES"/>
                </w:rPr>
                <w:t>El Universo</w:t>
              </w:r>
              <w:r>
                <w:rPr>
                  <w:noProof/>
                  <w:lang w:val="es-ES"/>
                </w:rPr>
                <w:t>.</w:t>
              </w:r>
            </w:p>
            <w:p w14:paraId="3DA457D6" w14:textId="77777777" w:rsidR="00BC1846" w:rsidRDefault="00BC1846" w:rsidP="005F07B4">
              <w:pPr>
                <w:pStyle w:val="Bibliografa"/>
                <w:ind w:left="720" w:hanging="720"/>
                <w:contextualSpacing/>
                <w:rPr>
                  <w:noProof/>
                  <w:lang w:val="es-ES"/>
                </w:rPr>
              </w:pPr>
              <w:r>
                <w:rPr>
                  <w:noProof/>
                  <w:lang w:val="es-ES"/>
                </w:rPr>
                <w:t xml:space="preserve">El Universo. (15 de enero de 2015). $ 77.530 millones recibió Ecuador en 7 años por exportación petrolera. </w:t>
              </w:r>
              <w:r>
                <w:rPr>
                  <w:i/>
                  <w:iCs/>
                  <w:noProof/>
                  <w:lang w:val="es-ES"/>
                </w:rPr>
                <w:t>El Universo</w:t>
              </w:r>
              <w:r>
                <w:rPr>
                  <w:noProof/>
                  <w:lang w:val="es-ES"/>
                </w:rPr>
                <w:t>.</w:t>
              </w:r>
            </w:p>
            <w:p w14:paraId="64CA7ABE" w14:textId="77777777" w:rsidR="00BC1846" w:rsidRDefault="00BC1846" w:rsidP="005F07B4">
              <w:pPr>
                <w:pStyle w:val="Bibliografa"/>
                <w:ind w:left="720" w:hanging="720"/>
                <w:contextualSpacing/>
                <w:rPr>
                  <w:noProof/>
                  <w:lang w:val="es-ES"/>
                </w:rPr>
              </w:pPr>
              <w:r>
                <w:rPr>
                  <w:noProof/>
                  <w:lang w:val="es-ES"/>
                </w:rPr>
                <w:t xml:space="preserve">European Commision. (02 de Diciembre de 2015). </w:t>
              </w:r>
              <w:r>
                <w:rPr>
                  <w:i/>
                  <w:iCs/>
                  <w:noProof/>
                  <w:lang w:val="es-ES"/>
                </w:rPr>
                <w:t>Export Help Desk</w:t>
              </w:r>
              <w:r>
                <w:rPr>
                  <w:noProof/>
                  <w:lang w:val="es-ES"/>
                </w:rPr>
                <w:t>. Recuperado el 02 de Febrero de 2015, de European Commision: http://exporthelp.europa.eu/thdapp/form/output?action=tarrif&amp;prodLine=&amp;languageId=ES&amp;taricCode=1008500000&amp;partnerId=ec&amp;reporterId=fr&amp;simulationDate=03%2f02%2f2016&amp;simDate=20160203&amp;nomenCmd=&amp;resultPage=importtarrifs&amp;mode=</w:t>
              </w:r>
            </w:p>
            <w:p w14:paraId="46D3A83C" w14:textId="77777777" w:rsidR="00BC1846" w:rsidRPr="00B76E1B" w:rsidRDefault="00BC1846" w:rsidP="005F07B4">
              <w:pPr>
                <w:pStyle w:val="Bibliografa"/>
                <w:ind w:left="720" w:hanging="720"/>
                <w:contextualSpacing/>
                <w:rPr>
                  <w:noProof/>
                  <w:lang w:val="en-US"/>
                </w:rPr>
              </w:pPr>
              <w:r>
                <w:rPr>
                  <w:noProof/>
                  <w:lang w:val="es-ES"/>
                </w:rPr>
                <w:t xml:space="preserve">Fairtrade International. (2014). </w:t>
              </w:r>
              <w:r>
                <w:rPr>
                  <w:i/>
                  <w:iCs/>
                  <w:noProof/>
                  <w:lang w:val="es-ES"/>
                </w:rPr>
                <w:t>Tabla de Precios Mínimos Y Prima de Comercio Justo.</w:t>
              </w:r>
              <w:r>
                <w:rPr>
                  <w:noProof/>
                  <w:lang w:val="es-ES"/>
                </w:rPr>
                <w:t xml:space="preserve"> </w:t>
              </w:r>
              <w:r w:rsidRPr="00B76E1B">
                <w:rPr>
                  <w:noProof/>
                  <w:lang w:val="en-US"/>
                </w:rPr>
                <w:t>Bonn: Fairtrade International.</w:t>
              </w:r>
            </w:p>
            <w:p w14:paraId="40E9DE23" w14:textId="77777777" w:rsidR="00BC1846" w:rsidRPr="00B76E1B" w:rsidRDefault="00BC1846" w:rsidP="005F07B4">
              <w:pPr>
                <w:pStyle w:val="Bibliografa"/>
                <w:ind w:left="720" w:hanging="720"/>
                <w:contextualSpacing/>
                <w:rPr>
                  <w:noProof/>
                  <w:lang w:val="en-US"/>
                </w:rPr>
              </w:pPr>
              <w:r w:rsidRPr="00B76E1B">
                <w:rPr>
                  <w:noProof/>
                  <w:lang w:val="en-US"/>
                </w:rPr>
                <w:t xml:space="preserve">FAOSTAT. (2015). </w:t>
              </w:r>
              <w:r w:rsidRPr="00B76E1B">
                <w:rPr>
                  <w:i/>
                  <w:iCs/>
                  <w:noProof/>
                  <w:lang w:val="en-US"/>
                </w:rPr>
                <w:t>Statistics Division</w:t>
              </w:r>
              <w:r w:rsidRPr="00B76E1B">
                <w:rPr>
                  <w:noProof/>
                  <w:lang w:val="en-US"/>
                </w:rPr>
                <w:t>. Recuperado el 25 de Septiembre de 2015, de FOOD AND AGRICULTURE ORGANIZATION OF THE UNITED NATIONS: http://faostat3.fao.org/download/Q/QC/E</w:t>
              </w:r>
            </w:p>
            <w:p w14:paraId="66FBC479" w14:textId="77777777" w:rsidR="00BC1846" w:rsidRDefault="00BC1846" w:rsidP="005F07B4">
              <w:pPr>
                <w:pStyle w:val="Bibliografa"/>
                <w:ind w:left="720" w:hanging="720"/>
                <w:contextualSpacing/>
                <w:rPr>
                  <w:noProof/>
                  <w:lang w:val="es-ES"/>
                </w:rPr>
              </w:pPr>
              <w:r>
                <w:rPr>
                  <w:noProof/>
                  <w:lang w:val="es-ES"/>
                </w:rPr>
                <w:t xml:space="preserve">FOMIN. (25 de junio de 2015). </w:t>
              </w:r>
              <w:r>
                <w:rPr>
                  <w:i/>
                  <w:iCs/>
                  <w:noProof/>
                  <w:lang w:val="es-ES"/>
                </w:rPr>
                <w:t>Organización, trazabilidad y tecnología ayudarán a aumentar la producción sostenible de la quinua real orgánica boliviana</w:t>
              </w:r>
              <w:r>
                <w:rPr>
                  <w:noProof/>
                  <w:lang w:val="es-ES"/>
                </w:rPr>
                <w:t xml:space="preserve">. Recuperado el 28 de </w:t>
              </w:r>
              <w:r>
                <w:rPr>
                  <w:noProof/>
                  <w:lang w:val="es-ES"/>
                </w:rPr>
                <w:lastRenderedPageBreak/>
                <w:t>Octubre de 2015, de Fondo Multilateral de Inversiones. MIembro del Grupo BID: http://www.fomin.org/es-es/PORTADA/Noticias/Comunicadosdeprensa/ArtMID/3819/ArticleID/2433.aspx</w:t>
              </w:r>
            </w:p>
            <w:p w14:paraId="63AD350A" w14:textId="77777777" w:rsidR="00BC1846" w:rsidRDefault="00BC1846" w:rsidP="005F07B4">
              <w:pPr>
                <w:pStyle w:val="Bibliografa"/>
                <w:ind w:left="720" w:hanging="720"/>
                <w:contextualSpacing/>
                <w:rPr>
                  <w:noProof/>
                  <w:lang w:val="es-ES"/>
                </w:rPr>
              </w:pPr>
              <w:r>
                <w:rPr>
                  <w:noProof/>
                  <w:lang w:val="es-ES"/>
                </w:rPr>
                <w:t xml:space="preserve">Food and Agriculture Organization. (2013). </w:t>
              </w:r>
              <w:r>
                <w:rPr>
                  <w:i/>
                  <w:iCs/>
                  <w:noProof/>
                  <w:lang w:val="es-ES"/>
                </w:rPr>
                <w:t>Usos de la Quinua</w:t>
              </w:r>
              <w:r>
                <w:rPr>
                  <w:noProof/>
                  <w:lang w:val="es-ES"/>
                </w:rPr>
                <w:t>. Obtenido de Quinua 2013 Año Internacional: http://www.fao.org/quinoa-2013/what-is-quinoa/use/es/</w:t>
              </w:r>
            </w:p>
            <w:p w14:paraId="06D8ADBB" w14:textId="77777777" w:rsidR="00BC1846" w:rsidRDefault="00BC1846" w:rsidP="005F07B4">
              <w:pPr>
                <w:pStyle w:val="Bibliografa"/>
                <w:ind w:left="720" w:hanging="720"/>
                <w:contextualSpacing/>
                <w:rPr>
                  <w:noProof/>
                  <w:lang w:val="es-ES"/>
                </w:rPr>
              </w:pPr>
              <w:r w:rsidRPr="00B76E1B">
                <w:rPr>
                  <w:noProof/>
                  <w:lang w:val="en-US"/>
                </w:rPr>
                <w:t xml:space="preserve">Food and Agriculture Organization of the United Nations. </w:t>
              </w:r>
              <w:r>
                <w:rPr>
                  <w:noProof/>
                  <w:lang w:val="es-ES"/>
                </w:rPr>
                <w:t xml:space="preserve">(2002). Dependencia de la exportación de un solo producto agrícola en los países en desarrollo: magnitud y tendencias. </w:t>
              </w:r>
              <w:r>
                <w:rPr>
                  <w:i/>
                  <w:iCs/>
                  <w:noProof/>
                  <w:lang w:val="es-ES"/>
                </w:rPr>
                <w:t>Selección de temas relacionados con las negociaciones de la OMC sobre agricultura</w:t>
              </w:r>
              <w:r>
                <w:rPr>
                  <w:noProof/>
                  <w:lang w:val="es-ES"/>
                </w:rPr>
                <w:t>, 242-262.</w:t>
              </w:r>
            </w:p>
            <w:p w14:paraId="418DA464" w14:textId="77777777" w:rsidR="00BC1846" w:rsidRDefault="00BC1846" w:rsidP="005F07B4">
              <w:pPr>
                <w:pStyle w:val="Bibliografa"/>
                <w:ind w:left="720" w:hanging="720"/>
                <w:contextualSpacing/>
                <w:rPr>
                  <w:noProof/>
                  <w:lang w:val="es-ES"/>
                </w:rPr>
              </w:pPr>
              <w:r w:rsidRPr="00B76E1B">
                <w:rPr>
                  <w:noProof/>
                  <w:lang w:val="en-US"/>
                </w:rPr>
                <w:t xml:space="preserve">Food and Agriculture Organization of the United Nations. </w:t>
              </w:r>
              <w:r>
                <w:rPr>
                  <w:noProof/>
                  <w:lang w:val="es-ES"/>
                </w:rPr>
                <w:t xml:space="preserve">(2011). </w:t>
              </w:r>
              <w:r>
                <w:rPr>
                  <w:i/>
                  <w:iCs/>
                  <w:noProof/>
                  <w:lang w:val="es-ES"/>
                </w:rPr>
                <w:t>La Quinua: Cultivo milenario para contribuir a la seguridad alimentaria mundial.</w:t>
              </w:r>
              <w:r>
                <w:rPr>
                  <w:noProof/>
                  <w:lang w:val="es-ES"/>
                </w:rPr>
                <w:t xml:space="preserve"> La Paz: FAO. Oficina regional para América Latina y el Caribe.</w:t>
              </w:r>
            </w:p>
            <w:p w14:paraId="71E878C7" w14:textId="77777777" w:rsidR="00BC1846" w:rsidRDefault="00BC1846" w:rsidP="005F07B4">
              <w:pPr>
                <w:pStyle w:val="Bibliografa"/>
                <w:ind w:left="720" w:hanging="720"/>
                <w:contextualSpacing/>
                <w:rPr>
                  <w:noProof/>
                  <w:lang w:val="es-ES"/>
                </w:rPr>
              </w:pPr>
              <w:r w:rsidRPr="00B76E1B">
                <w:rPr>
                  <w:noProof/>
                  <w:lang w:val="en-US"/>
                </w:rPr>
                <w:t xml:space="preserve">Food and Agriculture Organization to the United Nations. </w:t>
              </w:r>
              <w:r>
                <w:rPr>
                  <w:noProof/>
                  <w:lang w:val="es-ES"/>
                </w:rPr>
                <w:t xml:space="preserve">(2013). </w:t>
              </w:r>
              <w:r>
                <w:rPr>
                  <w:i/>
                  <w:iCs/>
                  <w:noProof/>
                  <w:lang w:val="es-ES"/>
                </w:rPr>
                <w:t>Valor nutricional de la Quinua</w:t>
              </w:r>
              <w:r>
                <w:rPr>
                  <w:noProof/>
                  <w:lang w:val="es-ES"/>
                </w:rPr>
                <w:t>. Obtenido de Quinua 2013. Año Internacional: http://www.fao.org/quinoa-2013/what-is-quinoa/nutritional-value/es/</w:t>
              </w:r>
            </w:p>
            <w:p w14:paraId="7E6E4C12" w14:textId="77777777" w:rsidR="00BC1846" w:rsidRDefault="00BC1846" w:rsidP="005F07B4">
              <w:pPr>
                <w:pStyle w:val="Bibliografa"/>
                <w:ind w:left="720" w:hanging="720"/>
                <w:contextualSpacing/>
                <w:rPr>
                  <w:noProof/>
                  <w:lang w:val="es-ES"/>
                </w:rPr>
              </w:pPr>
              <w:r>
                <w:rPr>
                  <w:noProof/>
                  <w:lang w:val="es-ES"/>
                </w:rPr>
                <w:t xml:space="preserve">García, A. (23 de Octubre de 2012). </w:t>
              </w:r>
              <w:r>
                <w:rPr>
                  <w:i/>
                  <w:iCs/>
                  <w:noProof/>
                  <w:lang w:val="es-ES"/>
                </w:rPr>
                <w:t>Prima de comercio justo, un pago adicional para pequeños productores</w:t>
              </w:r>
              <w:r>
                <w:rPr>
                  <w:noProof/>
                  <w:lang w:val="es-ES"/>
                </w:rPr>
                <w:t>. Obtenido de Fundación Eroski: http://www.consumer.es/web/es/solidaridad/economia_solidaria/2012/10/23/213886.php</w:t>
              </w:r>
            </w:p>
            <w:p w14:paraId="68695063" w14:textId="77777777" w:rsidR="00BC1846" w:rsidRDefault="00BC1846" w:rsidP="005F07B4">
              <w:pPr>
                <w:pStyle w:val="Bibliografa"/>
                <w:ind w:left="720" w:hanging="720"/>
                <w:contextualSpacing/>
                <w:rPr>
                  <w:noProof/>
                  <w:lang w:val="es-ES"/>
                </w:rPr>
              </w:pPr>
              <w:r>
                <w:rPr>
                  <w:noProof/>
                  <w:lang w:val="es-ES"/>
                </w:rPr>
                <w:t xml:space="preserve">Gitman, L. J. (2003). </w:t>
              </w:r>
              <w:r>
                <w:rPr>
                  <w:i/>
                  <w:iCs/>
                  <w:noProof/>
                  <w:lang w:val="es-ES"/>
                </w:rPr>
                <w:t>Principios de Administración Financiera.</w:t>
              </w:r>
              <w:r>
                <w:rPr>
                  <w:noProof/>
                  <w:lang w:val="es-ES"/>
                </w:rPr>
                <w:t xml:space="preserve"> México: Pearson Education.</w:t>
              </w:r>
            </w:p>
            <w:p w14:paraId="2B3DDDED" w14:textId="77777777" w:rsidR="00BC1846" w:rsidRDefault="00BC1846" w:rsidP="005F07B4">
              <w:pPr>
                <w:pStyle w:val="Bibliografa"/>
                <w:ind w:left="720" w:hanging="720"/>
                <w:contextualSpacing/>
                <w:rPr>
                  <w:noProof/>
                  <w:lang w:val="es-ES"/>
                </w:rPr>
              </w:pPr>
              <w:r>
                <w:rPr>
                  <w:noProof/>
                  <w:lang w:val="es-ES"/>
                </w:rPr>
                <w:t xml:space="preserve">Gómez, M. (2006). </w:t>
              </w:r>
              <w:r>
                <w:rPr>
                  <w:i/>
                  <w:iCs/>
                  <w:noProof/>
                  <w:lang w:val="es-ES"/>
                </w:rPr>
                <w:t>Introducción a la metodología de la investigación científica.</w:t>
              </w:r>
              <w:r>
                <w:rPr>
                  <w:noProof/>
                  <w:lang w:val="es-ES"/>
                </w:rPr>
                <w:t xml:space="preserve"> Córdoba: Brujas.</w:t>
              </w:r>
            </w:p>
            <w:p w14:paraId="7F779F84" w14:textId="77777777" w:rsidR="00BC1846" w:rsidRDefault="00BC1846" w:rsidP="005F07B4">
              <w:pPr>
                <w:pStyle w:val="Bibliografa"/>
                <w:ind w:left="720" w:hanging="720"/>
                <w:contextualSpacing/>
                <w:rPr>
                  <w:noProof/>
                  <w:lang w:val="es-ES"/>
                </w:rPr>
              </w:pPr>
              <w:r>
                <w:rPr>
                  <w:noProof/>
                  <w:lang w:val="es-ES"/>
                </w:rPr>
                <w:t xml:space="preserve">González López, I., Martínez Senra, A. I., Otero Neira, M. I., &amp; González Vásquez, E. (2009). </w:t>
              </w:r>
              <w:r>
                <w:rPr>
                  <w:i/>
                  <w:iCs/>
                  <w:noProof/>
                  <w:lang w:val="es-ES"/>
                </w:rPr>
                <w:t>Gestión del comercio exterior.</w:t>
              </w:r>
              <w:r>
                <w:rPr>
                  <w:noProof/>
                  <w:lang w:val="es-ES"/>
                </w:rPr>
                <w:t xml:space="preserve"> Madrid: ESIC.</w:t>
              </w:r>
            </w:p>
            <w:p w14:paraId="2B2F83AA" w14:textId="77777777" w:rsidR="00BC1846" w:rsidRDefault="00BC1846" w:rsidP="005F07B4">
              <w:pPr>
                <w:pStyle w:val="Bibliografa"/>
                <w:ind w:left="720" w:hanging="720"/>
                <w:contextualSpacing/>
                <w:rPr>
                  <w:noProof/>
                  <w:lang w:val="es-ES"/>
                </w:rPr>
              </w:pPr>
              <w:r>
                <w:rPr>
                  <w:noProof/>
                  <w:lang w:val="es-ES"/>
                </w:rPr>
                <w:t xml:space="preserve">Horngren, C. (2000). </w:t>
              </w:r>
              <w:r>
                <w:rPr>
                  <w:i/>
                  <w:iCs/>
                  <w:noProof/>
                  <w:lang w:val="es-ES"/>
                </w:rPr>
                <w:t>Introducción a la Contabilidad Financiera.</w:t>
              </w:r>
              <w:r>
                <w:rPr>
                  <w:noProof/>
                  <w:lang w:val="es-ES"/>
                </w:rPr>
                <w:t xml:space="preserve"> México: Pearson Education.</w:t>
              </w:r>
            </w:p>
            <w:p w14:paraId="58DADC36" w14:textId="77777777" w:rsidR="00BC1846" w:rsidRDefault="00BC1846" w:rsidP="005F07B4">
              <w:pPr>
                <w:pStyle w:val="Bibliografa"/>
                <w:ind w:left="720" w:hanging="720"/>
                <w:contextualSpacing/>
                <w:rPr>
                  <w:noProof/>
                  <w:lang w:val="es-ES"/>
                </w:rPr>
              </w:pPr>
              <w:r>
                <w:rPr>
                  <w:noProof/>
                  <w:lang w:val="es-ES"/>
                </w:rPr>
                <w:t xml:space="preserve">Instituto Boliviano de Comercio Exterior. (2004). Cifras del Comercio Exterior Boliviano. </w:t>
              </w:r>
              <w:r>
                <w:rPr>
                  <w:i/>
                  <w:iCs/>
                  <w:noProof/>
                  <w:lang w:val="es-ES"/>
                </w:rPr>
                <w:t>Comercio Exterior</w:t>
              </w:r>
              <w:r>
                <w:rPr>
                  <w:noProof/>
                  <w:lang w:val="es-ES"/>
                </w:rPr>
                <w:t>, 6.</w:t>
              </w:r>
            </w:p>
            <w:p w14:paraId="5F3EDA15" w14:textId="77777777" w:rsidR="00BC1846" w:rsidRDefault="00BC1846" w:rsidP="005F07B4">
              <w:pPr>
                <w:pStyle w:val="Bibliografa"/>
                <w:ind w:left="720" w:hanging="720"/>
                <w:contextualSpacing/>
                <w:rPr>
                  <w:noProof/>
                  <w:lang w:val="es-ES"/>
                </w:rPr>
              </w:pPr>
              <w:r>
                <w:rPr>
                  <w:noProof/>
                  <w:lang w:val="es-ES"/>
                </w:rPr>
                <w:t xml:space="preserve">Instituto Boliviano de Comercio Exterior. (2013). La Quinua Boliviana traspasa fronteras para el consumo mundial. </w:t>
              </w:r>
              <w:r>
                <w:rPr>
                  <w:i/>
                  <w:iCs/>
                  <w:noProof/>
                  <w:lang w:val="es-ES"/>
                </w:rPr>
                <w:t>Comercio Exterior: Un mundo de oportunidades</w:t>
              </w:r>
              <w:r>
                <w:rPr>
                  <w:noProof/>
                  <w:lang w:val="es-ES"/>
                </w:rPr>
                <w:t>, 1-26.</w:t>
              </w:r>
            </w:p>
            <w:p w14:paraId="09414900" w14:textId="77777777" w:rsidR="00BC1846" w:rsidRDefault="00BC1846" w:rsidP="005F07B4">
              <w:pPr>
                <w:pStyle w:val="Bibliografa"/>
                <w:ind w:left="720" w:hanging="720"/>
                <w:contextualSpacing/>
                <w:rPr>
                  <w:noProof/>
                  <w:lang w:val="es-ES"/>
                </w:rPr>
              </w:pPr>
              <w:r>
                <w:rPr>
                  <w:noProof/>
                  <w:lang w:val="es-ES"/>
                </w:rPr>
                <w:t xml:space="preserve">Investing.com. (20 de Febrero de 2016). </w:t>
              </w:r>
              <w:r>
                <w:rPr>
                  <w:i/>
                  <w:iCs/>
                  <w:noProof/>
                  <w:lang w:val="es-ES"/>
                </w:rPr>
                <w:t>EUR/USD</w:t>
              </w:r>
              <w:r>
                <w:rPr>
                  <w:noProof/>
                  <w:lang w:val="es-ES"/>
                </w:rPr>
                <w:t>. Recuperado el 20 de Febrero de 2016, de Investing.com: http://es.investing.com/currencies/eur-usd</w:t>
              </w:r>
            </w:p>
            <w:p w14:paraId="289A31A9" w14:textId="77777777" w:rsidR="00BC1846" w:rsidRDefault="00BC1846" w:rsidP="005F07B4">
              <w:pPr>
                <w:pStyle w:val="Bibliografa"/>
                <w:ind w:left="720" w:hanging="720"/>
                <w:contextualSpacing/>
                <w:rPr>
                  <w:noProof/>
                  <w:lang w:val="es-ES"/>
                </w:rPr>
              </w:pPr>
              <w:r>
                <w:rPr>
                  <w:noProof/>
                  <w:lang w:val="es-ES"/>
                </w:rPr>
                <w:lastRenderedPageBreak/>
                <w:t xml:space="preserve">Jornada. (18 de diciembre de 2012). Quinoa Foods Company S.R.L. emite pagarés con margen autorizado de $us. 250 mil. </w:t>
              </w:r>
              <w:r>
                <w:rPr>
                  <w:i/>
                  <w:iCs/>
                  <w:noProof/>
                  <w:lang w:val="es-ES"/>
                </w:rPr>
                <w:t>Jornada</w:t>
              </w:r>
              <w:r>
                <w:rPr>
                  <w:noProof/>
                  <w:lang w:val="es-ES"/>
                </w:rPr>
                <w:t>. Obtenido de http://www.jornadanet.com/n.php?a=84951-1</w:t>
              </w:r>
            </w:p>
            <w:p w14:paraId="3E6FDDC3" w14:textId="77777777" w:rsidR="00BC1846" w:rsidRDefault="00BC1846" w:rsidP="005F07B4">
              <w:pPr>
                <w:pStyle w:val="Bibliografa"/>
                <w:ind w:left="720" w:hanging="720"/>
                <w:contextualSpacing/>
                <w:rPr>
                  <w:noProof/>
                  <w:lang w:val="es-ES"/>
                </w:rPr>
              </w:pPr>
              <w:r>
                <w:rPr>
                  <w:noProof/>
                  <w:lang w:val="es-ES"/>
                </w:rPr>
                <w:t xml:space="preserve">La Nación. (14 de Enero de 2015). Productores de quinua en Chimborazo recibieron crédito por $300 mil. </w:t>
              </w:r>
              <w:r>
                <w:rPr>
                  <w:i/>
                  <w:iCs/>
                  <w:noProof/>
                  <w:lang w:val="es-ES"/>
                </w:rPr>
                <w:t>La Nación</w:t>
              </w:r>
              <w:r>
                <w:rPr>
                  <w:noProof/>
                  <w:lang w:val="es-ES"/>
                </w:rPr>
                <w:t>.</w:t>
              </w:r>
            </w:p>
            <w:p w14:paraId="649B529C" w14:textId="77777777" w:rsidR="00BC1846" w:rsidRDefault="00BC1846" w:rsidP="005F07B4">
              <w:pPr>
                <w:pStyle w:val="Bibliografa"/>
                <w:ind w:left="720" w:hanging="720"/>
                <w:contextualSpacing/>
                <w:rPr>
                  <w:noProof/>
                  <w:lang w:val="es-ES"/>
                </w:rPr>
              </w:pPr>
              <w:r>
                <w:rPr>
                  <w:noProof/>
                  <w:lang w:val="es-ES"/>
                </w:rPr>
                <w:t xml:space="preserve">La Patria. (25 de Marzo de 2013). Según FAO, Bolivia produce el 70 % de la quinua orgánica en el mundo. </w:t>
              </w:r>
              <w:r>
                <w:rPr>
                  <w:i/>
                  <w:iCs/>
                  <w:noProof/>
                  <w:lang w:val="es-ES"/>
                </w:rPr>
                <w:t>La Patria</w:t>
              </w:r>
              <w:r>
                <w:rPr>
                  <w:noProof/>
                  <w:lang w:val="es-ES"/>
                </w:rPr>
                <w:t>.</w:t>
              </w:r>
            </w:p>
            <w:p w14:paraId="35BD2388" w14:textId="77777777" w:rsidR="00BC1846" w:rsidRDefault="00BC1846" w:rsidP="005F07B4">
              <w:pPr>
                <w:pStyle w:val="Bibliografa"/>
                <w:ind w:left="720" w:hanging="720"/>
                <w:contextualSpacing/>
                <w:rPr>
                  <w:noProof/>
                  <w:lang w:val="es-ES"/>
                </w:rPr>
              </w:pPr>
              <w:r>
                <w:rPr>
                  <w:noProof/>
                  <w:lang w:val="es-ES"/>
                </w:rPr>
                <w:t xml:space="preserve">La Prensa. (29 de Enero de 2015). Empresarios indígenas de Chimborazo exportan quinua. </w:t>
              </w:r>
              <w:r>
                <w:rPr>
                  <w:i/>
                  <w:iCs/>
                  <w:noProof/>
                  <w:lang w:val="es-ES"/>
                </w:rPr>
                <w:t>La Prensa</w:t>
              </w:r>
              <w:r>
                <w:rPr>
                  <w:noProof/>
                  <w:lang w:val="es-ES"/>
                </w:rPr>
                <w:t>.</w:t>
              </w:r>
            </w:p>
            <w:p w14:paraId="3408F1B9" w14:textId="77777777" w:rsidR="00BC1846" w:rsidRDefault="00BC1846" w:rsidP="005F07B4">
              <w:pPr>
                <w:pStyle w:val="Bibliografa"/>
                <w:ind w:left="720" w:hanging="720"/>
                <w:contextualSpacing/>
                <w:rPr>
                  <w:noProof/>
                  <w:lang w:val="es-ES"/>
                </w:rPr>
              </w:pPr>
              <w:r>
                <w:rPr>
                  <w:noProof/>
                  <w:lang w:val="es-ES"/>
                </w:rPr>
                <w:t xml:space="preserve">La Razón. (04 de agosto de 2015). Gobierno: Bolivia no exporta tanta quinua como Perú porque su producción es ‘orgánica’ y no ‘convencional’. </w:t>
              </w:r>
              <w:r>
                <w:rPr>
                  <w:i/>
                  <w:iCs/>
                  <w:noProof/>
                  <w:lang w:val="es-ES"/>
                </w:rPr>
                <w:t>La Razón</w:t>
              </w:r>
              <w:r>
                <w:rPr>
                  <w:noProof/>
                  <w:lang w:val="es-ES"/>
                </w:rPr>
                <w:t>.</w:t>
              </w:r>
            </w:p>
            <w:p w14:paraId="562E0D76" w14:textId="77777777" w:rsidR="00BC1846" w:rsidRDefault="00BC1846" w:rsidP="005F07B4">
              <w:pPr>
                <w:pStyle w:val="Bibliografa"/>
                <w:ind w:left="720" w:hanging="720"/>
                <w:contextualSpacing/>
                <w:rPr>
                  <w:noProof/>
                  <w:lang w:val="es-ES"/>
                </w:rPr>
              </w:pPr>
              <w:r>
                <w:rPr>
                  <w:noProof/>
                  <w:lang w:val="es-ES"/>
                </w:rPr>
                <w:t xml:space="preserve">Lazcano, M. (03 de Julio de 2015). Consumo de quinua en el país sube a 14.600 t. </w:t>
              </w:r>
              <w:r>
                <w:rPr>
                  <w:i/>
                  <w:iCs/>
                  <w:noProof/>
                  <w:lang w:val="es-ES"/>
                </w:rPr>
                <w:t>La Razón</w:t>
              </w:r>
              <w:r>
                <w:rPr>
                  <w:noProof/>
                  <w:lang w:val="es-ES"/>
                </w:rPr>
                <w:t>.</w:t>
              </w:r>
            </w:p>
            <w:p w14:paraId="3FC75E1B" w14:textId="77777777" w:rsidR="00BC1846" w:rsidRDefault="00BC1846" w:rsidP="005F07B4">
              <w:pPr>
                <w:pStyle w:val="Bibliografa"/>
                <w:ind w:left="720" w:hanging="720"/>
                <w:contextualSpacing/>
                <w:rPr>
                  <w:noProof/>
                  <w:lang w:val="es-ES"/>
                </w:rPr>
              </w:pPr>
              <w:r>
                <w:rPr>
                  <w:noProof/>
                  <w:lang w:val="es-ES"/>
                </w:rPr>
                <w:t xml:space="preserve">Lira Briceño, P. (11 de Abril de 2013). </w:t>
              </w:r>
              <w:r>
                <w:rPr>
                  <w:i/>
                  <w:iCs/>
                  <w:noProof/>
                  <w:lang w:val="es-ES"/>
                </w:rPr>
                <w:t>El Modelo Dupont</w:t>
              </w:r>
              <w:r>
                <w:rPr>
                  <w:noProof/>
                  <w:lang w:val="es-ES"/>
                </w:rPr>
                <w:t>. Obtenido de Diario Gestión: http://blogs.gestion.pe/deregresoalobasico/2013/04/el-modelo-dupont-parte-1.html</w:t>
              </w:r>
            </w:p>
            <w:p w14:paraId="5E71FD69" w14:textId="77777777" w:rsidR="00BC1846" w:rsidRDefault="00BC1846" w:rsidP="005F07B4">
              <w:pPr>
                <w:pStyle w:val="Bibliografa"/>
                <w:ind w:left="720" w:hanging="720"/>
                <w:contextualSpacing/>
                <w:rPr>
                  <w:noProof/>
                  <w:lang w:val="es-ES"/>
                </w:rPr>
              </w:pPr>
              <w:r>
                <w:rPr>
                  <w:noProof/>
                  <w:lang w:val="es-ES"/>
                </w:rPr>
                <w:t xml:space="preserve">Martínez Aldana, C., Corredor Villalba, Á., &amp; Herazo Cueto, G. (2006). </w:t>
              </w:r>
              <w:r>
                <w:rPr>
                  <w:i/>
                  <w:iCs/>
                  <w:noProof/>
                  <w:lang w:val="es-ES"/>
                </w:rPr>
                <w:t>Negocios Internacionales: Estrategias Globales.</w:t>
              </w:r>
              <w:r>
                <w:rPr>
                  <w:noProof/>
                  <w:lang w:val="es-ES"/>
                </w:rPr>
                <w:t xml:space="preserve"> Bogotá: Universidad Santo Tomás.</w:t>
              </w:r>
            </w:p>
            <w:p w14:paraId="5613898C" w14:textId="77777777" w:rsidR="00BC1846" w:rsidRDefault="00BC1846" w:rsidP="005F07B4">
              <w:pPr>
                <w:pStyle w:val="Bibliografa"/>
                <w:ind w:left="720" w:hanging="720"/>
                <w:contextualSpacing/>
                <w:rPr>
                  <w:noProof/>
                  <w:lang w:val="es-ES"/>
                </w:rPr>
              </w:pPr>
              <w:r>
                <w:rPr>
                  <w:noProof/>
                  <w:lang w:val="es-ES"/>
                </w:rPr>
                <w:t xml:space="preserve">Ministerio de Agricultura, Ganadería, Acuacultura y Pesca. (2013). </w:t>
              </w:r>
              <w:r>
                <w:rPr>
                  <w:i/>
                  <w:iCs/>
                  <w:noProof/>
                  <w:lang w:val="es-ES"/>
                </w:rPr>
                <w:t>"Año Internacional de la Quinua 2013” se presenta en Ecuador.</w:t>
              </w:r>
              <w:r>
                <w:rPr>
                  <w:noProof/>
                  <w:lang w:val="es-ES"/>
                </w:rPr>
                <w:t xml:space="preserve"> Recuperado el 17 de Diciembre de 2015, de MInisterio de Agricultura, Ganadería, Acuacultura y Pesca: http://www.agricultura.gob.ec/ano-internacional-de-la-quinua-2013-se-presenta-en-ecuador/</w:t>
              </w:r>
            </w:p>
            <w:p w14:paraId="4690A8FC" w14:textId="77777777" w:rsidR="00BC1846" w:rsidRDefault="00BC1846" w:rsidP="005F07B4">
              <w:pPr>
                <w:pStyle w:val="Bibliografa"/>
                <w:ind w:left="720" w:hanging="720"/>
                <w:contextualSpacing/>
                <w:rPr>
                  <w:noProof/>
                  <w:lang w:val="es-ES"/>
                </w:rPr>
              </w:pPr>
              <w:r>
                <w:rPr>
                  <w:noProof/>
                  <w:lang w:val="es-ES"/>
                </w:rPr>
                <w:t xml:space="preserve">Ministerio de Agricultura, Ganadería, Acuacultura y Pesca. (2013). </w:t>
              </w:r>
              <w:r>
                <w:rPr>
                  <w:i/>
                  <w:iCs/>
                  <w:noProof/>
                  <w:lang w:val="es-ES"/>
                </w:rPr>
                <w:t>Presentación del Año Internacional de la Quinua.</w:t>
              </w:r>
              <w:r>
                <w:rPr>
                  <w:noProof/>
                  <w:lang w:val="es-ES"/>
                </w:rPr>
                <w:t xml:space="preserve"> Recuperado el 16 de Diciembre de 2015, de Ministerio de Agricultura, Ganadería, Acuacultura y Pesca: http://www.agricultura.gob.ec/presentacion-del-ano-internacional-de-la-quinua/</w:t>
              </w:r>
            </w:p>
            <w:p w14:paraId="36AF9F51" w14:textId="77777777" w:rsidR="00BC1846" w:rsidRDefault="00BC1846" w:rsidP="005F07B4">
              <w:pPr>
                <w:pStyle w:val="Bibliografa"/>
                <w:ind w:left="720" w:hanging="720"/>
                <w:contextualSpacing/>
                <w:rPr>
                  <w:noProof/>
                  <w:lang w:val="es-ES"/>
                </w:rPr>
              </w:pPr>
              <w:r>
                <w:rPr>
                  <w:noProof/>
                  <w:lang w:val="es-ES"/>
                </w:rPr>
                <w:t xml:space="preserve">Ministerio de Agricultura, Ganadería, Acuacultura y Pesca. (2013). </w:t>
              </w:r>
              <w:r>
                <w:rPr>
                  <w:i/>
                  <w:iCs/>
                  <w:noProof/>
                  <w:lang w:val="es-ES"/>
                </w:rPr>
                <w:t>Proyecto: “Fomento a la Producción de Quinua en la Sierra Ecuatoriana” .</w:t>
              </w:r>
              <w:r>
                <w:rPr>
                  <w:noProof/>
                  <w:lang w:val="es-ES"/>
                </w:rPr>
                <w:t xml:space="preserve"> Quito.</w:t>
              </w:r>
            </w:p>
            <w:p w14:paraId="0A7FC31E" w14:textId="77777777" w:rsidR="00BC1846" w:rsidRDefault="00BC1846" w:rsidP="005F07B4">
              <w:pPr>
                <w:pStyle w:val="Bibliografa"/>
                <w:ind w:left="720" w:hanging="720"/>
                <w:contextualSpacing/>
                <w:rPr>
                  <w:noProof/>
                  <w:lang w:val="es-ES"/>
                </w:rPr>
              </w:pPr>
              <w:r>
                <w:rPr>
                  <w:noProof/>
                  <w:lang w:val="es-ES"/>
                </w:rPr>
                <w:t xml:space="preserve">Ministerio de Agricultura, Ganadería, Acuacultura y Pesca. (Diciembre de 2014). </w:t>
              </w:r>
              <w:r>
                <w:rPr>
                  <w:i/>
                  <w:iCs/>
                  <w:noProof/>
                  <w:lang w:val="es-ES"/>
                </w:rPr>
                <w:t>Boletín Situacional: Papa.</w:t>
              </w:r>
              <w:r>
                <w:rPr>
                  <w:noProof/>
                  <w:lang w:val="es-ES"/>
                </w:rPr>
                <w:t xml:space="preserve"> Recuperado el 03 de Febrero de 2016, de Ministerio de Agricultura, Ganadería, Acuacultura y Pesca: file:///C:/Users/benavidesofi/Downloads/kboletin-situacional-de-papa-2014-actualizado.pdf</w:t>
              </w:r>
            </w:p>
            <w:p w14:paraId="626CFD75" w14:textId="77777777" w:rsidR="00BC1846" w:rsidRDefault="00BC1846" w:rsidP="005F07B4">
              <w:pPr>
                <w:pStyle w:val="Bibliografa"/>
                <w:ind w:left="720" w:hanging="720"/>
                <w:contextualSpacing/>
                <w:rPr>
                  <w:noProof/>
                  <w:lang w:val="es-ES"/>
                </w:rPr>
              </w:pPr>
              <w:r>
                <w:rPr>
                  <w:noProof/>
                  <w:lang w:val="es-ES"/>
                </w:rPr>
                <w:lastRenderedPageBreak/>
                <w:t xml:space="preserve">Ministerio de Agricultura, Ganadería, Acuacultura y Pesca. (2014). </w:t>
              </w:r>
              <w:r>
                <w:rPr>
                  <w:i/>
                  <w:iCs/>
                  <w:noProof/>
                  <w:lang w:val="es-ES"/>
                </w:rPr>
                <w:t>MAGAP entregó maquinaria agrícola a productores de Cayambe y Pedro Moncayo</w:t>
              </w:r>
              <w:r>
                <w:rPr>
                  <w:noProof/>
                  <w:lang w:val="es-ES"/>
                </w:rPr>
                <w:t>. Obtenido de Ministerio de Agricultura, Ganadería, Acuacultura y Pesca: http://www.agricultura.gob.ec/magap-entrego-maquinaria-agricola-a-productores-de-cayambe-y-pedro-moncayo/</w:t>
              </w:r>
            </w:p>
            <w:p w14:paraId="0A446E1D" w14:textId="77777777" w:rsidR="00BC1846" w:rsidRDefault="00BC1846" w:rsidP="005F07B4">
              <w:pPr>
                <w:pStyle w:val="Bibliografa"/>
                <w:ind w:left="720" w:hanging="720"/>
                <w:contextualSpacing/>
                <w:rPr>
                  <w:noProof/>
                  <w:lang w:val="es-ES"/>
                </w:rPr>
              </w:pPr>
              <w:r w:rsidRPr="00B76E1B">
                <w:rPr>
                  <w:noProof/>
                  <w:lang w:val="en-US"/>
                </w:rPr>
                <w:t xml:space="preserve">Mintzberg, H. (1987). </w:t>
              </w:r>
              <w:r w:rsidRPr="00B76E1B">
                <w:rPr>
                  <w:i/>
                  <w:iCs/>
                  <w:noProof/>
                  <w:lang w:val="en-US"/>
                </w:rPr>
                <w:t>The strategy concept I: Five ps for strategy.</w:t>
              </w:r>
              <w:r w:rsidRPr="00B76E1B">
                <w:rPr>
                  <w:noProof/>
                  <w:lang w:val="en-US"/>
                </w:rPr>
                <w:t xml:space="preserve"> </w:t>
              </w:r>
              <w:r>
                <w:rPr>
                  <w:noProof/>
                  <w:lang w:val="es-ES"/>
                </w:rPr>
                <w:t>California: Management Review.</w:t>
              </w:r>
            </w:p>
            <w:p w14:paraId="7E4104A1" w14:textId="77777777" w:rsidR="00BC1846" w:rsidRDefault="00BC1846" w:rsidP="005F07B4">
              <w:pPr>
                <w:pStyle w:val="Bibliografa"/>
                <w:ind w:left="720" w:hanging="720"/>
                <w:contextualSpacing/>
                <w:rPr>
                  <w:noProof/>
                  <w:lang w:val="es-ES"/>
                </w:rPr>
              </w:pPr>
              <w:r>
                <w:rPr>
                  <w:noProof/>
                  <w:lang w:val="es-ES"/>
                </w:rPr>
                <w:t xml:space="preserve">Muñoz Razo, C. (1998). </w:t>
              </w:r>
              <w:r>
                <w:rPr>
                  <w:i/>
                  <w:iCs/>
                  <w:noProof/>
                  <w:lang w:val="es-ES"/>
                </w:rPr>
                <w:t>Cómo elaborar y asesorar una investigación de tesis.</w:t>
              </w:r>
              <w:r>
                <w:rPr>
                  <w:noProof/>
                  <w:lang w:val="es-ES"/>
                </w:rPr>
                <w:t xml:space="preserve"> México DF: Pearson Education.</w:t>
              </w:r>
            </w:p>
            <w:p w14:paraId="1F5B9A3D" w14:textId="77777777" w:rsidR="00BC1846" w:rsidRDefault="00BC1846" w:rsidP="005F07B4">
              <w:pPr>
                <w:pStyle w:val="Bibliografa"/>
                <w:ind w:left="720" w:hanging="720"/>
                <w:contextualSpacing/>
                <w:rPr>
                  <w:noProof/>
                  <w:lang w:val="es-ES"/>
                </w:rPr>
              </w:pPr>
              <w:r>
                <w:rPr>
                  <w:noProof/>
                  <w:lang w:val="es-ES"/>
                </w:rPr>
                <w:t xml:space="preserve">Organización de las Naciones Unidas para la Alimentación y la Agricultura. (2015). </w:t>
              </w:r>
              <w:r>
                <w:rPr>
                  <w:i/>
                  <w:iCs/>
                  <w:noProof/>
                  <w:lang w:val="es-ES"/>
                </w:rPr>
                <w:t>Organic Agriculture</w:t>
              </w:r>
              <w:r>
                <w:rPr>
                  <w:noProof/>
                  <w:lang w:val="es-ES"/>
                </w:rPr>
                <w:t>. Recuperado el 31 de octubre de 2015, de Organización de las Naciones Unidas para la Alimentación y la Agricultura: http://www.fao.org/organicag/oa-faq/oa-faq2/es/</w:t>
              </w:r>
            </w:p>
            <w:p w14:paraId="1838D27B" w14:textId="77777777" w:rsidR="00BC1846" w:rsidRDefault="00BC1846" w:rsidP="005F07B4">
              <w:pPr>
                <w:pStyle w:val="Bibliografa"/>
                <w:ind w:left="720" w:hanging="720"/>
                <w:contextualSpacing/>
                <w:rPr>
                  <w:noProof/>
                  <w:lang w:val="es-ES"/>
                </w:rPr>
              </w:pPr>
              <w:r>
                <w:rPr>
                  <w:noProof/>
                  <w:lang w:val="es-ES"/>
                </w:rPr>
                <w:t xml:space="preserve">Ortega, G. (2013). La quinua, el grano de oro ecuatoriano. </w:t>
              </w:r>
              <w:r>
                <w:rPr>
                  <w:i/>
                  <w:iCs/>
                  <w:noProof/>
                  <w:lang w:val="es-ES"/>
                </w:rPr>
                <w:t>América Economía</w:t>
              </w:r>
              <w:r>
                <w:rPr>
                  <w:noProof/>
                  <w:lang w:val="es-ES"/>
                </w:rPr>
                <w:t>.</w:t>
              </w:r>
            </w:p>
            <w:p w14:paraId="56EF74A0" w14:textId="77777777" w:rsidR="00BC1846" w:rsidRDefault="00BC1846" w:rsidP="005F07B4">
              <w:pPr>
                <w:pStyle w:val="Bibliografa"/>
                <w:ind w:left="720" w:hanging="720"/>
                <w:contextualSpacing/>
                <w:rPr>
                  <w:noProof/>
                  <w:lang w:val="es-ES"/>
                </w:rPr>
              </w:pPr>
              <w:r>
                <w:rPr>
                  <w:noProof/>
                  <w:lang w:val="es-ES"/>
                </w:rPr>
                <w:t xml:space="preserve">Peña, X. (2007). Perfil de Mercado de la Quinua. </w:t>
              </w:r>
              <w:r>
                <w:rPr>
                  <w:i/>
                  <w:iCs/>
                  <w:noProof/>
                  <w:lang w:val="es-ES"/>
                </w:rPr>
                <w:t>Cámara de Exportadores de La Paz</w:t>
              </w:r>
              <w:r>
                <w:rPr>
                  <w:noProof/>
                  <w:lang w:val="es-ES"/>
                </w:rPr>
                <w:t>.</w:t>
              </w:r>
            </w:p>
            <w:p w14:paraId="3B5A03F4" w14:textId="77777777" w:rsidR="00BC1846" w:rsidRDefault="00BC1846" w:rsidP="005F07B4">
              <w:pPr>
                <w:pStyle w:val="Bibliografa"/>
                <w:ind w:left="720" w:hanging="720"/>
                <w:contextualSpacing/>
                <w:rPr>
                  <w:noProof/>
                  <w:lang w:val="es-ES"/>
                </w:rPr>
              </w:pPr>
              <w:r>
                <w:rPr>
                  <w:noProof/>
                  <w:lang w:val="es-ES"/>
                </w:rPr>
                <w:t xml:space="preserve">Porter, M. (2002). </w:t>
              </w:r>
              <w:r>
                <w:rPr>
                  <w:i/>
                  <w:iCs/>
                  <w:noProof/>
                  <w:lang w:val="es-ES"/>
                </w:rPr>
                <w:t>Ventaja Competitiva.</w:t>
              </w:r>
              <w:r>
                <w:rPr>
                  <w:noProof/>
                  <w:lang w:val="es-ES"/>
                </w:rPr>
                <w:t xml:space="preserve"> Barcelona: Alay Ediciones.</w:t>
              </w:r>
            </w:p>
            <w:p w14:paraId="07567BB7" w14:textId="77777777" w:rsidR="00BC1846" w:rsidRDefault="00BC1846" w:rsidP="005F07B4">
              <w:pPr>
                <w:pStyle w:val="Bibliografa"/>
                <w:ind w:left="720" w:hanging="720"/>
                <w:contextualSpacing/>
                <w:rPr>
                  <w:noProof/>
                  <w:lang w:val="es-ES"/>
                </w:rPr>
              </w:pPr>
              <w:r>
                <w:rPr>
                  <w:noProof/>
                  <w:lang w:val="es-ES"/>
                </w:rPr>
                <w:t xml:space="preserve">PROECUADOR. (2013). </w:t>
              </w:r>
              <w:r>
                <w:rPr>
                  <w:i/>
                  <w:iCs/>
                  <w:noProof/>
                  <w:lang w:val="es-ES"/>
                </w:rPr>
                <w:t>Análisis de mercado de Quinua a Francia.</w:t>
              </w:r>
              <w:r>
                <w:rPr>
                  <w:noProof/>
                  <w:lang w:val="es-ES"/>
                </w:rPr>
                <w:t xml:space="preserve"> Quito: PROECUADOR.</w:t>
              </w:r>
            </w:p>
            <w:p w14:paraId="1BD4C751" w14:textId="77777777" w:rsidR="00BC1846" w:rsidRDefault="00BC1846" w:rsidP="005F07B4">
              <w:pPr>
                <w:pStyle w:val="Bibliografa"/>
                <w:ind w:left="720" w:hanging="720"/>
                <w:contextualSpacing/>
                <w:rPr>
                  <w:noProof/>
                  <w:lang w:val="es-ES"/>
                </w:rPr>
              </w:pPr>
              <w:r>
                <w:rPr>
                  <w:noProof/>
                  <w:lang w:val="es-ES"/>
                </w:rPr>
                <w:t xml:space="preserve">PROECUADOR. (2014). Boletín Mensual de Comercio Exterior. </w:t>
              </w:r>
              <w:r>
                <w:rPr>
                  <w:i/>
                  <w:iCs/>
                  <w:noProof/>
                  <w:lang w:val="es-ES"/>
                </w:rPr>
                <w:t>Boletín de Comercio Exterior</w:t>
              </w:r>
              <w:r>
                <w:rPr>
                  <w:noProof/>
                  <w:lang w:val="es-ES"/>
                </w:rPr>
                <w:t>, 10.</w:t>
              </w:r>
            </w:p>
            <w:p w14:paraId="4CEF2BDE" w14:textId="77777777" w:rsidR="00BC1846" w:rsidRDefault="00BC1846" w:rsidP="005F07B4">
              <w:pPr>
                <w:pStyle w:val="Bibliografa"/>
                <w:ind w:left="720" w:hanging="720"/>
                <w:contextualSpacing/>
                <w:rPr>
                  <w:noProof/>
                  <w:lang w:val="es-ES"/>
                </w:rPr>
              </w:pPr>
              <w:r>
                <w:rPr>
                  <w:noProof/>
                  <w:lang w:val="es-ES"/>
                </w:rPr>
                <w:t xml:space="preserve">PROECUADOR. (2014). </w:t>
              </w:r>
              <w:r>
                <w:rPr>
                  <w:i/>
                  <w:iCs/>
                  <w:noProof/>
                  <w:lang w:val="es-ES"/>
                </w:rPr>
                <w:t>Evolución Enero-Diciembre 2013 Exportaciones Ecuatorianas.</w:t>
              </w:r>
              <w:r>
                <w:rPr>
                  <w:noProof/>
                  <w:lang w:val="es-ES"/>
                </w:rPr>
                <w:t xml:space="preserve"> Quito: PROECUADOR.</w:t>
              </w:r>
            </w:p>
            <w:p w14:paraId="0E72BB65" w14:textId="77777777" w:rsidR="00BC1846" w:rsidRDefault="00BC1846" w:rsidP="005F07B4">
              <w:pPr>
                <w:pStyle w:val="Bibliografa"/>
                <w:ind w:left="720" w:hanging="720"/>
                <w:contextualSpacing/>
                <w:rPr>
                  <w:noProof/>
                  <w:lang w:val="es-ES"/>
                </w:rPr>
              </w:pPr>
              <w:r>
                <w:rPr>
                  <w:noProof/>
                  <w:lang w:val="es-ES"/>
                </w:rPr>
                <w:t xml:space="preserve">PROECUADOR. (2015). </w:t>
              </w:r>
              <w:r>
                <w:rPr>
                  <w:i/>
                  <w:iCs/>
                  <w:noProof/>
                  <w:lang w:val="es-ES"/>
                </w:rPr>
                <w:t>Análisis Sectorial Quinua 2015.</w:t>
              </w:r>
              <w:r>
                <w:rPr>
                  <w:noProof/>
                  <w:lang w:val="es-ES"/>
                </w:rPr>
                <w:t xml:space="preserve"> Recuperado el 20 de Diciembre de 2015, de PROECUADOR: http://www.proecuador.gob.ec/wp-content/uploads/2015/10/PROEC_AS2015_QUINUA.pdf</w:t>
              </w:r>
            </w:p>
            <w:p w14:paraId="628BB9B4" w14:textId="77777777" w:rsidR="00BC1846" w:rsidRDefault="00BC1846" w:rsidP="005F07B4">
              <w:pPr>
                <w:pStyle w:val="Bibliografa"/>
                <w:ind w:left="720" w:hanging="720"/>
                <w:contextualSpacing/>
                <w:rPr>
                  <w:noProof/>
                  <w:lang w:val="es-ES"/>
                </w:rPr>
              </w:pPr>
              <w:r>
                <w:rPr>
                  <w:noProof/>
                  <w:lang w:val="es-ES"/>
                </w:rPr>
                <w:t xml:space="preserve">Quinoa Foods Company. (2015). </w:t>
              </w:r>
              <w:r>
                <w:rPr>
                  <w:i/>
                  <w:iCs/>
                  <w:noProof/>
                  <w:lang w:val="es-ES"/>
                </w:rPr>
                <w:t>Acerca de Nosotros</w:t>
              </w:r>
              <w:r>
                <w:rPr>
                  <w:noProof/>
                  <w:lang w:val="es-ES"/>
                </w:rPr>
                <w:t>. Recuperado el 01 de Noviembre de 2015, de Quinoa Foods Company: http://www.quinoafoods.com/esaboutus.php?site=aboutus</w:t>
              </w:r>
            </w:p>
            <w:p w14:paraId="25600815" w14:textId="77777777" w:rsidR="00BC1846" w:rsidRDefault="00BC1846" w:rsidP="005F07B4">
              <w:pPr>
                <w:pStyle w:val="Bibliografa"/>
                <w:ind w:left="720" w:hanging="720"/>
                <w:contextualSpacing/>
                <w:rPr>
                  <w:noProof/>
                  <w:lang w:val="es-ES"/>
                </w:rPr>
              </w:pPr>
              <w:r>
                <w:rPr>
                  <w:noProof/>
                  <w:lang w:val="es-ES"/>
                </w:rPr>
                <w:t xml:space="preserve">Quinoa Foods Company. (Febrero de 2015). </w:t>
              </w:r>
              <w:r>
                <w:rPr>
                  <w:i/>
                  <w:iCs/>
                  <w:noProof/>
                  <w:lang w:val="es-ES"/>
                </w:rPr>
                <w:t>Folleto para emisión de pagarés en Mesa de Negociación.</w:t>
              </w:r>
              <w:r>
                <w:rPr>
                  <w:noProof/>
                  <w:lang w:val="es-ES"/>
                </w:rPr>
                <w:t xml:space="preserve"> Recuperado el 18 de Diciembre de 2015, de Bolsa Boliviana de Valores S.A: https://www.bbv.com.bo:11113/Content/Uploads/FollQFC.pdf</w:t>
              </w:r>
            </w:p>
            <w:p w14:paraId="7022D15D" w14:textId="77777777" w:rsidR="00BC1846" w:rsidRDefault="00BC1846" w:rsidP="005F07B4">
              <w:pPr>
                <w:pStyle w:val="Bibliografa"/>
                <w:ind w:left="720" w:hanging="720"/>
                <w:contextualSpacing/>
                <w:rPr>
                  <w:noProof/>
                  <w:lang w:val="es-ES"/>
                </w:rPr>
              </w:pPr>
              <w:r>
                <w:rPr>
                  <w:noProof/>
                  <w:lang w:val="es-ES"/>
                </w:rPr>
                <w:t xml:space="preserve">Quispe, A. (30 de marzo de 2014). Oruro lidera la producción de quinua gracias a cuatro factores. </w:t>
              </w:r>
              <w:r>
                <w:rPr>
                  <w:i/>
                  <w:iCs/>
                  <w:noProof/>
                  <w:lang w:val="es-ES"/>
                </w:rPr>
                <w:t>La Razón</w:t>
              </w:r>
              <w:r>
                <w:rPr>
                  <w:noProof/>
                  <w:lang w:val="es-ES"/>
                </w:rPr>
                <w:t>.</w:t>
              </w:r>
            </w:p>
            <w:p w14:paraId="02C6BE6C" w14:textId="77777777" w:rsidR="00BC1846" w:rsidRDefault="00BC1846" w:rsidP="005F07B4">
              <w:pPr>
                <w:pStyle w:val="Bibliografa"/>
                <w:ind w:left="720" w:hanging="720"/>
                <w:contextualSpacing/>
                <w:rPr>
                  <w:noProof/>
                  <w:lang w:val="es-ES"/>
                </w:rPr>
              </w:pPr>
              <w:r>
                <w:rPr>
                  <w:noProof/>
                  <w:lang w:val="es-ES"/>
                </w:rPr>
                <w:lastRenderedPageBreak/>
                <w:t xml:space="preserve">Quispe, A., &amp; Mejía, J. (15 de Enero de 2015). Cae el volumen de venta de la quinua por la oferta de Perú . </w:t>
              </w:r>
              <w:r>
                <w:rPr>
                  <w:i/>
                  <w:iCs/>
                  <w:noProof/>
                  <w:lang w:val="es-ES"/>
                </w:rPr>
                <w:t>La Razón</w:t>
              </w:r>
              <w:r>
                <w:rPr>
                  <w:noProof/>
                  <w:lang w:val="es-ES"/>
                </w:rPr>
                <w:t>.</w:t>
              </w:r>
            </w:p>
            <w:p w14:paraId="1D83DC6D" w14:textId="77777777" w:rsidR="00BC1846" w:rsidRDefault="00BC1846" w:rsidP="005F07B4">
              <w:pPr>
                <w:pStyle w:val="Bibliografa"/>
                <w:ind w:left="720" w:hanging="720"/>
                <w:contextualSpacing/>
                <w:rPr>
                  <w:noProof/>
                  <w:lang w:val="es-ES"/>
                </w:rPr>
              </w:pPr>
              <w:r>
                <w:rPr>
                  <w:noProof/>
                  <w:lang w:val="es-ES"/>
                </w:rPr>
                <w:t xml:space="preserve">Quito Rodriguez, C. (2009). </w:t>
              </w:r>
              <w:r>
                <w:rPr>
                  <w:i/>
                  <w:iCs/>
                  <w:noProof/>
                  <w:lang w:val="es-ES"/>
                </w:rPr>
                <w:t>Análisis de Estados Financieros.</w:t>
              </w:r>
              <w:r>
                <w:rPr>
                  <w:noProof/>
                  <w:lang w:val="es-ES"/>
                </w:rPr>
                <w:t xml:space="preserve"> Piura: Universidad César Vallejo.</w:t>
              </w:r>
            </w:p>
            <w:p w14:paraId="66ABF500" w14:textId="77777777" w:rsidR="00BC1846" w:rsidRPr="00B76E1B" w:rsidRDefault="00BC1846" w:rsidP="005F07B4">
              <w:pPr>
                <w:pStyle w:val="Bibliografa"/>
                <w:ind w:left="720" w:hanging="720"/>
                <w:contextualSpacing/>
                <w:rPr>
                  <w:noProof/>
                  <w:lang w:val="en-US"/>
                </w:rPr>
              </w:pPr>
              <w:r>
                <w:rPr>
                  <w:noProof/>
                  <w:lang w:val="es-ES"/>
                </w:rPr>
                <w:t xml:space="preserve">Revista Líderes. (2014). 6% DE LAS VENTAS EN EL PAÍS corresponde a pequeños productores. </w:t>
              </w:r>
              <w:r w:rsidRPr="00B76E1B">
                <w:rPr>
                  <w:i/>
                  <w:iCs/>
                  <w:noProof/>
                  <w:lang w:val="en-US"/>
                </w:rPr>
                <w:t>Revista Líderes</w:t>
              </w:r>
              <w:r w:rsidRPr="00B76E1B">
                <w:rPr>
                  <w:noProof/>
                  <w:lang w:val="en-US"/>
                </w:rPr>
                <w:t>.</w:t>
              </w:r>
            </w:p>
            <w:p w14:paraId="6DE2E2B4" w14:textId="77777777" w:rsidR="00BC1846" w:rsidRDefault="00BC1846" w:rsidP="005F07B4">
              <w:pPr>
                <w:pStyle w:val="Bibliografa"/>
                <w:ind w:left="720" w:hanging="720"/>
                <w:contextualSpacing/>
                <w:rPr>
                  <w:noProof/>
                  <w:lang w:val="es-ES"/>
                </w:rPr>
              </w:pPr>
              <w:r w:rsidRPr="00B76E1B">
                <w:rPr>
                  <w:noProof/>
                  <w:lang w:val="en-US"/>
                </w:rPr>
                <w:t xml:space="preserve">Ricardo, D. (1817). </w:t>
              </w:r>
              <w:r w:rsidRPr="00B76E1B">
                <w:rPr>
                  <w:i/>
                  <w:iCs/>
                  <w:noProof/>
                  <w:lang w:val="en-US"/>
                </w:rPr>
                <w:t>On the Principles of Political Economy, and Taxation.</w:t>
              </w:r>
              <w:r w:rsidRPr="00B76E1B">
                <w:rPr>
                  <w:noProof/>
                  <w:lang w:val="en-US"/>
                </w:rPr>
                <w:t xml:space="preserve"> </w:t>
              </w:r>
              <w:r>
                <w:rPr>
                  <w:noProof/>
                  <w:lang w:val="es-ES"/>
                </w:rPr>
                <w:t>Londres: J. M'Creery.</w:t>
              </w:r>
            </w:p>
            <w:p w14:paraId="34200E33" w14:textId="77777777" w:rsidR="00BC1846" w:rsidRDefault="00BC1846" w:rsidP="005F07B4">
              <w:pPr>
                <w:pStyle w:val="Bibliografa"/>
                <w:ind w:left="720" w:hanging="720"/>
                <w:contextualSpacing/>
                <w:rPr>
                  <w:noProof/>
                  <w:lang w:val="es-ES"/>
                </w:rPr>
              </w:pPr>
              <w:r>
                <w:rPr>
                  <w:noProof/>
                  <w:lang w:val="es-ES"/>
                </w:rPr>
                <w:t xml:space="preserve">Rodriguez Moguel, E. A. (2005). </w:t>
              </w:r>
              <w:r>
                <w:rPr>
                  <w:i/>
                  <w:iCs/>
                  <w:noProof/>
                  <w:lang w:val="es-ES"/>
                </w:rPr>
                <w:t>Metodología de la investigación.</w:t>
              </w:r>
              <w:r>
                <w:rPr>
                  <w:noProof/>
                  <w:lang w:val="es-ES"/>
                </w:rPr>
                <w:t xml:space="preserve"> Tabasco: Universidad Juárez Autónoma de Tabasco.</w:t>
              </w:r>
            </w:p>
            <w:p w14:paraId="4CCD8947" w14:textId="77777777" w:rsidR="00BC1846" w:rsidRDefault="00BC1846" w:rsidP="005F07B4">
              <w:pPr>
                <w:pStyle w:val="Bibliografa"/>
                <w:ind w:left="720" w:hanging="720"/>
                <w:contextualSpacing/>
                <w:rPr>
                  <w:noProof/>
                  <w:lang w:val="es-ES"/>
                </w:rPr>
              </w:pPr>
              <w:r>
                <w:rPr>
                  <w:noProof/>
                  <w:lang w:val="es-ES"/>
                </w:rPr>
                <w:t xml:space="preserve">Rodriguez, R., &amp; Acanda, R. (2009). </w:t>
              </w:r>
              <w:r>
                <w:rPr>
                  <w:i/>
                  <w:iCs/>
                  <w:noProof/>
                  <w:lang w:val="es-ES"/>
                </w:rPr>
                <w:t>Metodología para realizar análisis económico .</w:t>
              </w:r>
              <w:r>
                <w:rPr>
                  <w:noProof/>
                  <w:lang w:val="es-ES"/>
                </w:rPr>
                <w:t xml:space="preserve"> </w:t>
              </w:r>
            </w:p>
            <w:p w14:paraId="04183EF7" w14:textId="77777777" w:rsidR="00BC1846" w:rsidRPr="00B76E1B" w:rsidRDefault="00BC1846" w:rsidP="005F07B4">
              <w:pPr>
                <w:pStyle w:val="Bibliografa"/>
                <w:ind w:left="720" w:hanging="720"/>
                <w:contextualSpacing/>
                <w:rPr>
                  <w:noProof/>
                  <w:lang w:val="en-US"/>
                </w:rPr>
              </w:pPr>
              <w:r>
                <w:rPr>
                  <w:noProof/>
                  <w:lang w:val="es-ES"/>
                </w:rPr>
                <w:t xml:space="preserve">Rojas, W., Pinto, M., &amp; Soto, J. (2010). Distribución geográfica y variabilidad genética de los granos andinos. </w:t>
              </w:r>
              <w:r w:rsidRPr="00B76E1B">
                <w:rPr>
                  <w:i/>
                  <w:iCs/>
                  <w:noProof/>
                  <w:lang w:val="en-US"/>
                </w:rPr>
                <w:t>Biodiversity Internacional</w:t>
              </w:r>
              <w:r w:rsidRPr="00B76E1B">
                <w:rPr>
                  <w:noProof/>
                  <w:lang w:val="en-US"/>
                </w:rPr>
                <w:t>, 11-23.</w:t>
              </w:r>
            </w:p>
            <w:p w14:paraId="313438DD" w14:textId="77777777" w:rsidR="00BC1846" w:rsidRDefault="00BC1846" w:rsidP="005F07B4">
              <w:pPr>
                <w:pStyle w:val="Bibliografa"/>
                <w:ind w:left="720" w:hanging="720"/>
                <w:contextualSpacing/>
                <w:rPr>
                  <w:noProof/>
                  <w:lang w:val="es-ES"/>
                </w:rPr>
              </w:pPr>
              <w:r w:rsidRPr="00B76E1B">
                <w:rPr>
                  <w:noProof/>
                  <w:lang w:val="en-US"/>
                </w:rPr>
                <w:t xml:space="preserve">Simko, P., &amp; Allen, B. (2007). An Overview of financial statements analysis: The mechanics. </w:t>
              </w:r>
              <w:r>
                <w:rPr>
                  <w:i/>
                  <w:iCs/>
                  <w:noProof/>
                  <w:lang w:val="es-ES"/>
                </w:rPr>
                <w:t>DARDEN BUSINESS PUBLISHING</w:t>
              </w:r>
              <w:r>
                <w:rPr>
                  <w:noProof/>
                  <w:lang w:val="es-ES"/>
                </w:rPr>
                <w:t>, 9-28.</w:t>
              </w:r>
            </w:p>
            <w:p w14:paraId="3B76336D" w14:textId="77777777" w:rsidR="00BC1846" w:rsidRDefault="00BC1846" w:rsidP="005F07B4">
              <w:pPr>
                <w:pStyle w:val="Bibliografa"/>
                <w:ind w:left="720" w:hanging="720"/>
                <w:contextualSpacing/>
                <w:rPr>
                  <w:noProof/>
                  <w:lang w:val="es-ES"/>
                </w:rPr>
              </w:pPr>
              <w:r>
                <w:rPr>
                  <w:noProof/>
                  <w:lang w:val="es-ES"/>
                </w:rPr>
                <w:t>Soraide Lozano, D. (2009). Comercialización de la Quinua Real producida en el altiplano sur de Bolivia. Recuperado el 05 de junio de 2015</w:t>
              </w:r>
            </w:p>
            <w:p w14:paraId="409FBED4" w14:textId="77777777" w:rsidR="00BC1846" w:rsidRDefault="00BC1846" w:rsidP="005F07B4">
              <w:pPr>
                <w:pStyle w:val="Bibliografa"/>
                <w:ind w:left="720" w:hanging="720"/>
                <w:contextualSpacing/>
                <w:rPr>
                  <w:noProof/>
                  <w:lang w:val="es-ES"/>
                </w:rPr>
              </w:pPr>
              <w:r>
                <w:rPr>
                  <w:noProof/>
                  <w:lang w:val="es-ES"/>
                </w:rPr>
                <w:t xml:space="preserve">Superintendencia de Compañías, Valores y Seguros. (16 de Febrero de 2016). </w:t>
              </w:r>
              <w:r>
                <w:rPr>
                  <w:i/>
                  <w:iCs/>
                  <w:noProof/>
                  <w:lang w:val="es-ES"/>
                </w:rPr>
                <w:t>Portal de Documentos</w:t>
              </w:r>
              <w:r>
                <w:rPr>
                  <w:noProof/>
                  <w:lang w:val="es-ES"/>
                </w:rPr>
                <w:t>. Obtenido de Superintendencia de Compañías, Valores y Seguros: http://appscvs.supercias.gob.ec/portaldedocumentos/consulta_cia_param.zul</w:t>
              </w:r>
            </w:p>
            <w:p w14:paraId="4B68A9E0" w14:textId="77777777" w:rsidR="00BC1846" w:rsidRDefault="00BC1846" w:rsidP="005F07B4">
              <w:pPr>
                <w:pStyle w:val="Bibliografa"/>
                <w:ind w:left="720" w:hanging="720"/>
                <w:contextualSpacing/>
                <w:rPr>
                  <w:noProof/>
                  <w:lang w:val="es-ES"/>
                </w:rPr>
              </w:pPr>
              <w:r>
                <w:rPr>
                  <w:noProof/>
                  <w:lang w:val="es-ES"/>
                </w:rPr>
                <w:t xml:space="preserve">Tanaka Nakasone, G. (2005). </w:t>
              </w:r>
              <w:r>
                <w:rPr>
                  <w:i/>
                  <w:iCs/>
                  <w:noProof/>
                  <w:lang w:val="es-ES"/>
                </w:rPr>
                <w:t>Análisis de Estados Financieros para la Toma de Decisiones.</w:t>
              </w:r>
              <w:r>
                <w:rPr>
                  <w:noProof/>
                  <w:lang w:val="es-ES"/>
                </w:rPr>
                <w:t xml:space="preserve"> Lima: Pontificia Universidad Católica del Perú.</w:t>
              </w:r>
            </w:p>
            <w:p w14:paraId="0949CE92" w14:textId="77777777" w:rsidR="00BC1846" w:rsidRDefault="00BC1846" w:rsidP="005F07B4">
              <w:pPr>
                <w:pStyle w:val="Bibliografa"/>
                <w:ind w:left="720" w:hanging="720"/>
                <w:contextualSpacing/>
                <w:rPr>
                  <w:noProof/>
                  <w:lang w:val="es-ES"/>
                </w:rPr>
              </w:pPr>
              <w:r>
                <w:rPr>
                  <w:noProof/>
                  <w:lang w:val="es-ES"/>
                </w:rPr>
                <w:t>Tapia, G. (19 de Agosto de 2015). Acerca de Cereales Andinos. (S. Benavides, Entrevistador)</w:t>
              </w:r>
            </w:p>
            <w:p w14:paraId="6F86627F" w14:textId="77777777" w:rsidR="00BC1846" w:rsidRDefault="00BC1846" w:rsidP="005F07B4">
              <w:pPr>
                <w:pStyle w:val="Bibliografa"/>
                <w:ind w:left="720" w:hanging="720"/>
                <w:contextualSpacing/>
                <w:rPr>
                  <w:noProof/>
                  <w:lang w:val="es-ES"/>
                </w:rPr>
              </w:pPr>
              <w:r>
                <w:rPr>
                  <w:noProof/>
                  <w:lang w:val="es-ES"/>
                </w:rPr>
                <w:t xml:space="preserve">Toro, E. (08 de Noviembre de 2014). Disminuyen las ventas de Quinua a Estados Unidos. </w:t>
              </w:r>
              <w:r>
                <w:rPr>
                  <w:i/>
                  <w:iCs/>
                  <w:noProof/>
                  <w:lang w:val="es-ES"/>
                </w:rPr>
                <w:t>La Razón</w:t>
              </w:r>
              <w:r>
                <w:rPr>
                  <w:noProof/>
                  <w:lang w:val="es-ES"/>
                </w:rPr>
                <w:t>. Obtenido de http://www.la-razon.com/economia/Mercado-disminuyen-ventas-quinua-EEUU_0_2158584146.html</w:t>
              </w:r>
            </w:p>
            <w:p w14:paraId="117D8977" w14:textId="77777777" w:rsidR="00BC1846" w:rsidRDefault="00BC1846" w:rsidP="005F07B4">
              <w:pPr>
                <w:pStyle w:val="Bibliografa"/>
                <w:ind w:left="720" w:hanging="720"/>
                <w:contextualSpacing/>
                <w:rPr>
                  <w:noProof/>
                  <w:lang w:val="es-ES"/>
                </w:rPr>
              </w:pPr>
              <w:r>
                <w:rPr>
                  <w:noProof/>
                  <w:lang w:val="es-ES"/>
                </w:rPr>
                <w:t xml:space="preserve">Universidad de La República. (2008). </w:t>
              </w:r>
              <w:r>
                <w:rPr>
                  <w:i/>
                  <w:iCs/>
                  <w:noProof/>
                  <w:lang w:val="es-ES"/>
                </w:rPr>
                <w:t>Análisis de datos.</w:t>
              </w:r>
              <w:r>
                <w:rPr>
                  <w:noProof/>
                  <w:lang w:val="es-ES"/>
                </w:rPr>
                <w:t xml:space="preserve"> Obtenido de Metodología de la investigación: http://www.ccee.edu.uy/ensenian/catmetinvcont/material/PPT%20Parte%207%20Analisis%20de%20los%20datos-1.pdf</w:t>
              </w:r>
            </w:p>
            <w:p w14:paraId="180F604B" w14:textId="77777777" w:rsidR="00BC1846" w:rsidRDefault="00BC1846" w:rsidP="005F07B4">
              <w:pPr>
                <w:pStyle w:val="Bibliografa"/>
                <w:ind w:left="720" w:hanging="720"/>
                <w:contextualSpacing/>
                <w:rPr>
                  <w:noProof/>
                  <w:lang w:val="es-ES"/>
                </w:rPr>
              </w:pPr>
              <w:r>
                <w:rPr>
                  <w:noProof/>
                  <w:lang w:val="es-ES"/>
                </w:rPr>
                <w:t xml:space="preserve">Universidad San Nicolás de Hidalgo. (2009). </w:t>
              </w:r>
              <w:r>
                <w:rPr>
                  <w:i/>
                  <w:iCs/>
                  <w:noProof/>
                  <w:lang w:val="es-ES"/>
                </w:rPr>
                <w:t>Principales Estados Financieros.</w:t>
              </w:r>
              <w:r>
                <w:rPr>
                  <w:noProof/>
                  <w:lang w:val="es-ES"/>
                </w:rPr>
                <w:t xml:space="preserve"> México: Universidad San Nicolás de Hidalgo. Recuperado el 18 de Diciembre de 2015, de </w:t>
              </w:r>
              <w:r>
                <w:rPr>
                  <w:noProof/>
                  <w:lang w:val="es-ES"/>
                </w:rPr>
                <w:lastRenderedPageBreak/>
                <w:t>http://www.fcca.umich.mx/descargas/apuntes/Academia%20de%20Finanzas/Finanzas%20I%20Mauricio%20A.%20Chagolla%20Farias/6%20estados%20financieros.pdf</w:t>
              </w:r>
            </w:p>
            <w:p w14:paraId="20EDCA5B" w14:textId="77777777" w:rsidR="0075555F" w:rsidRDefault="0075555F" w:rsidP="005F07B4">
              <w:pPr>
                <w:contextualSpacing/>
              </w:pPr>
              <w:r>
                <w:rPr>
                  <w:b/>
                  <w:bCs/>
                </w:rPr>
                <w:fldChar w:fldCharType="end"/>
              </w:r>
            </w:p>
          </w:sdtContent>
        </w:sdt>
      </w:sdtContent>
    </w:sdt>
    <w:p w14:paraId="5D78C5DF" w14:textId="77777777" w:rsidR="005A1309" w:rsidRDefault="005A1309">
      <w:pPr>
        <w:spacing w:line="276" w:lineRule="auto"/>
        <w:jc w:val="left"/>
        <w:sectPr w:rsidR="005A1309" w:rsidSect="002C53CC">
          <w:footerReference w:type="default" r:id="rId20"/>
          <w:footerReference w:type="first" r:id="rId21"/>
          <w:pgSz w:w="12240" w:h="15840"/>
          <w:pgMar w:top="1418" w:right="1418" w:bottom="1418" w:left="1701" w:header="709" w:footer="709" w:gutter="0"/>
          <w:cols w:space="708"/>
          <w:titlePg/>
          <w:docGrid w:linePitch="360"/>
        </w:sectPr>
      </w:pPr>
    </w:p>
    <w:p w14:paraId="7D4BDA6B" w14:textId="099082C5" w:rsidR="005A1309" w:rsidRDefault="00F61885" w:rsidP="005A1309">
      <w:pPr>
        <w:pStyle w:val="Ttulo1"/>
      </w:pPr>
      <w:bookmarkStart w:id="79" w:name="_Toc446973177"/>
      <w:r>
        <w:rPr>
          <w:noProof/>
        </w:rPr>
        <w:lastRenderedPageBreak/>
        <w:drawing>
          <wp:anchor distT="0" distB="0" distL="114300" distR="114300" simplePos="0" relativeHeight="251661312" behindDoc="0" locked="0" layoutInCell="1" allowOverlap="1" wp14:anchorId="21A4A3D7" wp14:editId="1F4F2D2B">
            <wp:simplePos x="0" y="0"/>
            <wp:positionH relativeFrom="column">
              <wp:posOffset>328295</wp:posOffset>
            </wp:positionH>
            <wp:positionV relativeFrom="paragraph">
              <wp:posOffset>981710</wp:posOffset>
            </wp:positionV>
            <wp:extent cx="7591425" cy="4210050"/>
            <wp:effectExtent l="0" t="0" r="9525"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7591425" cy="421005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216" behindDoc="0" locked="0" layoutInCell="1" allowOverlap="1" wp14:anchorId="0B64328A" wp14:editId="6B02830C">
                <wp:simplePos x="0" y="0"/>
                <wp:positionH relativeFrom="margin">
                  <wp:posOffset>-319405</wp:posOffset>
                </wp:positionH>
                <wp:positionV relativeFrom="paragraph">
                  <wp:posOffset>443865</wp:posOffset>
                </wp:positionV>
                <wp:extent cx="9001760" cy="438150"/>
                <wp:effectExtent l="0" t="0" r="8890" b="0"/>
                <wp:wrapSquare wrapText="bothSides"/>
                <wp:docPr id="3" name="Cuadro de texto 3"/>
                <wp:cNvGraphicFramePr/>
                <a:graphic xmlns:a="http://schemas.openxmlformats.org/drawingml/2006/main">
                  <a:graphicData uri="http://schemas.microsoft.com/office/word/2010/wordprocessingShape">
                    <wps:wsp>
                      <wps:cNvSpPr txBox="1"/>
                      <wps:spPr>
                        <a:xfrm>
                          <a:off x="0" y="0"/>
                          <a:ext cx="9001760" cy="438150"/>
                        </a:xfrm>
                        <a:prstGeom prst="rect">
                          <a:avLst/>
                        </a:prstGeom>
                        <a:solidFill>
                          <a:prstClr val="white"/>
                        </a:solidFill>
                        <a:ln>
                          <a:noFill/>
                        </a:ln>
                        <a:effectLst/>
                      </wps:spPr>
                      <wps:txbx>
                        <w:txbxContent>
                          <w:p w14:paraId="48CA33D4" w14:textId="20B98297" w:rsidR="0050552F" w:rsidRPr="00304120" w:rsidRDefault="0050552F" w:rsidP="00DA307F">
                            <w:pPr>
                              <w:pStyle w:val="TtulodeTDC"/>
                              <w:rPr>
                                <w:i w:val="0"/>
                              </w:rPr>
                            </w:pPr>
                            <w:bookmarkStart w:id="80" w:name="_Toc445633186"/>
                            <w:r w:rsidRPr="00304120">
                              <w:rPr>
                                <w:i w:val="0"/>
                              </w:rPr>
                              <w:t xml:space="preserve">Anexo No. </w:t>
                            </w:r>
                            <w:r w:rsidRPr="00304120">
                              <w:rPr>
                                <w:i w:val="0"/>
                              </w:rPr>
                              <w:fldChar w:fldCharType="begin"/>
                            </w:r>
                            <w:r w:rsidRPr="00304120">
                              <w:rPr>
                                <w:i w:val="0"/>
                              </w:rPr>
                              <w:instrText xml:space="preserve"> SEQ Anexo_No. \* ARABIC </w:instrText>
                            </w:r>
                            <w:r w:rsidRPr="00304120">
                              <w:rPr>
                                <w:i w:val="0"/>
                              </w:rPr>
                              <w:fldChar w:fldCharType="separate"/>
                            </w:r>
                            <w:r w:rsidR="00B828B8">
                              <w:rPr>
                                <w:i w:val="0"/>
                                <w:noProof/>
                              </w:rPr>
                              <w:t>1</w:t>
                            </w:r>
                            <w:r w:rsidRPr="00304120">
                              <w:rPr>
                                <w:i w:val="0"/>
                                <w:noProof/>
                              </w:rPr>
                              <w:fldChar w:fldCharType="end"/>
                            </w:r>
                            <w:r w:rsidRPr="00304120">
                              <w:rPr>
                                <w:i w:val="0"/>
                              </w:rPr>
                              <w:t>. Estado de Resultados de la Empresa Quinoa Foods 2012-2014</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64328A" id="Cuadro de texto 3" o:spid="_x0000_s1030" type="#_x0000_t202" style="position:absolute;left:0;text-align:left;margin-left:-25.15pt;margin-top:34.95pt;width:708.8pt;height:34.5pt;z-index:2516572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hshPQIAAHwEAAAOAAAAZHJzL2Uyb0RvYy54bWysVE1v2zAMvQ/YfxB0X+wkW9cZcYosRYYB&#10;RVsgHXpWZDkWIIsapcTOfv0oOU63bqdhF5kiKX68R3px07eGHRV6Dbbk00nOmbISKm33Jf/2tHl3&#10;zZkPwlbCgFUlPynPb5Zv3yw6V6gZNGAqhYyCWF90ruRNCK7IMi8b1Qo/AacsGWvAVgS64j6rUHQU&#10;vTXZLM+vsg6wcghSeU/a28HIlyl+XSsZHuraq8BMyam2kE5M5y6e2XIhij0K12h5LkP8QxWt0JaS&#10;XkLdiiDYAfUfoVotETzUYSKhzaCutVSpB+pmmr/qZtsIp1IvBI53F5j8/wsr74+PyHRV8jlnVrRE&#10;0fogKgRWKRZUH4DNI0id8wX5bh15h/4z9ET2qPekjL33NbbxS10xshPcpwvEFIlJUn7K8+nHKzJJ&#10;sr2fX08/JA6yl9cOffiioGVRKDkShQlZcbzzgSoh19ElJvNgdLXRxsRLNKwNsqMgurtGBxVrpBe/&#10;eRkbfS3EV4N50Kg0L+csseGhsSiFftcnlGZj0zuoToQFwjBS3smNpux3wodHgTRD1CPtRXigozbQ&#10;lRzOEmcN4I+/6aM/UUtWzjqayZL77weBijPz1RLpcYBHAUdhNwr20K6B+p7SxjmZRHqAwYxijdA+&#10;07qsYhYyCSspV8nDKK7DsBm0blKtVsmJxtSJcGe3TsbQI8pP/bNAd+Yozsk9jNMqildUDb4D5qtD&#10;gFonHiOuA4pEUbzQiCeyzusYd+jXe/J6+WksfwIAAP//AwBQSwMEFAAGAAgAAAAhABSD8gXfAAAA&#10;CwEAAA8AAABkcnMvZG93bnJldi54bWxMj01Pg0AQhu8m/ofNmHgx7WIbsSBLo63e6qG16XnLjkBk&#10;Zwm7FPrvHU56m48n7zyTrUfbiAt2vnak4HEegUAqnKmpVHD8+pitQPigyejGESq4ood1fnuT6dS4&#10;gfZ4OYRScAj5VCuoQmhTKX1RodV+7lok3n27zurAbVdK0+mBw20jF1EUS6tr4guVbnFTYfFz6K2C&#10;eNv1w542D9vj+05/tuXi9HY9KXV/N76+gAg4hj8YJn1Wh5ydzq4n40WjYPYULRnlsCQBMQHL+Jkn&#10;56laJSDzTP7/If8FAAD//wMAUEsBAi0AFAAGAAgAAAAhALaDOJL+AAAA4QEAABMAAAAAAAAAAAAA&#10;AAAAAAAAAFtDb250ZW50X1R5cGVzXS54bWxQSwECLQAUAAYACAAAACEAOP0h/9YAAACUAQAACwAA&#10;AAAAAAAAAAAAAAAvAQAAX3JlbHMvLnJlbHNQSwECLQAUAAYACAAAACEA63obIT0CAAB8BAAADgAA&#10;AAAAAAAAAAAAAAAuAgAAZHJzL2Uyb0RvYy54bWxQSwECLQAUAAYACAAAACEAFIPyBd8AAAALAQAA&#10;DwAAAAAAAAAAAAAAAACXBAAAZHJzL2Rvd25yZXYueG1sUEsFBgAAAAAEAAQA8wAAAKMFAAAAAA==&#10;" stroked="f">
                <v:textbox inset="0,0,0,0">
                  <w:txbxContent>
                    <w:p w14:paraId="48CA33D4" w14:textId="20B98297" w:rsidR="0050552F" w:rsidRPr="00304120" w:rsidRDefault="0050552F" w:rsidP="00DA307F">
                      <w:pPr>
                        <w:pStyle w:val="TtulodeTDC"/>
                        <w:rPr>
                          <w:i w:val="0"/>
                        </w:rPr>
                      </w:pPr>
                      <w:bookmarkStart w:id="81" w:name="_Toc445633186"/>
                      <w:r w:rsidRPr="00304120">
                        <w:rPr>
                          <w:i w:val="0"/>
                        </w:rPr>
                        <w:t xml:space="preserve">Anexo No. </w:t>
                      </w:r>
                      <w:r w:rsidRPr="00304120">
                        <w:rPr>
                          <w:i w:val="0"/>
                        </w:rPr>
                        <w:fldChar w:fldCharType="begin"/>
                      </w:r>
                      <w:r w:rsidRPr="00304120">
                        <w:rPr>
                          <w:i w:val="0"/>
                        </w:rPr>
                        <w:instrText xml:space="preserve"> SEQ Anexo_No. \* ARABIC </w:instrText>
                      </w:r>
                      <w:r w:rsidRPr="00304120">
                        <w:rPr>
                          <w:i w:val="0"/>
                        </w:rPr>
                        <w:fldChar w:fldCharType="separate"/>
                      </w:r>
                      <w:r w:rsidR="00B828B8">
                        <w:rPr>
                          <w:i w:val="0"/>
                          <w:noProof/>
                        </w:rPr>
                        <w:t>1</w:t>
                      </w:r>
                      <w:r w:rsidRPr="00304120">
                        <w:rPr>
                          <w:i w:val="0"/>
                          <w:noProof/>
                        </w:rPr>
                        <w:fldChar w:fldCharType="end"/>
                      </w:r>
                      <w:r w:rsidRPr="00304120">
                        <w:rPr>
                          <w:i w:val="0"/>
                        </w:rPr>
                        <w:t>. Estado de Resultados de la Empresa Quinoa Foods 2012-2014</w:t>
                      </w:r>
                      <w:bookmarkEnd w:id="81"/>
                    </w:p>
                  </w:txbxContent>
                </v:textbox>
                <w10:wrap type="square" anchorx="margin"/>
              </v:shape>
            </w:pict>
          </mc:Fallback>
        </mc:AlternateContent>
      </w:r>
      <w:r>
        <w:t>ANEXOS</w:t>
      </w:r>
      <w:bookmarkEnd w:id="79"/>
    </w:p>
    <w:p w14:paraId="620735FA" w14:textId="3A69D801" w:rsidR="00440391" w:rsidRPr="00F61885" w:rsidRDefault="00753215" w:rsidP="00304120">
      <w:pPr>
        <w:rPr>
          <w:sz w:val="18"/>
          <w:szCs w:val="18"/>
        </w:rPr>
        <w:sectPr w:rsidR="00440391" w:rsidRPr="00F61885" w:rsidSect="00DA307F">
          <w:footerReference w:type="first" r:id="rId23"/>
          <w:pgSz w:w="15840" w:h="12240" w:orient="landscape"/>
          <w:pgMar w:top="1701" w:right="1418" w:bottom="1418" w:left="1418" w:header="709" w:footer="709" w:gutter="0"/>
          <w:cols w:space="708"/>
          <w:titlePg/>
          <w:docGrid w:linePitch="360"/>
        </w:sectPr>
      </w:pPr>
      <w:r>
        <w:t xml:space="preserve">         </w:t>
      </w:r>
      <w:r w:rsidR="005A1309" w:rsidRPr="00F61885">
        <w:rPr>
          <w:sz w:val="18"/>
          <w:szCs w:val="18"/>
        </w:rPr>
        <w:t xml:space="preserve">Fuente:    </w:t>
      </w:r>
      <w:sdt>
        <w:sdtPr>
          <w:rPr>
            <w:sz w:val="18"/>
            <w:szCs w:val="18"/>
          </w:rPr>
          <w:id w:val="-1398429306"/>
          <w:citation/>
        </w:sdtPr>
        <w:sdtEndPr/>
        <w:sdtContent>
          <w:r w:rsidR="005A1309" w:rsidRPr="00F61885">
            <w:rPr>
              <w:sz w:val="18"/>
              <w:szCs w:val="18"/>
            </w:rPr>
            <w:fldChar w:fldCharType="begin"/>
          </w:r>
          <w:r w:rsidR="005A1309" w:rsidRPr="00F61885">
            <w:rPr>
              <w:sz w:val="18"/>
              <w:szCs w:val="18"/>
            </w:rPr>
            <w:instrText xml:space="preserve"> CITATION ASF15 \l 12298 </w:instrText>
          </w:r>
          <w:r w:rsidR="005A1309" w:rsidRPr="00F61885">
            <w:rPr>
              <w:sz w:val="18"/>
              <w:szCs w:val="18"/>
            </w:rPr>
            <w:fldChar w:fldCharType="separate"/>
          </w:r>
          <w:r w:rsidR="00BC1846" w:rsidRPr="00F61885">
            <w:rPr>
              <w:noProof/>
              <w:sz w:val="18"/>
              <w:szCs w:val="18"/>
            </w:rPr>
            <w:t>(ASFI, 2015)</w:t>
          </w:r>
          <w:r w:rsidR="005A1309" w:rsidRPr="00F61885">
            <w:rPr>
              <w:sz w:val="18"/>
              <w:szCs w:val="18"/>
            </w:rPr>
            <w:fldChar w:fldCharType="end"/>
          </w:r>
        </w:sdtContent>
      </w:sdt>
    </w:p>
    <w:p w14:paraId="49AEA271" w14:textId="77777777" w:rsidR="00440391" w:rsidRDefault="00DA307F" w:rsidP="00DA307F">
      <w:pPr>
        <w:jc w:val="center"/>
      </w:pPr>
      <w:r>
        <w:rPr>
          <w:noProof/>
          <w:lang w:eastAsia="es-EC"/>
        </w:rPr>
        <w:lastRenderedPageBreak/>
        <w:drawing>
          <wp:inline distT="0" distB="0" distL="0" distR="0" wp14:anchorId="3AF408A7" wp14:editId="3EFCBF4B">
            <wp:extent cx="8105775" cy="437197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8105775" cy="4371975"/>
                    </a:xfrm>
                    <a:prstGeom prst="rect">
                      <a:avLst/>
                    </a:prstGeom>
                  </pic:spPr>
                </pic:pic>
              </a:graphicData>
            </a:graphic>
          </wp:inline>
        </w:drawing>
      </w:r>
      <w:r>
        <w:rPr>
          <w:noProof/>
          <w:lang w:eastAsia="es-EC"/>
        </w:rPr>
        <mc:AlternateContent>
          <mc:Choice Requires="wps">
            <w:drawing>
              <wp:anchor distT="0" distB="0" distL="114300" distR="114300" simplePos="0" relativeHeight="251658240" behindDoc="0" locked="0" layoutInCell="1" allowOverlap="1" wp14:anchorId="014364CF" wp14:editId="117F1465">
                <wp:simplePos x="0" y="0"/>
                <wp:positionH relativeFrom="margin">
                  <wp:posOffset>4445</wp:posOffset>
                </wp:positionH>
                <wp:positionV relativeFrom="paragraph">
                  <wp:posOffset>14605</wp:posOffset>
                </wp:positionV>
                <wp:extent cx="8257540" cy="405765"/>
                <wp:effectExtent l="0" t="0" r="0" b="0"/>
                <wp:wrapSquare wrapText="bothSides"/>
                <wp:docPr id="10" name="Cuadro de texto 10"/>
                <wp:cNvGraphicFramePr/>
                <a:graphic xmlns:a="http://schemas.openxmlformats.org/drawingml/2006/main">
                  <a:graphicData uri="http://schemas.microsoft.com/office/word/2010/wordprocessingShape">
                    <wps:wsp>
                      <wps:cNvSpPr txBox="1"/>
                      <wps:spPr>
                        <a:xfrm>
                          <a:off x="0" y="0"/>
                          <a:ext cx="8257540" cy="405765"/>
                        </a:xfrm>
                        <a:prstGeom prst="rect">
                          <a:avLst/>
                        </a:prstGeom>
                        <a:solidFill>
                          <a:prstClr val="white"/>
                        </a:solidFill>
                        <a:ln>
                          <a:noFill/>
                        </a:ln>
                        <a:effectLst/>
                      </wps:spPr>
                      <wps:txbx>
                        <w:txbxContent>
                          <w:p w14:paraId="1379E8AB" w14:textId="77777777" w:rsidR="0050552F" w:rsidRPr="00304120" w:rsidRDefault="0050552F" w:rsidP="00DA307F">
                            <w:pPr>
                              <w:pStyle w:val="TtulodeTDC"/>
                              <w:rPr>
                                <w:i w:val="0"/>
                              </w:rPr>
                            </w:pPr>
                            <w:bookmarkStart w:id="82" w:name="_Toc445633187"/>
                            <w:r w:rsidRPr="00304120">
                              <w:rPr>
                                <w:i w:val="0"/>
                              </w:rPr>
                              <w:t xml:space="preserve">Anexo No. </w:t>
                            </w:r>
                            <w:r w:rsidRPr="00304120">
                              <w:rPr>
                                <w:i w:val="0"/>
                              </w:rPr>
                              <w:fldChar w:fldCharType="begin"/>
                            </w:r>
                            <w:r w:rsidRPr="00304120">
                              <w:rPr>
                                <w:i w:val="0"/>
                              </w:rPr>
                              <w:instrText xml:space="preserve"> SEQ Anexo_No. \* ARABIC </w:instrText>
                            </w:r>
                            <w:r w:rsidRPr="00304120">
                              <w:rPr>
                                <w:i w:val="0"/>
                              </w:rPr>
                              <w:fldChar w:fldCharType="separate"/>
                            </w:r>
                            <w:r w:rsidR="00B828B8">
                              <w:rPr>
                                <w:i w:val="0"/>
                                <w:noProof/>
                              </w:rPr>
                              <w:t>2</w:t>
                            </w:r>
                            <w:r w:rsidRPr="00304120">
                              <w:rPr>
                                <w:i w:val="0"/>
                                <w:noProof/>
                              </w:rPr>
                              <w:fldChar w:fldCharType="end"/>
                            </w:r>
                            <w:r w:rsidRPr="00304120">
                              <w:rPr>
                                <w:i w:val="0"/>
                              </w:rPr>
                              <w:t>: Balance General de la Empresa Quinoa Foods 2012-2014</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4364CF" id="Cuadro de texto 10" o:spid="_x0000_s1031" type="#_x0000_t202" style="position:absolute;left:0;text-align:left;margin-left:.35pt;margin-top:1.15pt;width:650.2pt;height:31.95pt;z-index:2516582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BXVOwIAAH4EAAAOAAAAZHJzL2Uyb0RvYy54bWysVMFu2zAMvQ/YPwi6L06ypi2MOEWWIsOA&#10;oC2QDj0rshwLkEWNUmJnXz9KjtOu22nYRaFI6tHvkcz8rmsMOyr0GmzBJ6MxZ8pKKLXdF/z78/rT&#10;LWc+CFsKA1YV/KQ8v1t8/DBvXa6mUIMpFTICsT5vXcHrEFyeZV7WqhF+BE5ZClaAjQh0xX1WomgJ&#10;vTHZdDy+zlrA0iFI5T157/sgXyT8qlIyPFaVV4GZgtO3hXRiOnfxzBZzke9RuFrL82eIf/iKRmhL&#10;RS9Q9yIIdkD9B1SjJYKHKowkNBlUlZYqcSA2k/E7NttaOJW4kDjeXWTy/w9WPhyfkOmSekfyWNFQ&#10;j1YHUSKwUrGgugCMIiRT63xO2VtH+aH7Ah09GfyenJF9V2ETf4kXozghni4iExST5Lydzm5mVxSS&#10;FLsaz26uZxEme33t0IevChoWjYIjNTFpK44bH/rUISUW82B0udbGxEsMrAyyo6CGt7UO6gz+W5ax&#10;MddCfNUD9h6VJuZcJRLuiUUrdLsu6fR5IL2D8kRaIPRD5Z1ca6q+ET48CaQpIo60GeGRjspAW3A4&#10;W5zVgD//5o/51FyKctbSVBbc/zgIVJyZb5baTpBhMHAwdoNhD80KiPeEds7JZNIDDGYwK4TmhRZm&#10;GatQSFhJtQoeBnMV+t2ghZNquUxJNKhOhI3dOhmhB5WfuxeB7tyjOCgPMMyryN+1qs/tNV8eAlQ6&#10;9THq2qtI/Y8XGvI0CeeFjFv09p6yXv82Fr8AAAD//wMAUEsDBBQABgAIAAAAIQAQAFBO2wAAAAYB&#10;AAAPAAAAZHJzL2Rvd25yZXYueG1sTI7BTsMwEETvSPyDtUhcEHWSSgGFOBW0cINDS9XzNl6SiHgd&#10;2U6T/j3uiR5HM3rzytVsenEi5zvLCtJFAoK4trrjRsH+++PxGYQPyBp7y6TgTB5W1e1NiYW2E2/p&#10;tAuNiBD2BSpoQxgKKX3dkkG/sANx7H6sMxhidI3UDqcIN73MkiSXBjuODy0OtG6p/t2NRkG+ceO0&#10;5fXDZv/+iV9Dkx3ezgel7u/m1xcQgebwP4aLflSHKjod7cjai17BU9wpyJYgLuUySVMQx4jOM5BV&#10;Ka/1qz8AAAD//wMAUEsBAi0AFAAGAAgAAAAhALaDOJL+AAAA4QEAABMAAAAAAAAAAAAAAAAAAAAA&#10;AFtDb250ZW50X1R5cGVzXS54bWxQSwECLQAUAAYACAAAACEAOP0h/9YAAACUAQAACwAAAAAAAAAA&#10;AAAAAAAvAQAAX3JlbHMvLnJlbHNQSwECLQAUAAYACAAAACEA5DwV1TsCAAB+BAAADgAAAAAAAAAA&#10;AAAAAAAuAgAAZHJzL2Uyb0RvYy54bWxQSwECLQAUAAYACAAAACEAEABQTtsAAAAGAQAADwAAAAAA&#10;AAAAAAAAAACVBAAAZHJzL2Rvd25yZXYueG1sUEsFBgAAAAAEAAQA8wAAAJ0FAAAAAA==&#10;" stroked="f">
                <v:textbox inset="0,0,0,0">
                  <w:txbxContent>
                    <w:p w14:paraId="1379E8AB" w14:textId="77777777" w:rsidR="0050552F" w:rsidRPr="00304120" w:rsidRDefault="0050552F" w:rsidP="00DA307F">
                      <w:pPr>
                        <w:pStyle w:val="TtulodeTDC"/>
                        <w:rPr>
                          <w:i w:val="0"/>
                        </w:rPr>
                      </w:pPr>
                      <w:bookmarkStart w:id="83" w:name="_Toc445633187"/>
                      <w:r w:rsidRPr="00304120">
                        <w:rPr>
                          <w:i w:val="0"/>
                        </w:rPr>
                        <w:t xml:space="preserve">Anexo No. </w:t>
                      </w:r>
                      <w:r w:rsidRPr="00304120">
                        <w:rPr>
                          <w:i w:val="0"/>
                        </w:rPr>
                        <w:fldChar w:fldCharType="begin"/>
                      </w:r>
                      <w:r w:rsidRPr="00304120">
                        <w:rPr>
                          <w:i w:val="0"/>
                        </w:rPr>
                        <w:instrText xml:space="preserve"> SEQ Anexo_No. \* ARABIC </w:instrText>
                      </w:r>
                      <w:r w:rsidRPr="00304120">
                        <w:rPr>
                          <w:i w:val="0"/>
                        </w:rPr>
                        <w:fldChar w:fldCharType="separate"/>
                      </w:r>
                      <w:r w:rsidR="00B828B8">
                        <w:rPr>
                          <w:i w:val="0"/>
                          <w:noProof/>
                        </w:rPr>
                        <w:t>2</w:t>
                      </w:r>
                      <w:r w:rsidRPr="00304120">
                        <w:rPr>
                          <w:i w:val="0"/>
                          <w:noProof/>
                        </w:rPr>
                        <w:fldChar w:fldCharType="end"/>
                      </w:r>
                      <w:r w:rsidRPr="00304120">
                        <w:rPr>
                          <w:i w:val="0"/>
                        </w:rPr>
                        <w:t>: Balance General de la Empresa Quinoa Foods 2012-2014</w:t>
                      </w:r>
                      <w:bookmarkEnd w:id="83"/>
                    </w:p>
                  </w:txbxContent>
                </v:textbox>
                <w10:wrap type="square" anchorx="margin"/>
              </v:shape>
            </w:pict>
          </mc:Fallback>
        </mc:AlternateContent>
      </w:r>
    </w:p>
    <w:p w14:paraId="4B9AB519" w14:textId="77777777" w:rsidR="00DA307F" w:rsidRDefault="00DA307F">
      <w:pPr>
        <w:spacing w:line="276" w:lineRule="auto"/>
        <w:jc w:val="left"/>
      </w:pPr>
      <w:r>
        <w:br w:type="page"/>
      </w:r>
    </w:p>
    <w:p w14:paraId="09225714" w14:textId="77777777" w:rsidR="00DA307F" w:rsidRDefault="00055BB7" w:rsidP="00DA307F">
      <w:pPr>
        <w:jc w:val="center"/>
      </w:pPr>
      <w:r>
        <w:rPr>
          <w:noProof/>
          <w:lang w:eastAsia="es-EC"/>
        </w:rPr>
        <w:lastRenderedPageBreak/>
        <w:drawing>
          <wp:inline distT="0" distB="0" distL="0" distR="0" wp14:anchorId="533E2D33" wp14:editId="1358DFF3">
            <wp:extent cx="8107200" cy="4236268"/>
            <wp:effectExtent l="0" t="0" r="825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107200" cy="4236268"/>
                    </a:xfrm>
                    <a:prstGeom prst="rect">
                      <a:avLst/>
                    </a:prstGeom>
                  </pic:spPr>
                </pic:pic>
              </a:graphicData>
            </a:graphic>
          </wp:inline>
        </w:drawing>
      </w:r>
    </w:p>
    <w:p w14:paraId="05734953" w14:textId="77777777" w:rsidR="00055BB7" w:rsidRDefault="00055BB7" w:rsidP="00DA307F">
      <w:pPr>
        <w:jc w:val="center"/>
      </w:pPr>
    </w:p>
    <w:p w14:paraId="32D0AB54" w14:textId="77777777" w:rsidR="00055BB7" w:rsidRDefault="00055BB7" w:rsidP="00DA307F">
      <w:pPr>
        <w:jc w:val="center"/>
      </w:pPr>
    </w:p>
    <w:p w14:paraId="0A497582" w14:textId="77777777" w:rsidR="00055BB7" w:rsidRDefault="00055BB7" w:rsidP="00DA307F">
      <w:pPr>
        <w:jc w:val="center"/>
      </w:pPr>
    </w:p>
    <w:p w14:paraId="3F2DB459" w14:textId="77777777" w:rsidR="00055BB7" w:rsidRDefault="00055BB7" w:rsidP="00DA307F">
      <w:pPr>
        <w:jc w:val="center"/>
      </w:pPr>
      <w:r>
        <w:rPr>
          <w:noProof/>
          <w:lang w:eastAsia="es-EC"/>
        </w:rPr>
        <w:lastRenderedPageBreak/>
        <w:drawing>
          <wp:inline distT="0" distB="0" distL="0" distR="0" wp14:anchorId="539423F9" wp14:editId="7534F839">
            <wp:extent cx="8107200" cy="2152111"/>
            <wp:effectExtent l="0" t="0" r="8255" b="63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107200" cy="2152111"/>
                    </a:xfrm>
                    <a:prstGeom prst="rect">
                      <a:avLst/>
                    </a:prstGeom>
                  </pic:spPr>
                </pic:pic>
              </a:graphicData>
            </a:graphic>
          </wp:inline>
        </w:drawing>
      </w:r>
    </w:p>
    <w:p w14:paraId="576C960B" w14:textId="0E711B00" w:rsidR="00DA307F" w:rsidRPr="00F61885" w:rsidRDefault="00753215" w:rsidP="00E45EFB">
      <w:pPr>
        <w:rPr>
          <w:sz w:val="18"/>
          <w:szCs w:val="18"/>
        </w:rPr>
      </w:pPr>
      <w:r>
        <w:t xml:space="preserve">     </w:t>
      </w:r>
      <w:r w:rsidR="008671E3" w:rsidRPr="00F61885">
        <w:rPr>
          <w:sz w:val="18"/>
          <w:szCs w:val="18"/>
        </w:rPr>
        <w:t xml:space="preserve">Fuente: </w:t>
      </w:r>
      <w:sdt>
        <w:sdtPr>
          <w:rPr>
            <w:sz w:val="18"/>
            <w:szCs w:val="18"/>
          </w:rPr>
          <w:id w:val="-598406896"/>
          <w:citation/>
        </w:sdtPr>
        <w:sdtEndPr/>
        <w:sdtContent>
          <w:r w:rsidR="008671E3" w:rsidRPr="00F61885">
            <w:rPr>
              <w:sz w:val="18"/>
              <w:szCs w:val="18"/>
            </w:rPr>
            <w:fldChar w:fldCharType="begin"/>
          </w:r>
          <w:r w:rsidR="008671E3" w:rsidRPr="00F61885">
            <w:rPr>
              <w:sz w:val="18"/>
              <w:szCs w:val="18"/>
            </w:rPr>
            <w:instrText xml:space="preserve"> CITATION ASF15 \l 12298 </w:instrText>
          </w:r>
          <w:r w:rsidR="008671E3" w:rsidRPr="00F61885">
            <w:rPr>
              <w:sz w:val="18"/>
              <w:szCs w:val="18"/>
            </w:rPr>
            <w:fldChar w:fldCharType="separate"/>
          </w:r>
          <w:r w:rsidR="00BC1846" w:rsidRPr="00F61885">
            <w:rPr>
              <w:noProof/>
              <w:sz w:val="18"/>
              <w:szCs w:val="18"/>
            </w:rPr>
            <w:t>(ASFI, 2015)</w:t>
          </w:r>
          <w:r w:rsidR="008671E3" w:rsidRPr="00F61885">
            <w:rPr>
              <w:sz w:val="18"/>
              <w:szCs w:val="18"/>
            </w:rPr>
            <w:fldChar w:fldCharType="end"/>
          </w:r>
        </w:sdtContent>
      </w:sdt>
    </w:p>
    <w:p w14:paraId="7BC50A6B" w14:textId="77777777" w:rsidR="00BC1846" w:rsidRPr="00055BB7" w:rsidRDefault="00BC1846" w:rsidP="00055BB7">
      <w:pPr>
        <w:sectPr w:rsidR="00BC1846" w:rsidRPr="00055BB7" w:rsidSect="00DA307F">
          <w:pgSz w:w="15840" w:h="12240" w:orient="landscape"/>
          <w:pgMar w:top="1701" w:right="1418" w:bottom="1418" w:left="1418" w:header="709" w:footer="709" w:gutter="0"/>
          <w:cols w:space="708"/>
          <w:titlePg/>
          <w:docGrid w:linePitch="360"/>
        </w:sectPr>
      </w:pPr>
    </w:p>
    <w:p w14:paraId="512DB6B0" w14:textId="77777777" w:rsidR="00DA307F" w:rsidRPr="00304120" w:rsidRDefault="00DA307F" w:rsidP="00DA307F">
      <w:pPr>
        <w:pStyle w:val="TtulodeTDC"/>
        <w:rPr>
          <w:rFonts w:cs="Times New Roman"/>
          <w:i w:val="0"/>
        </w:rPr>
      </w:pPr>
      <w:bookmarkStart w:id="84" w:name="_Toc445633188"/>
      <w:r w:rsidRPr="00304120">
        <w:rPr>
          <w:i w:val="0"/>
        </w:rPr>
        <w:lastRenderedPageBreak/>
        <w:t xml:space="preserve">Anexo No. </w:t>
      </w:r>
      <w:r w:rsidR="00CB1C2A" w:rsidRPr="00304120">
        <w:rPr>
          <w:i w:val="0"/>
        </w:rPr>
        <w:fldChar w:fldCharType="begin"/>
      </w:r>
      <w:r w:rsidR="00CB1C2A" w:rsidRPr="00304120">
        <w:rPr>
          <w:i w:val="0"/>
        </w:rPr>
        <w:instrText xml:space="preserve"> SEQ Anexo_No. \* ARABIC </w:instrText>
      </w:r>
      <w:r w:rsidR="00CB1C2A" w:rsidRPr="00304120">
        <w:rPr>
          <w:i w:val="0"/>
        </w:rPr>
        <w:fldChar w:fldCharType="separate"/>
      </w:r>
      <w:r w:rsidR="00B828B8">
        <w:rPr>
          <w:i w:val="0"/>
          <w:noProof/>
        </w:rPr>
        <w:t>3</w:t>
      </w:r>
      <w:r w:rsidR="00CB1C2A" w:rsidRPr="00304120">
        <w:rPr>
          <w:i w:val="0"/>
          <w:noProof/>
        </w:rPr>
        <w:fldChar w:fldCharType="end"/>
      </w:r>
      <w:r w:rsidRPr="00304120">
        <w:rPr>
          <w:i w:val="0"/>
        </w:rPr>
        <w:t>: Balance General de la Empresa Cereales Andinos 2012-2014</w:t>
      </w:r>
      <w:bookmarkEnd w:id="84"/>
    </w:p>
    <w:tbl>
      <w:tblPr>
        <w:tblW w:w="8222" w:type="dxa"/>
        <w:jc w:val="center"/>
        <w:tblCellMar>
          <w:left w:w="70" w:type="dxa"/>
          <w:right w:w="70" w:type="dxa"/>
        </w:tblCellMar>
        <w:tblLook w:val="04A0" w:firstRow="1" w:lastRow="0" w:firstColumn="1" w:lastColumn="0" w:noHBand="0" w:noVBand="1"/>
      </w:tblPr>
      <w:tblGrid>
        <w:gridCol w:w="4395"/>
        <w:gridCol w:w="1275"/>
        <w:gridCol w:w="1276"/>
        <w:gridCol w:w="1276"/>
      </w:tblGrid>
      <w:tr w:rsidR="00BC1846" w:rsidRPr="00BC1846" w14:paraId="0B5B7AD6" w14:textId="77777777" w:rsidTr="00DA307F">
        <w:trPr>
          <w:trHeight w:val="330"/>
          <w:jc w:val="center"/>
        </w:trPr>
        <w:tc>
          <w:tcPr>
            <w:tcW w:w="4395" w:type="dxa"/>
            <w:tcBorders>
              <w:top w:val="single" w:sz="12" w:space="0" w:color="auto"/>
              <w:left w:val="nil"/>
              <w:bottom w:val="single" w:sz="12" w:space="0" w:color="auto"/>
              <w:right w:val="nil"/>
            </w:tcBorders>
            <w:shd w:val="clear" w:color="auto" w:fill="auto"/>
            <w:noWrap/>
            <w:vAlign w:val="bottom"/>
            <w:hideMark/>
          </w:tcPr>
          <w:p w14:paraId="61C655A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w:t>
            </w:r>
          </w:p>
        </w:tc>
        <w:tc>
          <w:tcPr>
            <w:tcW w:w="1275" w:type="dxa"/>
            <w:tcBorders>
              <w:top w:val="single" w:sz="12" w:space="0" w:color="auto"/>
              <w:left w:val="nil"/>
              <w:bottom w:val="single" w:sz="12" w:space="0" w:color="auto"/>
              <w:right w:val="nil"/>
            </w:tcBorders>
            <w:shd w:val="clear" w:color="auto" w:fill="auto"/>
            <w:noWrap/>
            <w:vAlign w:val="bottom"/>
            <w:hideMark/>
          </w:tcPr>
          <w:p w14:paraId="10D1C297"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2012</w:t>
            </w:r>
          </w:p>
        </w:tc>
        <w:tc>
          <w:tcPr>
            <w:tcW w:w="1276" w:type="dxa"/>
            <w:tcBorders>
              <w:top w:val="single" w:sz="12" w:space="0" w:color="auto"/>
              <w:left w:val="nil"/>
              <w:bottom w:val="single" w:sz="12" w:space="0" w:color="auto"/>
              <w:right w:val="nil"/>
            </w:tcBorders>
            <w:shd w:val="clear" w:color="auto" w:fill="auto"/>
            <w:noWrap/>
            <w:vAlign w:val="bottom"/>
            <w:hideMark/>
          </w:tcPr>
          <w:p w14:paraId="5A22CE2E"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2013</w:t>
            </w:r>
          </w:p>
        </w:tc>
        <w:tc>
          <w:tcPr>
            <w:tcW w:w="1276" w:type="dxa"/>
            <w:tcBorders>
              <w:top w:val="single" w:sz="12" w:space="0" w:color="auto"/>
              <w:left w:val="nil"/>
              <w:bottom w:val="single" w:sz="12" w:space="0" w:color="auto"/>
              <w:right w:val="nil"/>
            </w:tcBorders>
            <w:shd w:val="clear" w:color="auto" w:fill="auto"/>
            <w:noWrap/>
            <w:vAlign w:val="bottom"/>
            <w:hideMark/>
          </w:tcPr>
          <w:p w14:paraId="044CA4D0"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2014</w:t>
            </w:r>
          </w:p>
        </w:tc>
      </w:tr>
      <w:tr w:rsidR="00BC1846" w:rsidRPr="00BC1846" w14:paraId="2DD7FB89" w14:textId="77777777" w:rsidTr="00DA307F">
        <w:trPr>
          <w:trHeight w:val="315"/>
          <w:jc w:val="center"/>
        </w:trPr>
        <w:tc>
          <w:tcPr>
            <w:tcW w:w="4395" w:type="dxa"/>
            <w:tcBorders>
              <w:top w:val="single" w:sz="12" w:space="0" w:color="auto"/>
              <w:left w:val="nil"/>
              <w:bottom w:val="nil"/>
              <w:right w:val="nil"/>
            </w:tcBorders>
            <w:shd w:val="clear" w:color="auto" w:fill="auto"/>
            <w:noWrap/>
            <w:vAlign w:val="bottom"/>
            <w:hideMark/>
          </w:tcPr>
          <w:p w14:paraId="4F840ADB"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ACTIVO</w:t>
            </w:r>
          </w:p>
        </w:tc>
        <w:tc>
          <w:tcPr>
            <w:tcW w:w="1275" w:type="dxa"/>
            <w:tcBorders>
              <w:top w:val="single" w:sz="12" w:space="0" w:color="auto"/>
              <w:left w:val="nil"/>
              <w:bottom w:val="nil"/>
              <w:right w:val="nil"/>
            </w:tcBorders>
            <w:shd w:val="clear" w:color="auto" w:fill="auto"/>
            <w:noWrap/>
            <w:vAlign w:val="bottom"/>
            <w:hideMark/>
          </w:tcPr>
          <w:p w14:paraId="17A1465B"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single" w:sz="12" w:space="0" w:color="auto"/>
              <w:left w:val="nil"/>
              <w:bottom w:val="nil"/>
              <w:right w:val="nil"/>
            </w:tcBorders>
            <w:shd w:val="clear" w:color="auto" w:fill="auto"/>
            <w:noWrap/>
            <w:vAlign w:val="bottom"/>
            <w:hideMark/>
          </w:tcPr>
          <w:p w14:paraId="2114DFE3"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single" w:sz="12" w:space="0" w:color="auto"/>
              <w:left w:val="nil"/>
              <w:bottom w:val="nil"/>
              <w:right w:val="nil"/>
            </w:tcBorders>
            <w:shd w:val="clear" w:color="auto" w:fill="auto"/>
            <w:noWrap/>
            <w:vAlign w:val="bottom"/>
            <w:hideMark/>
          </w:tcPr>
          <w:p w14:paraId="38DDBE3D"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34242094"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1D97449"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Activo Corriente</w:t>
            </w:r>
          </w:p>
        </w:tc>
        <w:tc>
          <w:tcPr>
            <w:tcW w:w="1275" w:type="dxa"/>
            <w:tcBorders>
              <w:top w:val="nil"/>
              <w:left w:val="nil"/>
              <w:bottom w:val="nil"/>
              <w:right w:val="nil"/>
            </w:tcBorders>
            <w:shd w:val="clear" w:color="auto" w:fill="auto"/>
            <w:noWrap/>
            <w:vAlign w:val="bottom"/>
            <w:hideMark/>
          </w:tcPr>
          <w:p w14:paraId="1E4EF33B"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55D5E8B0"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0A4C8201"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485EA524"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69029AC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Caja</w:t>
            </w:r>
          </w:p>
        </w:tc>
        <w:tc>
          <w:tcPr>
            <w:tcW w:w="1275" w:type="dxa"/>
            <w:tcBorders>
              <w:top w:val="nil"/>
              <w:left w:val="nil"/>
              <w:bottom w:val="nil"/>
              <w:right w:val="nil"/>
            </w:tcBorders>
            <w:shd w:val="clear" w:color="auto" w:fill="auto"/>
            <w:noWrap/>
            <w:vAlign w:val="bottom"/>
            <w:hideMark/>
          </w:tcPr>
          <w:p w14:paraId="23F92D19"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2943D94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39 </w:t>
            </w:r>
          </w:p>
        </w:tc>
        <w:tc>
          <w:tcPr>
            <w:tcW w:w="1276" w:type="dxa"/>
            <w:tcBorders>
              <w:top w:val="nil"/>
              <w:left w:val="nil"/>
              <w:bottom w:val="nil"/>
              <w:right w:val="nil"/>
            </w:tcBorders>
            <w:shd w:val="clear" w:color="auto" w:fill="auto"/>
            <w:noWrap/>
            <w:vAlign w:val="bottom"/>
            <w:hideMark/>
          </w:tcPr>
          <w:p w14:paraId="2AF306F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69.714 </w:t>
            </w:r>
          </w:p>
        </w:tc>
      </w:tr>
      <w:tr w:rsidR="00BC1846" w:rsidRPr="00BC1846" w14:paraId="5B9551B7"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71F2427F"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Cuentas por Cobrar </w:t>
            </w:r>
          </w:p>
        </w:tc>
        <w:tc>
          <w:tcPr>
            <w:tcW w:w="1275" w:type="dxa"/>
            <w:tcBorders>
              <w:top w:val="nil"/>
              <w:left w:val="nil"/>
              <w:bottom w:val="nil"/>
              <w:right w:val="nil"/>
            </w:tcBorders>
            <w:shd w:val="clear" w:color="auto" w:fill="auto"/>
            <w:noWrap/>
            <w:vAlign w:val="bottom"/>
            <w:hideMark/>
          </w:tcPr>
          <w:p w14:paraId="75EDFBF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17.477 </w:t>
            </w:r>
          </w:p>
        </w:tc>
        <w:tc>
          <w:tcPr>
            <w:tcW w:w="1276" w:type="dxa"/>
            <w:tcBorders>
              <w:top w:val="nil"/>
              <w:left w:val="nil"/>
              <w:bottom w:val="nil"/>
              <w:right w:val="nil"/>
            </w:tcBorders>
            <w:shd w:val="clear" w:color="auto" w:fill="auto"/>
            <w:noWrap/>
            <w:vAlign w:val="bottom"/>
            <w:hideMark/>
          </w:tcPr>
          <w:p w14:paraId="45E8406B"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51.518 </w:t>
            </w:r>
          </w:p>
        </w:tc>
        <w:tc>
          <w:tcPr>
            <w:tcW w:w="1276" w:type="dxa"/>
            <w:tcBorders>
              <w:top w:val="nil"/>
              <w:left w:val="nil"/>
              <w:bottom w:val="nil"/>
              <w:right w:val="nil"/>
            </w:tcBorders>
            <w:shd w:val="clear" w:color="auto" w:fill="auto"/>
            <w:noWrap/>
            <w:vAlign w:val="bottom"/>
            <w:hideMark/>
          </w:tcPr>
          <w:p w14:paraId="79FC354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42.755 </w:t>
            </w:r>
          </w:p>
        </w:tc>
      </w:tr>
      <w:tr w:rsidR="00BC1846" w:rsidRPr="00BC1846" w14:paraId="4B902110"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0A6CC0CF"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Inventarios</w:t>
            </w:r>
          </w:p>
        </w:tc>
        <w:tc>
          <w:tcPr>
            <w:tcW w:w="1275" w:type="dxa"/>
            <w:tcBorders>
              <w:top w:val="nil"/>
              <w:left w:val="nil"/>
              <w:bottom w:val="nil"/>
              <w:right w:val="nil"/>
            </w:tcBorders>
            <w:shd w:val="clear" w:color="auto" w:fill="auto"/>
            <w:noWrap/>
            <w:vAlign w:val="bottom"/>
            <w:hideMark/>
          </w:tcPr>
          <w:p w14:paraId="092D8B30"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90.849 </w:t>
            </w:r>
          </w:p>
        </w:tc>
        <w:tc>
          <w:tcPr>
            <w:tcW w:w="1276" w:type="dxa"/>
            <w:tcBorders>
              <w:top w:val="nil"/>
              <w:left w:val="nil"/>
              <w:bottom w:val="nil"/>
              <w:right w:val="nil"/>
            </w:tcBorders>
            <w:shd w:val="clear" w:color="auto" w:fill="auto"/>
            <w:noWrap/>
            <w:vAlign w:val="bottom"/>
            <w:hideMark/>
          </w:tcPr>
          <w:p w14:paraId="33415694"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98.616 </w:t>
            </w:r>
          </w:p>
        </w:tc>
        <w:tc>
          <w:tcPr>
            <w:tcW w:w="1276" w:type="dxa"/>
            <w:tcBorders>
              <w:top w:val="nil"/>
              <w:left w:val="nil"/>
              <w:bottom w:val="nil"/>
              <w:right w:val="nil"/>
            </w:tcBorders>
            <w:shd w:val="clear" w:color="auto" w:fill="auto"/>
            <w:noWrap/>
            <w:vAlign w:val="bottom"/>
            <w:hideMark/>
          </w:tcPr>
          <w:p w14:paraId="6CA330B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39.551 </w:t>
            </w:r>
          </w:p>
        </w:tc>
      </w:tr>
      <w:tr w:rsidR="00BC1846" w:rsidRPr="00BC1846" w14:paraId="5D6A0470"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73513B26"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Activos por Impuestos Corrientes</w:t>
            </w:r>
          </w:p>
        </w:tc>
        <w:tc>
          <w:tcPr>
            <w:tcW w:w="1275" w:type="dxa"/>
            <w:tcBorders>
              <w:top w:val="nil"/>
              <w:left w:val="nil"/>
              <w:bottom w:val="nil"/>
              <w:right w:val="nil"/>
            </w:tcBorders>
            <w:shd w:val="clear" w:color="auto" w:fill="auto"/>
            <w:noWrap/>
            <w:vAlign w:val="bottom"/>
            <w:hideMark/>
          </w:tcPr>
          <w:p w14:paraId="0E5726EE"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17.084 </w:t>
            </w:r>
          </w:p>
        </w:tc>
        <w:tc>
          <w:tcPr>
            <w:tcW w:w="1276" w:type="dxa"/>
            <w:tcBorders>
              <w:top w:val="nil"/>
              <w:left w:val="nil"/>
              <w:bottom w:val="nil"/>
              <w:right w:val="nil"/>
            </w:tcBorders>
            <w:shd w:val="clear" w:color="auto" w:fill="auto"/>
            <w:noWrap/>
            <w:vAlign w:val="bottom"/>
            <w:hideMark/>
          </w:tcPr>
          <w:p w14:paraId="407D315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8.751 </w:t>
            </w:r>
          </w:p>
        </w:tc>
        <w:tc>
          <w:tcPr>
            <w:tcW w:w="1276" w:type="dxa"/>
            <w:tcBorders>
              <w:top w:val="nil"/>
              <w:left w:val="nil"/>
              <w:bottom w:val="nil"/>
              <w:right w:val="nil"/>
            </w:tcBorders>
            <w:shd w:val="clear" w:color="auto" w:fill="auto"/>
            <w:noWrap/>
            <w:vAlign w:val="bottom"/>
            <w:hideMark/>
          </w:tcPr>
          <w:p w14:paraId="1DDA5E8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r>
      <w:tr w:rsidR="00BC1846" w:rsidRPr="00BC1846" w14:paraId="49323A4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473925E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Otros Activos Corrientes</w:t>
            </w:r>
          </w:p>
        </w:tc>
        <w:tc>
          <w:tcPr>
            <w:tcW w:w="1275" w:type="dxa"/>
            <w:tcBorders>
              <w:top w:val="nil"/>
              <w:left w:val="nil"/>
              <w:bottom w:val="nil"/>
              <w:right w:val="nil"/>
            </w:tcBorders>
            <w:shd w:val="clear" w:color="auto" w:fill="auto"/>
            <w:noWrap/>
            <w:vAlign w:val="bottom"/>
            <w:hideMark/>
          </w:tcPr>
          <w:p w14:paraId="766F503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14.280 </w:t>
            </w:r>
          </w:p>
        </w:tc>
        <w:tc>
          <w:tcPr>
            <w:tcW w:w="1276" w:type="dxa"/>
            <w:tcBorders>
              <w:top w:val="nil"/>
              <w:left w:val="nil"/>
              <w:bottom w:val="nil"/>
              <w:right w:val="nil"/>
            </w:tcBorders>
            <w:shd w:val="clear" w:color="auto" w:fill="auto"/>
            <w:noWrap/>
            <w:vAlign w:val="bottom"/>
            <w:hideMark/>
          </w:tcPr>
          <w:p w14:paraId="2764B37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5D455DF4"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r>
      <w:tr w:rsidR="00BC1846" w:rsidRPr="00BC1846" w14:paraId="7397BA5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6F35B97" w14:textId="77777777" w:rsidR="00BC1846" w:rsidRPr="00BC1846" w:rsidRDefault="00BC1846" w:rsidP="00BC1846">
            <w:pPr>
              <w:spacing w:after="0" w:line="240" w:lineRule="auto"/>
              <w:jc w:val="right"/>
              <w:rPr>
                <w:rFonts w:eastAsia="Times New Roman"/>
                <w:b/>
                <w:bCs/>
                <w:color w:val="000000"/>
                <w:szCs w:val="24"/>
                <w:lang w:eastAsia="es-EC"/>
              </w:rPr>
            </w:pPr>
            <w:r w:rsidRPr="00BC1846">
              <w:rPr>
                <w:rFonts w:eastAsia="Times New Roman"/>
                <w:b/>
                <w:bCs/>
                <w:color w:val="000000"/>
                <w:szCs w:val="24"/>
                <w:lang w:eastAsia="es-EC"/>
              </w:rPr>
              <w:t>Total Activo Corriente</w:t>
            </w:r>
          </w:p>
        </w:tc>
        <w:tc>
          <w:tcPr>
            <w:tcW w:w="1275" w:type="dxa"/>
            <w:tcBorders>
              <w:top w:val="nil"/>
              <w:left w:val="nil"/>
              <w:bottom w:val="nil"/>
              <w:right w:val="nil"/>
            </w:tcBorders>
            <w:shd w:val="clear" w:color="auto" w:fill="auto"/>
            <w:noWrap/>
            <w:vAlign w:val="bottom"/>
            <w:hideMark/>
          </w:tcPr>
          <w:p w14:paraId="610D6B7F"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139.690 </w:t>
            </w:r>
          </w:p>
        </w:tc>
        <w:tc>
          <w:tcPr>
            <w:tcW w:w="1276" w:type="dxa"/>
            <w:tcBorders>
              <w:top w:val="nil"/>
              <w:left w:val="nil"/>
              <w:bottom w:val="nil"/>
              <w:right w:val="nil"/>
            </w:tcBorders>
            <w:shd w:val="clear" w:color="auto" w:fill="auto"/>
            <w:noWrap/>
            <w:vAlign w:val="bottom"/>
            <w:hideMark/>
          </w:tcPr>
          <w:p w14:paraId="5AE1D774"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158.923 </w:t>
            </w:r>
          </w:p>
        </w:tc>
        <w:tc>
          <w:tcPr>
            <w:tcW w:w="1276" w:type="dxa"/>
            <w:tcBorders>
              <w:top w:val="nil"/>
              <w:left w:val="nil"/>
              <w:bottom w:val="nil"/>
              <w:right w:val="nil"/>
            </w:tcBorders>
            <w:shd w:val="clear" w:color="auto" w:fill="auto"/>
            <w:noWrap/>
            <w:vAlign w:val="bottom"/>
            <w:hideMark/>
          </w:tcPr>
          <w:p w14:paraId="251361B2"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152.021 </w:t>
            </w:r>
          </w:p>
        </w:tc>
      </w:tr>
      <w:tr w:rsidR="00BC1846" w:rsidRPr="00BC1846" w14:paraId="76668C95"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1ED54D51" w14:textId="77777777" w:rsidR="00BC1846" w:rsidRPr="00BC1846" w:rsidRDefault="00BC1846" w:rsidP="00BC1846">
            <w:pPr>
              <w:spacing w:after="0" w:line="240" w:lineRule="auto"/>
              <w:jc w:val="left"/>
              <w:rPr>
                <w:rFonts w:eastAsia="Times New Roman"/>
                <w:b/>
                <w:bCs/>
                <w:color w:val="000000"/>
                <w:szCs w:val="24"/>
                <w:lang w:eastAsia="es-EC"/>
              </w:rPr>
            </w:pPr>
          </w:p>
        </w:tc>
        <w:tc>
          <w:tcPr>
            <w:tcW w:w="1275" w:type="dxa"/>
            <w:tcBorders>
              <w:top w:val="nil"/>
              <w:left w:val="nil"/>
              <w:bottom w:val="nil"/>
              <w:right w:val="nil"/>
            </w:tcBorders>
            <w:shd w:val="clear" w:color="auto" w:fill="auto"/>
            <w:noWrap/>
            <w:vAlign w:val="bottom"/>
            <w:hideMark/>
          </w:tcPr>
          <w:p w14:paraId="7803D37F"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45D59C62"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2EDD2F26"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6B0B5382"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72C30C8"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Activo No Corriente</w:t>
            </w:r>
          </w:p>
        </w:tc>
        <w:tc>
          <w:tcPr>
            <w:tcW w:w="1275" w:type="dxa"/>
            <w:tcBorders>
              <w:top w:val="nil"/>
              <w:left w:val="nil"/>
              <w:bottom w:val="nil"/>
              <w:right w:val="nil"/>
            </w:tcBorders>
            <w:shd w:val="clear" w:color="auto" w:fill="auto"/>
            <w:noWrap/>
            <w:vAlign w:val="bottom"/>
            <w:hideMark/>
          </w:tcPr>
          <w:p w14:paraId="55583DD9"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35499BD4"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63EBE05E"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2E9B6709"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C8F888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Propiedades, Planta y Equipo</w:t>
            </w:r>
          </w:p>
        </w:tc>
        <w:tc>
          <w:tcPr>
            <w:tcW w:w="1275" w:type="dxa"/>
            <w:tcBorders>
              <w:top w:val="nil"/>
              <w:left w:val="nil"/>
              <w:bottom w:val="nil"/>
              <w:right w:val="nil"/>
            </w:tcBorders>
            <w:shd w:val="clear" w:color="auto" w:fill="auto"/>
            <w:noWrap/>
            <w:vAlign w:val="bottom"/>
            <w:hideMark/>
          </w:tcPr>
          <w:p w14:paraId="1974947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467.829 </w:t>
            </w:r>
          </w:p>
        </w:tc>
        <w:tc>
          <w:tcPr>
            <w:tcW w:w="1276" w:type="dxa"/>
            <w:tcBorders>
              <w:top w:val="nil"/>
              <w:left w:val="nil"/>
              <w:bottom w:val="nil"/>
              <w:right w:val="nil"/>
            </w:tcBorders>
            <w:shd w:val="clear" w:color="auto" w:fill="auto"/>
            <w:noWrap/>
            <w:vAlign w:val="bottom"/>
            <w:hideMark/>
          </w:tcPr>
          <w:p w14:paraId="28700CF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448.644 </w:t>
            </w:r>
          </w:p>
        </w:tc>
        <w:tc>
          <w:tcPr>
            <w:tcW w:w="1276" w:type="dxa"/>
            <w:tcBorders>
              <w:top w:val="nil"/>
              <w:left w:val="nil"/>
              <w:bottom w:val="nil"/>
              <w:right w:val="nil"/>
            </w:tcBorders>
            <w:shd w:val="clear" w:color="auto" w:fill="auto"/>
            <w:noWrap/>
            <w:vAlign w:val="bottom"/>
            <w:hideMark/>
          </w:tcPr>
          <w:p w14:paraId="6DAD5B7B"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585.163 </w:t>
            </w:r>
          </w:p>
        </w:tc>
      </w:tr>
      <w:tr w:rsidR="00BC1846" w:rsidRPr="00BC1846" w14:paraId="32782C6F"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1ACC86BC"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Otros Activos No Corrientes</w:t>
            </w:r>
          </w:p>
        </w:tc>
        <w:tc>
          <w:tcPr>
            <w:tcW w:w="1275" w:type="dxa"/>
            <w:tcBorders>
              <w:top w:val="nil"/>
              <w:left w:val="nil"/>
              <w:bottom w:val="nil"/>
              <w:right w:val="nil"/>
            </w:tcBorders>
            <w:shd w:val="clear" w:color="auto" w:fill="auto"/>
            <w:noWrap/>
            <w:vAlign w:val="bottom"/>
            <w:hideMark/>
          </w:tcPr>
          <w:p w14:paraId="3359923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6.204 </w:t>
            </w:r>
          </w:p>
        </w:tc>
        <w:tc>
          <w:tcPr>
            <w:tcW w:w="1276" w:type="dxa"/>
            <w:tcBorders>
              <w:top w:val="nil"/>
              <w:left w:val="nil"/>
              <w:bottom w:val="nil"/>
              <w:right w:val="nil"/>
            </w:tcBorders>
            <w:shd w:val="clear" w:color="auto" w:fill="auto"/>
            <w:noWrap/>
            <w:vAlign w:val="bottom"/>
            <w:hideMark/>
          </w:tcPr>
          <w:p w14:paraId="0E4A4EF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6.204 </w:t>
            </w:r>
          </w:p>
        </w:tc>
        <w:tc>
          <w:tcPr>
            <w:tcW w:w="1276" w:type="dxa"/>
            <w:tcBorders>
              <w:top w:val="nil"/>
              <w:left w:val="nil"/>
              <w:bottom w:val="nil"/>
              <w:right w:val="nil"/>
            </w:tcBorders>
            <w:shd w:val="clear" w:color="auto" w:fill="auto"/>
            <w:noWrap/>
            <w:vAlign w:val="bottom"/>
            <w:hideMark/>
          </w:tcPr>
          <w:p w14:paraId="53C472E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26.346 </w:t>
            </w:r>
          </w:p>
        </w:tc>
      </w:tr>
      <w:tr w:rsidR="00BC1846" w:rsidRPr="00BC1846" w14:paraId="2A3AF405"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474D5A1E" w14:textId="77777777" w:rsidR="00BC1846" w:rsidRPr="00BC1846" w:rsidRDefault="00BC1846" w:rsidP="00BC1846">
            <w:pPr>
              <w:spacing w:after="0" w:line="240" w:lineRule="auto"/>
              <w:jc w:val="right"/>
              <w:rPr>
                <w:rFonts w:eastAsia="Times New Roman"/>
                <w:b/>
                <w:bCs/>
                <w:color w:val="000000"/>
                <w:szCs w:val="24"/>
                <w:lang w:eastAsia="es-EC"/>
              </w:rPr>
            </w:pPr>
            <w:r w:rsidRPr="00BC1846">
              <w:rPr>
                <w:rFonts w:eastAsia="Times New Roman"/>
                <w:b/>
                <w:bCs/>
                <w:color w:val="000000"/>
                <w:szCs w:val="24"/>
                <w:lang w:eastAsia="es-EC"/>
              </w:rPr>
              <w:t>Total Activo No Corriente</w:t>
            </w:r>
          </w:p>
        </w:tc>
        <w:tc>
          <w:tcPr>
            <w:tcW w:w="1275" w:type="dxa"/>
            <w:tcBorders>
              <w:top w:val="nil"/>
              <w:left w:val="nil"/>
              <w:bottom w:val="nil"/>
              <w:right w:val="nil"/>
            </w:tcBorders>
            <w:shd w:val="clear" w:color="auto" w:fill="auto"/>
            <w:noWrap/>
            <w:vAlign w:val="bottom"/>
            <w:hideMark/>
          </w:tcPr>
          <w:p w14:paraId="7D8708C9"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474.033 </w:t>
            </w:r>
          </w:p>
        </w:tc>
        <w:tc>
          <w:tcPr>
            <w:tcW w:w="1276" w:type="dxa"/>
            <w:tcBorders>
              <w:top w:val="nil"/>
              <w:left w:val="nil"/>
              <w:bottom w:val="nil"/>
              <w:right w:val="nil"/>
            </w:tcBorders>
            <w:shd w:val="clear" w:color="auto" w:fill="auto"/>
            <w:noWrap/>
            <w:vAlign w:val="bottom"/>
            <w:hideMark/>
          </w:tcPr>
          <w:p w14:paraId="406909B2"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454.848 </w:t>
            </w:r>
          </w:p>
        </w:tc>
        <w:tc>
          <w:tcPr>
            <w:tcW w:w="1276" w:type="dxa"/>
            <w:tcBorders>
              <w:top w:val="nil"/>
              <w:left w:val="nil"/>
              <w:bottom w:val="nil"/>
              <w:right w:val="nil"/>
            </w:tcBorders>
            <w:shd w:val="clear" w:color="auto" w:fill="auto"/>
            <w:noWrap/>
            <w:vAlign w:val="bottom"/>
            <w:hideMark/>
          </w:tcPr>
          <w:p w14:paraId="18A5C31D"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611.509 </w:t>
            </w:r>
          </w:p>
        </w:tc>
      </w:tr>
      <w:tr w:rsidR="00BC1846" w:rsidRPr="00BC1846" w14:paraId="764DA68B"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32B03E68"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TOTAL ACTIVO</w:t>
            </w:r>
          </w:p>
        </w:tc>
        <w:tc>
          <w:tcPr>
            <w:tcW w:w="1275" w:type="dxa"/>
            <w:tcBorders>
              <w:top w:val="nil"/>
              <w:left w:val="nil"/>
              <w:bottom w:val="nil"/>
              <w:right w:val="nil"/>
            </w:tcBorders>
            <w:shd w:val="clear" w:color="auto" w:fill="auto"/>
            <w:noWrap/>
            <w:vAlign w:val="bottom"/>
            <w:hideMark/>
          </w:tcPr>
          <w:p w14:paraId="2E56E669"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613.723 </w:t>
            </w:r>
          </w:p>
        </w:tc>
        <w:tc>
          <w:tcPr>
            <w:tcW w:w="1276" w:type="dxa"/>
            <w:tcBorders>
              <w:top w:val="nil"/>
              <w:left w:val="nil"/>
              <w:bottom w:val="nil"/>
              <w:right w:val="nil"/>
            </w:tcBorders>
            <w:shd w:val="clear" w:color="auto" w:fill="auto"/>
            <w:noWrap/>
            <w:vAlign w:val="bottom"/>
            <w:hideMark/>
          </w:tcPr>
          <w:p w14:paraId="56D220B0"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613.771 </w:t>
            </w:r>
          </w:p>
        </w:tc>
        <w:tc>
          <w:tcPr>
            <w:tcW w:w="1276" w:type="dxa"/>
            <w:tcBorders>
              <w:top w:val="nil"/>
              <w:left w:val="nil"/>
              <w:bottom w:val="nil"/>
              <w:right w:val="nil"/>
            </w:tcBorders>
            <w:shd w:val="clear" w:color="auto" w:fill="auto"/>
            <w:noWrap/>
            <w:vAlign w:val="bottom"/>
            <w:hideMark/>
          </w:tcPr>
          <w:p w14:paraId="563CD1E8"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763.530 </w:t>
            </w:r>
          </w:p>
        </w:tc>
      </w:tr>
      <w:tr w:rsidR="00BC1846" w:rsidRPr="00BC1846" w14:paraId="45962C76"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1BFB069A" w14:textId="77777777" w:rsidR="00BC1846" w:rsidRPr="00BC1846" w:rsidRDefault="00BC1846" w:rsidP="00BC1846">
            <w:pPr>
              <w:spacing w:after="0" w:line="240" w:lineRule="auto"/>
              <w:jc w:val="left"/>
              <w:rPr>
                <w:rFonts w:eastAsia="Times New Roman"/>
                <w:b/>
                <w:bCs/>
                <w:color w:val="000000"/>
                <w:szCs w:val="24"/>
                <w:lang w:eastAsia="es-EC"/>
              </w:rPr>
            </w:pPr>
          </w:p>
        </w:tc>
        <w:tc>
          <w:tcPr>
            <w:tcW w:w="1275" w:type="dxa"/>
            <w:tcBorders>
              <w:top w:val="nil"/>
              <w:left w:val="nil"/>
              <w:bottom w:val="nil"/>
              <w:right w:val="nil"/>
            </w:tcBorders>
            <w:shd w:val="clear" w:color="auto" w:fill="auto"/>
            <w:noWrap/>
            <w:vAlign w:val="bottom"/>
            <w:hideMark/>
          </w:tcPr>
          <w:p w14:paraId="08390F33"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1008D56C"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3DF0450F"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4C5107C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D3486CE"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PASIVO</w:t>
            </w:r>
          </w:p>
        </w:tc>
        <w:tc>
          <w:tcPr>
            <w:tcW w:w="1275" w:type="dxa"/>
            <w:tcBorders>
              <w:top w:val="nil"/>
              <w:left w:val="nil"/>
              <w:bottom w:val="nil"/>
              <w:right w:val="nil"/>
            </w:tcBorders>
            <w:shd w:val="clear" w:color="auto" w:fill="auto"/>
            <w:noWrap/>
            <w:vAlign w:val="bottom"/>
            <w:hideMark/>
          </w:tcPr>
          <w:p w14:paraId="532461CE"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35C8F4ED"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796900CF"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6AC0CDB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BA50E06"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Pasivo Corriente</w:t>
            </w:r>
          </w:p>
        </w:tc>
        <w:tc>
          <w:tcPr>
            <w:tcW w:w="1275" w:type="dxa"/>
            <w:tcBorders>
              <w:top w:val="nil"/>
              <w:left w:val="nil"/>
              <w:bottom w:val="nil"/>
              <w:right w:val="nil"/>
            </w:tcBorders>
            <w:shd w:val="clear" w:color="auto" w:fill="auto"/>
            <w:noWrap/>
            <w:vAlign w:val="bottom"/>
            <w:hideMark/>
          </w:tcPr>
          <w:p w14:paraId="6617F21D"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3FB03EFE"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676D64CC"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74277003"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01A1872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Cuentas y Documentos por Pagar</w:t>
            </w:r>
          </w:p>
        </w:tc>
        <w:tc>
          <w:tcPr>
            <w:tcW w:w="1275" w:type="dxa"/>
            <w:tcBorders>
              <w:top w:val="nil"/>
              <w:left w:val="nil"/>
              <w:bottom w:val="nil"/>
              <w:right w:val="nil"/>
            </w:tcBorders>
            <w:shd w:val="clear" w:color="auto" w:fill="auto"/>
            <w:noWrap/>
            <w:vAlign w:val="bottom"/>
            <w:hideMark/>
          </w:tcPr>
          <w:p w14:paraId="2CCAC58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23.487 </w:t>
            </w:r>
          </w:p>
        </w:tc>
        <w:tc>
          <w:tcPr>
            <w:tcW w:w="1276" w:type="dxa"/>
            <w:tcBorders>
              <w:top w:val="nil"/>
              <w:left w:val="nil"/>
              <w:bottom w:val="nil"/>
              <w:right w:val="nil"/>
            </w:tcBorders>
            <w:shd w:val="clear" w:color="auto" w:fill="auto"/>
            <w:noWrap/>
            <w:vAlign w:val="bottom"/>
            <w:hideMark/>
          </w:tcPr>
          <w:p w14:paraId="7A0978A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69.406 </w:t>
            </w:r>
          </w:p>
        </w:tc>
        <w:tc>
          <w:tcPr>
            <w:tcW w:w="1276" w:type="dxa"/>
            <w:tcBorders>
              <w:top w:val="nil"/>
              <w:left w:val="nil"/>
              <w:bottom w:val="nil"/>
              <w:right w:val="nil"/>
            </w:tcBorders>
            <w:shd w:val="clear" w:color="auto" w:fill="auto"/>
            <w:noWrap/>
            <w:vAlign w:val="bottom"/>
            <w:hideMark/>
          </w:tcPr>
          <w:p w14:paraId="5866A07B"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64.492 </w:t>
            </w:r>
          </w:p>
        </w:tc>
      </w:tr>
      <w:tr w:rsidR="00BC1846" w:rsidRPr="00BC1846" w14:paraId="3638E41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801216C"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Obligaciones con Inst. Financieras</w:t>
            </w:r>
          </w:p>
        </w:tc>
        <w:tc>
          <w:tcPr>
            <w:tcW w:w="1275" w:type="dxa"/>
            <w:tcBorders>
              <w:top w:val="nil"/>
              <w:left w:val="nil"/>
              <w:bottom w:val="nil"/>
              <w:right w:val="nil"/>
            </w:tcBorders>
            <w:shd w:val="clear" w:color="auto" w:fill="auto"/>
            <w:noWrap/>
            <w:vAlign w:val="bottom"/>
            <w:hideMark/>
          </w:tcPr>
          <w:p w14:paraId="4E6BE94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191.050 </w:t>
            </w:r>
          </w:p>
        </w:tc>
        <w:tc>
          <w:tcPr>
            <w:tcW w:w="1276" w:type="dxa"/>
            <w:tcBorders>
              <w:top w:val="nil"/>
              <w:left w:val="nil"/>
              <w:bottom w:val="nil"/>
              <w:right w:val="nil"/>
            </w:tcBorders>
            <w:shd w:val="clear" w:color="auto" w:fill="auto"/>
            <w:noWrap/>
            <w:vAlign w:val="bottom"/>
            <w:hideMark/>
          </w:tcPr>
          <w:p w14:paraId="1CE20A3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12.469 </w:t>
            </w:r>
          </w:p>
        </w:tc>
        <w:tc>
          <w:tcPr>
            <w:tcW w:w="1276" w:type="dxa"/>
            <w:tcBorders>
              <w:top w:val="nil"/>
              <w:left w:val="nil"/>
              <w:bottom w:val="nil"/>
              <w:right w:val="nil"/>
            </w:tcBorders>
            <w:shd w:val="clear" w:color="auto" w:fill="auto"/>
            <w:noWrap/>
            <w:vAlign w:val="bottom"/>
            <w:hideMark/>
          </w:tcPr>
          <w:p w14:paraId="26AF82C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47.135 </w:t>
            </w:r>
          </w:p>
        </w:tc>
      </w:tr>
      <w:tr w:rsidR="00BC1846" w:rsidRPr="00BC1846" w14:paraId="435CEC02"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3F93DB84"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Otras Obligaciones Corrientes</w:t>
            </w:r>
          </w:p>
        </w:tc>
        <w:tc>
          <w:tcPr>
            <w:tcW w:w="1275" w:type="dxa"/>
            <w:tcBorders>
              <w:top w:val="nil"/>
              <w:left w:val="nil"/>
              <w:bottom w:val="nil"/>
              <w:right w:val="nil"/>
            </w:tcBorders>
            <w:shd w:val="clear" w:color="auto" w:fill="auto"/>
            <w:noWrap/>
            <w:vAlign w:val="bottom"/>
            <w:hideMark/>
          </w:tcPr>
          <w:p w14:paraId="26592C86"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15.869 </w:t>
            </w:r>
          </w:p>
        </w:tc>
        <w:tc>
          <w:tcPr>
            <w:tcW w:w="1276" w:type="dxa"/>
            <w:tcBorders>
              <w:top w:val="nil"/>
              <w:left w:val="nil"/>
              <w:bottom w:val="nil"/>
              <w:right w:val="nil"/>
            </w:tcBorders>
            <w:shd w:val="clear" w:color="auto" w:fill="auto"/>
            <w:noWrap/>
            <w:vAlign w:val="bottom"/>
            <w:hideMark/>
          </w:tcPr>
          <w:p w14:paraId="460DD4C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17.619 </w:t>
            </w:r>
          </w:p>
        </w:tc>
        <w:tc>
          <w:tcPr>
            <w:tcW w:w="1276" w:type="dxa"/>
            <w:tcBorders>
              <w:top w:val="nil"/>
              <w:left w:val="nil"/>
              <w:bottom w:val="nil"/>
              <w:right w:val="nil"/>
            </w:tcBorders>
            <w:shd w:val="clear" w:color="auto" w:fill="auto"/>
            <w:noWrap/>
            <w:vAlign w:val="bottom"/>
            <w:hideMark/>
          </w:tcPr>
          <w:p w14:paraId="1BA9277F"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18.299 </w:t>
            </w:r>
          </w:p>
        </w:tc>
      </w:tr>
      <w:tr w:rsidR="00BC1846" w:rsidRPr="00BC1846" w14:paraId="6C31919D"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ED6DD6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Cuentas por Pagar Diversas Relacionadas</w:t>
            </w:r>
          </w:p>
        </w:tc>
        <w:tc>
          <w:tcPr>
            <w:tcW w:w="1275" w:type="dxa"/>
            <w:tcBorders>
              <w:top w:val="nil"/>
              <w:left w:val="nil"/>
              <w:bottom w:val="nil"/>
              <w:right w:val="nil"/>
            </w:tcBorders>
            <w:shd w:val="clear" w:color="auto" w:fill="auto"/>
            <w:noWrap/>
            <w:vAlign w:val="bottom"/>
            <w:hideMark/>
          </w:tcPr>
          <w:p w14:paraId="73F84F4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12.098 </w:t>
            </w:r>
          </w:p>
        </w:tc>
        <w:tc>
          <w:tcPr>
            <w:tcW w:w="1276" w:type="dxa"/>
            <w:tcBorders>
              <w:top w:val="nil"/>
              <w:left w:val="nil"/>
              <w:bottom w:val="nil"/>
              <w:right w:val="nil"/>
            </w:tcBorders>
            <w:shd w:val="clear" w:color="auto" w:fill="auto"/>
            <w:noWrap/>
            <w:vAlign w:val="bottom"/>
            <w:hideMark/>
          </w:tcPr>
          <w:p w14:paraId="1805F34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269.182 </w:t>
            </w:r>
          </w:p>
        </w:tc>
        <w:tc>
          <w:tcPr>
            <w:tcW w:w="1276" w:type="dxa"/>
            <w:tcBorders>
              <w:top w:val="nil"/>
              <w:left w:val="nil"/>
              <w:bottom w:val="nil"/>
              <w:right w:val="nil"/>
            </w:tcBorders>
            <w:shd w:val="clear" w:color="auto" w:fill="auto"/>
            <w:noWrap/>
            <w:vAlign w:val="bottom"/>
            <w:hideMark/>
          </w:tcPr>
          <w:p w14:paraId="3752527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12.585 </w:t>
            </w:r>
          </w:p>
        </w:tc>
      </w:tr>
      <w:tr w:rsidR="00BC1846" w:rsidRPr="00BC1846" w14:paraId="5E9A40E0"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44AC28B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Otros Pasivos Financieros</w:t>
            </w:r>
          </w:p>
        </w:tc>
        <w:tc>
          <w:tcPr>
            <w:tcW w:w="1275" w:type="dxa"/>
            <w:tcBorders>
              <w:top w:val="nil"/>
              <w:left w:val="nil"/>
              <w:bottom w:val="nil"/>
              <w:right w:val="nil"/>
            </w:tcBorders>
            <w:shd w:val="clear" w:color="auto" w:fill="auto"/>
            <w:noWrap/>
            <w:vAlign w:val="bottom"/>
            <w:hideMark/>
          </w:tcPr>
          <w:p w14:paraId="1BA22DD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2.657 </w:t>
            </w:r>
          </w:p>
        </w:tc>
        <w:tc>
          <w:tcPr>
            <w:tcW w:w="1276" w:type="dxa"/>
            <w:tcBorders>
              <w:top w:val="nil"/>
              <w:left w:val="nil"/>
              <w:bottom w:val="nil"/>
              <w:right w:val="nil"/>
            </w:tcBorders>
            <w:shd w:val="clear" w:color="auto" w:fill="auto"/>
            <w:noWrap/>
            <w:vAlign w:val="bottom"/>
            <w:hideMark/>
          </w:tcPr>
          <w:p w14:paraId="37C4C67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12FF1376"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7.971 </w:t>
            </w:r>
          </w:p>
        </w:tc>
      </w:tr>
      <w:tr w:rsidR="00BC1846" w:rsidRPr="00BC1846" w14:paraId="7CBAF30B"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EB7B54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Anticipos de Clientes</w:t>
            </w:r>
          </w:p>
        </w:tc>
        <w:tc>
          <w:tcPr>
            <w:tcW w:w="1275" w:type="dxa"/>
            <w:tcBorders>
              <w:top w:val="nil"/>
              <w:left w:val="nil"/>
              <w:bottom w:val="nil"/>
              <w:right w:val="nil"/>
            </w:tcBorders>
            <w:shd w:val="clear" w:color="auto" w:fill="auto"/>
            <w:noWrap/>
            <w:vAlign w:val="bottom"/>
            <w:hideMark/>
          </w:tcPr>
          <w:p w14:paraId="48B15D5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71.559 </w:t>
            </w:r>
          </w:p>
        </w:tc>
        <w:tc>
          <w:tcPr>
            <w:tcW w:w="1276" w:type="dxa"/>
            <w:tcBorders>
              <w:top w:val="nil"/>
              <w:left w:val="nil"/>
              <w:bottom w:val="nil"/>
              <w:right w:val="nil"/>
            </w:tcBorders>
            <w:shd w:val="clear" w:color="auto" w:fill="auto"/>
            <w:noWrap/>
            <w:vAlign w:val="bottom"/>
            <w:hideMark/>
          </w:tcPr>
          <w:p w14:paraId="5756036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19CD86D9"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r>
      <w:tr w:rsidR="00BC1846" w:rsidRPr="00BC1846" w14:paraId="441F9E3D"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B0AE063"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Provisión Beneficios Empleados</w:t>
            </w:r>
          </w:p>
        </w:tc>
        <w:tc>
          <w:tcPr>
            <w:tcW w:w="1275" w:type="dxa"/>
            <w:tcBorders>
              <w:top w:val="nil"/>
              <w:left w:val="nil"/>
              <w:bottom w:val="nil"/>
              <w:right w:val="nil"/>
            </w:tcBorders>
            <w:shd w:val="clear" w:color="auto" w:fill="auto"/>
            <w:noWrap/>
            <w:vAlign w:val="bottom"/>
            <w:hideMark/>
          </w:tcPr>
          <w:p w14:paraId="5B4F0550"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3.549 </w:t>
            </w:r>
          </w:p>
        </w:tc>
        <w:tc>
          <w:tcPr>
            <w:tcW w:w="1276" w:type="dxa"/>
            <w:tcBorders>
              <w:top w:val="nil"/>
              <w:left w:val="nil"/>
              <w:bottom w:val="nil"/>
              <w:right w:val="nil"/>
            </w:tcBorders>
            <w:shd w:val="clear" w:color="auto" w:fill="auto"/>
            <w:noWrap/>
            <w:vAlign w:val="bottom"/>
            <w:hideMark/>
          </w:tcPr>
          <w:p w14:paraId="018BB59E"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67C322EC"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5.024 </w:t>
            </w:r>
          </w:p>
        </w:tc>
      </w:tr>
      <w:tr w:rsidR="00BC1846" w:rsidRPr="00BC1846" w14:paraId="2410507C"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0C065BB0" w14:textId="77777777" w:rsidR="00BC1846" w:rsidRPr="00BC1846" w:rsidRDefault="00BC1846" w:rsidP="00BC1846">
            <w:pPr>
              <w:spacing w:after="0" w:line="240" w:lineRule="auto"/>
              <w:jc w:val="right"/>
              <w:rPr>
                <w:rFonts w:eastAsia="Times New Roman"/>
                <w:b/>
                <w:bCs/>
                <w:color w:val="000000"/>
                <w:szCs w:val="24"/>
                <w:lang w:eastAsia="es-EC"/>
              </w:rPr>
            </w:pPr>
            <w:r w:rsidRPr="00BC1846">
              <w:rPr>
                <w:rFonts w:eastAsia="Times New Roman"/>
                <w:b/>
                <w:bCs/>
                <w:color w:val="000000"/>
                <w:szCs w:val="24"/>
                <w:lang w:eastAsia="es-EC"/>
              </w:rPr>
              <w:t>Total Pasivo Corriente</w:t>
            </w:r>
          </w:p>
        </w:tc>
        <w:tc>
          <w:tcPr>
            <w:tcW w:w="1275" w:type="dxa"/>
            <w:tcBorders>
              <w:top w:val="nil"/>
              <w:left w:val="nil"/>
              <w:bottom w:val="nil"/>
              <w:right w:val="nil"/>
            </w:tcBorders>
            <w:shd w:val="clear" w:color="auto" w:fill="auto"/>
            <w:noWrap/>
            <w:vAlign w:val="bottom"/>
            <w:hideMark/>
          </w:tcPr>
          <w:p w14:paraId="6AF81406"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320.268 </w:t>
            </w:r>
          </w:p>
        </w:tc>
        <w:tc>
          <w:tcPr>
            <w:tcW w:w="1276" w:type="dxa"/>
            <w:tcBorders>
              <w:top w:val="nil"/>
              <w:left w:val="nil"/>
              <w:bottom w:val="nil"/>
              <w:right w:val="nil"/>
            </w:tcBorders>
            <w:shd w:val="clear" w:color="auto" w:fill="auto"/>
            <w:noWrap/>
            <w:vAlign w:val="bottom"/>
            <w:hideMark/>
          </w:tcPr>
          <w:p w14:paraId="4A252703"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368.675 </w:t>
            </w:r>
          </w:p>
        </w:tc>
        <w:tc>
          <w:tcPr>
            <w:tcW w:w="1276" w:type="dxa"/>
            <w:tcBorders>
              <w:top w:val="nil"/>
              <w:left w:val="nil"/>
              <w:bottom w:val="nil"/>
              <w:right w:val="nil"/>
            </w:tcBorders>
            <w:shd w:val="clear" w:color="auto" w:fill="auto"/>
            <w:noWrap/>
            <w:vAlign w:val="bottom"/>
            <w:hideMark/>
          </w:tcPr>
          <w:p w14:paraId="0E56693F"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155.506 </w:t>
            </w:r>
          </w:p>
        </w:tc>
      </w:tr>
      <w:tr w:rsidR="00BC1846" w:rsidRPr="00BC1846" w14:paraId="0E790038"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0EC5A2C" w14:textId="77777777" w:rsidR="00BC1846" w:rsidRPr="00BC1846" w:rsidRDefault="00BC1846" w:rsidP="00BC1846">
            <w:pPr>
              <w:spacing w:after="0" w:line="240" w:lineRule="auto"/>
              <w:jc w:val="left"/>
              <w:rPr>
                <w:rFonts w:eastAsia="Times New Roman"/>
                <w:b/>
                <w:bCs/>
                <w:color w:val="000000"/>
                <w:szCs w:val="24"/>
                <w:lang w:eastAsia="es-EC"/>
              </w:rPr>
            </w:pPr>
          </w:p>
        </w:tc>
        <w:tc>
          <w:tcPr>
            <w:tcW w:w="1275" w:type="dxa"/>
            <w:tcBorders>
              <w:top w:val="nil"/>
              <w:left w:val="nil"/>
              <w:bottom w:val="nil"/>
              <w:right w:val="nil"/>
            </w:tcBorders>
            <w:shd w:val="clear" w:color="auto" w:fill="auto"/>
            <w:noWrap/>
            <w:vAlign w:val="bottom"/>
            <w:hideMark/>
          </w:tcPr>
          <w:p w14:paraId="264C1B82"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50C815AE"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26F48AAE"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333AB091"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30A1100"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Pasivo No Corriente</w:t>
            </w:r>
          </w:p>
        </w:tc>
        <w:tc>
          <w:tcPr>
            <w:tcW w:w="1275" w:type="dxa"/>
            <w:tcBorders>
              <w:top w:val="nil"/>
              <w:left w:val="nil"/>
              <w:bottom w:val="nil"/>
              <w:right w:val="nil"/>
            </w:tcBorders>
            <w:shd w:val="clear" w:color="auto" w:fill="auto"/>
            <w:noWrap/>
            <w:vAlign w:val="bottom"/>
            <w:hideMark/>
          </w:tcPr>
          <w:p w14:paraId="443B10BB"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28FDA6B5"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25F14040"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7B24AA9A"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6D9471EE"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Cuentas por Pagar Diversas Relacionadas</w:t>
            </w:r>
          </w:p>
        </w:tc>
        <w:tc>
          <w:tcPr>
            <w:tcW w:w="1275" w:type="dxa"/>
            <w:tcBorders>
              <w:top w:val="nil"/>
              <w:left w:val="nil"/>
              <w:bottom w:val="nil"/>
              <w:right w:val="nil"/>
            </w:tcBorders>
            <w:shd w:val="clear" w:color="auto" w:fill="auto"/>
            <w:noWrap/>
            <w:vAlign w:val="bottom"/>
            <w:hideMark/>
          </w:tcPr>
          <w:p w14:paraId="72E3ADB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209.994 </w:t>
            </w:r>
          </w:p>
        </w:tc>
        <w:tc>
          <w:tcPr>
            <w:tcW w:w="1276" w:type="dxa"/>
            <w:tcBorders>
              <w:top w:val="nil"/>
              <w:left w:val="nil"/>
              <w:bottom w:val="nil"/>
              <w:right w:val="nil"/>
            </w:tcBorders>
            <w:shd w:val="clear" w:color="auto" w:fill="auto"/>
            <w:noWrap/>
            <w:vAlign w:val="bottom"/>
            <w:hideMark/>
          </w:tcPr>
          <w:p w14:paraId="238B77C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387EFFB6"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r>
      <w:tr w:rsidR="00BC1846" w:rsidRPr="00BC1846" w14:paraId="2E8FBD82"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48B1CCB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Obligaciones con Inst. Financieras</w:t>
            </w:r>
          </w:p>
        </w:tc>
        <w:tc>
          <w:tcPr>
            <w:tcW w:w="1275" w:type="dxa"/>
            <w:tcBorders>
              <w:top w:val="nil"/>
              <w:left w:val="nil"/>
              <w:bottom w:val="nil"/>
              <w:right w:val="nil"/>
            </w:tcBorders>
            <w:shd w:val="clear" w:color="auto" w:fill="auto"/>
            <w:noWrap/>
            <w:vAlign w:val="bottom"/>
            <w:hideMark/>
          </w:tcPr>
          <w:p w14:paraId="680711D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7244805B"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155.404 </w:t>
            </w:r>
          </w:p>
        </w:tc>
        <w:tc>
          <w:tcPr>
            <w:tcW w:w="1276" w:type="dxa"/>
            <w:tcBorders>
              <w:top w:val="nil"/>
              <w:left w:val="nil"/>
              <w:bottom w:val="nil"/>
              <w:right w:val="nil"/>
            </w:tcBorders>
            <w:shd w:val="clear" w:color="auto" w:fill="auto"/>
            <w:noWrap/>
            <w:vAlign w:val="bottom"/>
            <w:hideMark/>
          </w:tcPr>
          <w:p w14:paraId="48FD0AAF"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57.729 </w:t>
            </w:r>
          </w:p>
        </w:tc>
      </w:tr>
      <w:tr w:rsidR="00BC1846" w:rsidRPr="00BC1846" w14:paraId="44D0FA08"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B65E736"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Otras Cuentas y Documentos por Pagar</w:t>
            </w:r>
          </w:p>
        </w:tc>
        <w:tc>
          <w:tcPr>
            <w:tcW w:w="1275" w:type="dxa"/>
            <w:tcBorders>
              <w:top w:val="nil"/>
              <w:left w:val="nil"/>
              <w:bottom w:val="nil"/>
              <w:right w:val="nil"/>
            </w:tcBorders>
            <w:shd w:val="clear" w:color="auto" w:fill="auto"/>
            <w:noWrap/>
            <w:vAlign w:val="bottom"/>
            <w:hideMark/>
          </w:tcPr>
          <w:p w14:paraId="6F63EB4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67466C9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13BFEC1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239.523 </w:t>
            </w:r>
          </w:p>
        </w:tc>
      </w:tr>
      <w:tr w:rsidR="00BC1846" w:rsidRPr="00BC1846" w14:paraId="6561DDF9"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2014F04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Provisión Beneficios Empleados</w:t>
            </w:r>
          </w:p>
        </w:tc>
        <w:tc>
          <w:tcPr>
            <w:tcW w:w="1275" w:type="dxa"/>
            <w:tcBorders>
              <w:top w:val="nil"/>
              <w:left w:val="nil"/>
              <w:bottom w:val="nil"/>
              <w:right w:val="nil"/>
            </w:tcBorders>
            <w:shd w:val="clear" w:color="auto" w:fill="auto"/>
            <w:noWrap/>
            <w:vAlign w:val="bottom"/>
            <w:hideMark/>
          </w:tcPr>
          <w:p w14:paraId="5E52B8CB" w14:textId="77777777" w:rsidR="00BC1846" w:rsidRPr="00BC1846" w:rsidRDefault="00BC1846" w:rsidP="00BC1846">
            <w:pPr>
              <w:spacing w:after="0" w:line="240" w:lineRule="auto"/>
              <w:jc w:val="left"/>
              <w:rPr>
                <w:rFonts w:eastAsia="Times New Roman"/>
                <w:color w:val="000000"/>
                <w:szCs w:val="24"/>
                <w:lang w:eastAsia="es-EC"/>
              </w:rPr>
            </w:pPr>
          </w:p>
        </w:tc>
        <w:tc>
          <w:tcPr>
            <w:tcW w:w="1276" w:type="dxa"/>
            <w:tcBorders>
              <w:top w:val="nil"/>
              <w:left w:val="nil"/>
              <w:bottom w:val="nil"/>
              <w:right w:val="nil"/>
            </w:tcBorders>
            <w:shd w:val="clear" w:color="auto" w:fill="auto"/>
            <w:noWrap/>
            <w:vAlign w:val="bottom"/>
            <w:hideMark/>
          </w:tcPr>
          <w:p w14:paraId="26883E4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6.092 </w:t>
            </w:r>
          </w:p>
        </w:tc>
        <w:tc>
          <w:tcPr>
            <w:tcW w:w="1276" w:type="dxa"/>
            <w:tcBorders>
              <w:top w:val="nil"/>
              <w:left w:val="nil"/>
              <w:bottom w:val="nil"/>
              <w:right w:val="nil"/>
            </w:tcBorders>
            <w:shd w:val="clear" w:color="auto" w:fill="auto"/>
            <w:noWrap/>
            <w:vAlign w:val="bottom"/>
            <w:hideMark/>
          </w:tcPr>
          <w:p w14:paraId="53C91CC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7.128 </w:t>
            </w:r>
          </w:p>
        </w:tc>
      </w:tr>
      <w:tr w:rsidR="00BC1846" w:rsidRPr="00BC1846" w14:paraId="1A34D13A"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768D97EF" w14:textId="77777777" w:rsidR="00BC1846" w:rsidRPr="00BC1846" w:rsidRDefault="00BC1846" w:rsidP="00BC1846">
            <w:pPr>
              <w:spacing w:after="0" w:line="240" w:lineRule="auto"/>
              <w:jc w:val="right"/>
              <w:rPr>
                <w:rFonts w:eastAsia="Times New Roman"/>
                <w:b/>
                <w:bCs/>
                <w:color w:val="000000"/>
                <w:szCs w:val="24"/>
                <w:lang w:eastAsia="es-EC"/>
              </w:rPr>
            </w:pPr>
            <w:r w:rsidRPr="00BC1846">
              <w:rPr>
                <w:rFonts w:eastAsia="Times New Roman"/>
                <w:b/>
                <w:bCs/>
                <w:color w:val="000000"/>
                <w:szCs w:val="24"/>
                <w:lang w:eastAsia="es-EC"/>
              </w:rPr>
              <w:t>Total Pasivo No Corriente</w:t>
            </w:r>
          </w:p>
        </w:tc>
        <w:tc>
          <w:tcPr>
            <w:tcW w:w="1275" w:type="dxa"/>
            <w:tcBorders>
              <w:top w:val="nil"/>
              <w:left w:val="nil"/>
              <w:bottom w:val="nil"/>
              <w:right w:val="nil"/>
            </w:tcBorders>
            <w:shd w:val="clear" w:color="auto" w:fill="auto"/>
            <w:noWrap/>
            <w:vAlign w:val="bottom"/>
            <w:hideMark/>
          </w:tcPr>
          <w:p w14:paraId="310A9D0B"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209.994 </w:t>
            </w:r>
          </w:p>
        </w:tc>
        <w:tc>
          <w:tcPr>
            <w:tcW w:w="1276" w:type="dxa"/>
            <w:tcBorders>
              <w:top w:val="nil"/>
              <w:left w:val="nil"/>
              <w:bottom w:val="nil"/>
              <w:right w:val="nil"/>
            </w:tcBorders>
            <w:shd w:val="clear" w:color="auto" w:fill="auto"/>
            <w:noWrap/>
            <w:vAlign w:val="bottom"/>
            <w:hideMark/>
          </w:tcPr>
          <w:p w14:paraId="7F377427"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161.496 </w:t>
            </w:r>
          </w:p>
        </w:tc>
        <w:tc>
          <w:tcPr>
            <w:tcW w:w="1276" w:type="dxa"/>
            <w:tcBorders>
              <w:top w:val="nil"/>
              <w:left w:val="nil"/>
              <w:bottom w:val="nil"/>
              <w:right w:val="nil"/>
            </w:tcBorders>
            <w:shd w:val="clear" w:color="auto" w:fill="auto"/>
            <w:noWrap/>
            <w:vAlign w:val="bottom"/>
            <w:hideMark/>
          </w:tcPr>
          <w:p w14:paraId="0D6FEF1D"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304.381 </w:t>
            </w:r>
          </w:p>
        </w:tc>
      </w:tr>
      <w:tr w:rsidR="00BC1846" w:rsidRPr="00BC1846" w14:paraId="2FE4F1E4"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774B5F8E"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TOTAL PASIVO</w:t>
            </w:r>
          </w:p>
        </w:tc>
        <w:tc>
          <w:tcPr>
            <w:tcW w:w="1275" w:type="dxa"/>
            <w:tcBorders>
              <w:top w:val="nil"/>
              <w:left w:val="nil"/>
              <w:bottom w:val="nil"/>
              <w:right w:val="nil"/>
            </w:tcBorders>
            <w:shd w:val="clear" w:color="auto" w:fill="auto"/>
            <w:noWrap/>
            <w:vAlign w:val="bottom"/>
            <w:hideMark/>
          </w:tcPr>
          <w:p w14:paraId="219DC159"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530.262 </w:t>
            </w:r>
          </w:p>
        </w:tc>
        <w:tc>
          <w:tcPr>
            <w:tcW w:w="1276" w:type="dxa"/>
            <w:tcBorders>
              <w:top w:val="nil"/>
              <w:left w:val="nil"/>
              <w:bottom w:val="nil"/>
              <w:right w:val="nil"/>
            </w:tcBorders>
            <w:shd w:val="clear" w:color="auto" w:fill="auto"/>
            <w:noWrap/>
            <w:vAlign w:val="bottom"/>
            <w:hideMark/>
          </w:tcPr>
          <w:p w14:paraId="3C0F496D"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530.172 </w:t>
            </w:r>
          </w:p>
        </w:tc>
        <w:tc>
          <w:tcPr>
            <w:tcW w:w="1276" w:type="dxa"/>
            <w:tcBorders>
              <w:top w:val="nil"/>
              <w:left w:val="nil"/>
              <w:bottom w:val="nil"/>
              <w:right w:val="nil"/>
            </w:tcBorders>
            <w:shd w:val="clear" w:color="auto" w:fill="auto"/>
            <w:noWrap/>
            <w:vAlign w:val="bottom"/>
            <w:hideMark/>
          </w:tcPr>
          <w:p w14:paraId="3180A920"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459.886 </w:t>
            </w:r>
          </w:p>
        </w:tc>
      </w:tr>
      <w:tr w:rsidR="00BC1846" w:rsidRPr="00BC1846" w14:paraId="6738B9C0"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7D207351" w14:textId="77777777" w:rsidR="00BC1846" w:rsidRPr="00BC1846" w:rsidRDefault="00BC1846" w:rsidP="00BC1846">
            <w:pPr>
              <w:spacing w:after="0" w:line="240" w:lineRule="auto"/>
              <w:jc w:val="left"/>
              <w:rPr>
                <w:rFonts w:eastAsia="Times New Roman"/>
                <w:b/>
                <w:bCs/>
                <w:color w:val="000000"/>
                <w:szCs w:val="24"/>
                <w:lang w:eastAsia="es-EC"/>
              </w:rPr>
            </w:pPr>
          </w:p>
        </w:tc>
        <w:tc>
          <w:tcPr>
            <w:tcW w:w="1275" w:type="dxa"/>
            <w:tcBorders>
              <w:top w:val="nil"/>
              <w:left w:val="nil"/>
              <w:bottom w:val="nil"/>
              <w:right w:val="nil"/>
            </w:tcBorders>
            <w:shd w:val="clear" w:color="auto" w:fill="auto"/>
            <w:noWrap/>
            <w:vAlign w:val="bottom"/>
            <w:hideMark/>
          </w:tcPr>
          <w:p w14:paraId="60F4F32B"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3021A57E"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15D6A9B1"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43712DA1"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063ADB69" w14:textId="77777777" w:rsidR="00BC1846" w:rsidRPr="00BC1846" w:rsidRDefault="00BC1846" w:rsidP="00BC1846">
            <w:pPr>
              <w:spacing w:after="0" w:line="240" w:lineRule="auto"/>
              <w:jc w:val="center"/>
              <w:rPr>
                <w:rFonts w:eastAsia="Times New Roman"/>
                <w:b/>
                <w:bCs/>
                <w:color w:val="000000"/>
                <w:szCs w:val="24"/>
                <w:lang w:eastAsia="es-EC"/>
              </w:rPr>
            </w:pPr>
            <w:r w:rsidRPr="00BC1846">
              <w:rPr>
                <w:rFonts w:eastAsia="Times New Roman"/>
                <w:b/>
                <w:bCs/>
                <w:color w:val="000000"/>
                <w:szCs w:val="24"/>
                <w:lang w:eastAsia="es-EC"/>
              </w:rPr>
              <w:t>PATRIMONIO</w:t>
            </w:r>
          </w:p>
        </w:tc>
        <w:tc>
          <w:tcPr>
            <w:tcW w:w="1275" w:type="dxa"/>
            <w:tcBorders>
              <w:top w:val="nil"/>
              <w:left w:val="nil"/>
              <w:bottom w:val="nil"/>
              <w:right w:val="nil"/>
            </w:tcBorders>
            <w:shd w:val="clear" w:color="auto" w:fill="auto"/>
            <w:noWrap/>
            <w:vAlign w:val="bottom"/>
            <w:hideMark/>
          </w:tcPr>
          <w:p w14:paraId="1B000AC3" w14:textId="77777777" w:rsidR="00BC1846" w:rsidRPr="00BC1846" w:rsidRDefault="00BC1846" w:rsidP="00BC1846">
            <w:pPr>
              <w:spacing w:after="0" w:line="240" w:lineRule="auto"/>
              <w:jc w:val="center"/>
              <w:rPr>
                <w:rFonts w:eastAsia="Times New Roman"/>
                <w:b/>
                <w:bCs/>
                <w:color w:val="000000"/>
                <w:szCs w:val="24"/>
                <w:lang w:eastAsia="es-EC"/>
              </w:rPr>
            </w:pPr>
          </w:p>
        </w:tc>
        <w:tc>
          <w:tcPr>
            <w:tcW w:w="1276" w:type="dxa"/>
            <w:tcBorders>
              <w:top w:val="nil"/>
              <w:left w:val="nil"/>
              <w:bottom w:val="nil"/>
              <w:right w:val="nil"/>
            </w:tcBorders>
            <w:shd w:val="clear" w:color="auto" w:fill="auto"/>
            <w:noWrap/>
            <w:vAlign w:val="bottom"/>
            <w:hideMark/>
          </w:tcPr>
          <w:p w14:paraId="6BA9967B" w14:textId="77777777" w:rsidR="00BC1846" w:rsidRPr="00BC1846" w:rsidRDefault="00BC1846" w:rsidP="00BC1846">
            <w:pPr>
              <w:spacing w:after="0" w:line="240" w:lineRule="auto"/>
              <w:jc w:val="left"/>
              <w:rPr>
                <w:rFonts w:eastAsia="Times New Roman"/>
                <w:sz w:val="20"/>
                <w:szCs w:val="20"/>
                <w:lang w:eastAsia="es-EC"/>
              </w:rPr>
            </w:pPr>
          </w:p>
        </w:tc>
        <w:tc>
          <w:tcPr>
            <w:tcW w:w="1276" w:type="dxa"/>
            <w:tcBorders>
              <w:top w:val="nil"/>
              <w:left w:val="nil"/>
              <w:bottom w:val="nil"/>
              <w:right w:val="nil"/>
            </w:tcBorders>
            <w:shd w:val="clear" w:color="auto" w:fill="auto"/>
            <w:noWrap/>
            <w:vAlign w:val="bottom"/>
            <w:hideMark/>
          </w:tcPr>
          <w:p w14:paraId="63FEDD00" w14:textId="77777777" w:rsidR="00BC1846" w:rsidRPr="00BC1846" w:rsidRDefault="00BC1846" w:rsidP="00BC1846">
            <w:pPr>
              <w:spacing w:after="0" w:line="240" w:lineRule="auto"/>
              <w:jc w:val="left"/>
              <w:rPr>
                <w:rFonts w:eastAsia="Times New Roman"/>
                <w:sz w:val="20"/>
                <w:szCs w:val="20"/>
                <w:lang w:eastAsia="es-EC"/>
              </w:rPr>
            </w:pPr>
          </w:p>
        </w:tc>
      </w:tr>
      <w:tr w:rsidR="00BC1846" w:rsidRPr="00BC1846" w14:paraId="6156BC93"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67F0512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Capital Suscrito</w:t>
            </w:r>
          </w:p>
        </w:tc>
        <w:tc>
          <w:tcPr>
            <w:tcW w:w="1275" w:type="dxa"/>
            <w:tcBorders>
              <w:top w:val="nil"/>
              <w:left w:val="nil"/>
              <w:bottom w:val="nil"/>
              <w:right w:val="nil"/>
            </w:tcBorders>
            <w:shd w:val="clear" w:color="auto" w:fill="auto"/>
            <w:noWrap/>
            <w:vAlign w:val="bottom"/>
            <w:hideMark/>
          </w:tcPr>
          <w:p w14:paraId="096632F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2.000 </w:t>
            </w:r>
          </w:p>
        </w:tc>
        <w:tc>
          <w:tcPr>
            <w:tcW w:w="1276" w:type="dxa"/>
            <w:tcBorders>
              <w:top w:val="nil"/>
              <w:left w:val="nil"/>
              <w:bottom w:val="nil"/>
              <w:right w:val="nil"/>
            </w:tcBorders>
            <w:shd w:val="clear" w:color="auto" w:fill="auto"/>
            <w:noWrap/>
            <w:vAlign w:val="bottom"/>
            <w:hideMark/>
          </w:tcPr>
          <w:p w14:paraId="30BCFF00"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2.000 </w:t>
            </w:r>
          </w:p>
        </w:tc>
        <w:tc>
          <w:tcPr>
            <w:tcW w:w="1276" w:type="dxa"/>
            <w:tcBorders>
              <w:top w:val="nil"/>
              <w:left w:val="nil"/>
              <w:bottom w:val="nil"/>
              <w:right w:val="nil"/>
            </w:tcBorders>
            <w:shd w:val="clear" w:color="auto" w:fill="auto"/>
            <w:noWrap/>
            <w:vAlign w:val="bottom"/>
            <w:hideMark/>
          </w:tcPr>
          <w:p w14:paraId="5D8F665C"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2.000 </w:t>
            </w:r>
          </w:p>
        </w:tc>
      </w:tr>
      <w:tr w:rsidR="00BC1846" w:rsidRPr="00BC1846" w14:paraId="57A6BAE7"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578D357B"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Aportes de Socios</w:t>
            </w:r>
          </w:p>
        </w:tc>
        <w:tc>
          <w:tcPr>
            <w:tcW w:w="1275" w:type="dxa"/>
            <w:tcBorders>
              <w:top w:val="nil"/>
              <w:left w:val="nil"/>
              <w:bottom w:val="nil"/>
              <w:right w:val="nil"/>
            </w:tcBorders>
            <w:shd w:val="clear" w:color="auto" w:fill="auto"/>
            <w:noWrap/>
            <w:vAlign w:val="bottom"/>
            <w:hideMark/>
          </w:tcPr>
          <w:p w14:paraId="5F49A6F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30.000 </w:t>
            </w:r>
          </w:p>
        </w:tc>
        <w:tc>
          <w:tcPr>
            <w:tcW w:w="1276" w:type="dxa"/>
            <w:tcBorders>
              <w:top w:val="nil"/>
              <w:left w:val="nil"/>
              <w:bottom w:val="nil"/>
              <w:right w:val="nil"/>
            </w:tcBorders>
            <w:shd w:val="clear" w:color="auto" w:fill="auto"/>
            <w:noWrap/>
            <w:vAlign w:val="bottom"/>
            <w:hideMark/>
          </w:tcPr>
          <w:p w14:paraId="27975887"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   </w:t>
            </w:r>
          </w:p>
        </w:tc>
        <w:tc>
          <w:tcPr>
            <w:tcW w:w="1276" w:type="dxa"/>
            <w:tcBorders>
              <w:top w:val="nil"/>
              <w:left w:val="nil"/>
              <w:bottom w:val="nil"/>
              <w:right w:val="nil"/>
            </w:tcBorders>
            <w:shd w:val="clear" w:color="auto" w:fill="auto"/>
            <w:noWrap/>
            <w:vAlign w:val="bottom"/>
            <w:hideMark/>
          </w:tcPr>
          <w:p w14:paraId="742C041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179.158 </w:t>
            </w:r>
          </w:p>
        </w:tc>
      </w:tr>
      <w:tr w:rsidR="00BC1846" w:rsidRPr="00BC1846" w14:paraId="5E26EF9D"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325D1F30"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lastRenderedPageBreak/>
              <w:t>Reservas</w:t>
            </w:r>
          </w:p>
        </w:tc>
        <w:tc>
          <w:tcPr>
            <w:tcW w:w="1275" w:type="dxa"/>
            <w:tcBorders>
              <w:top w:val="nil"/>
              <w:left w:val="nil"/>
              <w:bottom w:val="nil"/>
              <w:right w:val="nil"/>
            </w:tcBorders>
            <w:shd w:val="clear" w:color="auto" w:fill="auto"/>
            <w:noWrap/>
            <w:vAlign w:val="bottom"/>
            <w:hideMark/>
          </w:tcPr>
          <w:p w14:paraId="39824429"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4.031 </w:t>
            </w:r>
          </w:p>
        </w:tc>
        <w:tc>
          <w:tcPr>
            <w:tcW w:w="1276" w:type="dxa"/>
            <w:tcBorders>
              <w:top w:val="nil"/>
              <w:left w:val="nil"/>
              <w:bottom w:val="nil"/>
              <w:right w:val="nil"/>
            </w:tcBorders>
            <w:shd w:val="clear" w:color="auto" w:fill="auto"/>
            <w:noWrap/>
            <w:vAlign w:val="bottom"/>
            <w:hideMark/>
          </w:tcPr>
          <w:p w14:paraId="557DBCEC"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34.031 </w:t>
            </w:r>
          </w:p>
        </w:tc>
        <w:tc>
          <w:tcPr>
            <w:tcW w:w="1276" w:type="dxa"/>
            <w:tcBorders>
              <w:top w:val="nil"/>
              <w:left w:val="nil"/>
              <w:bottom w:val="nil"/>
              <w:right w:val="nil"/>
            </w:tcBorders>
            <w:shd w:val="clear" w:color="auto" w:fill="auto"/>
            <w:noWrap/>
            <w:vAlign w:val="bottom"/>
            <w:hideMark/>
          </w:tcPr>
          <w:p w14:paraId="53C59661"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34.031 </w:t>
            </w:r>
          </w:p>
        </w:tc>
      </w:tr>
      <w:tr w:rsidR="00BC1846" w:rsidRPr="00BC1846" w14:paraId="01BBB860"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16C334DA"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Resultados Acumulados</w:t>
            </w:r>
          </w:p>
        </w:tc>
        <w:tc>
          <w:tcPr>
            <w:tcW w:w="1275" w:type="dxa"/>
            <w:tcBorders>
              <w:top w:val="nil"/>
              <w:left w:val="nil"/>
              <w:bottom w:val="nil"/>
              <w:right w:val="nil"/>
            </w:tcBorders>
            <w:shd w:val="clear" w:color="auto" w:fill="auto"/>
            <w:noWrap/>
            <w:vAlign w:val="bottom"/>
            <w:hideMark/>
          </w:tcPr>
          <w:p w14:paraId="59CF485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87.034 </w:t>
            </w:r>
          </w:p>
        </w:tc>
        <w:tc>
          <w:tcPr>
            <w:tcW w:w="1276" w:type="dxa"/>
            <w:tcBorders>
              <w:top w:val="nil"/>
              <w:left w:val="nil"/>
              <w:bottom w:val="nil"/>
              <w:right w:val="nil"/>
            </w:tcBorders>
            <w:shd w:val="clear" w:color="auto" w:fill="auto"/>
            <w:noWrap/>
            <w:vAlign w:val="bottom"/>
            <w:hideMark/>
          </w:tcPr>
          <w:p w14:paraId="00180855"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47.177 </w:t>
            </w:r>
          </w:p>
        </w:tc>
        <w:tc>
          <w:tcPr>
            <w:tcW w:w="1276" w:type="dxa"/>
            <w:tcBorders>
              <w:top w:val="nil"/>
              <w:left w:val="nil"/>
              <w:bottom w:val="nil"/>
              <w:right w:val="nil"/>
            </w:tcBorders>
            <w:shd w:val="clear" w:color="auto" w:fill="auto"/>
            <w:noWrap/>
            <w:vAlign w:val="bottom"/>
            <w:hideMark/>
          </w:tcPr>
          <w:p w14:paraId="3504519D"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45.382 </w:t>
            </w:r>
          </w:p>
        </w:tc>
      </w:tr>
      <w:tr w:rsidR="00BC1846" w:rsidRPr="00BC1846" w14:paraId="7BCF24E5" w14:textId="77777777" w:rsidTr="00DA307F">
        <w:trPr>
          <w:trHeight w:val="315"/>
          <w:jc w:val="center"/>
        </w:trPr>
        <w:tc>
          <w:tcPr>
            <w:tcW w:w="4395" w:type="dxa"/>
            <w:tcBorders>
              <w:top w:val="nil"/>
              <w:left w:val="nil"/>
              <w:bottom w:val="nil"/>
              <w:right w:val="nil"/>
            </w:tcBorders>
            <w:shd w:val="clear" w:color="auto" w:fill="auto"/>
            <w:noWrap/>
            <w:vAlign w:val="bottom"/>
            <w:hideMark/>
          </w:tcPr>
          <w:p w14:paraId="199CEECE"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Resultados del Ejercicio</w:t>
            </w:r>
          </w:p>
        </w:tc>
        <w:tc>
          <w:tcPr>
            <w:tcW w:w="1275" w:type="dxa"/>
            <w:tcBorders>
              <w:top w:val="nil"/>
              <w:left w:val="nil"/>
              <w:bottom w:val="nil"/>
              <w:right w:val="nil"/>
            </w:tcBorders>
            <w:shd w:val="clear" w:color="auto" w:fill="auto"/>
            <w:noWrap/>
            <w:vAlign w:val="bottom"/>
            <w:hideMark/>
          </w:tcPr>
          <w:p w14:paraId="34820398"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(39.605)</w:t>
            </w:r>
          </w:p>
        </w:tc>
        <w:tc>
          <w:tcPr>
            <w:tcW w:w="1276" w:type="dxa"/>
            <w:tcBorders>
              <w:top w:val="nil"/>
              <w:left w:val="nil"/>
              <w:bottom w:val="nil"/>
              <w:right w:val="nil"/>
            </w:tcBorders>
            <w:shd w:val="clear" w:color="auto" w:fill="auto"/>
            <w:noWrap/>
            <w:vAlign w:val="bottom"/>
            <w:hideMark/>
          </w:tcPr>
          <w:p w14:paraId="7AD0B5E2"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391 </w:t>
            </w:r>
          </w:p>
        </w:tc>
        <w:tc>
          <w:tcPr>
            <w:tcW w:w="1276" w:type="dxa"/>
            <w:tcBorders>
              <w:top w:val="nil"/>
              <w:left w:val="nil"/>
              <w:bottom w:val="nil"/>
              <w:right w:val="nil"/>
            </w:tcBorders>
            <w:shd w:val="clear" w:color="auto" w:fill="auto"/>
            <w:noWrap/>
            <w:vAlign w:val="bottom"/>
            <w:hideMark/>
          </w:tcPr>
          <w:p w14:paraId="33DE8CDF" w14:textId="77777777" w:rsidR="00BC1846" w:rsidRPr="00BC1846" w:rsidRDefault="00BC1846" w:rsidP="00BC1846">
            <w:pPr>
              <w:spacing w:after="0" w:line="240" w:lineRule="auto"/>
              <w:jc w:val="left"/>
              <w:rPr>
                <w:rFonts w:eastAsia="Times New Roman"/>
                <w:color w:val="000000"/>
                <w:szCs w:val="24"/>
                <w:lang w:eastAsia="es-EC"/>
              </w:rPr>
            </w:pPr>
            <w:r w:rsidRPr="00BC1846">
              <w:rPr>
                <w:rFonts w:eastAsia="Times New Roman"/>
                <w:color w:val="000000"/>
                <w:szCs w:val="24"/>
                <w:lang w:eastAsia="es-EC"/>
              </w:rPr>
              <w:t xml:space="preserve"> $    43.072 </w:t>
            </w:r>
          </w:p>
        </w:tc>
      </w:tr>
      <w:tr w:rsidR="00BC1846" w:rsidRPr="00BC1846" w14:paraId="0C015385" w14:textId="77777777" w:rsidTr="00DA307F">
        <w:trPr>
          <w:trHeight w:val="315"/>
          <w:jc w:val="center"/>
        </w:trPr>
        <w:tc>
          <w:tcPr>
            <w:tcW w:w="4395" w:type="dxa"/>
            <w:tcBorders>
              <w:top w:val="nil"/>
              <w:left w:val="nil"/>
              <w:right w:val="nil"/>
            </w:tcBorders>
            <w:shd w:val="clear" w:color="auto" w:fill="auto"/>
            <w:noWrap/>
            <w:vAlign w:val="bottom"/>
            <w:hideMark/>
          </w:tcPr>
          <w:p w14:paraId="54C755E2"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TOTAL PATRIMONIO</w:t>
            </w:r>
          </w:p>
        </w:tc>
        <w:tc>
          <w:tcPr>
            <w:tcW w:w="1275" w:type="dxa"/>
            <w:tcBorders>
              <w:top w:val="nil"/>
              <w:left w:val="nil"/>
              <w:right w:val="nil"/>
            </w:tcBorders>
            <w:shd w:val="clear" w:color="auto" w:fill="auto"/>
            <w:noWrap/>
            <w:vAlign w:val="bottom"/>
            <w:hideMark/>
          </w:tcPr>
          <w:p w14:paraId="7E36A021"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83.461 </w:t>
            </w:r>
          </w:p>
        </w:tc>
        <w:tc>
          <w:tcPr>
            <w:tcW w:w="1276" w:type="dxa"/>
            <w:tcBorders>
              <w:top w:val="nil"/>
              <w:left w:val="nil"/>
              <w:right w:val="nil"/>
            </w:tcBorders>
            <w:shd w:val="clear" w:color="auto" w:fill="auto"/>
            <w:noWrap/>
            <w:vAlign w:val="bottom"/>
            <w:hideMark/>
          </w:tcPr>
          <w:p w14:paraId="10AA1AD0"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83.599 </w:t>
            </w:r>
          </w:p>
        </w:tc>
        <w:tc>
          <w:tcPr>
            <w:tcW w:w="1276" w:type="dxa"/>
            <w:tcBorders>
              <w:top w:val="nil"/>
              <w:left w:val="nil"/>
              <w:right w:val="nil"/>
            </w:tcBorders>
            <w:shd w:val="clear" w:color="auto" w:fill="auto"/>
            <w:noWrap/>
            <w:vAlign w:val="bottom"/>
            <w:hideMark/>
          </w:tcPr>
          <w:p w14:paraId="68D344BF"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303.644 </w:t>
            </w:r>
          </w:p>
        </w:tc>
      </w:tr>
      <w:tr w:rsidR="00BC1846" w:rsidRPr="00BC1846" w14:paraId="5334F8E4" w14:textId="77777777" w:rsidTr="00DA307F">
        <w:trPr>
          <w:trHeight w:val="330"/>
          <w:jc w:val="center"/>
        </w:trPr>
        <w:tc>
          <w:tcPr>
            <w:tcW w:w="4395" w:type="dxa"/>
            <w:tcBorders>
              <w:top w:val="nil"/>
              <w:left w:val="nil"/>
              <w:bottom w:val="single" w:sz="12" w:space="0" w:color="auto"/>
              <w:right w:val="nil"/>
            </w:tcBorders>
            <w:shd w:val="clear" w:color="auto" w:fill="auto"/>
            <w:noWrap/>
            <w:vAlign w:val="bottom"/>
            <w:hideMark/>
          </w:tcPr>
          <w:p w14:paraId="29EDB9A9"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TOTAL PASIVO Y PATRIMONIO</w:t>
            </w:r>
          </w:p>
        </w:tc>
        <w:tc>
          <w:tcPr>
            <w:tcW w:w="1275" w:type="dxa"/>
            <w:tcBorders>
              <w:top w:val="nil"/>
              <w:left w:val="nil"/>
              <w:bottom w:val="single" w:sz="12" w:space="0" w:color="auto"/>
              <w:right w:val="nil"/>
            </w:tcBorders>
            <w:shd w:val="clear" w:color="auto" w:fill="auto"/>
            <w:noWrap/>
            <w:vAlign w:val="bottom"/>
            <w:hideMark/>
          </w:tcPr>
          <w:p w14:paraId="1FF83F8B"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613.723 </w:t>
            </w:r>
          </w:p>
        </w:tc>
        <w:tc>
          <w:tcPr>
            <w:tcW w:w="1276" w:type="dxa"/>
            <w:tcBorders>
              <w:top w:val="nil"/>
              <w:left w:val="nil"/>
              <w:bottom w:val="single" w:sz="12" w:space="0" w:color="auto"/>
              <w:right w:val="nil"/>
            </w:tcBorders>
            <w:shd w:val="clear" w:color="auto" w:fill="auto"/>
            <w:noWrap/>
            <w:vAlign w:val="bottom"/>
            <w:hideMark/>
          </w:tcPr>
          <w:p w14:paraId="11AA855A" w14:textId="77777777" w:rsidR="00BC1846" w:rsidRPr="00BC1846" w:rsidRDefault="00BC1846" w:rsidP="00BC1846">
            <w:pPr>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613.771 </w:t>
            </w:r>
          </w:p>
        </w:tc>
        <w:tc>
          <w:tcPr>
            <w:tcW w:w="1276" w:type="dxa"/>
            <w:tcBorders>
              <w:top w:val="nil"/>
              <w:left w:val="nil"/>
              <w:bottom w:val="single" w:sz="12" w:space="0" w:color="auto"/>
              <w:right w:val="nil"/>
            </w:tcBorders>
            <w:shd w:val="clear" w:color="auto" w:fill="auto"/>
            <w:noWrap/>
            <w:vAlign w:val="bottom"/>
            <w:hideMark/>
          </w:tcPr>
          <w:p w14:paraId="55CA769B" w14:textId="77777777" w:rsidR="00BC1846" w:rsidRPr="00BC1846" w:rsidRDefault="00BC1846" w:rsidP="00DA307F">
            <w:pPr>
              <w:keepNext/>
              <w:spacing w:after="0" w:line="240" w:lineRule="auto"/>
              <w:jc w:val="left"/>
              <w:rPr>
                <w:rFonts w:eastAsia="Times New Roman"/>
                <w:b/>
                <w:bCs/>
                <w:color w:val="000000"/>
                <w:szCs w:val="24"/>
                <w:lang w:eastAsia="es-EC"/>
              </w:rPr>
            </w:pPr>
            <w:r w:rsidRPr="00BC1846">
              <w:rPr>
                <w:rFonts w:eastAsia="Times New Roman"/>
                <w:b/>
                <w:bCs/>
                <w:color w:val="000000"/>
                <w:szCs w:val="24"/>
                <w:lang w:eastAsia="es-EC"/>
              </w:rPr>
              <w:t xml:space="preserve"> $  763.530 </w:t>
            </w:r>
          </w:p>
        </w:tc>
      </w:tr>
    </w:tbl>
    <w:p w14:paraId="323D21D7" w14:textId="24258001" w:rsidR="008671E3" w:rsidRPr="00F61885" w:rsidRDefault="00753215" w:rsidP="00304120">
      <w:pPr>
        <w:rPr>
          <w:sz w:val="18"/>
          <w:szCs w:val="18"/>
        </w:rPr>
      </w:pPr>
      <w:r>
        <w:t xml:space="preserve">       </w:t>
      </w:r>
      <w:r w:rsidR="00055BB7" w:rsidRPr="00F61885">
        <w:rPr>
          <w:sz w:val="18"/>
          <w:szCs w:val="18"/>
        </w:rPr>
        <w:t xml:space="preserve">Fuente: </w:t>
      </w:r>
      <w:sdt>
        <w:sdtPr>
          <w:rPr>
            <w:sz w:val="18"/>
            <w:szCs w:val="18"/>
          </w:rPr>
          <w:id w:val="-1750271538"/>
          <w:citation/>
        </w:sdtPr>
        <w:sdtEndPr/>
        <w:sdtContent>
          <w:r w:rsidR="00055BB7" w:rsidRPr="00F61885">
            <w:rPr>
              <w:sz w:val="18"/>
              <w:szCs w:val="18"/>
            </w:rPr>
            <w:fldChar w:fldCharType="begin"/>
          </w:r>
          <w:r w:rsidR="00055BB7" w:rsidRPr="00F61885">
            <w:rPr>
              <w:sz w:val="18"/>
              <w:szCs w:val="18"/>
            </w:rPr>
            <w:instrText xml:space="preserve"> CITATION Sup16 \l 12298 </w:instrText>
          </w:r>
          <w:r w:rsidR="00055BB7" w:rsidRPr="00F61885">
            <w:rPr>
              <w:sz w:val="18"/>
              <w:szCs w:val="18"/>
            </w:rPr>
            <w:fldChar w:fldCharType="separate"/>
          </w:r>
          <w:r w:rsidR="00055BB7" w:rsidRPr="00F61885">
            <w:rPr>
              <w:noProof/>
              <w:sz w:val="18"/>
              <w:szCs w:val="18"/>
            </w:rPr>
            <w:t>(Superintendencia de Compañías, Valores y Seguros, 2016)</w:t>
          </w:r>
          <w:r w:rsidR="00055BB7" w:rsidRPr="00F61885">
            <w:rPr>
              <w:sz w:val="18"/>
              <w:szCs w:val="18"/>
            </w:rPr>
            <w:fldChar w:fldCharType="end"/>
          </w:r>
        </w:sdtContent>
      </w:sdt>
    </w:p>
    <w:sectPr w:rsidR="008671E3" w:rsidRPr="00F61885" w:rsidSect="00BC1846">
      <w:pgSz w:w="12240" w:h="15840"/>
      <w:pgMar w:top="1418" w:right="1418"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572743" w14:textId="77777777" w:rsidR="0072338E" w:rsidRDefault="0072338E" w:rsidP="00BC5F8E">
      <w:pPr>
        <w:spacing w:after="0" w:line="240" w:lineRule="auto"/>
      </w:pPr>
      <w:r>
        <w:separator/>
      </w:r>
    </w:p>
  </w:endnote>
  <w:endnote w:type="continuationSeparator" w:id="0">
    <w:p w14:paraId="2B100B61" w14:textId="77777777" w:rsidR="0072338E" w:rsidRDefault="0072338E" w:rsidP="00BC5F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0364617"/>
      <w:docPartObj>
        <w:docPartGallery w:val="Page Numbers (Bottom of Page)"/>
        <w:docPartUnique/>
      </w:docPartObj>
    </w:sdtPr>
    <w:sdtEndPr/>
    <w:sdtContent>
      <w:p w14:paraId="3CE08DB7" w14:textId="371F45A6" w:rsidR="0050552F" w:rsidRDefault="0050552F">
        <w:pPr>
          <w:pStyle w:val="Piedepgina"/>
          <w:jc w:val="center"/>
        </w:pPr>
        <w:r>
          <w:fldChar w:fldCharType="begin"/>
        </w:r>
        <w:r>
          <w:instrText>PAGE   \* MERGEFORMAT</w:instrText>
        </w:r>
        <w:r>
          <w:fldChar w:fldCharType="separate"/>
        </w:r>
        <w:r w:rsidR="00B828B8" w:rsidRPr="00B828B8">
          <w:rPr>
            <w:noProof/>
            <w:lang w:val="es-ES"/>
          </w:rPr>
          <w:t>2</w:t>
        </w:r>
        <w:r>
          <w:fldChar w:fldCharType="end"/>
        </w:r>
      </w:p>
    </w:sdtContent>
  </w:sdt>
  <w:p w14:paraId="4075AD06" w14:textId="77777777" w:rsidR="0050552F" w:rsidRDefault="0050552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064E14" w14:textId="75B720DA" w:rsidR="0050552F" w:rsidRDefault="0050552F">
    <w:pPr>
      <w:pStyle w:val="Piedepgina"/>
      <w:jc w:val="center"/>
    </w:pPr>
  </w:p>
  <w:p w14:paraId="03666418" w14:textId="77777777" w:rsidR="0050552F" w:rsidRDefault="0050552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5361649"/>
      <w:docPartObj>
        <w:docPartGallery w:val="Page Numbers (Bottom of Page)"/>
        <w:docPartUnique/>
      </w:docPartObj>
    </w:sdtPr>
    <w:sdtEndPr/>
    <w:sdtContent>
      <w:p w14:paraId="2C2C28ED" w14:textId="77777777" w:rsidR="0050552F" w:rsidRDefault="0050552F">
        <w:pPr>
          <w:pStyle w:val="Piedepgina"/>
          <w:jc w:val="center"/>
        </w:pPr>
        <w:r>
          <w:fldChar w:fldCharType="begin"/>
        </w:r>
        <w:r>
          <w:instrText>PAGE   \* MERGEFORMAT</w:instrText>
        </w:r>
        <w:r>
          <w:fldChar w:fldCharType="separate"/>
        </w:r>
        <w:r w:rsidR="00B828B8" w:rsidRPr="00B828B8">
          <w:rPr>
            <w:noProof/>
            <w:lang w:val="es-ES"/>
          </w:rPr>
          <w:t>87</w:t>
        </w:r>
        <w:r>
          <w:fldChar w:fldCharType="end"/>
        </w:r>
      </w:p>
    </w:sdtContent>
  </w:sdt>
  <w:p w14:paraId="352ADEE5" w14:textId="77777777" w:rsidR="0050552F" w:rsidRDefault="005055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93B589" w14:textId="77777777" w:rsidR="0072338E" w:rsidRDefault="0072338E" w:rsidP="00BC5F8E">
      <w:pPr>
        <w:spacing w:after="0" w:line="240" w:lineRule="auto"/>
      </w:pPr>
      <w:r>
        <w:separator/>
      </w:r>
    </w:p>
  </w:footnote>
  <w:footnote w:type="continuationSeparator" w:id="0">
    <w:p w14:paraId="12378913" w14:textId="77777777" w:rsidR="0072338E" w:rsidRDefault="0072338E" w:rsidP="00BC5F8E">
      <w:pPr>
        <w:spacing w:after="0" w:line="240" w:lineRule="auto"/>
      </w:pPr>
      <w:r>
        <w:continuationSeparator/>
      </w:r>
    </w:p>
  </w:footnote>
  <w:footnote w:id="1">
    <w:p w14:paraId="6C093ABF" w14:textId="77777777" w:rsidR="0050552F" w:rsidRDefault="0050552F">
      <w:pPr>
        <w:pStyle w:val="Textonotapie"/>
      </w:pPr>
      <w:r>
        <w:rPr>
          <w:rStyle w:val="Refdenotaalpie"/>
        </w:rPr>
        <w:footnoteRef/>
      </w:r>
      <w:r>
        <w:t xml:space="preserve"> La conversión se realizó a un tipo de cambio de 1,1131 dólares/euro del 20 de febrero del 2016 </w:t>
      </w:r>
      <w:sdt>
        <w:sdtPr>
          <w:id w:val="13128320"/>
          <w:citation/>
        </w:sdtPr>
        <w:sdtEndPr/>
        <w:sdtContent>
          <w:r>
            <w:fldChar w:fldCharType="begin"/>
          </w:r>
          <w:r>
            <w:instrText xml:space="preserve"> CITATION Inv16 \l 12298 </w:instrText>
          </w:r>
          <w:r>
            <w:fldChar w:fldCharType="separate"/>
          </w:r>
          <w:r>
            <w:rPr>
              <w:noProof/>
            </w:rPr>
            <w:t>(Investing.com, 2016)</w:t>
          </w:r>
          <w:r>
            <w:fldChar w:fldCharType="end"/>
          </w:r>
        </w:sdtContent>
      </w:sdt>
      <w:r>
        <w:t>.</w:t>
      </w:r>
    </w:p>
  </w:footnote>
  <w:footnote w:id="2">
    <w:p w14:paraId="391FA633" w14:textId="77777777" w:rsidR="0050552F" w:rsidRDefault="0050552F" w:rsidP="00455CE0">
      <w:pPr>
        <w:pStyle w:val="Textonotapie"/>
      </w:pPr>
      <w:r>
        <w:rPr>
          <w:rStyle w:val="Refdenotaalpie"/>
        </w:rPr>
        <w:footnoteRef/>
      </w:r>
      <w:r>
        <w:t xml:space="preserve"> La conversión se realizó a un tipo de cambio de 1,1131 dólares/euro del 20 de febrero del 2016 </w:t>
      </w:r>
      <w:sdt>
        <w:sdtPr>
          <w:id w:val="1018885171"/>
          <w:citation/>
        </w:sdtPr>
        <w:sdtEndPr/>
        <w:sdtContent>
          <w:r>
            <w:fldChar w:fldCharType="begin"/>
          </w:r>
          <w:r>
            <w:instrText xml:space="preserve"> CITATION Inv16 \l 12298 </w:instrText>
          </w:r>
          <w:r>
            <w:fldChar w:fldCharType="separate"/>
          </w:r>
          <w:r>
            <w:rPr>
              <w:noProof/>
            </w:rPr>
            <w:t>(Investing.com, 2016)</w:t>
          </w:r>
          <w:r>
            <w:fldChar w:fldCharType="end"/>
          </w:r>
        </w:sdtContent>
      </w:sdt>
      <w:r>
        <w:t>.</w:t>
      </w:r>
    </w:p>
    <w:p w14:paraId="0E37D343" w14:textId="77777777" w:rsidR="0050552F" w:rsidRDefault="0050552F">
      <w:pPr>
        <w:pStyle w:val="Textonotapie"/>
      </w:pPr>
    </w:p>
  </w:footnote>
  <w:footnote w:id="3">
    <w:p w14:paraId="0EB077ED" w14:textId="77777777" w:rsidR="0050552F" w:rsidRDefault="0050552F" w:rsidP="005A1309">
      <w:pPr>
        <w:pStyle w:val="Textonotapie"/>
      </w:pPr>
      <w:r>
        <w:rPr>
          <w:rStyle w:val="Refdenotaalpie"/>
        </w:rPr>
        <w:footnoteRef/>
      </w:r>
      <w:r>
        <w:t xml:space="preserve"> La conversión se realizó a un tipo de cambio de USD/BOB= 0,14401 establecida el 15 de enero del 2016 por Banco Central de Bolivia.</w:t>
      </w:r>
    </w:p>
  </w:footnote>
  <w:footnote w:id="4">
    <w:p w14:paraId="22F5769F" w14:textId="77777777" w:rsidR="0050552F" w:rsidRDefault="0050552F" w:rsidP="005A1309">
      <w:pPr>
        <w:pStyle w:val="Textonotapie"/>
      </w:pPr>
      <w:r>
        <w:rPr>
          <w:rStyle w:val="Refdenotaalpie"/>
        </w:rPr>
        <w:footnoteRef/>
      </w:r>
      <w:r>
        <w:t xml:space="preserve"> La conversión se realizó a un tipo de cambio de USD/BOB= 0,14401 establecida el 15 de enero del 2016 por Banco Central de Bolivia.</w:t>
      </w:r>
    </w:p>
  </w:footnote>
  <w:footnote w:id="5">
    <w:p w14:paraId="3DD47C17" w14:textId="77777777" w:rsidR="0050552F" w:rsidRDefault="0050552F" w:rsidP="005A1309">
      <w:pPr>
        <w:pStyle w:val="Textonotapie"/>
      </w:pPr>
      <w:r>
        <w:rPr>
          <w:rStyle w:val="Refdenotaalpie"/>
        </w:rPr>
        <w:footnoteRef/>
      </w:r>
      <w:r>
        <w:t xml:space="preserve"> La conversión se realizó a un tipo de cambio de USD/BOB= 0,14401 establecida el 15 de enero del 2016 por Banco Central de Bolivia.</w:t>
      </w:r>
    </w:p>
  </w:footnote>
  <w:footnote w:id="6">
    <w:p w14:paraId="1BA95F64" w14:textId="77777777" w:rsidR="0050552F" w:rsidRDefault="0050552F" w:rsidP="005A1309">
      <w:pPr>
        <w:pStyle w:val="Textonotapie"/>
      </w:pPr>
      <w:r>
        <w:rPr>
          <w:rStyle w:val="Refdenotaalpie"/>
        </w:rPr>
        <w:footnoteRef/>
      </w:r>
      <w:r>
        <w:t xml:space="preserve"> La conversión se realizó a un tipo de cambio de USD/BOB= 0,14401 establecida el 15 de enero del 2016 por Banco Central de Bolivia.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095DF0"/>
    <w:multiLevelType w:val="multilevel"/>
    <w:tmpl w:val="8F0EA0E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i w:val="0"/>
      </w:rPr>
    </w:lvl>
    <w:lvl w:ilvl="3">
      <w:start w:val="1"/>
      <w:numFmt w:val="decimal"/>
      <w:lvlText w:val="%1.%2.%3.%4."/>
      <w:lvlJc w:val="left"/>
      <w:pPr>
        <w:ind w:left="1728" w:hanging="648"/>
      </w:pPr>
      <w:rPr>
        <w:rFonts w:hint="default"/>
        <w:i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F327F26"/>
    <w:multiLevelType w:val="multilevel"/>
    <w:tmpl w:val="67C4419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21A74704"/>
    <w:multiLevelType w:val="hybridMultilevel"/>
    <w:tmpl w:val="CEF8BA2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22A07A26"/>
    <w:multiLevelType w:val="multilevel"/>
    <w:tmpl w:val="30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6914E19"/>
    <w:multiLevelType w:val="multilevel"/>
    <w:tmpl w:val="40626A56"/>
    <w:lvl w:ilvl="0">
      <w:start w:val="1"/>
      <w:numFmt w:val="decimal"/>
      <w:lvlText w:val="%1."/>
      <w:lvlJc w:val="left"/>
      <w:pPr>
        <w:ind w:left="720" w:hanging="360"/>
      </w:pPr>
      <w:rPr>
        <w:rFonts w:hint="default"/>
      </w:rPr>
    </w:lvl>
    <w:lvl w:ilvl="1">
      <w:start w:val="1"/>
      <w:numFmt w:val="decimal"/>
      <w:isLgl/>
      <w:lvlText w:val="%1.%2."/>
      <w:lvlJc w:val="left"/>
      <w:pPr>
        <w:ind w:left="1140" w:hanging="360"/>
      </w:pPr>
      <w:rPr>
        <w:rFonts w:hint="default"/>
      </w:rPr>
    </w:lvl>
    <w:lvl w:ilvl="2">
      <w:start w:val="1"/>
      <w:numFmt w:val="decimal"/>
      <w:isLgl/>
      <w:lvlText w:val="%1.%2.%3."/>
      <w:lvlJc w:val="left"/>
      <w:pPr>
        <w:ind w:left="1920" w:hanging="720"/>
      </w:pPr>
      <w:rPr>
        <w:rFonts w:hint="default"/>
        <w:i w:val="0"/>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520" w:hanging="1800"/>
      </w:pPr>
      <w:rPr>
        <w:rFonts w:hint="default"/>
      </w:rPr>
    </w:lvl>
  </w:abstractNum>
  <w:abstractNum w:abstractNumId="5" w15:restartNumberingAfterBreak="0">
    <w:nsid w:val="37D22C76"/>
    <w:multiLevelType w:val="hybridMultilevel"/>
    <w:tmpl w:val="AC4424A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3A2A0A38"/>
    <w:multiLevelType w:val="hybridMultilevel"/>
    <w:tmpl w:val="F0C0799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442F73AD"/>
    <w:multiLevelType w:val="multilevel"/>
    <w:tmpl w:val="3A2042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D353446"/>
    <w:multiLevelType w:val="hybridMultilevel"/>
    <w:tmpl w:val="D012F75E"/>
    <w:lvl w:ilvl="0" w:tplc="7C04224A">
      <w:start w:val="1"/>
      <w:numFmt w:val="decimal"/>
      <w:pStyle w:val="Subt2"/>
      <w:lvlText w:val="%1.1."/>
      <w:lvlJc w:val="left"/>
      <w:pPr>
        <w:ind w:left="780" w:hanging="360"/>
      </w:pPr>
      <w:rPr>
        <w:rFonts w:hint="default"/>
      </w:rPr>
    </w:lvl>
    <w:lvl w:ilvl="1" w:tplc="300A0019" w:tentative="1">
      <w:start w:val="1"/>
      <w:numFmt w:val="lowerLetter"/>
      <w:lvlText w:val="%2."/>
      <w:lvlJc w:val="left"/>
      <w:pPr>
        <w:ind w:left="1860" w:hanging="360"/>
      </w:pPr>
    </w:lvl>
    <w:lvl w:ilvl="2" w:tplc="300A001B" w:tentative="1">
      <w:start w:val="1"/>
      <w:numFmt w:val="lowerRoman"/>
      <w:lvlText w:val="%3."/>
      <w:lvlJc w:val="right"/>
      <w:pPr>
        <w:ind w:left="2580" w:hanging="180"/>
      </w:pPr>
    </w:lvl>
    <w:lvl w:ilvl="3" w:tplc="300A000F" w:tentative="1">
      <w:start w:val="1"/>
      <w:numFmt w:val="decimal"/>
      <w:lvlText w:val="%4."/>
      <w:lvlJc w:val="left"/>
      <w:pPr>
        <w:ind w:left="3300" w:hanging="360"/>
      </w:pPr>
    </w:lvl>
    <w:lvl w:ilvl="4" w:tplc="300A0019" w:tentative="1">
      <w:start w:val="1"/>
      <w:numFmt w:val="lowerLetter"/>
      <w:lvlText w:val="%5."/>
      <w:lvlJc w:val="left"/>
      <w:pPr>
        <w:ind w:left="4020" w:hanging="360"/>
      </w:pPr>
    </w:lvl>
    <w:lvl w:ilvl="5" w:tplc="300A001B" w:tentative="1">
      <w:start w:val="1"/>
      <w:numFmt w:val="lowerRoman"/>
      <w:lvlText w:val="%6."/>
      <w:lvlJc w:val="right"/>
      <w:pPr>
        <w:ind w:left="4740" w:hanging="180"/>
      </w:pPr>
    </w:lvl>
    <w:lvl w:ilvl="6" w:tplc="300A000F" w:tentative="1">
      <w:start w:val="1"/>
      <w:numFmt w:val="decimal"/>
      <w:lvlText w:val="%7."/>
      <w:lvlJc w:val="left"/>
      <w:pPr>
        <w:ind w:left="5460" w:hanging="360"/>
      </w:pPr>
    </w:lvl>
    <w:lvl w:ilvl="7" w:tplc="300A0019" w:tentative="1">
      <w:start w:val="1"/>
      <w:numFmt w:val="lowerLetter"/>
      <w:lvlText w:val="%8."/>
      <w:lvlJc w:val="left"/>
      <w:pPr>
        <w:ind w:left="6180" w:hanging="360"/>
      </w:pPr>
    </w:lvl>
    <w:lvl w:ilvl="8" w:tplc="300A001B" w:tentative="1">
      <w:start w:val="1"/>
      <w:numFmt w:val="lowerRoman"/>
      <w:lvlText w:val="%9."/>
      <w:lvlJc w:val="right"/>
      <w:pPr>
        <w:ind w:left="6900" w:hanging="180"/>
      </w:pPr>
    </w:lvl>
  </w:abstractNum>
  <w:abstractNum w:abstractNumId="9" w15:restartNumberingAfterBreak="0">
    <w:nsid w:val="53BD2F61"/>
    <w:multiLevelType w:val="hybridMultilevel"/>
    <w:tmpl w:val="EBC0C2FA"/>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0" w15:restartNumberingAfterBreak="0">
    <w:nsid w:val="54C378EB"/>
    <w:multiLevelType w:val="multilevel"/>
    <w:tmpl w:val="5AACEDB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579A72D8"/>
    <w:multiLevelType w:val="hybridMultilevel"/>
    <w:tmpl w:val="45B0D9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580B6B53"/>
    <w:multiLevelType w:val="hybridMultilevel"/>
    <w:tmpl w:val="3C1A445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5815639F"/>
    <w:multiLevelType w:val="hybridMultilevel"/>
    <w:tmpl w:val="15F49D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64CE79AB"/>
    <w:multiLevelType w:val="multilevel"/>
    <w:tmpl w:val="097C4676"/>
    <w:lvl w:ilvl="0">
      <w:start w:val="1"/>
      <w:numFmt w:val="decimal"/>
      <w:lvlText w:val="%1."/>
      <w:lvlJc w:val="left"/>
      <w:pPr>
        <w:ind w:left="6" w:hanging="360"/>
      </w:pPr>
      <w:rPr>
        <w:rFonts w:hint="default"/>
      </w:rPr>
    </w:lvl>
    <w:lvl w:ilvl="1">
      <w:start w:val="1"/>
      <w:numFmt w:val="decimal"/>
      <w:isLgl/>
      <w:lvlText w:val="%1.%2."/>
      <w:lvlJc w:val="left"/>
      <w:pPr>
        <w:ind w:left="420" w:hanging="360"/>
      </w:pPr>
      <w:rPr>
        <w:rFonts w:hint="default"/>
      </w:rPr>
    </w:lvl>
    <w:lvl w:ilvl="2">
      <w:start w:val="1"/>
      <w:numFmt w:val="decimal"/>
      <w:isLgl/>
      <w:lvlText w:val="%1.%2.%3."/>
      <w:lvlJc w:val="left"/>
      <w:pPr>
        <w:ind w:left="1194" w:hanging="720"/>
      </w:pPr>
      <w:rPr>
        <w:rFonts w:hint="default"/>
        <w:i w:val="0"/>
      </w:rPr>
    </w:lvl>
    <w:lvl w:ilvl="3">
      <w:start w:val="1"/>
      <w:numFmt w:val="decimal"/>
      <w:isLgl/>
      <w:lvlText w:val="%1.%2.%3.%4."/>
      <w:lvlJc w:val="left"/>
      <w:pPr>
        <w:ind w:left="1608" w:hanging="720"/>
      </w:pPr>
      <w:rPr>
        <w:rFonts w:hint="default"/>
      </w:rPr>
    </w:lvl>
    <w:lvl w:ilvl="4">
      <w:start w:val="1"/>
      <w:numFmt w:val="decimal"/>
      <w:isLgl/>
      <w:lvlText w:val="%1.%2.%3.%4.%5."/>
      <w:lvlJc w:val="left"/>
      <w:pPr>
        <w:ind w:left="2382" w:hanging="1080"/>
      </w:pPr>
      <w:rPr>
        <w:rFonts w:hint="default"/>
      </w:rPr>
    </w:lvl>
    <w:lvl w:ilvl="5">
      <w:start w:val="1"/>
      <w:numFmt w:val="decimal"/>
      <w:isLgl/>
      <w:lvlText w:val="%1.%2.%3.%4.%5.%6."/>
      <w:lvlJc w:val="left"/>
      <w:pPr>
        <w:ind w:left="2796" w:hanging="1080"/>
      </w:pPr>
      <w:rPr>
        <w:rFonts w:hint="default"/>
      </w:rPr>
    </w:lvl>
    <w:lvl w:ilvl="6">
      <w:start w:val="1"/>
      <w:numFmt w:val="decimal"/>
      <w:isLgl/>
      <w:lvlText w:val="%1.%2.%3.%4.%5.%6.%7."/>
      <w:lvlJc w:val="left"/>
      <w:pPr>
        <w:ind w:left="3570" w:hanging="1440"/>
      </w:pPr>
      <w:rPr>
        <w:rFonts w:hint="default"/>
      </w:rPr>
    </w:lvl>
    <w:lvl w:ilvl="7">
      <w:start w:val="1"/>
      <w:numFmt w:val="decimal"/>
      <w:isLgl/>
      <w:lvlText w:val="%1.%2.%3.%4.%5.%6.%7.%8."/>
      <w:lvlJc w:val="left"/>
      <w:pPr>
        <w:ind w:left="3984" w:hanging="1440"/>
      </w:pPr>
      <w:rPr>
        <w:rFonts w:hint="default"/>
      </w:rPr>
    </w:lvl>
    <w:lvl w:ilvl="8">
      <w:start w:val="1"/>
      <w:numFmt w:val="decimal"/>
      <w:isLgl/>
      <w:lvlText w:val="%1.%2.%3.%4.%5.%6.%7.%8.%9."/>
      <w:lvlJc w:val="left"/>
      <w:pPr>
        <w:ind w:left="4758" w:hanging="1800"/>
      </w:pPr>
      <w:rPr>
        <w:rFonts w:hint="default"/>
      </w:rPr>
    </w:lvl>
  </w:abstractNum>
  <w:abstractNum w:abstractNumId="15" w15:restartNumberingAfterBreak="0">
    <w:nsid w:val="6955371A"/>
    <w:multiLevelType w:val="hybridMultilevel"/>
    <w:tmpl w:val="472A88B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6AAD350B"/>
    <w:multiLevelType w:val="multilevel"/>
    <w:tmpl w:val="1F021970"/>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CD618C7"/>
    <w:multiLevelType w:val="hybridMultilevel"/>
    <w:tmpl w:val="7E4462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734456EC"/>
    <w:multiLevelType w:val="hybridMultilevel"/>
    <w:tmpl w:val="0158EB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3"/>
  </w:num>
  <w:num w:numId="4">
    <w:abstractNumId w:val="14"/>
  </w:num>
  <w:num w:numId="5">
    <w:abstractNumId w:val="9"/>
  </w:num>
  <w:num w:numId="6">
    <w:abstractNumId w:val="4"/>
  </w:num>
  <w:num w:numId="7">
    <w:abstractNumId w:val="13"/>
  </w:num>
  <w:num w:numId="8">
    <w:abstractNumId w:val="11"/>
  </w:num>
  <w:num w:numId="9">
    <w:abstractNumId w:val="5"/>
  </w:num>
  <w:num w:numId="10">
    <w:abstractNumId w:val="17"/>
  </w:num>
  <w:num w:numId="11">
    <w:abstractNumId w:val="10"/>
  </w:num>
  <w:num w:numId="12">
    <w:abstractNumId w:val="7"/>
  </w:num>
  <w:num w:numId="13">
    <w:abstractNumId w:val="1"/>
  </w:num>
  <w:num w:numId="14">
    <w:abstractNumId w:val="0"/>
  </w:num>
  <w:num w:numId="15">
    <w:abstractNumId w:val="2"/>
  </w:num>
  <w:num w:numId="16">
    <w:abstractNumId w:val="6"/>
  </w:num>
  <w:num w:numId="17">
    <w:abstractNumId w:val="18"/>
  </w:num>
  <w:num w:numId="18">
    <w:abstractNumId w:val="12"/>
  </w:num>
  <w:num w:numId="19">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3AD"/>
    <w:rsid w:val="0000051F"/>
    <w:rsid w:val="00003517"/>
    <w:rsid w:val="00007CB5"/>
    <w:rsid w:val="00013DF2"/>
    <w:rsid w:val="00013F02"/>
    <w:rsid w:val="0001475F"/>
    <w:rsid w:val="00030348"/>
    <w:rsid w:val="00030A89"/>
    <w:rsid w:val="00040A78"/>
    <w:rsid w:val="000556FD"/>
    <w:rsid w:val="00055BB7"/>
    <w:rsid w:val="00056020"/>
    <w:rsid w:val="000568E6"/>
    <w:rsid w:val="000662D1"/>
    <w:rsid w:val="00071B6A"/>
    <w:rsid w:val="00073838"/>
    <w:rsid w:val="000754A9"/>
    <w:rsid w:val="00075776"/>
    <w:rsid w:val="0008258D"/>
    <w:rsid w:val="000843E4"/>
    <w:rsid w:val="00084ED1"/>
    <w:rsid w:val="0008704D"/>
    <w:rsid w:val="00087F48"/>
    <w:rsid w:val="000A07EC"/>
    <w:rsid w:val="000A23AD"/>
    <w:rsid w:val="000B0DC4"/>
    <w:rsid w:val="000B1E90"/>
    <w:rsid w:val="000B3B81"/>
    <w:rsid w:val="000B3E42"/>
    <w:rsid w:val="000B53F5"/>
    <w:rsid w:val="000C17E3"/>
    <w:rsid w:val="000C7B45"/>
    <w:rsid w:val="000C7F0F"/>
    <w:rsid w:val="000E0B69"/>
    <w:rsid w:val="000F06C7"/>
    <w:rsid w:val="000F3FD7"/>
    <w:rsid w:val="000F6FC5"/>
    <w:rsid w:val="000F7325"/>
    <w:rsid w:val="00103630"/>
    <w:rsid w:val="00107D49"/>
    <w:rsid w:val="00123CB6"/>
    <w:rsid w:val="0012472E"/>
    <w:rsid w:val="00125A4C"/>
    <w:rsid w:val="0013743A"/>
    <w:rsid w:val="00137950"/>
    <w:rsid w:val="00140565"/>
    <w:rsid w:val="00144670"/>
    <w:rsid w:val="00146E79"/>
    <w:rsid w:val="001516CC"/>
    <w:rsid w:val="001610B7"/>
    <w:rsid w:val="001614F6"/>
    <w:rsid w:val="0016290E"/>
    <w:rsid w:val="00164604"/>
    <w:rsid w:val="00173CDA"/>
    <w:rsid w:val="00180416"/>
    <w:rsid w:val="00183B26"/>
    <w:rsid w:val="00184005"/>
    <w:rsid w:val="0018587E"/>
    <w:rsid w:val="00191882"/>
    <w:rsid w:val="00193B5D"/>
    <w:rsid w:val="001961C4"/>
    <w:rsid w:val="001A052C"/>
    <w:rsid w:val="001A4FB6"/>
    <w:rsid w:val="001A67B0"/>
    <w:rsid w:val="001A7051"/>
    <w:rsid w:val="001B6C82"/>
    <w:rsid w:val="001D27D3"/>
    <w:rsid w:val="001D58D8"/>
    <w:rsid w:val="001D58DE"/>
    <w:rsid w:val="001D7830"/>
    <w:rsid w:val="001E2A8E"/>
    <w:rsid w:val="001F1E51"/>
    <w:rsid w:val="001F220A"/>
    <w:rsid w:val="001F2EC2"/>
    <w:rsid w:val="001F616B"/>
    <w:rsid w:val="00204B69"/>
    <w:rsid w:val="00204BE5"/>
    <w:rsid w:val="002058BB"/>
    <w:rsid w:val="00207179"/>
    <w:rsid w:val="00207718"/>
    <w:rsid w:val="002168AD"/>
    <w:rsid w:val="0021758A"/>
    <w:rsid w:val="002211EB"/>
    <w:rsid w:val="00230B3B"/>
    <w:rsid w:val="0023130C"/>
    <w:rsid w:val="00241285"/>
    <w:rsid w:val="002574F5"/>
    <w:rsid w:val="002576E6"/>
    <w:rsid w:val="00262965"/>
    <w:rsid w:val="00262DD7"/>
    <w:rsid w:val="0026749E"/>
    <w:rsid w:val="00270CDA"/>
    <w:rsid w:val="00280C3F"/>
    <w:rsid w:val="0028327A"/>
    <w:rsid w:val="00283B07"/>
    <w:rsid w:val="00286BC2"/>
    <w:rsid w:val="002874A3"/>
    <w:rsid w:val="00291691"/>
    <w:rsid w:val="00295E07"/>
    <w:rsid w:val="002A78BE"/>
    <w:rsid w:val="002B0115"/>
    <w:rsid w:val="002B2418"/>
    <w:rsid w:val="002B6D31"/>
    <w:rsid w:val="002C225D"/>
    <w:rsid w:val="002C4AF7"/>
    <w:rsid w:val="002C53CC"/>
    <w:rsid w:val="002C7D67"/>
    <w:rsid w:val="002D02FF"/>
    <w:rsid w:val="002D2BF0"/>
    <w:rsid w:val="002D3ACB"/>
    <w:rsid w:val="002D795C"/>
    <w:rsid w:val="002E424A"/>
    <w:rsid w:val="002E530F"/>
    <w:rsid w:val="002F16BC"/>
    <w:rsid w:val="002F1724"/>
    <w:rsid w:val="002F2480"/>
    <w:rsid w:val="00300DF9"/>
    <w:rsid w:val="00302F1C"/>
    <w:rsid w:val="00304120"/>
    <w:rsid w:val="00305EF1"/>
    <w:rsid w:val="00330180"/>
    <w:rsid w:val="00331BA0"/>
    <w:rsid w:val="00331F4F"/>
    <w:rsid w:val="00332FD8"/>
    <w:rsid w:val="00333100"/>
    <w:rsid w:val="00334DD8"/>
    <w:rsid w:val="003353B8"/>
    <w:rsid w:val="0033590E"/>
    <w:rsid w:val="00335C4B"/>
    <w:rsid w:val="003401EF"/>
    <w:rsid w:val="00343130"/>
    <w:rsid w:val="00366B5C"/>
    <w:rsid w:val="00371EB8"/>
    <w:rsid w:val="0037243B"/>
    <w:rsid w:val="003808D0"/>
    <w:rsid w:val="00383885"/>
    <w:rsid w:val="00385479"/>
    <w:rsid w:val="00385FD6"/>
    <w:rsid w:val="003938E5"/>
    <w:rsid w:val="003A1924"/>
    <w:rsid w:val="003A4CA4"/>
    <w:rsid w:val="003B1130"/>
    <w:rsid w:val="003B217C"/>
    <w:rsid w:val="003B3F1A"/>
    <w:rsid w:val="003B59D8"/>
    <w:rsid w:val="003B5E50"/>
    <w:rsid w:val="003B5FCA"/>
    <w:rsid w:val="003C0B0E"/>
    <w:rsid w:val="003C1901"/>
    <w:rsid w:val="003C6A7C"/>
    <w:rsid w:val="003D00DE"/>
    <w:rsid w:val="003E164F"/>
    <w:rsid w:val="003E3E3B"/>
    <w:rsid w:val="003E3F8D"/>
    <w:rsid w:val="003E414C"/>
    <w:rsid w:val="003E5431"/>
    <w:rsid w:val="003E6E6F"/>
    <w:rsid w:val="003E753F"/>
    <w:rsid w:val="003E7E22"/>
    <w:rsid w:val="003F1D05"/>
    <w:rsid w:val="003F6F07"/>
    <w:rsid w:val="0040259E"/>
    <w:rsid w:val="00414AF8"/>
    <w:rsid w:val="00415889"/>
    <w:rsid w:val="00421B0F"/>
    <w:rsid w:val="00423D84"/>
    <w:rsid w:val="00426144"/>
    <w:rsid w:val="00431815"/>
    <w:rsid w:val="00431918"/>
    <w:rsid w:val="00437C83"/>
    <w:rsid w:val="00440391"/>
    <w:rsid w:val="00442686"/>
    <w:rsid w:val="004540D5"/>
    <w:rsid w:val="00455CE0"/>
    <w:rsid w:val="004615E8"/>
    <w:rsid w:val="00484ADF"/>
    <w:rsid w:val="00485C70"/>
    <w:rsid w:val="00486AF2"/>
    <w:rsid w:val="00493524"/>
    <w:rsid w:val="004A4E98"/>
    <w:rsid w:val="004A710F"/>
    <w:rsid w:val="004B120F"/>
    <w:rsid w:val="004C6B1D"/>
    <w:rsid w:val="004C704C"/>
    <w:rsid w:val="004D3A66"/>
    <w:rsid w:val="004D3D5B"/>
    <w:rsid w:val="004D7586"/>
    <w:rsid w:val="004E0958"/>
    <w:rsid w:val="004E2D63"/>
    <w:rsid w:val="004E3B3E"/>
    <w:rsid w:val="004E5FF2"/>
    <w:rsid w:val="004E6408"/>
    <w:rsid w:val="004F6E6F"/>
    <w:rsid w:val="00503A6D"/>
    <w:rsid w:val="00504260"/>
    <w:rsid w:val="0050552F"/>
    <w:rsid w:val="0050614B"/>
    <w:rsid w:val="005066A2"/>
    <w:rsid w:val="00527F9F"/>
    <w:rsid w:val="00533644"/>
    <w:rsid w:val="005360D0"/>
    <w:rsid w:val="00536F28"/>
    <w:rsid w:val="0053747B"/>
    <w:rsid w:val="00542525"/>
    <w:rsid w:val="00560D4B"/>
    <w:rsid w:val="00561580"/>
    <w:rsid w:val="00567558"/>
    <w:rsid w:val="005725AB"/>
    <w:rsid w:val="00573F1E"/>
    <w:rsid w:val="005767A4"/>
    <w:rsid w:val="00585296"/>
    <w:rsid w:val="00585C1D"/>
    <w:rsid w:val="005904C6"/>
    <w:rsid w:val="00591C63"/>
    <w:rsid w:val="00592B2F"/>
    <w:rsid w:val="00594838"/>
    <w:rsid w:val="005A1309"/>
    <w:rsid w:val="005B336E"/>
    <w:rsid w:val="005C0E33"/>
    <w:rsid w:val="005C1180"/>
    <w:rsid w:val="005C3C3F"/>
    <w:rsid w:val="005C4065"/>
    <w:rsid w:val="005C7EE1"/>
    <w:rsid w:val="005D4E5E"/>
    <w:rsid w:val="005D5B79"/>
    <w:rsid w:val="005D66E2"/>
    <w:rsid w:val="005E10CC"/>
    <w:rsid w:val="005E3F94"/>
    <w:rsid w:val="005E4A96"/>
    <w:rsid w:val="005E784A"/>
    <w:rsid w:val="005F07B4"/>
    <w:rsid w:val="005F1D4A"/>
    <w:rsid w:val="005F1F01"/>
    <w:rsid w:val="005F2B29"/>
    <w:rsid w:val="005F481C"/>
    <w:rsid w:val="00603064"/>
    <w:rsid w:val="00604A8C"/>
    <w:rsid w:val="00604F5C"/>
    <w:rsid w:val="00605542"/>
    <w:rsid w:val="00607CF5"/>
    <w:rsid w:val="00610DE3"/>
    <w:rsid w:val="00617818"/>
    <w:rsid w:val="00617BA0"/>
    <w:rsid w:val="00623F03"/>
    <w:rsid w:val="0062404F"/>
    <w:rsid w:val="00624542"/>
    <w:rsid w:val="00626849"/>
    <w:rsid w:val="0063286C"/>
    <w:rsid w:val="00636663"/>
    <w:rsid w:val="00636DF8"/>
    <w:rsid w:val="00640164"/>
    <w:rsid w:val="00644727"/>
    <w:rsid w:val="00653B1B"/>
    <w:rsid w:val="00661B8A"/>
    <w:rsid w:val="00665183"/>
    <w:rsid w:val="00665E97"/>
    <w:rsid w:val="006706ED"/>
    <w:rsid w:val="006757FD"/>
    <w:rsid w:val="0068029F"/>
    <w:rsid w:val="00680760"/>
    <w:rsid w:val="00681213"/>
    <w:rsid w:val="00681DB3"/>
    <w:rsid w:val="00683FFB"/>
    <w:rsid w:val="0068708D"/>
    <w:rsid w:val="00691F0D"/>
    <w:rsid w:val="00694D2D"/>
    <w:rsid w:val="006964D6"/>
    <w:rsid w:val="006A120F"/>
    <w:rsid w:val="006A48FC"/>
    <w:rsid w:val="006B18C7"/>
    <w:rsid w:val="006C148F"/>
    <w:rsid w:val="006C633C"/>
    <w:rsid w:val="006C77F6"/>
    <w:rsid w:val="006D1551"/>
    <w:rsid w:val="006D2483"/>
    <w:rsid w:val="006F017F"/>
    <w:rsid w:val="006F496C"/>
    <w:rsid w:val="00713933"/>
    <w:rsid w:val="00714627"/>
    <w:rsid w:val="00717C93"/>
    <w:rsid w:val="00720B41"/>
    <w:rsid w:val="0072338E"/>
    <w:rsid w:val="007255B4"/>
    <w:rsid w:val="007264A0"/>
    <w:rsid w:val="007304B7"/>
    <w:rsid w:val="00732475"/>
    <w:rsid w:val="00740624"/>
    <w:rsid w:val="00744278"/>
    <w:rsid w:val="007444CF"/>
    <w:rsid w:val="007500A9"/>
    <w:rsid w:val="0075011C"/>
    <w:rsid w:val="00750F71"/>
    <w:rsid w:val="00753215"/>
    <w:rsid w:val="00754205"/>
    <w:rsid w:val="0075555F"/>
    <w:rsid w:val="00760204"/>
    <w:rsid w:val="00763087"/>
    <w:rsid w:val="0076578E"/>
    <w:rsid w:val="00770B39"/>
    <w:rsid w:val="00776241"/>
    <w:rsid w:val="0078296D"/>
    <w:rsid w:val="00782D35"/>
    <w:rsid w:val="007879A6"/>
    <w:rsid w:val="0079763B"/>
    <w:rsid w:val="007B06E3"/>
    <w:rsid w:val="007C2234"/>
    <w:rsid w:val="007C28EC"/>
    <w:rsid w:val="007C5391"/>
    <w:rsid w:val="007C53AD"/>
    <w:rsid w:val="007C5DDB"/>
    <w:rsid w:val="007D653C"/>
    <w:rsid w:val="007D6758"/>
    <w:rsid w:val="007D6DCC"/>
    <w:rsid w:val="007F1978"/>
    <w:rsid w:val="00810513"/>
    <w:rsid w:val="0081602C"/>
    <w:rsid w:val="0082177D"/>
    <w:rsid w:val="00821AC7"/>
    <w:rsid w:val="00826A31"/>
    <w:rsid w:val="00830992"/>
    <w:rsid w:val="00837E13"/>
    <w:rsid w:val="00841FDE"/>
    <w:rsid w:val="00846E72"/>
    <w:rsid w:val="0085633B"/>
    <w:rsid w:val="00863CD9"/>
    <w:rsid w:val="008671E3"/>
    <w:rsid w:val="00871C59"/>
    <w:rsid w:val="008756DD"/>
    <w:rsid w:val="008757DE"/>
    <w:rsid w:val="0087632F"/>
    <w:rsid w:val="008764B9"/>
    <w:rsid w:val="00877D27"/>
    <w:rsid w:val="0088022D"/>
    <w:rsid w:val="00880855"/>
    <w:rsid w:val="00881910"/>
    <w:rsid w:val="0088692F"/>
    <w:rsid w:val="008907AD"/>
    <w:rsid w:val="008926D9"/>
    <w:rsid w:val="008A3A71"/>
    <w:rsid w:val="008C0DD7"/>
    <w:rsid w:val="008C584D"/>
    <w:rsid w:val="008C7DED"/>
    <w:rsid w:val="008D32F9"/>
    <w:rsid w:val="008D3E90"/>
    <w:rsid w:val="008D3F35"/>
    <w:rsid w:val="008D3FAD"/>
    <w:rsid w:val="008D4091"/>
    <w:rsid w:val="008D5B76"/>
    <w:rsid w:val="008E214E"/>
    <w:rsid w:val="008E512F"/>
    <w:rsid w:val="008F401D"/>
    <w:rsid w:val="008F6433"/>
    <w:rsid w:val="00914152"/>
    <w:rsid w:val="00916CB8"/>
    <w:rsid w:val="00917CE5"/>
    <w:rsid w:val="00923E6F"/>
    <w:rsid w:val="00925E96"/>
    <w:rsid w:val="00926375"/>
    <w:rsid w:val="00926F14"/>
    <w:rsid w:val="0094321B"/>
    <w:rsid w:val="00944C64"/>
    <w:rsid w:val="00945657"/>
    <w:rsid w:val="00945D59"/>
    <w:rsid w:val="00947105"/>
    <w:rsid w:val="009567E9"/>
    <w:rsid w:val="00960D6D"/>
    <w:rsid w:val="009618CB"/>
    <w:rsid w:val="009644C6"/>
    <w:rsid w:val="009647FF"/>
    <w:rsid w:val="009702BD"/>
    <w:rsid w:val="00970A7F"/>
    <w:rsid w:val="009744D3"/>
    <w:rsid w:val="00977027"/>
    <w:rsid w:val="009771C7"/>
    <w:rsid w:val="009802A9"/>
    <w:rsid w:val="00980D0E"/>
    <w:rsid w:val="00981CED"/>
    <w:rsid w:val="00982ACF"/>
    <w:rsid w:val="00991538"/>
    <w:rsid w:val="009A092F"/>
    <w:rsid w:val="009A4261"/>
    <w:rsid w:val="009B0C06"/>
    <w:rsid w:val="009B2B63"/>
    <w:rsid w:val="009B2F08"/>
    <w:rsid w:val="009B329F"/>
    <w:rsid w:val="009C7195"/>
    <w:rsid w:val="009D4D8E"/>
    <w:rsid w:val="009D626E"/>
    <w:rsid w:val="009E0626"/>
    <w:rsid w:val="009E4BDB"/>
    <w:rsid w:val="009E6765"/>
    <w:rsid w:val="009E6E6C"/>
    <w:rsid w:val="009F39CF"/>
    <w:rsid w:val="009F5CA6"/>
    <w:rsid w:val="00A01DEC"/>
    <w:rsid w:val="00A03675"/>
    <w:rsid w:val="00A03CC9"/>
    <w:rsid w:val="00A0425D"/>
    <w:rsid w:val="00A0561C"/>
    <w:rsid w:val="00A07FE4"/>
    <w:rsid w:val="00A1037D"/>
    <w:rsid w:val="00A25072"/>
    <w:rsid w:val="00A352BB"/>
    <w:rsid w:val="00A431BB"/>
    <w:rsid w:val="00A47B8C"/>
    <w:rsid w:val="00A54B2D"/>
    <w:rsid w:val="00A575B2"/>
    <w:rsid w:val="00A62090"/>
    <w:rsid w:val="00A6487E"/>
    <w:rsid w:val="00A7239C"/>
    <w:rsid w:val="00A74875"/>
    <w:rsid w:val="00A748BF"/>
    <w:rsid w:val="00A750F4"/>
    <w:rsid w:val="00A81132"/>
    <w:rsid w:val="00A83476"/>
    <w:rsid w:val="00A85E7A"/>
    <w:rsid w:val="00A9038C"/>
    <w:rsid w:val="00A954A6"/>
    <w:rsid w:val="00A95731"/>
    <w:rsid w:val="00A96BD2"/>
    <w:rsid w:val="00AA4264"/>
    <w:rsid w:val="00AA54CF"/>
    <w:rsid w:val="00AB0601"/>
    <w:rsid w:val="00AB7435"/>
    <w:rsid w:val="00AD1D3C"/>
    <w:rsid w:val="00AD1F37"/>
    <w:rsid w:val="00AD4944"/>
    <w:rsid w:val="00AE1022"/>
    <w:rsid w:val="00AE3274"/>
    <w:rsid w:val="00AF2F3B"/>
    <w:rsid w:val="00AF5BCF"/>
    <w:rsid w:val="00AF6503"/>
    <w:rsid w:val="00AF7DF7"/>
    <w:rsid w:val="00B01B91"/>
    <w:rsid w:val="00B1060C"/>
    <w:rsid w:val="00B170D0"/>
    <w:rsid w:val="00B1772C"/>
    <w:rsid w:val="00B22365"/>
    <w:rsid w:val="00B229D8"/>
    <w:rsid w:val="00B30DE2"/>
    <w:rsid w:val="00B32DAF"/>
    <w:rsid w:val="00B36C82"/>
    <w:rsid w:val="00B40F60"/>
    <w:rsid w:val="00B520EF"/>
    <w:rsid w:val="00B55E2E"/>
    <w:rsid w:val="00B633D5"/>
    <w:rsid w:val="00B63464"/>
    <w:rsid w:val="00B66FB1"/>
    <w:rsid w:val="00B6769C"/>
    <w:rsid w:val="00B70183"/>
    <w:rsid w:val="00B76E1B"/>
    <w:rsid w:val="00B828B8"/>
    <w:rsid w:val="00B83AF4"/>
    <w:rsid w:val="00B86960"/>
    <w:rsid w:val="00B87836"/>
    <w:rsid w:val="00B96C6E"/>
    <w:rsid w:val="00BA3BF1"/>
    <w:rsid w:val="00BA66D9"/>
    <w:rsid w:val="00BB00C8"/>
    <w:rsid w:val="00BB0BC7"/>
    <w:rsid w:val="00BB0EF5"/>
    <w:rsid w:val="00BB1C6E"/>
    <w:rsid w:val="00BB5B69"/>
    <w:rsid w:val="00BB6E45"/>
    <w:rsid w:val="00BB755F"/>
    <w:rsid w:val="00BC0D3D"/>
    <w:rsid w:val="00BC1846"/>
    <w:rsid w:val="00BC1B3A"/>
    <w:rsid w:val="00BC2DD0"/>
    <w:rsid w:val="00BC3889"/>
    <w:rsid w:val="00BC5F8E"/>
    <w:rsid w:val="00BD2002"/>
    <w:rsid w:val="00BD6C38"/>
    <w:rsid w:val="00BE102B"/>
    <w:rsid w:val="00BE10CF"/>
    <w:rsid w:val="00BE7775"/>
    <w:rsid w:val="00BE7AAF"/>
    <w:rsid w:val="00BF4B46"/>
    <w:rsid w:val="00BF7E5F"/>
    <w:rsid w:val="00C02406"/>
    <w:rsid w:val="00C04611"/>
    <w:rsid w:val="00C06F69"/>
    <w:rsid w:val="00C1170E"/>
    <w:rsid w:val="00C12D62"/>
    <w:rsid w:val="00C15614"/>
    <w:rsid w:val="00C237A1"/>
    <w:rsid w:val="00C330FA"/>
    <w:rsid w:val="00C335FE"/>
    <w:rsid w:val="00C33F43"/>
    <w:rsid w:val="00C357A0"/>
    <w:rsid w:val="00C426ED"/>
    <w:rsid w:val="00C43125"/>
    <w:rsid w:val="00C435DA"/>
    <w:rsid w:val="00C50858"/>
    <w:rsid w:val="00C57F85"/>
    <w:rsid w:val="00C620AA"/>
    <w:rsid w:val="00C701DB"/>
    <w:rsid w:val="00C71DED"/>
    <w:rsid w:val="00C81536"/>
    <w:rsid w:val="00C909E7"/>
    <w:rsid w:val="00C92C6C"/>
    <w:rsid w:val="00C946D1"/>
    <w:rsid w:val="00C970D8"/>
    <w:rsid w:val="00CA027A"/>
    <w:rsid w:val="00CA5903"/>
    <w:rsid w:val="00CB1C2A"/>
    <w:rsid w:val="00CB2F7C"/>
    <w:rsid w:val="00CB371B"/>
    <w:rsid w:val="00CB5C85"/>
    <w:rsid w:val="00CB6810"/>
    <w:rsid w:val="00CC4C53"/>
    <w:rsid w:val="00CC78A1"/>
    <w:rsid w:val="00CE32E4"/>
    <w:rsid w:val="00CE3FA3"/>
    <w:rsid w:val="00CE47B7"/>
    <w:rsid w:val="00CF1DFE"/>
    <w:rsid w:val="00D02D0B"/>
    <w:rsid w:val="00D13335"/>
    <w:rsid w:val="00D13D8F"/>
    <w:rsid w:val="00D20071"/>
    <w:rsid w:val="00D31A6C"/>
    <w:rsid w:val="00D40E74"/>
    <w:rsid w:val="00D421B1"/>
    <w:rsid w:val="00D44DEB"/>
    <w:rsid w:val="00D5234E"/>
    <w:rsid w:val="00D52AC9"/>
    <w:rsid w:val="00D54DDB"/>
    <w:rsid w:val="00D56064"/>
    <w:rsid w:val="00D600D7"/>
    <w:rsid w:val="00D62F4E"/>
    <w:rsid w:val="00D65E97"/>
    <w:rsid w:val="00D71DCF"/>
    <w:rsid w:val="00D76BB2"/>
    <w:rsid w:val="00D8136E"/>
    <w:rsid w:val="00D82B28"/>
    <w:rsid w:val="00D8492C"/>
    <w:rsid w:val="00D86E83"/>
    <w:rsid w:val="00D930FB"/>
    <w:rsid w:val="00D95A1C"/>
    <w:rsid w:val="00DA2FF0"/>
    <w:rsid w:val="00DA307F"/>
    <w:rsid w:val="00DB13E6"/>
    <w:rsid w:val="00DB4EFE"/>
    <w:rsid w:val="00DB7B3C"/>
    <w:rsid w:val="00DC19BD"/>
    <w:rsid w:val="00DC282E"/>
    <w:rsid w:val="00DC5F8C"/>
    <w:rsid w:val="00DD2E1B"/>
    <w:rsid w:val="00DE452C"/>
    <w:rsid w:val="00DE4881"/>
    <w:rsid w:val="00DE6180"/>
    <w:rsid w:val="00DF0F07"/>
    <w:rsid w:val="00DF3869"/>
    <w:rsid w:val="00DF63CD"/>
    <w:rsid w:val="00E02708"/>
    <w:rsid w:val="00E03BFE"/>
    <w:rsid w:val="00E049BB"/>
    <w:rsid w:val="00E04A9D"/>
    <w:rsid w:val="00E04AE3"/>
    <w:rsid w:val="00E0766D"/>
    <w:rsid w:val="00E14DE6"/>
    <w:rsid w:val="00E15B96"/>
    <w:rsid w:val="00E258FD"/>
    <w:rsid w:val="00E320C2"/>
    <w:rsid w:val="00E32499"/>
    <w:rsid w:val="00E339E6"/>
    <w:rsid w:val="00E35C06"/>
    <w:rsid w:val="00E376CF"/>
    <w:rsid w:val="00E42EDA"/>
    <w:rsid w:val="00E42FC0"/>
    <w:rsid w:val="00E434CC"/>
    <w:rsid w:val="00E45EAF"/>
    <w:rsid w:val="00E45EFB"/>
    <w:rsid w:val="00E5215D"/>
    <w:rsid w:val="00E54491"/>
    <w:rsid w:val="00E563FC"/>
    <w:rsid w:val="00E663EE"/>
    <w:rsid w:val="00E713DC"/>
    <w:rsid w:val="00E81ACF"/>
    <w:rsid w:val="00E82A9C"/>
    <w:rsid w:val="00E84CAD"/>
    <w:rsid w:val="00E930EC"/>
    <w:rsid w:val="00E959AA"/>
    <w:rsid w:val="00EA02F8"/>
    <w:rsid w:val="00EA5801"/>
    <w:rsid w:val="00EB3366"/>
    <w:rsid w:val="00EB7043"/>
    <w:rsid w:val="00EC29FA"/>
    <w:rsid w:val="00EC3232"/>
    <w:rsid w:val="00EC5AD1"/>
    <w:rsid w:val="00EC5D30"/>
    <w:rsid w:val="00EC6815"/>
    <w:rsid w:val="00ED0FCF"/>
    <w:rsid w:val="00ED1E4D"/>
    <w:rsid w:val="00ED2566"/>
    <w:rsid w:val="00ED681A"/>
    <w:rsid w:val="00ED6C11"/>
    <w:rsid w:val="00ED6EEE"/>
    <w:rsid w:val="00EE6E14"/>
    <w:rsid w:val="00EF0523"/>
    <w:rsid w:val="00EF190F"/>
    <w:rsid w:val="00EF1BEB"/>
    <w:rsid w:val="00EF55B0"/>
    <w:rsid w:val="00EF76DB"/>
    <w:rsid w:val="00F02012"/>
    <w:rsid w:val="00F13C18"/>
    <w:rsid w:val="00F24DDF"/>
    <w:rsid w:val="00F24F78"/>
    <w:rsid w:val="00F27784"/>
    <w:rsid w:val="00F30EAF"/>
    <w:rsid w:val="00F365AD"/>
    <w:rsid w:val="00F42D13"/>
    <w:rsid w:val="00F430B6"/>
    <w:rsid w:val="00F50F6D"/>
    <w:rsid w:val="00F5633C"/>
    <w:rsid w:val="00F56573"/>
    <w:rsid w:val="00F574B1"/>
    <w:rsid w:val="00F60349"/>
    <w:rsid w:val="00F616E8"/>
    <w:rsid w:val="00F61885"/>
    <w:rsid w:val="00F62C4C"/>
    <w:rsid w:val="00F7607D"/>
    <w:rsid w:val="00F86588"/>
    <w:rsid w:val="00F87368"/>
    <w:rsid w:val="00F90B9F"/>
    <w:rsid w:val="00F91AC3"/>
    <w:rsid w:val="00F926E8"/>
    <w:rsid w:val="00F96575"/>
    <w:rsid w:val="00F96F0D"/>
    <w:rsid w:val="00FA07C9"/>
    <w:rsid w:val="00FA0807"/>
    <w:rsid w:val="00FA567D"/>
    <w:rsid w:val="00FB0D58"/>
    <w:rsid w:val="00FB1A96"/>
    <w:rsid w:val="00FB39CD"/>
    <w:rsid w:val="00FB3C22"/>
    <w:rsid w:val="00FB676D"/>
    <w:rsid w:val="00FB698B"/>
    <w:rsid w:val="00FC082D"/>
    <w:rsid w:val="00FC1754"/>
    <w:rsid w:val="00FC24FE"/>
    <w:rsid w:val="00FC718D"/>
    <w:rsid w:val="00FC7831"/>
    <w:rsid w:val="00FD0026"/>
    <w:rsid w:val="00FD0C49"/>
    <w:rsid w:val="00FD58F4"/>
    <w:rsid w:val="00FD5D82"/>
    <w:rsid w:val="00FD660D"/>
    <w:rsid w:val="00FD6F6F"/>
    <w:rsid w:val="00FD7EC1"/>
    <w:rsid w:val="00FF0549"/>
    <w:rsid w:val="00FF0A6B"/>
    <w:rsid w:val="00FF1582"/>
    <w:rsid w:val="00FF4DD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33F8989"/>
  <w15:docId w15:val="{0CE5253D-1CF0-48B9-A573-B43D421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7DED"/>
    <w:pPr>
      <w:spacing w:line="360" w:lineRule="auto"/>
      <w:jc w:val="both"/>
    </w:pPr>
  </w:style>
  <w:style w:type="paragraph" w:styleId="Ttulo1">
    <w:name w:val="heading 1"/>
    <w:basedOn w:val="Normal"/>
    <w:next w:val="Normal"/>
    <w:link w:val="Ttulo1Car"/>
    <w:uiPriority w:val="9"/>
    <w:qFormat/>
    <w:rsid w:val="00BC5F8E"/>
    <w:pPr>
      <w:keepNext/>
      <w:keepLines/>
      <w:spacing w:before="360" w:after="240"/>
      <w:jc w:val="center"/>
      <w:outlineLvl w:val="0"/>
    </w:pPr>
    <w:rPr>
      <w:rFonts w:eastAsiaTheme="majorEastAsia" w:cstheme="majorBidi"/>
      <w:b/>
      <w:szCs w:val="32"/>
      <w:lang w:eastAsia="es-EC"/>
    </w:rPr>
  </w:style>
  <w:style w:type="paragraph" w:styleId="Ttulo2">
    <w:name w:val="heading 2"/>
    <w:basedOn w:val="Normal"/>
    <w:next w:val="Normal"/>
    <w:link w:val="Ttulo2Car"/>
    <w:uiPriority w:val="9"/>
    <w:unhideWhenUsed/>
    <w:qFormat/>
    <w:rsid w:val="00BC5F8E"/>
    <w:pPr>
      <w:keepNext/>
      <w:keepLines/>
      <w:spacing w:before="40" w:after="0"/>
      <w:jc w:val="center"/>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BC5F8E"/>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8C7DED"/>
    <w:pPr>
      <w:keepNext/>
      <w:keepLines/>
      <w:spacing w:before="40" w:after="0"/>
      <w:outlineLvl w:val="3"/>
    </w:pPr>
    <w:rPr>
      <w:rFonts w:eastAsiaTheme="majorEastAsia" w:cstheme="majorBidi"/>
      <w:b/>
      <w:i/>
      <w:iCs/>
    </w:rPr>
  </w:style>
  <w:style w:type="paragraph" w:styleId="Ttulo5">
    <w:name w:val="heading 5"/>
    <w:basedOn w:val="Normal"/>
    <w:next w:val="Normal"/>
    <w:link w:val="Ttulo5Car"/>
    <w:uiPriority w:val="9"/>
    <w:unhideWhenUsed/>
    <w:qFormat/>
    <w:rsid w:val="00644727"/>
    <w:pPr>
      <w:keepNext/>
      <w:keepLines/>
      <w:spacing w:before="40" w:after="0"/>
      <w:outlineLvl w:val="4"/>
    </w:pPr>
    <w:rPr>
      <w:rFonts w:eastAsiaTheme="majorEastAsia" w:cstheme="majorBidi"/>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52A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52AC9"/>
    <w:rPr>
      <w:rFonts w:ascii="Tahoma" w:hAnsi="Tahoma" w:cs="Tahoma"/>
      <w:sz w:val="16"/>
      <w:szCs w:val="16"/>
    </w:rPr>
  </w:style>
  <w:style w:type="character" w:styleId="Hipervnculo">
    <w:name w:val="Hyperlink"/>
    <w:basedOn w:val="Fuentedeprrafopredeter"/>
    <w:uiPriority w:val="99"/>
    <w:unhideWhenUsed/>
    <w:rsid w:val="005904C6"/>
    <w:rPr>
      <w:color w:val="0000FF"/>
      <w:u w:val="single"/>
    </w:rPr>
  </w:style>
  <w:style w:type="character" w:styleId="CitaHTML">
    <w:name w:val="HTML Cite"/>
    <w:basedOn w:val="Fuentedeprrafopredeter"/>
    <w:uiPriority w:val="99"/>
    <w:semiHidden/>
    <w:unhideWhenUsed/>
    <w:rsid w:val="005904C6"/>
    <w:rPr>
      <w:i/>
      <w:iCs/>
    </w:rPr>
  </w:style>
  <w:style w:type="character" w:styleId="Hipervnculovisitado">
    <w:name w:val="FollowedHyperlink"/>
    <w:basedOn w:val="Fuentedeprrafopredeter"/>
    <w:uiPriority w:val="99"/>
    <w:semiHidden/>
    <w:unhideWhenUsed/>
    <w:rsid w:val="00B22365"/>
    <w:rPr>
      <w:color w:val="800080" w:themeColor="followedHyperlink"/>
      <w:u w:val="single"/>
    </w:rPr>
  </w:style>
  <w:style w:type="character" w:customStyle="1" w:styleId="Ttulo1Car">
    <w:name w:val="Título 1 Car"/>
    <w:basedOn w:val="Fuentedeprrafopredeter"/>
    <w:link w:val="Ttulo1"/>
    <w:uiPriority w:val="9"/>
    <w:rsid w:val="00BC5F8E"/>
    <w:rPr>
      <w:rFonts w:ascii="Times New Roman" w:eastAsiaTheme="majorEastAsia" w:hAnsi="Times New Roman" w:cstheme="majorBidi"/>
      <w:b/>
      <w:sz w:val="24"/>
      <w:szCs w:val="32"/>
      <w:lang w:eastAsia="es-EC"/>
    </w:rPr>
  </w:style>
  <w:style w:type="paragraph" w:styleId="Bibliografa">
    <w:name w:val="Bibliography"/>
    <w:basedOn w:val="Normal"/>
    <w:next w:val="Normal"/>
    <w:uiPriority w:val="37"/>
    <w:unhideWhenUsed/>
    <w:rsid w:val="001D58D8"/>
  </w:style>
  <w:style w:type="paragraph" w:styleId="Prrafodelista">
    <w:name w:val="List Paragraph"/>
    <w:basedOn w:val="Normal"/>
    <w:uiPriority w:val="34"/>
    <w:qFormat/>
    <w:rsid w:val="00926375"/>
    <w:pPr>
      <w:ind w:left="720"/>
      <w:contextualSpacing/>
    </w:pPr>
  </w:style>
  <w:style w:type="paragraph" w:styleId="Encabezado">
    <w:name w:val="header"/>
    <w:basedOn w:val="Normal"/>
    <w:link w:val="EncabezadoCar"/>
    <w:uiPriority w:val="99"/>
    <w:unhideWhenUsed/>
    <w:rsid w:val="00BC5F8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C5F8E"/>
  </w:style>
  <w:style w:type="paragraph" w:styleId="Piedepgina">
    <w:name w:val="footer"/>
    <w:basedOn w:val="Normal"/>
    <w:link w:val="PiedepginaCar"/>
    <w:uiPriority w:val="99"/>
    <w:unhideWhenUsed/>
    <w:rsid w:val="00BC5F8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C5F8E"/>
  </w:style>
  <w:style w:type="paragraph" w:customStyle="1" w:styleId="Titulo">
    <w:name w:val="Titulo"/>
    <w:basedOn w:val="Normal"/>
    <w:link w:val="TituloCar"/>
    <w:qFormat/>
    <w:rsid w:val="00BC5F8E"/>
    <w:pPr>
      <w:jc w:val="center"/>
    </w:pPr>
    <w:rPr>
      <w:b/>
    </w:rPr>
  </w:style>
  <w:style w:type="paragraph" w:customStyle="1" w:styleId="Subt1">
    <w:name w:val="Subt 1"/>
    <w:basedOn w:val="Titulo"/>
    <w:link w:val="Subt1Car"/>
    <w:qFormat/>
    <w:rsid w:val="00BC5F8E"/>
  </w:style>
  <w:style w:type="character" w:customStyle="1" w:styleId="TituloCar">
    <w:name w:val="Titulo Car"/>
    <w:basedOn w:val="Fuentedeprrafopredeter"/>
    <w:link w:val="Titulo"/>
    <w:rsid w:val="00BC5F8E"/>
    <w:rPr>
      <w:rFonts w:ascii="Times New Roman" w:hAnsi="Times New Roman" w:cs="Times New Roman"/>
      <w:b/>
      <w:sz w:val="24"/>
    </w:rPr>
  </w:style>
  <w:style w:type="paragraph" w:customStyle="1" w:styleId="Subt2">
    <w:name w:val="Subt 2"/>
    <w:basedOn w:val="Subt1"/>
    <w:link w:val="Subt2Car"/>
    <w:qFormat/>
    <w:rsid w:val="00BC5F8E"/>
    <w:pPr>
      <w:numPr>
        <w:numId w:val="2"/>
      </w:numPr>
      <w:spacing w:before="120" w:after="320"/>
      <w:jc w:val="left"/>
    </w:pPr>
  </w:style>
  <w:style w:type="character" w:customStyle="1" w:styleId="Subt1Car">
    <w:name w:val="Subt 1 Car"/>
    <w:basedOn w:val="TituloCar"/>
    <w:link w:val="Subt1"/>
    <w:rsid w:val="00BC5F8E"/>
    <w:rPr>
      <w:rFonts w:ascii="Times New Roman" w:hAnsi="Times New Roman" w:cs="Times New Roman"/>
      <w:b/>
      <w:sz w:val="24"/>
    </w:rPr>
  </w:style>
  <w:style w:type="paragraph" w:styleId="TtulodeTDC">
    <w:name w:val="TOC Heading"/>
    <w:basedOn w:val="Ttulo1"/>
    <w:next w:val="Normal"/>
    <w:uiPriority w:val="39"/>
    <w:unhideWhenUsed/>
    <w:qFormat/>
    <w:rsid w:val="00BE102B"/>
    <w:pPr>
      <w:outlineLvl w:val="9"/>
    </w:pPr>
    <w:rPr>
      <w:i/>
    </w:rPr>
  </w:style>
  <w:style w:type="character" w:customStyle="1" w:styleId="Subt2Car">
    <w:name w:val="Subt 2 Car"/>
    <w:basedOn w:val="Subt1Car"/>
    <w:link w:val="Subt2"/>
    <w:rsid w:val="00BC5F8E"/>
    <w:rPr>
      <w:rFonts w:ascii="Times New Roman" w:hAnsi="Times New Roman" w:cs="Times New Roman"/>
      <w:b/>
      <w:sz w:val="24"/>
    </w:rPr>
  </w:style>
  <w:style w:type="paragraph" w:styleId="TDC1">
    <w:name w:val="toc 1"/>
    <w:basedOn w:val="Normal"/>
    <w:next w:val="Normal"/>
    <w:autoRedefine/>
    <w:uiPriority w:val="39"/>
    <w:unhideWhenUsed/>
    <w:rsid w:val="00F61885"/>
    <w:pPr>
      <w:tabs>
        <w:tab w:val="right" w:leader="dot" w:pos="9111"/>
      </w:tabs>
      <w:spacing w:after="100"/>
    </w:pPr>
  </w:style>
  <w:style w:type="character" w:customStyle="1" w:styleId="Ttulo2Car">
    <w:name w:val="Título 2 Car"/>
    <w:basedOn w:val="Fuentedeprrafopredeter"/>
    <w:link w:val="Ttulo2"/>
    <w:uiPriority w:val="9"/>
    <w:rsid w:val="00BC5F8E"/>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BC5F8E"/>
    <w:rPr>
      <w:rFonts w:ascii="Times New Roman" w:eastAsiaTheme="majorEastAsia" w:hAnsi="Times New Roman" w:cstheme="majorBidi"/>
      <w:b/>
      <w:sz w:val="24"/>
      <w:szCs w:val="24"/>
    </w:rPr>
  </w:style>
  <w:style w:type="paragraph" w:styleId="Descripcin">
    <w:name w:val="caption"/>
    <w:basedOn w:val="Normal"/>
    <w:next w:val="Normal"/>
    <w:uiPriority w:val="35"/>
    <w:unhideWhenUsed/>
    <w:qFormat/>
    <w:rsid w:val="00A96BD2"/>
    <w:pPr>
      <w:spacing w:line="240" w:lineRule="auto"/>
    </w:pPr>
    <w:rPr>
      <w:i/>
      <w:iCs/>
      <w:color w:val="1F497D" w:themeColor="text2"/>
      <w:sz w:val="18"/>
      <w:szCs w:val="18"/>
    </w:rPr>
  </w:style>
  <w:style w:type="paragraph" w:styleId="Textonotapie">
    <w:name w:val="footnote text"/>
    <w:basedOn w:val="Normal"/>
    <w:link w:val="TextonotapieCar"/>
    <w:uiPriority w:val="99"/>
    <w:semiHidden/>
    <w:unhideWhenUsed/>
    <w:rsid w:val="00ED6C1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D6C11"/>
    <w:rPr>
      <w:sz w:val="20"/>
      <w:szCs w:val="20"/>
    </w:rPr>
  </w:style>
  <w:style w:type="character" w:styleId="Refdenotaalpie">
    <w:name w:val="footnote reference"/>
    <w:basedOn w:val="Fuentedeprrafopredeter"/>
    <w:uiPriority w:val="99"/>
    <w:semiHidden/>
    <w:unhideWhenUsed/>
    <w:rsid w:val="00ED6C11"/>
    <w:rPr>
      <w:vertAlign w:val="superscript"/>
    </w:rPr>
  </w:style>
  <w:style w:type="character" w:customStyle="1" w:styleId="Ttulo4Car">
    <w:name w:val="Título 4 Car"/>
    <w:basedOn w:val="Fuentedeprrafopredeter"/>
    <w:link w:val="Ttulo4"/>
    <w:uiPriority w:val="9"/>
    <w:rsid w:val="008C7DED"/>
    <w:rPr>
      <w:rFonts w:ascii="Times New Roman" w:eastAsiaTheme="majorEastAsia" w:hAnsi="Times New Roman" w:cstheme="majorBidi"/>
      <w:b/>
      <w:i/>
      <w:iCs/>
      <w:sz w:val="24"/>
    </w:rPr>
  </w:style>
  <w:style w:type="table" w:styleId="Tablaconcuadrcula">
    <w:name w:val="Table Grid"/>
    <w:basedOn w:val="Tablanormal"/>
    <w:uiPriority w:val="59"/>
    <w:rsid w:val="00A723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5Car">
    <w:name w:val="Título 5 Car"/>
    <w:basedOn w:val="Fuentedeprrafopredeter"/>
    <w:link w:val="Ttulo5"/>
    <w:uiPriority w:val="9"/>
    <w:rsid w:val="00644727"/>
    <w:rPr>
      <w:rFonts w:ascii="Times New Roman" w:eastAsiaTheme="majorEastAsia" w:hAnsi="Times New Roman" w:cstheme="majorBidi"/>
      <w:i/>
      <w:sz w:val="24"/>
    </w:rPr>
  </w:style>
  <w:style w:type="paragraph" w:styleId="Textonotaalfinal">
    <w:name w:val="endnote text"/>
    <w:basedOn w:val="Normal"/>
    <w:link w:val="TextonotaalfinalCar"/>
    <w:uiPriority w:val="99"/>
    <w:semiHidden/>
    <w:unhideWhenUsed/>
    <w:rsid w:val="0064472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644727"/>
    <w:rPr>
      <w:rFonts w:ascii="Times New Roman" w:hAnsi="Times New Roman"/>
      <w:sz w:val="20"/>
      <w:szCs w:val="20"/>
    </w:rPr>
  </w:style>
  <w:style w:type="character" w:styleId="Refdenotaalfinal">
    <w:name w:val="endnote reference"/>
    <w:basedOn w:val="Fuentedeprrafopredeter"/>
    <w:uiPriority w:val="99"/>
    <w:semiHidden/>
    <w:unhideWhenUsed/>
    <w:rsid w:val="00644727"/>
    <w:rPr>
      <w:vertAlign w:val="superscript"/>
    </w:rPr>
  </w:style>
  <w:style w:type="paragraph" w:customStyle="1" w:styleId="bodytext">
    <w:name w:val="bodytext"/>
    <w:basedOn w:val="Normal"/>
    <w:rsid w:val="00180416"/>
    <w:pPr>
      <w:spacing w:before="100" w:beforeAutospacing="1" w:after="100" w:afterAutospacing="1" w:line="240" w:lineRule="auto"/>
      <w:jc w:val="left"/>
    </w:pPr>
    <w:rPr>
      <w:rFonts w:eastAsia="Times New Roman"/>
      <w:szCs w:val="24"/>
      <w:lang w:eastAsia="es-EC"/>
    </w:rPr>
  </w:style>
  <w:style w:type="character" w:styleId="Textodelmarcadordeposicin">
    <w:name w:val="Placeholder Text"/>
    <w:basedOn w:val="Fuentedeprrafopredeter"/>
    <w:uiPriority w:val="99"/>
    <w:semiHidden/>
    <w:rsid w:val="00F926E8"/>
    <w:rPr>
      <w:color w:val="808080"/>
    </w:rPr>
  </w:style>
  <w:style w:type="paragraph" w:styleId="TDC2">
    <w:name w:val="toc 2"/>
    <w:basedOn w:val="Normal"/>
    <w:next w:val="Normal"/>
    <w:autoRedefine/>
    <w:uiPriority w:val="39"/>
    <w:unhideWhenUsed/>
    <w:rsid w:val="000B53F5"/>
    <w:pPr>
      <w:spacing w:after="100"/>
      <w:ind w:left="240"/>
    </w:pPr>
  </w:style>
  <w:style w:type="paragraph" w:styleId="TDC3">
    <w:name w:val="toc 3"/>
    <w:basedOn w:val="Normal"/>
    <w:next w:val="Normal"/>
    <w:autoRedefine/>
    <w:uiPriority w:val="39"/>
    <w:unhideWhenUsed/>
    <w:rsid w:val="000B53F5"/>
    <w:pPr>
      <w:spacing w:after="100"/>
      <w:ind w:left="480"/>
    </w:pPr>
  </w:style>
  <w:style w:type="table" w:customStyle="1" w:styleId="Tesis">
    <w:name w:val="Tesis"/>
    <w:basedOn w:val="Tablanormal"/>
    <w:uiPriority w:val="99"/>
    <w:rsid w:val="003E6E6F"/>
    <w:pPr>
      <w:spacing w:after="0" w:line="240" w:lineRule="auto"/>
      <w:jc w:val="center"/>
    </w:pPr>
    <w:tblPr>
      <w:jc w:val="center"/>
      <w:tblBorders>
        <w:top w:val="single" w:sz="4" w:space="0" w:color="auto"/>
        <w:bottom w:val="single" w:sz="4" w:space="0" w:color="auto"/>
      </w:tblBorders>
    </w:tblPr>
    <w:trPr>
      <w:jc w:val="center"/>
    </w:trPr>
    <w:tcPr>
      <w:vAlign w:val="center"/>
    </w:tcPr>
  </w:style>
  <w:style w:type="paragraph" w:styleId="Tabladeilustraciones">
    <w:name w:val="table of figures"/>
    <w:basedOn w:val="Normal"/>
    <w:next w:val="Normal"/>
    <w:uiPriority w:val="99"/>
    <w:unhideWhenUsed/>
    <w:rsid w:val="00B76E1B"/>
    <w:pPr>
      <w:spacing w:after="0"/>
    </w:pPr>
  </w:style>
  <w:style w:type="character" w:styleId="Refdecomentario">
    <w:name w:val="annotation reference"/>
    <w:basedOn w:val="Fuentedeprrafopredeter"/>
    <w:uiPriority w:val="99"/>
    <w:semiHidden/>
    <w:unhideWhenUsed/>
    <w:rsid w:val="00FB1A96"/>
    <w:rPr>
      <w:sz w:val="16"/>
      <w:szCs w:val="16"/>
    </w:rPr>
  </w:style>
  <w:style w:type="paragraph" w:styleId="Textocomentario">
    <w:name w:val="annotation text"/>
    <w:basedOn w:val="Normal"/>
    <w:link w:val="TextocomentarioCar"/>
    <w:uiPriority w:val="99"/>
    <w:semiHidden/>
    <w:unhideWhenUsed/>
    <w:rsid w:val="00FB1A9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B1A96"/>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FB1A96"/>
    <w:rPr>
      <w:b/>
      <w:bCs/>
    </w:rPr>
  </w:style>
  <w:style w:type="character" w:customStyle="1" w:styleId="AsuntodelcomentarioCar">
    <w:name w:val="Asunto del comentario Car"/>
    <w:basedOn w:val="TextocomentarioCar"/>
    <w:link w:val="Asuntodelcomentario"/>
    <w:uiPriority w:val="99"/>
    <w:semiHidden/>
    <w:rsid w:val="00FB1A96"/>
    <w:rPr>
      <w:rFonts w:ascii="Times New Roman" w:hAnsi="Times New Roman"/>
      <w:b/>
      <w:bCs/>
      <w:sz w:val="20"/>
      <w:szCs w:val="20"/>
    </w:rPr>
  </w:style>
  <w:style w:type="paragraph" w:customStyle="1" w:styleId="Default">
    <w:name w:val="Default"/>
    <w:rsid w:val="00AF2F3B"/>
    <w:pPr>
      <w:autoSpaceDE w:val="0"/>
      <w:autoSpaceDN w:val="0"/>
      <w:adjustRightInd w:val="0"/>
      <w:spacing w:after="0" w:line="240" w:lineRule="auto"/>
    </w:pPr>
    <w:rPr>
      <w:rFonts w:ascii="Cambria" w:hAnsi="Cambria" w:cs="Cambria"/>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7481">
      <w:bodyDiv w:val="1"/>
      <w:marLeft w:val="0"/>
      <w:marRight w:val="0"/>
      <w:marTop w:val="0"/>
      <w:marBottom w:val="0"/>
      <w:divBdr>
        <w:top w:val="none" w:sz="0" w:space="0" w:color="auto"/>
        <w:left w:val="none" w:sz="0" w:space="0" w:color="auto"/>
        <w:bottom w:val="none" w:sz="0" w:space="0" w:color="auto"/>
        <w:right w:val="none" w:sz="0" w:space="0" w:color="auto"/>
      </w:divBdr>
    </w:div>
    <w:div w:id="4868061">
      <w:bodyDiv w:val="1"/>
      <w:marLeft w:val="0"/>
      <w:marRight w:val="0"/>
      <w:marTop w:val="0"/>
      <w:marBottom w:val="0"/>
      <w:divBdr>
        <w:top w:val="none" w:sz="0" w:space="0" w:color="auto"/>
        <w:left w:val="none" w:sz="0" w:space="0" w:color="auto"/>
        <w:bottom w:val="none" w:sz="0" w:space="0" w:color="auto"/>
        <w:right w:val="none" w:sz="0" w:space="0" w:color="auto"/>
      </w:divBdr>
    </w:div>
    <w:div w:id="13921433">
      <w:bodyDiv w:val="1"/>
      <w:marLeft w:val="0"/>
      <w:marRight w:val="0"/>
      <w:marTop w:val="0"/>
      <w:marBottom w:val="0"/>
      <w:divBdr>
        <w:top w:val="none" w:sz="0" w:space="0" w:color="auto"/>
        <w:left w:val="none" w:sz="0" w:space="0" w:color="auto"/>
        <w:bottom w:val="none" w:sz="0" w:space="0" w:color="auto"/>
        <w:right w:val="none" w:sz="0" w:space="0" w:color="auto"/>
      </w:divBdr>
    </w:div>
    <w:div w:id="15234371">
      <w:bodyDiv w:val="1"/>
      <w:marLeft w:val="0"/>
      <w:marRight w:val="0"/>
      <w:marTop w:val="0"/>
      <w:marBottom w:val="0"/>
      <w:divBdr>
        <w:top w:val="none" w:sz="0" w:space="0" w:color="auto"/>
        <w:left w:val="none" w:sz="0" w:space="0" w:color="auto"/>
        <w:bottom w:val="none" w:sz="0" w:space="0" w:color="auto"/>
        <w:right w:val="none" w:sz="0" w:space="0" w:color="auto"/>
      </w:divBdr>
    </w:div>
    <w:div w:id="16009264">
      <w:bodyDiv w:val="1"/>
      <w:marLeft w:val="0"/>
      <w:marRight w:val="0"/>
      <w:marTop w:val="0"/>
      <w:marBottom w:val="0"/>
      <w:divBdr>
        <w:top w:val="none" w:sz="0" w:space="0" w:color="auto"/>
        <w:left w:val="none" w:sz="0" w:space="0" w:color="auto"/>
        <w:bottom w:val="none" w:sz="0" w:space="0" w:color="auto"/>
        <w:right w:val="none" w:sz="0" w:space="0" w:color="auto"/>
      </w:divBdr>
    </w:div>
    <w:div w:id="19472921">
      <w:bodyDiv w:val="1"/>
      <w:marLeft w:val="0"/>
      <w:marRight w:val="0"/>
      <w:marTop w:val="0"/>
      <w:marBottom w:val="0"/>
      <w:divBdr>
        <w:top w:val="none" w:sz="0" w:space="0" w:color="auto"/>
        <w:left w:val="none" w:sz="0" w:space="0" w:color="auto"/>
        <w:bottom w:val="none" w:sz="0" w:space="0" w:color="auto"/>
        <w:right w:val="none" w:sz="0" w:space="0" w:color="auto"/>
      </w:divBdr>
    </w:div>
    <w:div w:id="20085926">
      <w:bodyDiv w:val="1"/>
      <w:marLeft w:val="0"/>
      <w:marRight w:val="0"/>
      <w:marTop w:val="0"/>
      <w:marBottom w:val="0"/>
      <w:divBdr>
        <w:top w:val="none" w:sz="0" w:space="0" w:color="auto"/>
        <w:left w:val="none" w:sz="0" w:space="0" w:color="auto"/>
        <w:bottom w:val="none" w:sz="0" w:space="0" w:color="auto"/>
        <w:right w:val="none" w:sz="0" w:space="0" w:color="auto"/>
      </w:divBdr>
    </w:div>
    <w:div w:id="23602193">
      <w:bodyDiv w:val="1"/>
      <w:marLeft w:val="0"/>
      <w:marRight w:val="0"/>
      <w:marTop w:val="0"/>
      <w:marBottom w:val="0"/>
      <w:divBdr>
        <w:top w:val="none" w:sz="0" w:space="0" w:color="auto"/>
        <w:left w:val="none" w:sz="0" w:space="0" w:color="auto"/>
        <w:bottom w:val="none" w:sz="0" w:space="0" w:color="auto"/>
        <w:right w:val="none" w:sz="0" w:space="0" w:color="auto"/>
      </w:divBdr>
    </w:div>
    <w:div w:id="25640030">
      <w:bodyDiv w:val="1"/>
      <w:marLeft w:val="0"/>
      <w:marRight w:val="0"/>
      <w:marTop w:val="0"/>
      <w:marBottom w:val="0"/>
      <w:divBdr>
        <w:top w:val="none" w:sz="0" w:space="0" w:color="auto"/>
        <w:left w:val="none" w:sz="0" w:space="0" w:color="auto"/>
        <w:bottom w:val="none" w:sz="0" w:space="0" w:color="auto"/>
        <w:right w:val="none" w:sz="0" w:space="0" w:color="auto"/>
      </w:divBdr>
    </w:div>
    <w:div w:id="31152870">
      <w:bodyDiv w:val="1"/>
      <w:marLeft w:val="0"/>
      <w:marRight w:val="0"/>
      <w:marTop w:val="0"/>
      <w:marBottom w:val="0"/>
      <w:divBdr>
        <w:top w:val="none" w:sz="0" w:space="0" w:color="auto"/>
        <w:left w:val="none" w:sz="0" w:space="0" w:color="auto"/>
        <w:bottom w:val="none" w:sz="0" w:space="0" w:color="auto"/>
        <w:right w:val="none" w:sz="0" w:space="0" w:color="auto"/>
      </w:divBdr>
    </w:div>
    <w:div w:id="32047949">
      <w:bodyDiv w:val="1"/>
      <w:marLeft w:val="0"/>
      <w:marRight w:val="0"/>
      <w:marTop w:val="0"/>
      <w:marBottom w:val="0"/>
      <w:divBdr>
        <w:top w:val="none" w:sz="0" w:space="0" w:color="auto"/>
        <w:left w:val="none" w:sz="0" w:space="0" w:color="auto"/>
        <w:bottom w:val="none" w:sz="0" w:space="0" w:color="auto"/>
        <w:right w:val="none" w:sz="0" w:space="0" w:color="auto"/>
      </w:divBdr>
    </w:div>
    <w:div w:id="35737573">
      <w:bodyDiv w:val="1"/>
      <w:marLeft w:val="0"/>
      <w:marRight w:val="0"/>
      <w:marTop w:val="0"/>
      <w:marBottom w:val="0"/>
      <w:divBdr>
        <w:top w:val="none" w:sz="0" w:space="0" w:color="auto"/>
        <w:left w:val="none" w:sz="0" w:space="0" w:color="auto"/>
        <w:bottom w:val="none" w:sz="0" w:space="0" w:color="auto"/>
        <w:right w:val="none" w:sz="0" w:space="0" w:color="auto"/>
      </w:divBdr>
    </w:div>
    <w:div w:id="36584092">
      <w:bodyDiv w:val="1"/>
      <w:marLeft w:val="0"/>
      <w:marRight w:val="0"/>
      <w:marTop w:val="0"/>
      <w:marBottom w:val="0"/>
      <w:divBdr>
        <w:top w:val="none" w:sz="0" w:space="0" w:color="auto"/>
        <w:left w:val="none" w:sz="0" w:space="0" w:color="auto"/>
        <w:bottom w:val="none" w:sz="0" w:space="0" w:color="auto"/>
        <w:right w:val="none" w:sz="0" w:space="0" w:color="auto"/>
      </w:divBdr>
    </w:div>
    <w:div w:id="41028586">
      <w:bodyDiv w:val="1"/>
      <w:marLeft w:val="0"/>
      <w:marRight w:val="0"/>
      <w:marTop w:val="0"/>
      <w:marBottom w:val="0"/>
      <w:divBdr>
        <w:top w:val="none" w:sz="0" w:space="0" w:color="auto"/>
        <w:left w:val="none" w:sz="0" w:space="0" w:color="auto"/>
        <w:bottom w:val="none" w:sz="0" w:space="0" w:color="auto"/>
        <w:right w:val="none" w:sz="0" w:space="0" w:color="auto"/>
      </w:divBdr>
    </w:div>
    <w:div w:id="51849996">
      <w:bodyDiv w:val="1"/>
      <w:marLeft w:val="0"/>
      <w:marRight w:val="0"/>
      <w:marTop w:val="0"/>
      <w:marBottom w:val="0"/>
      <w:divBdr>
        <w:top w:val="none" w:sz="0" w:space="0" w:color="auto"/>
        <w:left w:val="none" w:sz="0" w:space="0" w:color="auto"/>
        <w:bottom w:val="none" w:sz="0" w:space="0" w:color="auto"/>
        <w:right w:val="none" w:sz="0" w:space="0" w:color="auto"/>
      </w:divBdr>
    </w:div>
    <w:div w:id="53625555">
      <w:bodyDiv w:val="1"/>
      <w:marLeft w:val="0"/>
      <w:marRight w:val="0"/>
      <w:marTop w:val="0"/>
      <w:marBottom w:val="0"/>
      <w:divBdr>
        <w:top w:val="none" w:sz="0" w:space="0" w:color="auto"/>
        <w:left w:val="none" w:sz="0" w:space="0" w:color="auto"/>
        <w:bottom w:val="none" w:sz="0" w:space="0" w:color="auto"/>
        <w:right w:val="none" w:sz="0" w:space="0" w:color="auto"/>
      </w:divBdr>
    </w:div>
    <w:div w:id="54134801">
      <w:bodyDiv w:val="1"/>
      <w:marLeft w:val="0"/>
      <w:marRight w:val="0"/>
      <w:marTop w:val="0"/>
      <w:marBottom w:val="0"/>
      <w:divBdr>
        <w:top w:val="none" w:sz="0" w:space="0" w:color="auto"/>
        <w:left w:val="none" w:sz="0" w:space="0" w:color="auto"/>
        <w:bottom w:val="none" w:sz="0" w:space="0" w:color="auto"/>
        <w:right w:val="none" w:sz="0" w:space="0" w:color="auto"/>
      </w:divBdr>
    </w:div>
    <w:div w:id="54475474">
      <w:bodyDiv w:val="1"/>
      <w:marLeft w:val="0"/>
      <w:marRight w:val="0"/>
      <w:marTop w:val="0"/>
      <w:marBottom w:val="0"/>
      <w:divBdr>
        <w:top w:val="none" w:sz="0" w:space="0" w:color="auto"/>
        <w:left w:val="none" w:sz="0" w:space="0" w:color="auto"/>
        <w:bottom w:val="none" w:sz="0" w:space="0" w:color="auto"/>
        <w:right w:val="none" w:sz="0" w:space="0" w:color="auto"/>
      </w:divBdr>
    </w:div>
    <w:div w:id="55203421">
      <w:bodyDiv w:val="1"/>
      <w:marLeft w:val="0"/>
      <w:marRight w:val="0"/>
      <w:marTop w:val="0"/>
      <w:marBottom w:val="0"/>
      <w:divBdr>
        <w:top w:val="none" w:sz="0" w:space="0" w:color="auto"/>
        <w:left w:val="none" w:sz="0" w:space="0" w:color="auto"/>
        <w:bottom w:val="none" w:sz="0" w:space="0" w:color="auto"/>
        <w:right w:val="none" w:sz="0" w:space="0" w:color="auto"/>
      </w:divBdr>
    </w:div>
    <w:div w:id="69542065">
      <w:bodyDiv w:val="1"/>
      <w:marLeft w:val="0"/>
      <w:marRight w:val="0"/>
      <w:marTop w:val="0"/>
      <w:marBottom w:val="0"/>
      <w:divBdr>
        <w:top w:val="none" w:sz="0" w:space="0" w:color="auto"/>
        <w:left w:val="none" w:sz="0" w:space="0" w:color="auto"/>
        <w:bottom w:val="none" w:sz="0" w:space="0" w:color="auto"/>
        <w:right w:val="none" w:sz="0" w:space="0" w:color="auto"/>
      </w:divBdr>
    </w:div>
    <w:div w:id="72287142">
      <w:bodyDiv w:val="1"/>
      <w:marLeft w:val="0"/>
      <w:marRight w:val="0"/>
      <w:marTop w:val="0"/>
      <w:marBottom w:val="0"/>
      <w:divBdr>
        <w:top w:val="none" w:sz="0" w:space="0" w:color="auto"/>
        <w:left w:val="none" w:sz="0" w:space="0" w:color="auto"/>
        <w:bottom w:val="none" w:sz="0" w:space="0" w:color="auto"/>
        <w:right w:val="none" w:sz="0" w:space="0" w:color="auto"/>
      </w:divBdr>
    </w:div>
    <w:div w:id="74010466">
      <w:bodyDiv w:val="1"/>
      <w:marLeft w:val="0"/>
      <w:marRight w:val="0"/>
      <w:marTop w:val="0"/>
      <w:marBottom w:val="0"/>
      <w:divBdr>
        <w:top w:val="none" w:sz="0" w:space="0" w:color="auto"/>
        <w:left w:val="none" w:sz="0" w:space="0" w:color="auto"/>
        <w:bottom w:val="none" w:sz="0" w:space="0" w:color="auto"/>
        <w:right w:val="none" w:sz="0" w:space="0" w:color="auto"/>
      </w:divBdr>
    </w:div>
    <w:div w:id="75321599">
      <w:bodyDiv w:val="1"/>
      <w:marLeft w:val="0"/>
      <w:marRight w:val="0"/>
      <w:marTop w:val="0"/>
      <w:marBottom w:val="0"/>
      <w:divBdr>
        <w:top w:val="none" w:sz="0" w:space="0" w:color="auto"/>
        <w:left w:val="none" w:sz="0" w:space="0" w:color="auto"/>
        <w:bottom w:val="none" w:sz="0" w:space="0" w:color="auto"/>
        <w:right w:val="none" w:sz="0" w:space="0" w:color="auto"/>
      </w:divBdr>
    </w:div>
    <w:div w:id="77333467">
      <w:bodyDiv w:val="1"/>
      <w:marLeft w:val="0"/>
      <w:marRight w:val="0"/>
      <w:marTop w:val="0"/>
      <w:marBottom w:val="0"/>
      <w:divBdr>
        <w:top w:val="none" w:sz="0" w:space="0" w:color="auto"/>
        <w:left w:val="none" w:sz="0" w:space="0" w:color="auto"/>
        <w:bottom w:val="none" w:sz="0" w:space="0" w:color="auto"/>
        <w:right w:val="none" w:sz="0" w:space="0" w:color="auto"/>
      </w:divBdr>
    </w:div>
    <w:div w:id="78523040">
      <w:bodyDiv w:val="1"/>
      <w:marLeft w:val="0"/>
      <w:marRight w:val="0"/>
      <w:marTop w:val="0"/>
      <w:marBottom w:val="0"/>
      <w:divBdr>
        <w:top w:val="none" w:sz="0" w:space="0" w:color="auto"/>
        <w:left w:val="none" w:sz="0" w:space="0" w:color="auto"/>
        <w:bottom w:val="none" w:sz="0" w:space="0" w:color="auto"/>
        <w:right w:val="none" w:sz="0" w:space="0" w:color="auto"/>
      </w:divBdr>
    </w:div>
    <w:div w:id="82608073">
      <w:bodyDiv w:val="1"/>
      <w:marLeft w:val="0"/>
      <w:marRight w:val="0"/>
      <w:marTop w:val="0"/>
      <w:marBottom w:val="0"/>
      <w:divBdr>
        <w:top w:val="none" w:sz="0" w:space="0" w:color="auto"/>
        <w:left w:val="none" w:sz="0" w:space="0" w:color="auto"/>
        <w:bottom w:val="none" w:sz="0" w:space="0" w:color="auto"/>
        <w:right w:val="none" w:sz="0" w:space="0" w:color="auto"/>
      </w:divBdr>
    </w:div>
    <w:div w:id="93717774">
      <w:bodyDiv w:val="1"/>
      <w:marLeft w:val="0"/>
      <w:marRight w:val="0"/>
      <w:marTop w:val="0"/>
      <w:marBottom w:val="0"/>
      <w:divBdr>
        <w:top w:val="none" w:sz="0" w:space="0" w:color="auto"/>
        <w:left w:val="none" w:sz="0" w:space="0" w:color="auto"/>
        <w:bottom w:val="none" w:sz="0" w:space="0" w:color="auto"/>
        <w:right w:val="none" w:sz="0" w:space="0" w:color="auto"/>
      </w:divBdr>
    </w:div>
    <w:div w:id="95442142">
      <w:bodyDiv w:val="1"/>
      <w:marLeft w:val="0"/>
      <w:marRight w:val="0"/>
      <w:marTop w:val="0"/>
      <w:marBottom w:val="0"/>
      <w:divBdr>
        <w:top w:val="none" w:sz="0" w:space="0" w:color="auto"/>
        <w:left w:val="none" w:sz="0" w:space="0" w:color="auto"/>
        <w:bottom w:val="none" w:sz="0" w:space="0" w:color="auto"/>
        <w:right w:val="none" w:sz="0" w:space="0" w:color="auto"/>
      </w:divBdr>
    </w:div>
    <w:div w:id="96288946">
      <w:bodyDiv w:val="1"/>
      <w:marLeft w:val="0"/>
      <w:marRight w:val="0"/>
      <w:marTop w:val="0"/>
      <w:marBottom w:val="0"/>
      <w:divBdr>
        <w:top w:val="none" w:sz="0" w:space="0" w:color="auto"/>
        <w:left w:val="none" w:sz="0" w:space="0" w:color="auto"/>
        <w:bottom w:val="none" w:sz="0" w:space="0" w:color="auto"/>
        <w:right w:val="none" w:sz="0" w:space="0" w:color="auto"/>
      </w:divBdr>
    </w:div>
    <w:div w:id="103815769">
      <w:bodyDiv w:val="1"/>
      <w:marLeft w:val="0"/>
      <w:marRight w:val="0"/>
      <w:marTop w:val="0"/>
      <w:marBottom w:val="0"/>
      <w:divBdr>
        <w:top w:val="none" w:sz="0" w:space="0" w:color="auto"/>
        <w:left w:val="none" w:sz="0" w:space="0" w:color="auto"/>
        <w:bottom w:val="none" w:sz="0" w:space="0" w:color="auto"/>
        <w:right w:val="none" w:sz="0" w:space="0" w:color="auto"/>
      </w:divBdr>
    </w:div>
    <w:div w:id="105542580">
      <w:bodyDiv w:val="1"/>
      <w:marLeft w:val="0"/>
      <w:marRight w:val="0"/>
      <w:marTop w:val="0"/>
      <w:marBottom w:val="0"/>
      <w:divBdr>
        <w:top w:val="none" w:sz="0" w:space="0" w:color="auto"/>
        <w:left w:val="none" w:sz="0" w:space="0" w:color="auto"/>
        <w:bottom w:val="none" w:sz="0" w:space="0" w:color="auto"/>
        <w:right w:val="none" w:sz="0" w:space="0" w:color="auto"/>
      </w:divBdr>
    </w:div>
    <w:div w:id="105737268">
      <w:bodyDiv w:val="1"/>
      <w:marLeft w:val="0"/>
      <w:marRight w:val="0"/>
      <w:marTop w:val="0"/>
      <w:marBottom w:val="0"/>
      <w:divBdr>
        <w:top w:val="none" w:sz="0" w:space="0" w:color="auto"/>
        <w:left w:val="none" w:sz="0" w:space="0" w:color="auto"/>
        <w:bottom w:val="none" w:sz="0" w:space="0" w:color="auto"/>
        <w:right w:val="none" w:sz="0" w:space="0" w:color="auto"/>
      </w:divBdr>
    </w:div>
    <w:div w:id="111752941">
      <w:bodyDiv w:val="1"/>
      <w:marLeft w:val="0"/>
      <w:marRight w:val="0"/>
      <w:marTop w:val="0"/>
      <w:marBottom w:val="0"/>
      <w:divBdr>
        <w:top w:val="none" w:sz="0" w:space="0" w:color="auto"/>
        <w:left w:val="none" w:sz="0" w:space="0" w:color="auto"/>
        <w:bottom w:val="none" w:sz="0" w:space="0" w:color="auto"/>
        <w:right w:val="none" w:sz="0" w:space="0" w:color="auto"/>
      </w:divBdr>
    </w:div>
    <w:div w:id="119038101">
      <w:bodyDiv w:val="1"/>
      <w:marLeft w:val="0"/>
      <w:marRight w:val="0"/>
      <w:marTop w:val="0"/>
      <w:marBottom w:val="0"/>
      <w:divBdr>
        <w:top w:val="none" w:sz="0" w:space="0" w:color="auto"/>
        <w:left w:val="none" w:sz="0" w:space="0" w:color="auto"/>
        <w:bottom w:val="none" w:sz="0" w:space="0" w:color="auto"/>
        <w:right w:val="none" w:sz="0" w:space="0" w:color="auto"/>
      </w:divBdr>
    </w:div>
    <w:div w:id="123894175">
      <w:bodyDiv w:val="1"/>
      <w:marLeft w:val="0"/>
      <w:marRight w:val="0"/>
      <w:marTop w:val="0"/>
      <w:marBottom w:val="0"/>
      <w:divBdr>
        <w:top w:val="none" w:sz="0" w:space="0" w:color="auto"/>
        <w:left w:val="none" w:sz="0" w:space="0" w:color="auto"/>
        <w:bottom w:val="none" w:sz="0" w:space="0" w:color="auto"/>
        <w:right w:val="none" w:sz="0" w:space="0" w:color="auto"/>
      </w:divBdr>
    </w:div>
    <w:div w:id="125634149">
      <w:bodyDiv w:val="1"/>
      <w:marLeft w:val="0"/>
      <w:marRight w:val="0"/>
      <w:marTop w:val="0"/>
      <w:marBottom w:val="0"/>
      <w:divBdr>
        <w:top w:val="none" w:sz="0" w:space="0" w:color="auto"/>
        <w:left w:val="none" w:sz="0" w:space="0" w:color="auto"/>
        <w:bottom w:val="none" w:sz="0" w:space="0" w:color="auto"/>
        <w:right w:val="none" w:sz="0" w:space="0" w:color="auto"/>
      </w:divBdr>
    </w:div>
    <w:div w:id="130557968">
      <w:bodyDiv w:val="1"/>
      <w:marLeft w:val="0"/>
      <w:marRight w:val="0"/>
      <w:marTop w:val="0"/>
      <w:marBottom w:val="0"/>
      <w:divBdr>
        <w:top w:val="none" w:sz="0" w:space="0" w:color="auto"/>
        <w:left w:val="none" w:sz="0" w:space="0" w:color="auto"/>
        <w:bottom w:val="none" w:sz="0" w:space="0" w:color="auto"/>
        <w:right w:val="none" w:sz="0" w:space="0" w:color="auto"/>
      </w:divBdr>
    </w:div>
    <w:div w:id="133524988">
      <w:bodyDiv w:val="1"/>
      <w:marLeft w:val="0"/>
      <w:marRight w:val="0"/>
      <w:marTop w:val="0"/>
      <w:marBottom w:val="0"/>
      <w:divBdr>
        <w:top w:val="none" w:sz="0" w:space="0" w:color="auto"/>
        <w:left w:val="none" w:sz="0" w:space="0" w:color="auto"/>
        <w:bottom w:val="none" w:sz="0" w:space="0" w:color="auto"/>
        <w:right w:val="none" w:sz="0" w:space="0" w:color="auto"/>
      </w:divBdr>
    </w:div>
    <w:div w:id="134958386">
      <w:bodyDiv w:val="1"/>
      <w:marLeft w:val="0"/>
      <w:marRight w:val="0"/>
      <w:marTop w:val="0"/>
      <w:marBottom w:val="0"/>
      <w:divBdr>
        <w:top w:val="none" w:sz="0" w:space="0" w:color="auto"/>
        <w:left w:val="none" w:sz="0" w:space="0" w:color="auto"/>
        <w:bottom w:val="none" w:sz="0" w:space="0" w:color="auto"/>
        <w:right w:val="none" w:sz="0" w:space="0" w:color="auto"/>
      </w:divBdr>
    </w:div>
    <w:div w:id="135419430">
      <w:bodyDiv w:val="1"/>
      <w:marLeft w:val="0"/>
      <w:marRight w:val="0"/>
      <w:marTop w:val="0"/>
      <w:marBottom w:val="0"/>
      <w:divBdr>
        <w:top w:val="none" w:sz="0" w:space="0" w:color="auto"/>
        <w:left w:val="none" w:sz="0" w:space="0" w:color="auto"/>
        <w:bottom w:val="none" w:sz="0" w:space="0" w:color="auto"/>
        <w:right w:val="none" w:sz="0" w:space="0" w:color="auto"/>
      </w:divBdr>
    </w:div>
    <w:div w:id="141192943">
      <w:bodyDiv w:val="1"/>
      <w:marLeft w:val="0"/>
      <w:marRight w:val="0"/>
      <w:marTop w:val="0"/>
      <w:marBottom w:val="0"/>
      <w:divBdr>
        <w:top w:val="none" w:sz="0" w:space="0" w:color="auto"/>
        <w:left w:val="none" w:sz="0" w:space="0" w:color="auto"/>
        <w:bottom w:val="none" w:sz="0" w:space="0" w:color="auto"/>
        <w:right w:val="none" w:sz="0" w:space="0" w:color="auto"/>
      </w:divBdr>
    </w:div>
    <w:div w:id="141890292">
      <w:bodyDiv w:val="1"/>
      <w:marLeft w:val="0"/>
      <w:marRight w:val="0"/>
      <w:marTop w:val="0"/>
      <w:marBottom w:val="0"/>
      <w:divBdr>
        <w:top w:val="none" w:sz="0" w:space="0" w:color="auto"/>
        <w:left w:val="none" w:sz="0" w:space="0" w:color="auto"/>
        <w:bottom w:val="none" w:sz="0" w:space="0" w:color="auto"/>
        <w:right w:val="none" w:sz="0" w:space="0" w:color="auto"/>
      </w:divBdr>
    </w:div>
    <w:div w:id="144054983">
      <w:bodyDiv w:val="1"/>
      <w:marLeft w:val="0"/>
      <w:marRight w:val="0"/>
      <w:marTop w:val="0"/>
      <w:marBottom w:val="0"/>
      <w:divBdr>
        <w:top w:val="none" w:sz="0" w:space="0" w:color="auto"/>
        <w:left w:val="none" w:sz="0" w:space="0" w:color="auto"/>
        <w:bottom w:val="none" w:sz="0" w:space="0" w:color="auto"/>
        <w:right w:val="none" w:sz="0" w:space="0" w:color="auto"/>
      </w:divBdr>
    </w:div>
    <w:div w:id="147673763">
      <w:bodyDiv w:val="1"/>
      <w:marLeft w:val="0"/>
      <w:marRight w:val="0"/>
      <w:marTop w:val="0"/>
      <w:marBottom w:val="0"/>
      <w:divBdr>
        <w:top w:val="none" w:sz="0" w:space="0" w:color="auto"/>
        <w:left w:val="none" w:sz="0" w:space="0" w:color="auto"/>
        <w:bottom w:val="none" w:sz="0" w:space="0" w:color="auto"/>
        <w:right w:val="none" w:sz="0" w:space="0" w:color="auto"/>
      </w:divBdr>
    </w:div>
    <w:div w:id="153886979">
      <w:bodyDiv w:val="1"/>
      <w:marLeft w:val="0"/>
      <w:marRight w:val="0"/>
      <w:marTop w:val="0"/>
      <w:marBottom w:val="0"/>
      <w:divBdr>
        <w:top w:val="none" w:sz="0" w:space="0" w:color="auto"/>
        <w:left w:val="none" w:sz="0" w:space="0" w:color="auto"/>
        <w:bottom w:val="none" w:sz="0" w:space="0" w:color="auto"/>
        <w:right w:val="none" w:sz="0" w:space="0" w:color="auto"/>
      </w:divBdr>
    </w:div>
    <w:div w:id="156725575">
      <w:bodyDiv w:val="1"/>
      <w:marLeft w:val="0"/>
      <w:marRight w:val="0"/>
      <w:marTop w:val="0"/>
      <w:marBottom w:val="0"/>
      <w:divBdr>
        <w:top w:val="none" w:sz="0" w:space="0" w:color="auto"/>
        <w:left w:val="none" w:sz="0" w:space="0" w:color="auto"/>
        <w:bottom w:val="none" w:sz="0" w:space="0" w:color="auto"/>
        <w:right w:val="none" w:sz="0" w:space="0" w:color="auto"/>
      </w:divBdr>
    </w:div>
    <w:div w:id="160699296">
      <w:bodyDiv w:val="1"/>
      <w:marLeft w:val="0"/>
      <w:marRight w:val="0"/>
      <w:marTop w:val="0"/>
      <w:marBottom w:val="0"/>
      <w:divBdr>
        <w:top w:val="none" w:sz="0" w:space="0" w:color="auto"/>
        <w:left w:val="none" w:sz="0" w:space="0" w:color="auto"/>
        <w:bottom w:val="none" w:sz="0" w:space="0" w:color="auto"/>
        <w:right w:val="none" w:sz="0" w:space="0" w:color="auto"/>
      </w:divBdr>
    </w:div>
    <w:div w:id="163277476">
      <w:bodyDiv w:val="1"/>
      <w:marLeft w:val="0"/>
      <w:marRight w:val="0"/>
      <w:marTop w:val="0"/>
      <w:marBottom w:val="0"/>
      <w:divBdr>
        <w:top w:val="none" w:sz="0" w:space="0" w:color="auto"/>
        <w:left w:val="none" w:sz="0" w:space="0" w:color="auto"/>
        <w:bottom w:val="none" w:sz="0" w:space="0" w:color="auto"/>
        <w:right w:val="none" w:sz="0" w:space="0" w:color="auto"/>
      </w:divBdr>
    </w:div>
    <w:div w:id="165098376">
      <w:bodyDiv w:val="1"/>
      <w:marLeft w:val="0"/>
      <w:marRight w:val="0"/>
      <w:marTop w:val="0"/>
      <w:marBottom w:val="0"/>
      <w:divBdr>
        <w:top w:val="none" w:sz="0" w:space="0" w:color="auto"/>
        <w:left w:val="none" w:sz="0" w:space="0" w:color="auto"/>
        <w:bottom w:val="none" w:sz="0" w:space="0" w:color="auto"/>
        <w:right w:val="none" w:sz="0" w:space="0" w:color="auto"/>
      </w:divBdr>
    </w:div>
    <w:div w:id="165361287">
      <w:bodyDiv w:val="1"/>
      <w:marLeft w:val="0"/>
      <w:marRight w:val="0"/>
      <w:marTop w:val="0"/>
      <w:marBottom w:val="0"/>
      <w:divBdr>
        <w:top w:val="none" w:sz="0" w:space="0" w:color="auto"/>
        <w:left w:val="none" w:sz="0" w:space="0" w:color="auto"/>
        <w:bottom w:val="none" w:sz="0" w:space="0" w:color="auto"/>
        <w:right w:val="none" w:sz="0" w:space="0" w:color="auto"/>
      </w:divBdr>
    </w:div>
    <w:div w:id="167133637">
      <w:bodyDiv w:val="1"/>
      <w:marLeft w:val="0"/>
      <w:marRight w:val="0"/>
      <w:marTop w:val="0"/>
      <w:marBottom w:val="0"/>
      <w:divBdr>
        <w:top w:val="none" w:sz="0" w:space="0" w:color="auto"/>
        <w:left w:val="none" w:sz="0" w:space="0" w:color="auto"/>
        <w:bottom w:val="none" w:sz="0" w:space="0" w:color="auto"/>
        <w:right w:val="none" w:sz="0" w:space="0" w:color="auto"/>
      </w:divBdr>
    </w:div>
    <w:div w:id="168062028">
      <w:bodyDiv w:val="1"/>
      <w:marLeft w:val="0"/>
      <w:marRight w:val="0"/>
      <w:marTop w:val="0"/>
      <w:marBottom w:val="0"/>
      <w:divBdr>
        <w:top w:val="none" w:sz="0" w:space="0" w:color="auto"/>
        <w:left w:val="none" w:sz="0" w:space="0" w:color="auto"/>
        <w:bottom w:val="none" w:sz="0" w:space="0" w:color="auto"/>
        <w:right w:val="none" w:sz="0" w:space="0" w:color="auto"/>
      </w:divBdr>
    </w:div>
    <w:div w:id="169225522">
      <w:bodyDiv w:val="1"/>
      <w:marLeft w:val="0"/>
      <w:marRight w:val="0"/>
      <w:marTop w:val="0"/>
      <w:marBottom w:val="0"/>
      <w:divBdr>
        <w:top w:val="none" w:sz="0" w:space="0" w:color="auto"/>
        <w:left w:val="none" w:sz="0" w:space="0" w:color="auto"/>
        <w:bottom w:val="none" w:sz="0" w:space="0" w:color="auto"/>
        <w:right w:val="none" w:sz="0" w:space="0" w:color="auto"/>
      </w:divBdr>
    </w:div>
    <w:div w:id="169369015">
      <w:bodyDiv w:val="1"/>
      <w:marLeft w:val="0"/>
      <w:marRight w:val="0"/>
      <w:marTop w:val="0"/>
      <w:marBottom w:val="0"/>
      <w:divBdr>
        <w:top w:val="none" w:sz="0" w:space="0" w:color="auto"/>
        <w:left w:val="none" w:sz="0" w:space="0" w:color="auto"/>
        <w:bottom w:val="none" w:sz="0" w:space="0" w:color="auto"/>
        <w:right w:val="none" w:sz="0" w:space="0" w:color="auto"/>
      </w:divBdr>
    </w:div>
    <w:div w:id="177961823">
      <w:bodyDiv w:val="1"/>
      <w:marLeft w:val="0"/>
      <w:marRight w:val="0"/>
      <w:marTop w:val="0"/>
      <w:marBottom w:val="0"/>
      <w:divBdr>
        <w:top w:val="none" w:sz="0" w:space="0" w:color="auto"/>
        <w:left w:val="none" w:sz="0" w:space="0" w:color="auto"/>
        <w:bottom w:val="none" w:sz="0" w:space="0" w:color="auto"/>
        <w:right w:val="none" w:sz="0" w:space="0" w:color="auto"/>
      </w:divBdr>
    </w:div>
    <w:div w:id="179243950">
      <w:bodyDiv w:val="1"/>
      <w:marLeft w:val="0"/>
      <w:marRight w:val="0"/>
      <w:marTop w:val="0"/>
      <w:marBottom w:val="0"/>
      <w:divBdr>
        <w:top w:val="none" w:sz="0" w:space="0" w:color="auto"/>
        <w:left w:val="none" w:sz="0" w:space="0" w:color="auto"/>
        <w:bottom w:val="none" w:sz="0" w:space="0" w:color="auto"/>
        <w:right w:val="none" w:sz="0" w:space="0" w:color="auto"/>
      </w:divBdr>
    </w:div>
    <w:div w:id="182785774">
      <w:bodyDiv w:val="1"/>
      <w:marLeft w:val="0"/>
      <w:marRight w:val="0"/>
      <w:marTop w:val="0"/>
      <w:marBottom w:val="0"/>
      <w:divBdr>
        <w:top w:val="none" w:sz="0" w:space="0" w:color="auto"/>
        <w:left w:val="none" w:sz="0" w:space="0" w:color="auto"/>
        <w:bottom w:val="none" w:sz="0" w:space="0" w:color="auto"/>
        <w:right w:val="none" w:sz="0" w:space="0" w:color="auto"/>
      </w:divBdr>
    </w:div>
    <w:div w:id="183328687">
      <w:bodyDiv w:val="1"/>
      <w:marLeft w:val="0"/>
      <w:marRight w:val="0"/>
      <w:marTop w:val="0"/>
      <w:marBottom w:val="0"/>
      <w:divBdr>
        <w:top w:val="none" w:sz="0" w:space="0" w:color="auto"/>
        <w:left w:val="none" w:sz="0" w:space="0" w:color="auto"/>
        <w:bottom w:val="none" w:sz="0" w:space="0" w:color="auto"/>
        <w:right w:val="none" w:sz="0" w:space="0" w:color="auto"/>
      </w:divBdr>
    </w:div>
    <w:div w:id="184052373">
      <w:bodyDiv w:val="1"/>
      <w:marLeft w:val="0"/>
      <w:marRight w:val="0"/>
      <w:marTop w:val="0"/>
      <w:marBottom w:val="0"/>
      <w:divBdr>
        <w:top w:val="none" w:sz="0" w:space="0" w:color="auto"/>
        <w:left w:val="none" w:sz="0" w:space="0" w:color="auto"/>
        <w:bottom w:val="none" w:sz="0" w:space="0" w:color="auto"/>
        <w:right w:val="none" w:sz="0" w:space="0" w:color="auto"/>
      </w:divBdr>
    </w:div>
    <w:div w:id="184516023">
      <w:bodyDiv w:val="1"/>
      <w:marLeft w:val="0"/>
      <w:marRight w:val="0"/>
      <w:marTop w:val="0"/>
      <w:marBottom w:val="0"/>
      <w:divBdr>
        <w:top w:val="none" w:sz="0" w:space="0" w:color="auto"/>
        <w:left w:val="none" w:sz="0" w:space="0" w:color="auto"/>
        <w:bottom w:val="none" w:sz="0" w:space="0" w:color="auto"/>
        <w:right w:val="none" w:sz="0" w:space="0" w:color="auto"/>
      </w:divBdr>
    </w:div>
    <w:div w:id="188759452">
      <w:bodyDiv w:val="1"/>
      <w:marLeft w:val="0"/>
      <w:marRight w:val="0"/>
      <w:marTop w:val="0"/>
      <w:marBottom w:val="0"/>
      <w:divBdr>
        <w:top w:val="none" w:sz="0" w:space="0" w:color="auto"/>
        <w:left w:val="none" w:sz="0" w:space="0" w:color="auto"/>
        <w:bottom w:val="none" w:sz="0" w:space="0" w:color="auto"/>
        <w:right w:val="none" w:sz="0" w:space="0" w:color="auto"/>
      </w:divBdr>
    </w:div>
    <w:div w:id="192576261">
      <w:bodyDiv w:val="1"/>
      <w:marLeft w:val="0"/>
      <w:marRight w:val="0"/>
      <w:marTop w:val="0"/>
      <w:marBottom w:val="0"/>
      <w:divBdr>
        <w:top w:val="none" w:sz="0" w:space="0" w:color="auto"/>
        <w:left w:val="none" w:sz="0" w:space="0" w:color="auto"/>
        <w:bottom w:val="none" w:sz="0" w:space="0" w:color="auto"/>
        <w:right w:val="none" w:sz="0" w:space="0" w:color="auto"/>
      </w:divBdr>
    </w:div>
    <w:div w:id="195503966">
      <w:bodyDiv w:val="1"/>
      <w:marLeft w:val="0"/>
      <w:marRight w:val="0"/>
      <w:marTop w:val="0"/>
      <w:marBottom w:val="0"/>
      <w:divBdr>
        <w:top w:val="none" w:sz="0" w:space="0" w:color="auto"/>
        <w:left w:val="none" w:sz="0" w:space="0" w:color="auto"/>
        <w:bottom w:val="none" w:sz="0" w:space="0" w:color="auto"/>
        <w:right w:val="none" w:sz="0" w:space="0" w:color="auto"/>
      </w:divBdr>
    </w:div>
    <w:div w:id="211231805">
      <w:bodyDiv w:val="1"/>
      <w:marLeft w:val="0"/>
      <w:marRight w:val="0"/>
      <w:marTop w:val="0"/>
      <w:marBottom w:val="0"/>
      <w:divBdr>
        <w:top w:val="none" w:sz="0" w:space="0" w:color="auto"/>
        <w:left w:val="none" w:sz="0" w:space="0" w:color="auto"/>
        <w:bottom w:val="none" w:sz="0" w:space="0" w:color="auto"/>
        <w:right w:val="none" w:sz="0" w:space="0" w:color="auto"/>
      </w:divBdr>
    </w:div>
    <w:div w:id="225725403">
      <w:bodyDiv w:val="1"/>
      <w:marLeft w:val="0"/>
      <w:marRight w:val="0"/>
      <w:marTop w:val="0"/>
      <w:marBottom w:val="0"/>
      <w:divBdr>
        <w:top w:val="none" w:sz="0" w:space="0" w:color="auto"/>
        <w:left w:val="none" w:sz="0" w:space="0" w:color="auto"/>
        <w:bottom w:val="none" w:sz="0" w:space="0" w:color="auto"/>
        <w:right w:val="none" w:sz="0" w:space="0" w:color="auto"/>
      </w:divBdr>
    </w:div>
    <w:div w:id="229536331">
      <w:bodyDiv w:val="1"/>
      <w:marLeft w:val="0"/>
      <w:marRight w:val="0"/>
      <w:marTop w:val="0"/>
      <w:marBottom w:val="0"/>
      <w:divBdr>
        <w:top w:val="none" w:sz="0" w:space="0" w:color="auto"/>
        <w:left w:val="none" w:sz="0" w:space="0" w:color="auto"/>
        <w:bottom w:val="none" w:sz="0" w:space="0" w:color="auto"/>
        <w:right w:val="none" w:sz="0" w:space="0" w:color="auto"/>
      </w:divBdr>
    </w:div>
    <w:div w:id="234635467">
      <w:bodyDiv w:val="1"/>
      <w:marLeft w:val="0"/>
      <w:marRight w:val="0"/>
      <w:marTop w:val="0"/>
      <w:marBottom w:val="0"/>
      <w:divBdr>
        <w:top w:val="none" w:sz="0" w:space="0" w:color="auto"/>
        <w:left w:val="none" w:sz="0" w:space="0" w:color="auto"/>
        <w:bottom w:val="none" w:sz="0" w:space="0" w:color="auto"/>
        <w:right w:val="none" w:sz="0" w:space="0" w:color="auto"/>
      </w:divBdr>
    </w:div>
    <w:div w:id="235828391">
      <w:bodyDiv w:val="1"/>
      <w:marLeft w:val="0"/>
      <w:marRight w:val="0"/>
      <w:marTop w:val="0"/>
      <w:marBottom w:val="0"/>
      <w:divBdr>
        <w:top w:val="none" w:sz="0" w:space="0" w:color="auto"/>
        <w:left w:val="none" w:sz="0" w:space="0" w:color="auto"/>
        <w:bottom w:val="none" w:sz="0" w:space="0" w:color="auto"/>
        <w:right w:val="none" w:sz="0" w:space="0" w:color="auto"/>
      </w:divBdr>
    </w:div>
    <w:div w:id="239023794">
      <w:bodyDiv w:val="1"/>
      <w:marLeft w:val="0"/>
      <w:marRight w:val="0"/>
      <w:marTop w:val="0"/>
      <w:marBottom w:val="0"/>
      <w:divBdr>
        <w:top w:val="none" w:sz="0" w:space="0" w:color="auto"/>
        <w:left w:val="none" w:sz="0" w:space="0" w:color="auto"/>
        <w:bottom w:val="none" w:sz="0" w:space="0" w:color="auto"/>
        <w:right w:val="none" w:sz="0" w:space="0" w:color="auto"/>
      </w:divBdr>
    </w:div>
    <w:div w:id="249848089">
      <w:bodyDiv w:val="1"/>
      <w:marLeft w:val="0"/>
      <w:marRight w:val="0"/>
      <w:marTop w:val="0"/>
      <w:marBottom w:val="0"/>
      <w:divBdr>
        <w:top w:val="none" w:sz="0" w:space="0" w:color="auto"/>
        <w:left w:val="none" w:sz="0" w:space="0" w:color="auto"/>
        <w:bottom w:val="none" w:sz="0" w:space="0" w:color="auto"/>
        <w:right w:val="none" w:sz="0" w:space="0" w:color="auto"/>
      </w:divBdr>
    </w:div>
    <w:div w:id="253707665">
      <w:bodyDiv w:val="1"/>
      <w:marLeft w:val="0"/>
      <w:marRight w:val="0"/>
      <w:marTop w:val="0"/>
      <w:marBottom w:val="0"/>
      <w:divBdr>
        <w:top w:val="none" w:sz="0" w:space="0" w:color="auto"/>
        <w:left w:val="none" w:sz="0" w:space="0" w:color="auto"/>
        <w:bottom w:val="none" w:sz="0" w:space="0" w:color="auto"/>
        <w:right w:val="none" w:sz="0" w:space="0" w:color="auto"/>
      </w:divBdr>
    </w:div>
    <w:div w:id="254099703">
      <w:bodyDiv w:val="1"/>
      <w:marLeft w:val="0"/>
      <w:marRight w:val="0"/>
      <w:marTop w:val="0"/>
      <w:marBottom w:val="0"/>
      <w:divBdr>
        <w:top w:val="none" w:sz="0" w:space="0" w:color="auto"/>
        <w:left w:val="none" w:sz="0" w:space="0" w:color="auto"/>
        <w:bottom w:val="none" w:sz="0" w:space="0" w:color="auto"/>
        <w:right w:val="none" w:sz="0" w:space="0" w:color="auto"/>
      </w:divBdr>
    </w:div>
    <w:div w:id="255140794">
      <w:bodyDiv w:val="1"/>
      <w:marLeft w:val="0"/>
      <w:marRight w:val="0"/>
      <w:marTop w:val="0"/>
      <w:marBottom w:val="0"/>
      <w:divBdr>
        <w:top w:val="none" w:sz="0" w:space="0" w:color="auto"/>
        <w:left w:val="none" w:sz="0" w:space="0" w:color="auto"/>
        <w:bottom w:val="none" w:sz="0" w:space="0" w:color="auto"/>
        <w:right w:val="none" w:sz="0" w:space="0" w:color="auto"/>
      </w:divBdr>
    </w:div>
    <w:div w:id="257757540">
      <w:bodyDiv w:val="1"/>
      <w:marLeft w:val="0"/>
      <w:marRight w:val="0"/>
      <w:marTop w:val="0"/>
      <w:marBottom w:val="0"/>
      <w:divBdr>
        <w:top w:val="none" w:sz="0" w:space="0" w:color="auto"/>
        <w:left w:val="none" w:sz="0" w:space="0" w:color="auto"/>
        <w:bottom w:val="none" w:sz="0" w:space="0" w:color="auto"/>
        <w:right w:val="none" w:sz="0" w:space="0" w:color="auto"/>
      </w:divBdr>
    </w:div>
    <w:div w:id="258955937">
      <w:bodyDiv w:val="1"/>
      <w:marLeft w:val="0"/>
      <w:marRight w:val="0"/>
      <w:marTop w:val="0"/>
      <w:marBottom w:val="0"/>
      <w:divBdr>
        <w:top w:val="none" w:sz="0" w:space="0" w:color="auto"/>
        <w:left w:val="none" w:sz="0" w:space="0" w:color="auto"/>
        <w:bottom w:val="none" w:sz="0" w:space="0" w:color="auto"/>
        <w:right w:val="none" w:sz="0" w:space="0" w:color="auto"/>
      </w:divBdr>
    </w:div>
    <w:div w:id="259218547">
      <w:bodyDiv w:val="1"/>
      <w:marLeft w:val="0"/>
      <w:marRight w:val="0"/>
      <w:marTop w:val="0"/>
      <w:marBottom w:val="0"/>
      <w:divBdr>
        <w:top w:val="none" w:sz="0" w:space="0" w:color="auto"/>
        <w:left w:val="none" w:sz="0" w:space="0" w:color="auto"/>
        <w:bottom w:val="none" w:sz="0" w:space="0" w:color="auto"/>
        <w:right w:val="none" w:sz="0" w:space="0" w:color="auto"/>
      </w:divBdr>
    </w:div>
    <w:div w:id="263223014">
      <w:bodyDiv w:val="1"/>
      <w:marLeft w:val="0"/>
      <w:marRight w:val="0"/>
      <w:marTop w:val="0"/>
      <w:marBottom w:val="0"/>
      <w:divBdr>
        <w:top w:val="none" w:sz="0" w:space="0" w:color="auto"/>
        <w:left w:val="none" w:sz="0" w:space="0" w:color="auto"/>
        <w:bottom w:val="none" w:sz="0" w:space="0" w:color="auto"/>
        <w:right w:val="none" w:sz="0" w:space="0" w:color="auto"/>
      </w:divBdr>
    </w:div>
    <w:div w:id="264385475">
      <w:bodyDiv w:val="1"/>
      <w:marLeft w:val="0"/>
      <w:marRight w:val="0"/>
      <w:marTop w:val="0"/>
      <w:marBottom w:val="0"/>
      <w:divBdr>
        <w:top w:val="none" w:sz="0" w:space="0" w:color="auto"/>
        <w:left w:val="none" w:sz="0" w:space="0" w:color="auto"/>
        <w:bottom w:val="none" w:sz="0" w:space="0" w:color="auto"/>
        <w:right w:val="none" w:sz="0" w:space="0" w:color="auto"/>
      </w:divBdr>
    </w:div>
    <w:div w:id="266010740">
      <w:bodyDiv w:val="1"/>
      <w:marLeft w:val="0"/>
      <w:marRight w:val="0"/>
      <w:marTop w:val="0"/>
      <w:marBottom w:val="0"/>
      <w:divBdr>
        <w:top w:val="none" w:sz="0" w:space="0" w:color="auto"/>
        <w:left w:val="none" w:sz="0" w:space="0" w:color="auto"/>
        <w:bottom w:val="none" w:sz="0" w:space="0" w:color="auto"/>
        <w:right w:val="none" w:sz="0" w:space="0" w:color="auto"/>
      </w:divBdr>
    </w:div>
    <w:div w:id="266229690">
      <w:bodyDiv w:val="1"/>
      <w:marLeft w:val="0"/>
      <w:marRight w:val="0"/>
      <w:marTop w:val="0"/>
      <w:marBottom w:val="0"/>
      <w:divBdr>
        <w:top w:val="none" w:sz="0" w:space="0" w:color="auto"/>
        <w:left w:val="none" w:sz="0" w:space="0" w:color="auto"/>
        <w:bottom w:val="none" w:sz="0" w:space="0" w:color="auto"/>
        <w:right w:val="none" w:sz="0" w:space="0" w:color="auto"/>
      </w:divBdr>
    </w:div>
    <w:div w:id="266352837">
      <w:bodyDiv w:val="1"/>
      <w:marLeft w:val="0"/>
      <w:marRight w:val="0"/>
      <w:marTop w:val="0"/>
      <w:marBottom w:val="0"/>
      <w:divBdr>
        <w:top w:val="none" w:sz="0" w:space="0" w:color="auto"/>
        <w:left w:val="none" w:sz="0" w:space="0" w:color="auto"/>
        <w:bottom w:val="none" w:sz="0" w:space="0" w:color="auto"/>
        <w:right w:val="none" w:sz="0" w:space="0" w:color="auto"/>
      </w:divBdr>
    </w:div>
    <w:div w:id="268008678">
      <w:bodyDiv w:val="1"/>
      <w:marLeft w:val="0"/>
      <w:marRight w:val="0"/>
      <w:marTop w:val="0"/>
      <w:marBottom w:val="0"/>
      <w:divBdr>
        <w:top w:val="none" w:sz="0" w:space="0" w:color="auto"/>
        <w:left w:val="none" w:sz="0" w:space="0" w:color="auto"/>
        <w:bottom w:val="none" w:sz="0" w:space="0" w:color="auto"/>
        <w:right w:val="none" w:sz="0" w:space="0" w:color="auto"/>
      </w:divBdr>
    </w:div>
    <w:div w:id="268856121">
      <w:bodyDiv w:val="1"/>
      <w:marLeft w:val="0"/>
      <w:marRight w:val="0"/>
      <w:marTop w:val="0"/>
      <w:marBottom w:val="0"/>
      <w:divBdr>
        <w:top w:val="none" w:sz="0" w:space="0" w:color="auto"/>
        <w:left w:val="none" w:sz="0" w:space="0" w:color="auto"/>
        <w:bottom w:val="none" w:sz="0" w:space="0" w:color="auto"/>
        <w:right w:val="none" w:sz="0" w:space="0" w:color="auto"/>
      </w:divBdr>
    </w:div>
    <w:div w:id="269355885">
      <w:bodyDiv w:val="1"/>
      <w:marLeft w:val="0"/>
      <w:marRight w:val="0"/>
      <w:marTop w:val="0"/>
      <w:marBottom w:val="0"/>
      <w:divBdr>
        <w:top w:val="none" w:sz="0" w:space="0" w:color="auto"/>
        <w:left w:val="none" w:sz="0" w:space="0" w:color="auto"/>
        <w:bottom w:val="none" w:sz="0" w:space="0" w:color="auto"/>
        <w:right w:val="none" w:sz="0" w:space="0" w:color="auto"/>
      </w:divBdr>
    </w:div>
    <w:div w:id="269358763">
      <w:bodyDiv w:val="1"/>
      <w:marLeft w:val="0"/>
      <w:marRight w:val="0"/>
      <w:marTop w:val="0"/>
      <w:marBottom w:val="0"/>
      <w:divBdr>
        <w:top w:val="none" w:sz="0" w:space="0" w:color="auto"/>
        <w:left w:val="none" w:sz="0" w:space="0" w:color="auto"/>
        <w:bottom w:val="none" w:sz="0" w:space="0" w:color="auto"/>
        <w:right w:val="none" w:sz="0" w:space="0" w:color="auto"/>
      </w:divBdr>
    </w:div>
    <w:div w:id="272322231">
      <w:bodyDiv w:val="1"/>
      <w:marLeft w:val="0"/>
      <w:marRight w:val="0"/>
      <w:marTop w:val="0"/>
      <w:marBottom w:val="0"/>
      <w:divBdr>
        <w:top w:val="none" w:sz="0" w:space="0" w:color="auto"/>
        <w:left w:val="none" w:sz="0" w:space="0" w:color="auto"/>
        <w:bottom w:val="none" w:sz="0" w:space="0" w:color="auto"/>
        <w:right w:val="none" w:sz="0" w:space="0" w:color="auto"/>
      </w:divBdr>
    </w:div>
    <w:div w:id="277833120">
      <w:bodyDiv w:val="1"/>
      <w:marLeft w:val="0"/>
      <w:marRight w:val="0"/>
      <w:marTop w:val="0"/>
      <w:marBottom w:val="0"/>
      <w:divBdr>
        <w:top w:val="none" w:sz="0" w:space="0" w:color="auto"/>
        <w:left w:val="none" w:sz="0" w:space="0" w:color="auto"/>
        <w:bottom w:val="none" w:sz="0" w:space="0" w:color="auto"/>
        <w:right w:val="none" w:sz="0" w:space="0" w:color="auto"/>
      </w:divBdr>
    </w:div>
    <w:div w:id="281621841">
      <w:bodyDiv w:val="1"/>
      <w:marLeft w:val="0"/>
      <w:marRight w:val="0"/>
      <w:marTop w:val="0"/>
      <w:marBottom w:val="0"/>
      <w:divBdr>
        <w:top w:val="none" w:sz="0" w:space="0" w:color="auto"/>
        <w:left w:val="none" w:sz="0" w:space="0" w:color="auto"/>
        <w:bottom w:val="none" w:sz="0" w:space="0" w:color="auto"/>
        <w:right w:val="none" w:sz="0" w:space="0" w:color="auto"/>
      </w:divBdr>
    </w:div>
    <w:div w:id="283271936">
      <w:bodyDiv w:val="1"/>
      <w:marLeft w:val="0"/>
      <w:marRight w:val="0"/>
      <w:marTop w:val="0"/>
      <w:marBottom w:val="0"/>
      <w:divBdr>
        <w:top w:val="none" w:sz="0" w:space="0" w:color="auto"/>
        <w:left w:val="none" w:sz="0" w:space="0" w:color="auto"/>
        <w:bottom w:val="none" w:sz="0" w:space="0" w:color="auto"/>
        <w:right w:val="none" w:sz="0" w:space="0" w:color="auto"/>
      </w:divBdr>
    </w:div>
    <w:div w:id="284510891">
      <w:bodyDiv w:val="1"/>
      <w:marLeft w:val="0"/>
      <w:marRight w:val="0"/>
      <w:marTop w:val="0"/>
      <w:marBottom w:val="0"/>
      <w:divBdr>
        <w:top w:val="none" w:sz="0" w:space="0" w:color="auto"/>
        <w:left w:val="none" w:sz="0" w:space="0" w:color="auto"/>
        <w:bottom w:val="none" w:sz="0" w:space="0" w:color="auto"/>
        <w:right w:val="none" w:sz="0" w:space="0" w:color="auto"/>
      </w:divBdr>
    </w:div>
    <w:div w:id="295524738">
      <w:bodyDiv w:val="1"/>
      <w:marLeft w:val="0"/>
      <w:marRight w:val="0"/>
      <w:marTop w:val="0"/>
      <w:marBottom w:val="0"/>
      <w:divBdr>
        <w:top w:val="none" w:sz="0" w:space="0" w:color="auto"/>
        <w:left w:val="none" w:sz="0" w:space="0" w:color="auto"/>
        <w:bottom w:val="none" w:sz="0" w:space="0" w:color="auto"/>
        <w:right w:val="none" w:sz="0" w:space="0" w:color="auto"/>
      </w:divBdr>
    </w:div>
    <w:div w:id="295718487">
      <w:bodyDiv w:val="1"/>
      <w:marLeft w:val="0"/>
      <w:marRight w:val="0"/>
      <w:marTop w:val="0"/>
      <w:marBottom w:val="0"/>
      <w:divBdr>
        <w:top w:val="none" w:sz="0" w:space="0" w:color="auto"/>
        <w:left w:val="none" w:sz="0" w:space="0" w:color="auto"/>
        <w:bottom w:val="none" w:sz="0" w:space="0" w:color="auto"/>
        <w:right w:val="none" w:sz="0" w:space="0" w:color="auto"/>
      </w:divBdr>
    </w:div>
    <w:div w:id="296955958">
      <w:bodyDiv w:val="1"/>
      <w:marLeft w:val="0"/>
      <w:marRight w:val="0"/>
      <w:marTop w:val="0"/>
      <w:marBottom w:val="0"/>
      <w:divBdr>
        <w:top w:val="none" w:sz="0" w:space="0" w:color="auto"/>
        <w:left w:val="none" w:sz="0" w:space="0" w:color="auto"/>
        <w:bottom w:val="none" w:sz="0" w:space="0" w:color="auto"/>
        <w:right w:val="none" w:sz="0" w:space="0" w:color="auto"/>
      </w:divBdr>
    </w:div>
    <w:div w:id="297611168">
      <w:bodyDiv w:val="1"/>
      <w:marLeft w:val="0"/>
      <w:marRight w:val="0"/>
      <w:marTop w:val="0"/>
      <w:marBottom w:val="0"/>
      <w:divBdr>
        <w:top w:val="none" w:sz="0" w:space="0" w:color="auto"/>
        <w:left w:val="none" w:sz="0" w:space="0" w:color="auto"/>
        <w:bottom w:val="none" w:sz="0" w:space="0" w:color="auto"/>
        <w:right w:val="none" w:sz="0" w:space="0" w:color="auto"/>
      </w:divBdr>
    </w:div>
    <w:div w:id="304511381">
      <w:bodyDiv w:val="1"/>
      <w:marLeft w:val="0"/>
      <w:marRight w:val="0"/>
      <w:marTop w:val="0"/>
      <w:marBottom w:val="0"/>
      <w:divBdr>
        <w:top w:val="none" w:sz="0" w:space="0" w:color="auto"/>
        <w:left w:val="none" w:sz="0" w:space="0" w:color="auto"/>
        <w:bottom w:val="none" w:sz="0" w:space="0" w:color="auto"/>
        <w:right w:val="none" w:sz="0" w:space="0" w:color="auto"/>
      </w:divBdr>
    </w:div>
    <w:div w:id="304512380">
      <w:bodyDiv w:val="1"/>
      <w:marLeft w:val="0"/>
      <w:marRight w:val="0"/>
      <w:marTop w:val="0"/>
      <w:marBottom w:val="0"/>
      <w:divBdr>
        <w:top w:val="none" w:sz="0" w:space="0" w:color="auto"/>
        <w:left w:val="none" w:sz="0" w:space="0" w:color="auto"/>
        <w:bottom w:val="none" w:sz="0" w:space="0" w:color="auto"/>
        <w:right w:val="none" w:sz="0" w:space="0" w:color="auto"/>
      </w:divBdr>
    </w:div>
    <w:div w:id="310059836">
      <w:bodyDiv w:val="1"/>
      <w:marLeft w:val="0"/>
      <w:marRight w:val="0"/>
      <w:marTop w:val="0"/>
      <w:marBottom w:val="0"/>
      <w:divBdr>
        <w:top w:val="none" w:sz="0" w:space="0" w:color="auto"/>
        <w:left w:val="none" w:sz="0" w:space="0" w:color="auto"/>
        <w:bottom w:val="none" w:sz="0" w:space="0" w:color="auto"/>
        <w:right w:val="none" w:sz="0" w:space="0" w:color="auto"/>
      </w:divBdr>
    </w:div>
    <w:div w:id="310213508">
      <w:bodyDiv w:val="1"/>
      <w:marLeft w:val="0"/>
      <w:marRight w:val="0"/>
      <w:marTop w:val="0"/>
      <w:marBottom w:val="0"/>
      <w:divBdr>
        <w:top w:val="none" w:sz="0" w:space="0" w:color="auto"/>
        <w:left w:val="none" w:sz="0" w:space="0" w:color="auto"/>
        <w:bottom w:val="none" w:sz="0" w:space="0" w:color="auto"/>
        <w:right w:val="none" w:sz="0" w:space="0" w:color="auto"/>
      </w:divBdr>
    </w:div>
    <w:div w:id="313679393">
      <w:bodyDiv w:val="1"/>
      <w:marLeft w:val="0"/>
      <w:marRight w:val="0"/>
      <w:marTop w:val="0"/>
      <w:marBottom w:val="0"/>
      <w:divBdr>
        <w:top w:val="none" w:sz="0" w:space="0" w:color="auto"/>
        <w:left w:val="none" w:sz="0" w:space="0" w:color="auto"/>
        <w:bottom w:val="none" w:sz="0" w:space="0" w:color="auto"/>
        <w:right w:val="none" w:sz="0" w:space="0" w:color="auto"/>
      </w:divBdr>
    </w:div>
    <w:div w:id="316884518">
      <w:bodyDiv w:val="1"/>
      <w:marLeft w:val="0"/>
      <w:marRight w:val="0"/>
      <w:marTop w:val="0"/>
      <w:marBottom w:val="0"/>
      <w:divBdr>
        <w:top w:val="none" w:sz="0" w:space="0" w:color="auto"/>
        <w:left w:val="none" w:sz="0" w:space="0" w:color="auto"/>
        <w:bottom w:val="none" w:sz="0" w:space="0" w:color="auto"/>
        <w:right w:val="none" w:sz="0" w:space="0" w:color="auto"/>
      </w:divBdr>
    </w:div>
    <w:div w:id="319041929">
      <w:bodyDiv w:val="1"/>
      <w:marLeft w:val="0"/>
      <w:marRight w:val="0"/>
      <w:marTop w:val="0"/>
      <w:marBottom w:val="0"/>
      <w:divBdr>
        <w:top w:val="none" w:sz="0" w:space="0" w:color="auto"/>
        <w:left w:val="none" w:sz="0" w:space="0" w:color="auto"/>
        <w:bottom w:val="none" w:sz="0" w:space="0" w:color="auto"/>
        <w:right w:val="none" w:sz="0" w:space="0" w:color="auto"/>
      </w:divBdr>
    </w:div>
    <w:div w:id="319816472">
      <w:bodyDiv w:val="1"/>
      <w:marLeft w:val="0"/>
      <w:marRight w:val="0"/>
      <w:marTop w:val="0"/>
      <w:marBottom w:val="0"/>
      <w:divBdr>
        <w:top w:val="none" w:sz="0" w:space="0" w:color="auto"/>
        <w:left w:val="none" w:sz="0" w:space="0" w:color="auto"/>
        <w:bottom w:val="none" w:sz="0" w:space="0" w:color="auto"/>
        <w:right w:val="none" w:sz="0" w:space="0" w:color="auto"/>
      </w:divBdr>
    </w:div>
    <w:div w:id="320280977">
      <w:bodyDiv w:val="1"/>
      <w:marLeft w:val="0"/>
      <w:marRight w:val="0"/>
      <w:marTop w:val="0"/>
      <w:marBottom w:val="0"/>
      <w:divBdr>
        <w:top w:val="none" w:sz="0" w:space="0" w:color="auto"/>
        <w:left w:val="none" w:sz="0" w:space="0" w:color="auto"/>
        <w:bottom w:val="none" w:sz="0" w:space="0" w:color="auto"/>
        <w:right w:val="none" w:sz="0" w:space="0" w:color="auto"/>
      </w:divBdr>
    </w:div>
    <w:div w:id="320427981">
      <w:bodyDiv w:val="1"/>
      <w:marLeft w:val="0"/>
      <w:marRight w:val="0"/>
      <w:marTop w:val="0"/>
      <w:marBottom w:val="0"/>
      <w:divBdr>
        <w:top w:val="none" w:sz="0" w:space="0" w:color="auto"/>
        <w:left w:val="none" w:sz="0" w:space="0" w:color="auto"/>
        <w:bottom w:val="none" w:sz="0" w:space="0" w:color="auto"/>
        <w:right w:val="none" w:sz="0" w:space="0" w:color="auto"/>
      </w:divBdr>
    </w:div>
    <w:div w:id="321087011">
      <w:bodyDiv w:val="1"/>
      <w:marLeft w:val="0"/>
      <w:marRight w:val="0"/>
      <w:marTop w:val="0"/>
      <w:marBottom w:val="0"/>
      <w:divBdr>
        <w:top w:val="none" w:sz="0" w:space="0" w:color="auto"/>
        <w:left w:val="none" w:sz="0" w:space="0" w:color="auto"/>
        <w:bottom w:val="none" w:sz="0" w:space="0" w:color="auto"/>
        <w:right w:val="none" w:sz="0" w:space="0" w:color="auto"/>
      </w:divBdr>
    </w:div>
    <w:div w:id="325791235">
      <w:bodyDiv w:val="1"/>
      <w:marLeft w:val="0"/>
      <w:marRight w:val="0"/>
      <w:marTop w:val="0"/>
      <w:marBottom w:val="0"/>
      <w:divBdr>
        <w:top w:val="none" w:sz="0" w:space="0" w:color="auto"/>
        <w:left w:val="none" w:sz="0" w:space="0" w:color="auto"/>
        <w:bottom w:val="none" w:sz="0" w:space="0" w:color="auto"/>
        <w:right w:val="none" w:sz="0" w:space="0" w:color="auto"/>
      </w:divBdr>
    </w:div>
    <w:div w:id="328216284">
      <w:bodyDiv w:val="1"/>
      <w:marLeft w:val="0"/>
      <w:marRight w:val="0"/>
      <w:marTop w:val="0"/>
      <w:marBottom w:val="0"/>
      <w:divBdr>
        <w:top w:val="none" w:sz="0" w:space="0" w:color="auto"/>
        <w:left w:val="none" w:sz="0" w:space="0" w:color="auto"/>
        <w:bottom w:val="none" w:sz="0" w:space="0" w:color="auto"/>
        <w:right w:val="none" w:sz="0" w:space="0" w:color="auto"/>
      </w:divBdr>
    </w:div>
    <w:div w:id="331567004">
      <w:bodyDiv w:val="1"/>
      <w:marLeft w:val="0"/>
      <w:marRight w:val="0"/>
      <w:marTop w:val="0"/>
      <w:marBottom w:val="0"/>
      <w:divBdr>
        <w:top w:val="none" w:sz="0" w:space="0" w:color="auto"/>
        <w:left w:val="none" w:sz="0" w:space="0" w:color="auto"/>
        <w:bottom w:val="none" w:sz="0" w:space="0" w:color="auto"/>
        <w:right w:val="none" w:sz="0" w:space="0" w:color="auto"/>
      </w:divBdr>
    </w:div>
    <w:div w:id="332295455">
      <w:bodyDiv w:val="1"/>
      <w:marLeft w:val="0"/>
      <w:marRight w:val="0"/>
      <w:marTop w:val="0"/>
      <w:marBottom w:val="0"/>
      <w:divBdr>
        <w:top w:val="none" w:sz="0" w:space="0" w:color="auto"/>
        <w:left w:val="none" w:sz="0" w:space="0" w:color="auto"/>
        <w:bottom w:val="none" w:sz="0" w:space="0" w:color="auto"/>
        <w:right w:val="none" w:sz="0" w:space="0" w:color="auto"/>
      </w:divBdr>
    </w:div>
    <w:div w:id="332878688">
      <w:bodyDiv w:val="1"/>
      <w:marLeft w:val="0"/>
      <w:marRight w:val="0"/>
      <w:marTop w:val="0"/>
      <w:marBottom w:val="0"/>
      <w:divBdr>
        <w:top w:val="none" w:sz="0" w:space="0" w:color="auto"/>
        <w:left w:val="none" w:sz="0" w:space="0" w:color="auto"/>
        <w:bottom w:val="none" w:sz="0" w:space="0" w:color="auto"/>
        <w:right w:val="none" w:sz="0" w:space="0" w:color="auto"/>
      </w:divBdr>
    </w:div>
    <w:div w:id="332993846">
      <w:bodyDiv w:val="1"/>
      <w:marLeft w:val="0"/>
      <w:marRight w:val="0"/>
      <w:marTop w:val="0"/>
      <w:marBottom w:val="0"/>
      <w:divBdr>
        <w:top w:val="none" w:sz="0" w:space="0" w:color="auto"/>
        <w:left w:val="none" w:sz="0" w:space="0" w:color="auto"/>
        <w:bottom w:val="none" w:sz="0" w:space="0" w:color="auto"/>
        <w:right w:val="none" w:sz="0" w:space="0" w:color="auto"/>
      </w:divBdr>
    </w:div>
    <w:div w:id="334915934">
      <w:bodyDiv w:val="1"/>
      <w:marLeft w:val="0"/>
      <w:marRight w:val="0"/>
      <w:marTop w:val="0"/>
      <w:marBottom w:val="0"/>
      <w:divBdr>
        <w:top w:val="none" w:sz="0" w:space="0" w:color="auto"/>
        <w:left w:val="none" w:sz="0" w:space="0" w:color="auto"/>
        <w:bottom w:val="none" w:sz="0" w:space="0" w:color="auto"/>
        <w:right w:val="none" w:sz="0" w:space="0" w:color="auto"/>
      </w:divBdr>
    </w:div>
    <w:div w:id="340159188">
      <w:bodyDiv w:val="1"/>
      <w:marLeft w:val="0"/>
      <w:marRight w:val="0"/>
      <w:marTop w:val="0"/>
      <w:marBottom w:val="0"/>
      <w:divBdr>
        <w:top w:val="none" w:sz="0" w:space="0" w:color="auto"/>
        <w:left w:val="none" w:sz="0" w:space="0" w:color="auto"/>
        <w:bottom w:val="none" w:sz="0" w:space="0" w:color="auto"/>
        <w:right w:val="none" w:sz="0" w:space="0" w:color="auto"/>
      </w:divBdr>
    </w:div>
    <w:div w:id="343047298">
      <w:bodyDiv w:val="1"/>
      <w:marLeft w:val="0"/>
      <w:marRight w:val="0"/>
      <w:marTop w:val="0"/>
      <w:marBottom w:val="0"/>
      <w:divBdr>
        <w:top w:val="none" w:sz="0" w:space="0" w:color="auto"/>
        <w:left w:val="none" w:sz="0" w:space="0" w:color="auto"/>
        <w:bottom w:val="none" w:sz="0" w:space="0" w:color="auto"/>
        <w:right w:val="none" w:sz="0" w:space="0" w:color="auto"/>
      </w:divBdr>
    </w:div>
    <w:div w:id="346296632">
      <w:bodyDiv w:val="1"/>
      <w:marLeft w:val="0"/>
      <w:marRight w:val="0"/>
      <w:marTop w:val="0"/>
      <w:marBottom w:val="0"/>
      <w:divBdr>
        <w:top w:val="none" w:sz="0" w:space="0" w:color="auto"/>
        <w:left w:val="none" w:sz="0" w:space="0" w:color="auto"/>
        <w:bottom w:val="none" w:sz="0" w:space="0" w:color="auto"/>
        <w:right w:val="none" w:sz="0" w:space="0" w:color="auto"/>
      </w:divBdr>
    </w:div>
    <w:div w:id="346568169">
      <w:bodyDiv w:val="1"/>
      <w:marLeft w:val="0"/>
      <w:marRight w:val="0"/>
      <w:marTop w:val="0"/>
      <w:marBottom w:val="0"/>
      <w:divBdr>
        <w:top w:val="none" w:sz="0" w:space="0" w:color="auto"/>
        <w:left w:val="none" w:sz="0" w:space="0" w:color="auto"/>
        <w:bottom w:val="none" w:sz="0" w:space="0" w:color="auto"/>
        <w:right w:val="none" w:sz="0" w:space="0" w:color="auto"/>
      </w:divBdr>
    </w:div>
    <w:div w:id="346716244">
      <w:bodyDiv w:val="1"/>
      <w:marLeft w:val="0"/>
      <w:marRight w:val="0"/>
      <w:marTop w:val="0"/>
      <w:marBottom w:val="0"/>
      <w:divBdr>
        <w:top w:val="none" w:sz="0" w:space="0" w:color="auto"/>
        <w:left w:val="none" w:sz="0" w:space="0" w:color="auto"/>
        <w:bottom w:val="none" w:sz="0" w:space="0" w:color="auto"/>
        <w:right w:val="none" w:sz="0" w:space="0" w:color="auto"/>
      </w:divBdr>
    </w:div>
    <w:div w:id="346760775">
      <w:bodyDiv w:val="1"/>
      <w:marLeft w:val="0"/>
      <w:marRight w:val="0"/>
      <w:marTop w:val="0"/>
      <w:marBottom w:val="0"/>
      <w:divBdr>
        <w:top w:val="none" w:sz="0" w:space="0" w:color="auto"/>
        <w:left w:val="none" w:sz="0" w:space="0" w:color="auto"/>
        <w:bottom w:val="none" w:sz="0" w:space="0" w:color="auto"/>
        <w:right w:val="none" w:sz="0" w:space="0" w:color="auto"/>
      </w:divBdr>
    </w:div>
    <w:div w:id="355811217">
      <w:bodyDiv w:val="1"/>
      <w:marLeft w:val="0"/>
      <w:marRight w:val="0"/>
      <w:marTop w:val="0"/>
      <w:marBottom w:val="0"/>
      <w:divBdr>
        <w:top w:val="none" w:sz="0" w:space="0" w:color="auto"/>
        <w:left w:val="none" w:sz="0" w:space="0" w:color="auto"/>
        <w:bottom w:val="none" w:sz="0" w:space="0" w:color="auto"/>
        <w:right w:val="none" w:sz="0" w:space="0" w:color="auto"/>
      </w:divBdr>
    </w:div>
    <w:div w:id="357437690">
      <w:bodyDiv w:val="1"/>
      <w:marLeft w:val="0"/>
      <w:marRight w:val="0"/>
      <w:marTop w:val="0"/>
      <w:marBottom w:val="0"/>
      <w:divBdr>
        <w:top w:val="none" w:sz="0" w:space="0" w:color="auto"/>
        <w:left w:val="none" w:sz="0" w:space="0" w:color="auto"/>
        <w:bottom w:val="none" w:sz="0" w:space="0" w:color="auto"/>
        <w:right w:val="none" w:sz="0" w:space="0" w:color="auto"/>
      </w:divBdr>
    </w:div>
    <w:div w:id="361055359">
      <w:bodyDiv w:val="1"/>
      <w:marLeft w:val="0"/>
      <w:marRight w:val="0"/>
      <w:marTop w:val="0"/>
      <w:marBottom w:val="0"/>
      <w:divBdr>
        <w:top w:val="none" w:sz="0" w:space="0" w:color="auto"/>
        <w:left w:val="none" w:sz="0" w:space="0" w:color="auto"/>
        <w:bottom w:val="none" w:sz="0" w:space="0" w:color="auto"/>
        <w:right w:val="none" w:sz="0" w:space="0" w:color="auto"/>
      </w:divBdr>
    </w:div>
    <w:div w:id="361634446">
      <w:bodyDiv w:val="1"/>
      <w:marLeft w:val="0"/>
      <w:marRight w:val="0"/>
      <w:marTop w:val="0"/>
      <w:marBottom w:val="0"/>
      <w:divBdr>
        <w:top w:val="none" w:sz="0" w:space="0" w:color="auto"/>
        <w:left w:val="none" w:sz="0" w:space="0" w:color="auto"/>
        <w:bottom w:val="none" w:sz="0" w:space="0" w:color="auto"/>
        <w:right w:val="none" w:sz="0" w:space="0" w:color="auto"/>
      </w:divBdr>
    </w:div>
    <w:div w:id="367216821">
      <w:bodyDiv w:val="1"/>
      <w:marLeft w:val="0"/>
      <w:marRight w:val="0"/>
      <w:marTop w:val="0"/>
      <w:marBottom w:val="0"/>
      <w:divBdr>
        <w:top w:val="none" w:sz="0" w:space="0" w:color="auto"/>
        <w:left w:val="none" w:sz="0" w:space="0" w:color="auto"/>
        <w:bottom w:val="none" w:sz="0" w:space="0" w:color="auto"/>
        <w:right w:val="none" w:sz="0" w:space="0" w:color="auto"/>
      </w:divBdr>
    </w:div>
    <w:div w:id="376665921">
      <w:bodyDiv w:val="1"/>
      <w:marLeft w:val="0"/>
      <w:marRight w:val="0"/>
      <w:marTop w:val="0"/>
      <w:marBottom w:val="0"/>
      <w:divBdr>
        <w:top w:val="none" w:sz="0" w:space="0" w:color="auto"/>
        <w:left w:val="none" w:sz="0" w:space="0" w:color="auto"/>
        <w:bottom w:val="none" w:sz="0" w:space="0" w:color="auto"/>
        <w:right w:val="none" w:sz="0" w:space="0" w:color="auto"/>
      </w:divBdr>
    </w:div>
    <w:div w:id="376666889">
      <w:bodyDiv w:val="1"/>
      <w:marLeft w:val="0"/>
      <w:marRight w:val="0"/>
      <w:marTop w:val="0"/>
      <w:marBottom w:val="0"/>
      <w:divBdr>
        <w:top w:val="none" w:sz="0" w:space="0" w:color="auto"/>
        <w:left w:val="none" w:sz="0" w:space="0" w:color="auto"/>
        <w:bottom w:val="none" w:sz="0" w:space="0" w:color="auto"/>
        <w:right w:val="none" w:sz="0" w:space="0" w:color="auto"/>
      </w:divBdr>
    </w:div>
    <w:div w:id="384375601">
      <w:bodyDiv w:val="1"/>
      <w:marLeft w:val="0"/>
      <w:marRight w:val="0"/>
      <w:marTop w:val="0"/>
      <w:marBottom w:val="0"/>
      <w:divBdr>
        <w:top w:val="none" w:sz="0" w:space="0" w:color="auto"/>
        <w:left w:val="none" w:sz="0" w:space="0" w:color="auto"/>
        <w:bottom w:val="none" w:sz="0" w:space="0" w:color="auto"/>
        <w:right w:val="none" w:sz="0" w:space="0" w:color="auto"/>
      </w:divBdr>
    </w:div>
    <w:div w:id="389115870">
      <w:bodyDiv w:val="1"/>
      <w:marLeft w:val="0"/>
      <w:marRight w:val="0"/>
      <w:marTop w:val="0"/>
      <w:marBottom w:val="0"/>
      <w:divBdr>
        <w:top w:val="none" w:sz="0" w:space="0" w:color="auto"/>
        <w:left w:val="none" w:sz="0" w:space="0" w:color="auto"/>
        <w:bottom w:val="none" w:sz="0" w:space="0" w:color="auto"/>
        <w:right w:val="none" w:sz="0" w:space="0" w:color="auto"/>
      </w:divBdr>
    </w:div>
    <w:div w:id="390158156">
      <w:bodyDiv w:val="1"/>
      <w:marLeft w:val="0"/>
      <w:marRight w:val="0"/>
      <w:marTop w:val="0"/>
      <w:marBottom w:val="0"/>
      <w:divBdr>
        <w:top w:val="none" w:sz="0" w:space="0" w:color="auto"/>
        <w:left w:val="none" w:sz="0" w:space="0" w:color="auto"/>
        <w:bottom w:val="none" w:sz="0" w:space="0" w:color="auto"/>
        <w:right w:val="none" w:sz="0" w:space="0" w:color="auto"/>
      </w:divBdr>
    </w:div>
    <w:div w:id="390545572">
      <w:bodyDiv w:val="1"/>
      <w:marLeft w:val="0"/>
      <w:marRight w:val="0"/>
      <w:marTop w:val="0"/>
      <w:marBottom w:val="0"/>
      <w:divBdr>
        <w:top w:val="none" w:sz="0" w:space="0" w:color="auto"/>
        <w:left w:val="none" w:sz="0" w:space="0" w:color="auto"/>
        <w:bottom w:val="none" w:sz="0" w:space="0" w:color="auto"/>
        <w:right w:val="none" w:sz="0" w:space="0" w:color="auto"/>
      </w:divBdr>
    </w:div>
    <w:div w:id="391201009">
      <w:bodyDiv w:val="1"/>
      <w:marLeft w:val="0"/>
      <w:marRight w:val="0"/>
      <w:marTop w:val="0"/>
      <w:marBottom w:val="0"/>
      <w:divBdr>
        <w:top w:val="none" w:sz="0" w:space="0" w:color="auto"/>
        <w:left w:val="none" w:sz="0" w:space="0" w:color="auto"/>
        <w:bottom w:val="none" w:sz="0" w:space="0" w:color="auto"/>
        <w:right w:val="none" w:sz="0" w:space="0" w:color="auto"/>
      </w:divBdr>
    </w:div>
    <w:div w:id="393547679">
      <w:bodyDiv w:val="1"/>
      <w:marLeft w:val="0"/>
      <w:marRight w:val="0"/>
      <w:marTop w:val="0"/>
      <w:marBottom w:val="0"/>
      <w:divBdr>
        <w:top w:val="none" w:sz="0" w:space="0" w:color="auto"/>
        <w:left w:val="none" w:sz="0" w:space="0" w:color="auto"/>
        <w:bottom w:val="none" w:sz="0" w:space="0" w:color="auto"/>
        <w:right w:val="none" w:sz="0" w:space="0" w:color="auto"/>
      </w:divBdr>
    </w:div>
    <w:div w:id="396325214">
      <w:bodyDiv w:val="1"/>
      <w:marLeft w:val="0"/>
      <w:marRight w:val="0"/>
      <w:marTop w:val="0"/>
      <w:marBottom w:val="0"/>
      <w:divBdr>
        <w:top w:val="none" w:sz="0" w:space="0" w:color="auto"/>
        <w:left w:val="none" w:sz="0" w:space="0" w:color="auto"/>
        <w:bottom w:val="none" w:sz="0" w:space="0" w:color="auto"/>
        <w:right w:val="none" w:sz="0" w:space="0" w:color="auto"/>
      </w:divBdr>
    </w:div>
    <w:div w:id="396829498">
      <w:bodyDiv w:val="1"/>
      <w:marLeft w:val="0"/>
      <w:marRight w:val="0"/>
      <w:marTop w:val="0"/>
      <w:marBottom w:val="0"/>
      <w:divBdr>
        <w:top w:val="none" w:sz="0" w:space="0" w:color="auto"/>
        <w:left w:val="none" w:sz="0" w:space="0" w:color="auto"/>
        <w:bottom w:val="none" w:sz="0" w:space="0" w:color="auto"/>
        <w:right w:val="none" w:sz="0" w:space="0" w:color="auto"/>
      </w:divBdr>
    </w:div>
    <w:div w:id="399640113">
      <w:bodyDiv w:val="1"/>
      <w:marLeft w:val="0"/>
      <w:marRight w:val="0"/>
      <w:marTop w:val="0"/>
      <w:marBottom w:val="0"/>
      <w:divBdr>
        <w:top w:val="none" w:sz="0" w:space="0" w:color="auto"/>
        <w:left w:val="none" w:sz="0" w:space="0" w:color="auto"/>
        <w:bottom w:val="none" w:sz="0" w:space="0" w:color="auto"/>
        <w:right w:val="none" w:sz="0" w:space="0" w:color="auto"/>
      </w:divBdr>
    </w:div>
    <w:div w:id="409889188">
      <w:bodyDiv w:val="1"/>
      <w:marLeft w:val="0"/>
      <w:marRight w:val="0"/>
      <w:marTop w:val="0"/>
      <w:marBottom w:val="0"/>
      <w:divBdr>
        <w:top w:val="none" w:sz="0" w:space="0" w:color="auto"/>
        <w:left w:val="none" w:sz="0" w:space="0" w:color="auto"/>
        <w:bottom w:val="none" w:sz="0" w:space="0" w:color="auto"/>
        <w:right w:val="none" w:sz="0" w:space="0" w:color="auto"/>
      </w:divBdr>
    </w:div>
    <w:div w:id="413360030">
      <w:bodyDiv w:val="1"/>
      <w:marLeft w:val="0"/>
      <w:marRight w:val="0"/>
      <w:marTop w:val="0"/>
      <w:marBottom w:val="0"/>
      <w:divBdr>
        <w:top w:val="none" w:sz="0" w:space="0" w:color="auto"/>
        <w:left w:val="none" w:sz="0" w:space="0" w:color="auto"/>
        <w:bottom w:val="none" w:sz="0" w:space="0" w:color="auto"/>
        <w:right w:val="none" w:sz="0" w:space="0" w:color="auto"/>
      </w:divBdr>
    </w:div>
    <w:div w:id="414321614">
      <w:bodyDiv w:val="1"/>
      <w:marLeft w:val="0"/>
      <w:marRight w:val="0"/>
      <w:marTop w:val="0"/>
      <w:marBottom w:val="0"/>
      <w:divBdr>
        <w:top w:val="none" w:sz="0" w:space="0" w:color="auto"/>
        <w:left w:val="none" w:sz="0" w:space="0" w:color="auto"/>
        <w:bottom w:val="none" w:sz="0" w:space="0" w:color="auto"/>
        <w:right w:val="none" w:sz="0" w:space="0" w:color="auto"/>
      </w:divBdr>
    </w:div>
    <w:div w:id="418336403">
      <w:bodyDiv w:val="1"/>
      <w:marLeft w:val="0"/>
      <w:marRight w:val="0"/>
      <w:marTop w:val="0"/>
      <w:marBottom w:val="0"/>
      <w:divBdr>
        <w:top w:val="none" w:sz="0" w:space="0" w:color="auto"/>
        <w:left w:val="none" w:sz="0" w:space="0" w:color="auto"/>
        <w:bottom w:val="none" w:sz="0" w:space="0" w:color="auto"/>
        <w:right w:val="none" w:sz="0" w:space="0" w:color="auto"/>
      </w:divBdr>
    </w:div>
    <w:div w:id="419837814">
      <w:bodyDiv w:val="1"/>
      <w:marLeft w:val="0"/>
      <w:marRight w:val="0"/>
      <w:marTop w:val="0"/>
      <w:marBottom w:val="0"/>
      <w:divBdr>
        <w:top w:val="none" w:sz="0" w:space="0" w:color="auto"/>
        <w:left w:val="none" w:sz="0" w:space="0" w:color="auto"/>
        <w:bottom w:val="none" w:sz="0" w:space="0" w:color="auto"/>
        <w:right w:val="none" w:sz="0" w:space="0" w:color="auto"/>
      </w:divBdr>
    </w:div>
    <w:div w:id="421879390">
      <w:bodyDiv w:val="1"/>
      <w:marLeft w:val="0"/>
      <w:marRight w:val="0"/>
      <w:marTop w:val="0"/>
      <w:marBottom w:val="0"/>
      <w:divBdr>
        <w:top w:val="none" w:sz="0" w:space="0" w:color="auto"/>
        <w:left w:val="none" w:sz="0" w:space="0" w:color="auto"/>
        <w:bottom w:val="none" w:sz="0" w:space="0" w:color="auto"/>
        <w:right w:val="none" w:sz="0" w:space="0" w:color="auto"/>
      </w:divBdr>
    </w:div>
    <w:div w:id="423035048">
      <w:bodyDiv w:val="1"/>
      <w:marLeft w:val="0"/>
      <w:marRight w:val="0"/>
      <w:marTop w:val="0"/>
      <w:marBottom w:val="0"/>
      <w:divBdr>
        <w:top w:val="none" w:sz="0" w:space="0" w:color="auto"/>
        <w:left w:val="none" w:sz="0" w:space="0" w:color="auto"/>
        <w:bottom w:val="none" w:sz="0" w:space="0" w:color="auto"/>
        <w:right w:val="none" w:sz="0" w:space="0" w:color="auto"/>
      </w:divBdr>
    </w:div>
    <w:div w:id="423695183">
      <w:bodyDiv w:val="1"/>
      <w:marLeft w:val="0"/>
      <w:marRight w:val="0"/>
      <w:marTop w:val="0"/>
      <w:marBottom w:val="0"/>
      <w:divBdr>
        <w:top w:val="none" w:sz="0" w:space="0" w:color="auto"/>
        <w:left w:val="none" w:sz="0" w:space="0" w:color="auto"/>
        <w:bottom w:val="none" w:sz="0" w:space="0" w:color="auto"/>
        <w:right w:val="none" w:sz="0" w:space="0" w:color="auto"/>
      </w:divBdr>
    </w:div>
    <w:div w:id="425199874">
      <w:bodyDiv w:val="1"/>
      <w:marLeft w:val="0"/>
      <w:marRight w:val="0"/>
      <w:marTop w:val="0"/>
      <w:marBottom w:val="0"/>
      <w:divBdr>
        <w:top w:val="none" w:sz="0" w:space="0" w:color="auto"/>
        <w:left w:val="none" w:sz="0" w:space="0" w:color="auto"/>
        <w:bottom w:val="none" w:sz="0" w:space="0" w:color="auto"/>
        <w:right w:val="none" w:sz="0" w:space="0" w:color="auto"/>
      </w:divBdr>
    </w:div>
    <w:div w:id="426737497">
      <w:bodyDiv w:val="1"/>
      <w:marLeft w:val="0"/>
      <w:marRight w:val="0"/>
      <w:marTop w:val="0"/>
      <w:marBottom w:val="0"/>
      <w:divBdr>
        <w:top w:val="none" w:sz="0" w:space="0" w:color="auto"/>
        <w:left w:val="none" w:sz="0" w:space="0" w:color="auto"/>
        <w:bottom w:val="none" w:sz="0" w:space="0" w:color="auto"/>
        <w:right w:val="none" w:sz="0" w:space="0" w:color="auto"/>
      </w:divBdr>
    </w:div>
    <w:div w:id="427845661">
      <w:bodyDiv w:val="1"/>
      <w:marLeft w:val="0"/>
      <w:marRight w:val="0"/>
      <w:marTop w:val="0"/>
      <w:marBottom w:val="0"/>
      <w:divBdr>
        <w:top w:val="none" w:sz="0" w:space="0" w:color="auto"/>
        <w:left w:val="none" w:sz="0" w:space="0" w:color="auto"/>
        <w:bottom w:val="none" w:sz="0" w:space="0" w:color="auto"/>
        <w:right w:val="none" w:sz="0" w:space="0" w:color="auto"/>
      </w:divBdr>
    </w:div>
    <w:div w:id="430980479">
      <w:bodyDiv w:val="1"/>
      <w:marLeft w:val="0"/>
      <w:marRight w:val="0"/>
      <w:marTop w:val="0"/>
      <w:marBottom w:val="0"/>
      <w:divBdr>
        <w:top w:val="none" w:sz="0" w:space="0" w:color="auto"/>
        <w:left w:val="none" w:sz="0" w:space="0" w:color="auto"/>
        <w:bottom w:val="none" w:sz="0" w:space="0" w:color="auto"/>
        <w:right w:val="none" w:sz="0" w:space="0" w:color="auto"/>
      </w:divBdr>
    </w:div>
    <w:div w:id="434641826">
      <w:bodyDiv w:val="1"/>
      <w:marLeft w:val="0"/>
      <w:marRight w:val="0"/>
      <w:marTop w:val="0"/>
      <w:marBottom w:val="0"/>
      <w:divBdr>
        <w:top w:val="none" w:sz="0" w:space="0" w:color="auto"/>
        <w:left w:val="none" w:sz="0" w:space="0" w:color="auto"/>
        <w:bottom w:val="none" w:sz="0" w:space="0" w:color="auto"/>
        <w:right w:val="none" w:sz="0" w:space="0" w:color="auto"/>
      </w:divBdr>
    </w:div>
    <w:div w:id="443427513">
      <w:bodyDiv w:val="1"/>
      <w:marLeft w:val="0"/>
      <w:marRight w:val="0"/>
      <w:marTop w:val="0"/>
      <w:marBottom w:val="0"/>
      <w:divBdr>
        <w:top w:val="none" w:sz="0" w:space="0" w:color="auto"/>
        <w:left w:val="none" w:sz="0" w:space="0" w:color="auto"/>
        <w:bottom w:val="none" w:sz="0" w:space="0" w:color="auto"/>
        <w:right w:val="none" w:sz="0" w:space="0" w:color="auto"/>
      </w:divBdr>
    </w:div>
    <w:div w:id="445319351">
      <w:bodyDiv w:val="1"/>
      <w:marLeft w:val="0"/>
      <w:marRight w:val="0"/>
      <w:marTop w:val="0"/>
      <w:marBottom w:val="0"/>
      <w:divBdr>
        <w:top w:val="none" w:sz="0" w:space="0" w:color="auto"/>
        <w:left w:val="none" w:sz="0" w:space="0" w:color="auto"/>
        <w:bottom w:val="none" w:sz="0" w:space="0" w:color="auto"/>
        <w:right w:val="none" w:sz="0" w:space="0" w:color="auto"/>
      </w:divBdr>
    </w:div>
    <w:div w:id="450512894">
      <w:bodyDiv w:val="1"/>
      <w:marLeft w:val="0"/>
      <w:marRight w:val="0"/>
      <w:marTop w:val="0"/>
      <w:marBottom w:val="0"/>
      <w:divBdr>
        <w:top w:val="none" w:sz="0" w:space="0" w:color="auto"/>
        <w:left w:val="none" w:sz="0" w:space="0" w:color="auto"/>
        <w:bottom w:val="none" w:sz="0" w:space="0" w:color="auto"/>
        <w:right w:val="none" w:sz="0" w:space="0" w:color="auto"/>
      </w:divBdr>
    </w:div>
    <w:div w:id="454906725">
      <w:bodyDiv w:val="1"/>
      <w:marLeft w:val="0"/>
      <w:marRight w:val="0"/>
      <w:marTop w:val="0"/>
      <w:marBottom w:val="0"/>
      <w:divBdr>
        <w:top w:val="none" w:sz="0" w:space="0" w:color="auto"/>
        <w:left w:val="none" w:sz="0" w:space="0" w:color="auto"/>
        <w:bottom w:val="none" w:sz="0" w:space="0" w:color="auto"/>
        <w:right w:val="none" w:sz="0" w:space="0" w:color="auto"/>
      </w:divBdr>
    </w:div>
    <w:div w:id="455612093">
      <w:bodyDiv w:val="1"/>
      <w:marLeft w:val="0"/>
      <w:marRight w:val="0"/>
      <w:marTop w:val="0"/>
      <w:marBottom w:val="0"/>
      <w:divBdr>
        <w:top w:val="none" w:sz="0" w:space="0" w:color="auto"/>
        <w:left w:val="none" w:sz="0" w:space="0" w:color="auto"/>
        <w:bottom w:val="none" w:sz="0" w:space="0" w:color="auto"/>
        <w:right w:val="none" w:sz="0" w:space="0" w:color="auto"/>
      </w:divBdr>
    </w:div>
    <w:div w:id="457383596">
      <w:bodyDiv w:val="1"/>
      <w:marLeft w:val="0"/>
      <w:marRight w:val="0"/>
      <w:marTop w:val="0"/>
      <w:marBottom w:val="0"/>
      <w:divBdr>
        <w:top w:val="none" w:sz="0" w:space="0" w:color="auto"/>
        <w:left w:val="none" w:sz="0" w:space="0" w:color="auto"/>
        <w:bottom w:val="none" w:sz="0" w:space="0" w:color="auto"/>
        <w:right w:val="none" w:sz="0" w:space="0" w:color="auto"/>
      </w:divBdr>
    </w:div>
    <w:div w:id="458840261">
      <w:bodyDiv w:val="1"/>
      <w:marLeft w:val="0"/>
      <w:marRight w:val="0"/>
      <w:marTop w:val="0"/>
      <w:marBottom w:val="0"/>
      <w:divBdr>
        <w:top w:val="none" w:sz="0" w:space="0" w:color="auto"/>
        <w:left w:val="none" w:sz="0" w:space="0" w:color="auto"/>
        <w:bottom w:val="none" w:sz="0" w:space="0" w:color="auto"/>
        <w:right w:val="none" w:sz="0" w:space="0" w:color="auto"/>
      </w:divBdr>
      <w:divsChild>
        <w:div w:id="2033024336">
          <w:marLeft w:val="0"/>
          <w:marRight w:val="0"/>
          <w:marTop w:val="0"/>
          <w:marBottom w:val="0"/>
          <w:divBdr>
            <w:top w:val="none" w:sz="0" w:space="0" w:color="auto"/>
            <w:left w:val="none" w:sz="0" w:space="0" w:color="auto"/>
            <w:bottom w:val="none" w:sz="0" w:space="0" w:color="auto"/>
            <w:right w:val="none" w:sz="0" w:space="0" w:color="auto"/>
          </w:divBdr>
          <w:divsChild>
            <w:div w:id="37455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691703">
      <w:bodyDiv w:val="1"/>
      <w:marLeft w:val="0"/>
      <w:marRight w:val="0"/>
      <w:marTop w:val="0"/>
      <w:marBottom w:val="0"/>
      <w:divBdr>
        <w:top w:val="none" w:sz="0" w:space="0" w:color="auto"/>
        <w:left w:val="none" w:sz="0" w:space="0" w:color="auto"/>
        <w:bottom w:val="none" w:sz="0" w:space="0" w:color="auto"/>
        <w:right w:val="none" w:sz="0" w:space="0" w:color="auto"/>
      </w:divBdr>
    </w:div>
    <w:div w:id="460421689">
      <w:bodyDiv w:val="1"/>
      <w:marLeft w:val="0"/>
      <w:marRight w:val="0"/>
      <w:marTop w:val="0"/>
      <w:marBottom w:val="0"/>
      <w:divBdr>
        <w:top w:val="none" w:sz="0" w:space="0" w:color="auto"/>
        <w:left w:val="none" w:sz="0" w:space="0" w:color="auto"/>
        <w:bottom w:val="none" w:sz="0" w:space="0" w:color="auto"/>
        <w:right w:val="none" w:sz="0" w:space="0" w:color="auto"/>
      </w:divBdr>
    </w:div>
    <w:div w:id="462967094">
      <w:bodyDiv w:val="1"/>
      <w:marLeft w:val="0"/>
      <w:marRight w:val="0"/>
      <w:marTop w:val="0"/>
      <w:marBottom w:val="0"/>
      <w:divBdr>
        <w:top w:val="none" w:sz="0" w:space="0" w:color="auto"/>
        <w:left w:val="none" w:sz="0" w:space="0" w:color="auto"/>
        <w:bottom w:val="none" w:sz="0" w:space="0" w:color="auto"/>
        <w:right w:val="none" w:sz="0" w:space="0" w:color="auto"/>
      </w:divBdr>
    </w:div>
    <w:div w:id="463161799">
      <w:bodyDiv w:val="1"/>
      <w:marLeft w:val="0"/>
      <w:marRight w:val="0"/>
      <w:marTop w:val="0"/>
      <w:marBottom w:val="0"/>
      <w:divBdr>
        <w:top w:val="none" w:sz="0" w:space="0" w:color="auto"/>
        <w:left w:val="none" w:sz="0" w:space="0" w:color="auto"/>
        <w:bottom w:val="none" w:sz="0" w:space="0" w:color="auto"/>
        <w:right w:val="none" w:sz="0" w:space="0" w:color="auto"/>
      </w:divBdr>
    </w:div>
    <w:div w:id="464391404">
      <w:bodyDiv w:val="1"/>
      <w:marLeft w:val="0"/>
      <w:marRight w:val="0"/>
      <w:marTop w:val="0"/>
      <w:marBottom w:val="0"/>
      <w:divBdr>
        <w:top w:val="none" w:sz="0" w:space="0" w:color="auto"/>
        <w:left w:val="none" w:sz="0" w:space="0" w:color="auto"/>
        <w:bottom w:val="none" w:sz="0" w:space="0" w:color="auto"/>
        <w:right w:val="none" w:sz="0" w:space="0" w:color="auto"/>
      </w:divBdr>
    </w:div>
    <w:div w:id="468787148">
      <w:bodyDiv w:val="1"/>
      <w:marLeft w:val="0"/>
      <w:marRight w:val="0"/>
      <w:marTop w:val="0"/>
      <w:marBottom w:val="0"/>
      <w:divBdr>
        <w:top w:val="none" w:sz="0" w:space="0" w:color="auto"/>
        <w:left w:val="none" w:sz="0" w:space="0" w:color="auto"/>
        <w:bottom w:val="none" w:sz="0" w:space="0" w:color="auto"/>
        <w:right w:val="none" w:sz="0" w:space="0" w:color="auto"/>
      </w:divBdr>
    </w:div>
    <w:div w:id="470094682">
      <w:bodyDiv w:val="1"/>
      <w:marLeft w:val="0"/>
      <w:marRight w:val="0"/>
      <w:marTop w:val="0"/>
      <w:marBottom w:val="0"/>
      <w:divBdr>
        <w:top w:val="none" w:sz="0" w:space="0" w:color="auto"/>
        <w:left w:val="none" w:sz="0" w:space="0" w:color="auto"/>
        <w:bottom w:val="none" w:sz="0" w:space="0" w:color="auto"/>
        <w:right w:val="none" w:sz="0" w:space="0" w:color="auto"/>
      </w:divBdr>
    </w:div>
    <w:div w:id="470907015">
      <w:bodyDiv w:val="1"/>
      <w:marLeft w:val="0"/>
      <w:marRight w:val="0"/>
      <w:marTop w:val="0"/>
      <w:marBottom w:val="0"/>
      <w:divBdr>
        <w:top w:val="none" w:sz="0" w:space="0" w:color="auto"/>
        <w:left w:val="none" w:sz="0" w:space="0" w:color="auto"/>
        <w:bottom w:val="none" w:sz="0" w:space="0" w:color="auto"/>
        <w:right w:val="none" w:sz="0" w:space="0" w:color="auto"/>
      </w:divBdr>
    </w:div>
    <w:div w:id="471606787">
      <w:bodyDiv w:val="1"/>
      <w:marLeft w:val="0"/>
      <w:marRight w:val="0"/>
      <w:marTop w:val="0"/>
      <w:marBottom w:val="0"/>
      <w:divBdr>
        <w:top w:val="none" w:sz="0" w:space="0" w:color="auto"/>
        <w:left w:val="none" w:sz="0" w:space="0" w:color="auto"/>
        <w:bottom w:val="none" w:sz="0" w:space="0" w:color="auto"/>
        <w:right w:val="none" w:sz="0" w:space="0" w:color="auto"/>
      </w:divBdr>
    </w:div>
    <w:div w:id="473109090">
      <w:bodyDiv w:val="1"/>
      <w:marLeft w:val="0"/>
      <w:marRight w:val="0"/>
      <w:marTop w:val="0"/>
      <w:marBottom w:val="0"/>
      <w:divBdr>
        <w:top w:val="none" w:sz="0" w:space="0" w:color="auto"/>
        <w:left w:val="none" w:sz="0" w:space="0" w:color="auto"/>
        <w:bottom w:val="none" w:sz="0" w:space="0" w:color="auto"/>
        <w:right w:val="none" w:sz="0" w:space="0" w:color="auto"/>
      </w:divBdr>
    </w:div>
    <w:div w:id="475684249">
      <w:bodyDiv w:val="1"/>
      <w:marLeft w:val="0"/>
      <w:marRight w:val="0"/>
      <w:marTop w:val="0"/>
      <w:marBottom w:val="0"/>
      <w:divBdr>
        <w:top w:val="none" w:sz="0" w:space="0" w:color="auto"/>
        <w:left w:val="none" w:sz="0" w:space="0" w:color="auto"/>
        <w:bottom w:val="none" w:sz="0" w:space="0" w:color="auto"/>
        <w:right w:val="none" w:sz="0" w:space="0" w:color="auto"/>
      </w:divBdr>
    </w:div>
    <w:div w:id="478574595">
      <w:bodyDiv w:val="1"/>
      <w:marLeft w:val="0"/>
      <w:marRight w:val="0"/>
      <w:marTop w:val="0"/>
      <w:marBottom w:val="0"/>
      <w:divBdr>
        <w:top w:val="none" w:sz="0" w:space="0" w:color="auto"/>
        <w:left w:val="none" w:sz="0" w:space="0" w:color="auto"/>
        <w:bottom w:val="none" w:sz="0" w:space="0" w:color="auto"/>
        <w:right w:val="none" w:sz="0" w:space="0" w:color="auto"/>
      </w:divBdr>
    </w:div>
    <w:div w:id="480345951">
      <w:bodyDiv w:val="1"/>
      <w:marLeft w:val="0"/>
      <w:marRight w:val="0"/>
      <w:marTop w:val="0"/>
      <w:marBottom w:val="0"/>
      <w:divBdr>
        <w:top w:val="none" w:sz="0" w:space="0" w:color="auto"/>
        <w:left w:val="none" w:sz="0" w:space="0" w:color="auto"/>
        <w:bottom w:val="none" w:sz="0" w:space="0" w:color="auto"/>
        <w:right w:val="none" w:sz="0" w:space="0" w:color="auto"/>
      </w:divBdr>
    </w:div>
    <w:div w:id="481888837">
      <w:bodyDiv w:val="1"/>
      <w:marLeft w:val="0"/>
      <w:marRight w:val="0"/>
      <w:marTop w:val="0"/>
      <w:marBottom w:val="0"/>
      <w:divBdr>
        <w:top w:val="none" w:sz="0" w:space="0" w:color="auto"/>
        <w:left w:val="none" w:sz="0" w:space="0" w:color="auto"/>
        <w:bottom w:val="none" w:sz="0" w:space="0" w:color="auto"/>
        <w:right w:val="none" w:sz="0" w:space="0" w:color="auto"/>
      </w:divBdr>
    </w:div>
    <w:div w:id="485710168">
      <w:bodyDiv w:val="1"/>
      <w:marLeft w:val="0"/>
      <w:marRight w:val="0"/>
      <w:marTop w:val="0"/>
      <w:marBottom w:val="0"/>
      <w:divBdr>
        <w:top w:val="none" w:sz="0" w:space="0" w:color="auto"/>
        <w:left w:val="none" w:sz="0" w:space="0" w:color="auto"/>
        <w:bottom w:val="none" w:sz="0" w:space="0" w:color="auto"/>
        <w:right w:val="none" w:sz="0" w:space="0" w:color="auto"/>
      </w:divBdr>
    </w:div>
    <w:div w:id="488331835">
      <w:bodyDiv w:val="1"/>
      <w:marLeft w:val="0"/>
      <w:marRight w:val="0"/>
      <w:marTop w:val="0"/>
      <w:marBottom w:val="0"/>
      <w:divBdr>
        <w:top w:val="none" w:sz="0" w:space="0" w:color="auto"/>
        <w:left w:val="none" w:sz="0" w:space="0" w:color="auto"/>
        <w:bottom w:val="none" w:sz="0" w:space="0" w:color="auto"/>
        <w:right w:val="none" w:sz="0" w:space="0" w:color="auto"/>
      </w:divBdr>
    </w:div>
    <w:div w:id="493693003">
      <w:bodyDiv w:val="1"/>
      <w:marLeft w:val="0"/>
      <w:marRight w:val="0"/>
      <w:marTop w:val="0"/>
      <w:marBottom w:val="0"/>
      <w:divBdr>
        <w:top w:val="none" w:sz="0" w:space="0" w:color="auto"/>
        <w:left w:val="none" w:sz="0" w:space="0" w:color="auto"/>
        <w:bottom w:val="none" w:sz="0" w:space="0" w:color="auto"/>
        <w:right w:val="none" w:sz="0" w:space="0" w:color="auto"/>
      </w:divBdr>
    </w:div>
    <w:div w:id="494490147">
      <w:bodyDiv w:val="1"/>
      <w:marLeft w:val="0"/>
      <w:marRight w:val="0"/>
      <w:marTop w:val="0"/>
      <w:marBottom w:val="0"/>
      <w:divBdr>
        <w:top w:val="none" w:sz="0" w:space="0" w:color="auto"/>
        <w:left w:val="none" w:sz="0" w:space="0" w:color="auto"/>
        <w:bottom w:val="none" w:sz="0" w:space="0" w:color="auto"/>
        <w:right w:val="none" w:sz="0" w:space="0" w:color="auto"/>
      </w:divBdr>
    </w:div>
    <w:div w:id="495458623">
      <w:bodyDiv w:val="1"/>
      <w:marLeft w:val="0"/>
      <w:marRight w:val="0"/>
      <w:marTop w:val="0"/>
      <w:marBottom w:val="0"/>
      <w:divBdr>
        <w:top w:val="none" w:sz="0" w:space="0" w:color="auto"/>
        <w:left w:val="none" w:sz="0" w:space="0" w:color="auto"/>
        <w:bottom w:val="none" w:sz="0" w:space="0" w:color="auto"/>
        <w:right w:val="none" w:sz="0" w:space="0" w:color="auto"/>
      </w:divBdr>
    </w:div>
    <w:div w:id="495727589">
      <w:bodyDiv w:val="1"/>
      <w:marLeft w:val="0"/>
      <w:marRight w:val="0"/>
      <w:marTop w:val="0"/>
      <w:marBottom w:val="0"/>
      <w:divBdr>
        <w:top w:val="none" w:sz="0" w:space="0" w:color="auto"/>
        <w:left w:val="none" w:sz="0" w:space="0" w:color="auto"/>
        <w:bottom w:val="none" w:sz="0" w:space="0" w:color="auto"/>
        <w:right w:val="none" w:sz="0" w:space="0" w:color="auto"/>
      </w:divBdr>
    </w:div>
    <w:div w:id="496769475">
      <w:bodyDiv w:val="1"/>
      <w:marLeft w:val="0"/>
      <w:marRight w:val="0"/>
      <w:marTop w:val="0"/>
      <w:marBottom w:val="0"/>
      <w:divBdr>
        <w:top w:val="none" w:sz="0" w:space="0" w:color="auto"/>
        <w:left w:val="none" w:sz="0" w:space="0" w:color="auto"/>
        <w:bottom w:val="none" w:sz="0" w:space="0" w:color="auto"/>
        <w:right w:val="none" w:sz="0" w:space="0" w:color="auto"/>
      </w:divBdr>
    </w:div>
    <w:div w:id="502864542">
      <w:bodyDiv w:val="1"/>
      <w:marLeft w:val="0"/>
      <w:marRight w:val="0"/>
      <w:marTop w:val="0"/>
      <w:marBottom w:val="0"/>
      <w:divBdr>
        <w:top w:val="none" w:sz="0" w:space="0" w:color="auto"/>
        <w:left w:val="none" w:sz="0" w:space="0" w:color="auto"/>
        <w:bottom w:val="none" w:sz="0" w:space="0" w:color="auto"/>
        <w:right w:val="none" w:sz="0" w:space="0" w:color="auto"/>
      </w:divBdr>
    </w:div>
    <w:div w:id="503521600">
      <w:bodyDiv w:val="1"/>
      <w:marLeft w:val="0"/>
      <w:marRight w:val="0"/>
      <w:marTop w:val="0"/>
      <w:marBottom w:val="0"/>
      <w:divBdr>
        <w:top w:val="none" w:sz="0" w:space="0" w:color="auto"/>
        <w:left w:val="none" w:sz="0" w:space="0" w:color="auto"/>
        <w:bottom w:val="none" w:sz="0" w:space="0" w:color="auto"/>
        <w:right w:val="none" w:sz="0" w:space="0" w:color="auto"/>
      </w:divBdr>
    </w:div>
    <w:div w:id="503593208">
      <w:bodyDiv w:val="1"/>
      <w:marLeft w:val="0"/>
      <w:marRight w:val="0"/>
      <w:marTop w:val="0"/>
      <w:marBottom w:val="0"/>
      <w:divBdr>
        <w:top w:val="none" w:sz="0" w:space="0" w:color="auto"/>
        <w:left w:val="none" w:sz="0" w:space="0" w:color="auto"/>
        <w:bottom w:val="none" w:sz="0" w:space="0" w:color="auto"/>
        <w:right w:val="none" w:sz="0" w:space="0" w:color="auto"/>
      </w:divBdr>
    </w:div>
    <w:div w:id="506754482">
      <w:bodyDiv w:val="1"/>
      <w:marLeft w:val="0"/>
      <w:marRight w:val="0"/>
      <w:marTop w:val="0"/>
      <w:marBottom w:val="0"/>
      <w:divBdr>
        <w:top w:val="none" w:sz="0" w:space="0" w:color="auto"/>
        <w:left w:val="none" w:sz="0" w:space="0" w:color="auto"/>
        <w:bottom w:val="none" w:sz="0" w:space="0" w:color="auto"/>
        <w:right w:val="none" w:sz="0" w:space="0" w:color="auto"/>
      </w:divBdr>
    </w:div>
    <w:div w:id="507722035">
      <w:bodyDiv w:val="1"/>
      <w:marLeft w:val="0"/>
      <w:marRight w:val="0"/>
      <w:marTop w:val="0"/>
      <w:marBottom w:val="0"/>
      <w:divBdr>
        <w:top w:val="none" w:sz="0" w:space="0" w:color="auto"/>
        <w:left w:val="none" w:sz="0" w:space="0" w:color="auto"/>
        <w:bottom w:val="none" w:sz="0" w:space="0" w:color="auto"/>
        <w:right w:val="none" w:sz="0" w:space="0" w:color="auto"/>
      </w:divBdr>
    </w:div>
    <w:div w:id="507790348">
      <w:bodyDiv w:val="1"/>
      <w:marLeft w:val="0"/>
      <w:marRight w:val="0"/>
      <w:marTop w:val="0"/>
      <w:marBottom w:val="0"/>
      <w:divBdr>
        <w:top w:val="none" w:sz="0" w:space="0" w:color="auto"/>
        <w:left w:val="none" w:sz="0" w:space="0" w:color="auto"/>
        <w:bottom w:val="none" w:sz="0" w:space="0" w:color="auto"/>
        <w:right w:val="none" w:sz="0" w:space="0" w:color="auto"/>
      </w:divBdr>
    </w:div>
    <w:div w:id="512688839">
      <w:bodyDiv w:val="1"/>
      <w:marLeft w:val="0"/>
      <w:marRight w:val="0"/>
      <w:marTop w:val="0"/>
      <w:marBottom w:val="0"/>
      <w:divBdr>
        <w:top w:val="none" w:sz="0" w:space="0" w:color="auto"/>
        <w:left w:val="none" w:sz="0" w:space="0" w:color="auto"/>
        <w:bottom w:val="none" w:sz="0" w:space="0" w:color="auto"/>
        <w:right w:val="none" w:sz="0" w:space="0" w:color="auto"/>
      </w:divBdr>
    </w:div>
    <w:div w:id="516965957">
      <w:bodyDiv w:val="1"/>
      <w:marLeft w:val="0"/>
      <w:marRight w:val="0"/>
      <w:marTop w:val="0"/>
      <w:marBottom w:val="0"/>
      <w:divBdr>
        <w:top w:val="none" w:sz="0" w:space="0" w:color="auto"/>
        <w:left w:val="none" w:sz="0" w:space="0" w:color="auto"/>
        <w:bottom w:val="none" w:sz="0" w:space="0" w:color="auto"/>
        <w:right w:val="none" w:sz="0" w:space="0" w:color="auto"/>
      </w:divBdr>
    </w:div>
    <w:div w:id="524757167">
      <w:bodyDiv w:val="1"/>
      <w:marLeft w:val="0"/>
      <w:marRight w:val="0"/>
      <w:marTop w:val="0"/>
      <w:marBottom w:val="0"/>
      <w:divBdr>
        <w:top w:val="none" w:sz="0" w:space="0" w:color="auto"/>
        <w:left w:val="none" w:sz="0" w:space="0" w:color="auto"/>
        <w:bottom w:val="none" w:sz="0" w:space="0" w:color="auto"/>
        <w:right w:val="none" w:sz="0" w:space="0" w:color="auto"/>
      </w:divBdr>
    </w:div>
    <w:div w:id="525366247">
      <w:bodyDiv w:val="1"/>
      <w:marLeft w:val="0"/>
      <w:marRight w:val="0"/>
      <w:marTop w:val="0"/>
      <w:marBottom w:val="0"/>
      <w:divBdr>
        <w:top w:val="none" w:sz="0" w:space="0" w:color="auto"/>
        <w:left w:val="none" w:sz="0" w:space="0" w:color="auto"/>
        <w:bottom w:val="none" w:sz="0" w:space="0" w:color="auto"/>
        <w:right w:val="none" w:sz="0" w:space="0" w:color="auto"/>
      </w:divBdr>
    </w:div>
    <w:div w:id="527067856">
      <w:bodyDiv w:val="1"/>
      <w:marLeft w:val="0"/>
      <w:marRight w:val="0"/>
      <w:marTop w:val="0"/>
      <w:marBottom w:val="0"/>
      <w:divBdr>
        <w:top w:val="none" w:sz="0" w:space="0" w:color="auto"/>
        <w:left w:val="none" w:sz="0" w:space="0" w:color="auto"/>
        <w:bottom w:val="none" w:sz="0" w:space="0" w:color="auto"/>
        <w:right w:val="none" w:sz="0" w:space="0" w:color="auto"/>
      </w:divBdr>
    </w:div>
    <w:div w:id="528027065">
      <w:bodyDiv w:val="1"/>
      <w:marLeft w:val="0"/>
      <w:marRight w:val="0"/>
      <w:marTop w:val="0"/>
      <w:marBottom w:val="0"/>
      <w:divBdr>
        <w:top w:val="none" w:sz="0" w:space="0" w:color="auto"/>
        <w:left w:val="none" w:sz="0" w:space="0" w:color="auto"/>
        <w:bottom w:val="none" w:sz="0" w:space="0" w:color="auto"/>
        <w:right w:val="none" w:sz="0" w:space="0" w:color="auto"/>
      </w:divBdr>
    </w:div>
    <w:div w:id="529073949">
      <w:bodyDiv w:val="1"/>
      <w:marLeft w:val="0"/>
      <w:marRight w:val="0"/>
      <w:marTop w:val="0"/>
      <w:marBottom w:val="0"/>
      <w:divBdr>
        <w:top w:val="none" w:sz="0" w:space="0" w:color="auto"/>
        <w:left w:val="none" w:sz="0" w:space="0" w:color="auto"/>
        <w:bottom w:val="none" w:sz="0" w:space="0" w:color="auto"/>
        <w:right w:val="none" w:sz="0" w:space="0" w:color="auto"/>
      </w:divBdr>
    </w:div>
    <w:div w:id="532307241">
      <w:bodyDiv w:val="1"/>
      <w:marLeft w:val="0"/>
      <w:marRight w:val="0"/>
      <w:marTop w:val="0"/>
      <w:marBottom w:val="0"/>
      <w:divBdr>
        <w:top w:val="none" w:sz="0" w:space="0" w:color="auto"/>
        <w:left w:val="none" w:sz="0" w:space="0" w:color="auto"/>
        <w:bottom w:val="none" w:sz="0" w:space="0" w:color="auto"/>
        <w:right w:val="none" w:sz="0" w:space="0" w:color="auto"/>
      </w:divBdr>
    </w:div>
    <w:div w:id="533810944">
      <w:bodyDiv w:val="1"/>
      <w:marLeft w:val="0"/>
      <w:marRight w:val="0"/>
      <w:marTop w:val="0"/>
      <w:marBottom w:val="0"/>
      <w:divBdr>
        <w:top w:val="none" w:sz="0" w:space="0" w:color="auto"/>
        <w:left w:val="none" w:sz="0" w:space="0" w:color="auto"/>
        <w:bottom w:val="none" w:sz="0" w:space="0" w:color="auto"/>
        <w:right w:val="none" w:sz="0" w:space="0" w:color="auto"/>
      </w:divBdr>
    </w:div>
    <w:div w:id="534542013">
      <w:bodyDiv w:val="1"/>
      <w:marLeft w:val="0"/>
      <w:marRight w:val="0"/>
      <w:marTop w:val="0"/>
      <w:marBottom w:val="0"/>
      <w:divBdr>
        <w:top w:val="none" w:sz="0" w:space="0" w:color="auto"/>
        <w:left w:val="none" w:sz="0" w:space="0" w:color="auto"/>
        <w:bottom w:val="none" w:sz="0" w:space="0" w:color="auto"/>
        <w:right w:val="none" w:sz="0" w:space="0" w:color="auto"/>
      </w:divBdr>
    </w:div>
    <w:div w:id="535584824">
      <w:bodyDiv w:val="1"/>
      <w:marLeft w:val="0"/>
      <w:marRight w:val="0"/>
      <w:marTop w:val="0"/>
      <w:marBottom w:val="0"/>
      <w:divBdr>
        <w:top w:val="none" w:sz="0" w:space="0" w:color="auto"/>
        <w:left w:val="none" w:sz="0" w:space="0" w:color="auto"/>
        <w:bottom w:val="none" w:sz="0" w:space="0" w:color="auto"/>
        <w:right w:val="none" w:sz="0" w:space="0" w:color="auto"/>
      </w:divBdr>
    </w:div>
    <w:div w:id="535627370">
      <w:bodyDiv w:val="1"/>
      <w:marLeft w:val="0"/>
      <w:marRight w:val="0"/>
      <w:marTop w:val="0"/>
      <w:marBottom w:val="0"/>
      <w:divBdr>
        <w:top w:val="none" w:sz="0" w:space="0" w:color="auto"/>
        <w:left w:val="none" w:sz="0" w:space="0" w:color="auto"/>
        <w:bottom w:val="none" w:sz="0" w:space="0" w:color="auto"/>
        <w:right w:val="none" w:sz="0" w:space="0" w:color="auto"/>
      </w:divBdr>
    </w:div>
    <w:div w:id="538323816">
      <w:bodyDiv w:val="1"/>
      <w:marLeft w:val="0"/>
      <w:marRight w:val="0"/>
      <w:marTop w:val="0"/>
      <w:marBottom w:val="0"/>
      <w:divBdr>
        <w:top w:val="none" w:sz="0" w:space="0" w:color="auto"/>
        <w:left w:val="none" w:sz="0" w:space="0" w:color="auto"/>
        <w:bottom w:val="none" w:sz="0" w:space="0" w:color="auto"/>
        <w:right w:val="none" w:sz="0" w:space="0" w:color="auto"/>
      </w:divBdr>
    </w:div>
    <w:div w:id="538592421">
      <w:bodyDiv w:val="1"/>
      <w:marLeft w:val="0"/>
      <w:marRight w:val="0"/>
      <w:marTop w:val="0"/>
      <w:marBottom w:val="0"/>
      <w:divBdr>
        <w:top w:val="none" w:sz="0" w:space="0" w:color="auto"/>
        <w:left w:val="none" w:sz="0" w:space="0" w:color="auto"/>
        <w:bottom w:val="none" w:sz="0" w:space="0" w:color="auto"/>
        <w:right w:val="none" w:sz="0" w:space="0" w:color="auto"/>
      </w:divBdr>
    </w:div>
    <w:div w:id="539518003">
      <w:bodyDiv w:val="1"/>
      <w:marLeft w:val="0"/>
      <w:marRight w:val="0"/>
      <w:marTop w:val="0"/>
      <w:marBottom w:val="0"/>
      <w:divBdr>
        <w:top w:val="none" w:sz="0" w:space="0" w:color="auto"/>
        <w:left w:val="none" w:sz="0" w:space="0" w:color="auto"/>
        <w:bottom w:val="none" w:sz="0" w:space="0" w:color="auto"/>
        <w:right w:val="none" w:sz="0" w:space="0" w:color="auto"/>
      </w:divBdr>
    </w:div>
    <w:div w:id="539782048">
      <w:bodyDiv w:val="1"/>
      <w:marLeft w:val="0"/>
      <w:marRight w:val="0"/>
      <w:marTop w:val="0"/>
      <w:marBottom w:val="0"/>
      <w:divBdr>
        <w:top w:val="none" w:sz="0" w:space="0" w:color="auto"/>
        <w:left w:val="none" w:sz="0" w:space="0" w:color="auto"/>
        <w:bottom w:val="none" w:sz="0" w:space="0" w:color="auto"/>
        <w:right w:val="none" w:sz="0" w:space="0" w:color="auto"/>
      </w:divBdr>
    </w:div>
    <w:div w:id="540635071">
      <w:bodyDiv w:val="1"/>
      <w:marLeft w:val="0"/>
      <w:marRight w:val="0"/>
      <w:marTop w:val="0"/>
      <w:marBottom w:val="0"/>
      <w:divBdr>
        <w:top w:val="none" w:sz="0" w:space="0" w:color="auto"/>
        <w:left w:val="none" w:sz="0" w:space="0" w:color="auto"/>
        <w:bottom w:val="none" w:sz="0" w:space="0" w:color="auto"/>
        <w:right w:val="none" w:sz="0" w:space="0" w:color="auto"/>
      </w:divBdr>
    </w:div>
    <w:div w:id="541673400">
      <w:bodyDiv w:val="1"/>
      <w:marLeft w:val="0"/>
      <w:marRight w:val="0"/>
      <w:marTop w:val="0"/>
      <w:marBottom w:val="0"/>
      <w:divBdr>
        <w:top w:val="none" w:sz="0" w:space="0" w:color="auto"/>
        <w:left w:val="none" w:sz="0" w:space="0" w:color="auto"/>
        <w:bottom w:val="none" w:sz="0" w:space="0" w:color="auto"/>
        <w:right w:val="none" w:sz="0" w:space="0" w:color="auto"/>
      </w:divBdr>
    </w:div>
    <w:div w:id="547762642">
      <w:bodyDiv w:val="1"/>
      <w:marLeft w:val="0"/>
      <w:marRight w:val="0"/>
      <w:marTop w:val="0"/>
      <w:marBottom w:val="0"/>
      <w:divBdr>
        <w:top w:val="none" w:sz="0" w:space="0" w:color="auto"/>
        <w:left w:val="none" w:sz="0" w:space="0" w:color="auto"/>
        <w:bottom w:val="none" w:sz="0" w:space="0" w:color="auto"/>
        <w:right w:val="none" w:sz="0" w:space="0" w:color="auto"/>
      </w:divBdr>
    </w:div>
    <w:div w:id="548108388">
      <w:bodyDiv w:val="1"/>
      <w:marLeft w:val="0"/>
      <w:marRight w:val="0"/>
      <w:marTop w:val="0"/>
      <w:marBottom w:val="0"/>
      <w:divBdr>
        <w:top w:val="none" w:sz="0" w:space="0" w:color="auto"/>
        <w:left w:val="none" w:sz="0" w:space="0" w:color="auto"/>
        <w:bottom w:val="none" w:sz="0" w:space="0" w:color="auto"/>
        <w:right w:val="none" w:sz="0" w:space="0" w:color="auto"/>
      </w:divBdr>
    </w:div>
    <w:div w:id="551817523">
      <w:bodyDiv w:val="1"/>
      <w:marLeft w:val="0"/>
      <w:marRight w:val="0"/>
      <w:marTop w:val="0"/>
      <w:marBottom w:val="0"/>
      <w:divBdr>
        <w:top w:val="none" w:sz="0" w:space="0" w:color="auto"/>
        <w:left w:val="none" w:sz="0" w:space="0" w:color="auto"/>
        <w:bottom w:val="none" w:sz="0" w:space="0" w:color="auto"/>
        <w:right w:val="none" w:sz="0" w:space="0" w:color="auto"/>
      </w:divBdr>
    </w:div>
    <w:div w:id="555818269">
      <w:bodyDiv w:val="1"/>
      <w:marLeft w:val="0"/>
      <w:marRight w:val="0"/>
      <w:marTop w:val="0"/>
      <w:marBottom w:val="0"/>
      <w:divBdr>
        <w:top w:val="none" w:sz="0" w:space="0" w:color="auto"/>
        <w:left w:val="none" w:sz="0" w:space="0" w:color="auto"/>
        <w:bottom w:val="none" w:sz="0" w:space="0" w:color="auto"/>
        <w:right w:val="none" w:sz="0" w:space="0" w:color="auto"/>
      </w:divBdr>
    </w:div>
    <w:div w:id="556015888">
      <w:bodyDiv w:val="1"/>
      <w:marLeft w:val="0"/>
      <w:marRight w:val="0"/>
      <w:marTop w:val="0"/>
      <w:marBottom w:val="0"/>
      <w:divBdr>
        <w:top w:val="none" w:sz="0" w:space="0" w:color="auto"/>
        <w:left w:val="none" w:sz="0" w:space="0" w:color="auto"/>
        <w:bottom w:val="none" w:sz="0" w:space="0" w:color="auto"/>
        <w:right w:val="none" w:sz="0" w:space="0" w:color="auto"/>
      </w:divBdr>
    </w:div>
    <w:div w:id="558126826">
      <w:bodyDiv w:val="1"/>
      <w:marLeft w:val="0"/>
      <w:marRight w:val="0"/>
      <w:marTop w:val="0"/>
      <w:marBottom w:val="0"/>
      <w:divBdr>
        <w:top w:val="none" w:sz="0" w:space="0" w:color="auto"/>
        <w:left w:val="none" w:sz="0" w:space="0" w:color="auto"/>
        <w:bottom w:val="none" w:sz="0" w:space="0" w:color="auto"/>
        <w:right w:val="none" w:sz="0" w:space="0" w:color="auto"/>
      </w:divBdr>
    </w:div>
    <w:div w:id="561138276">
      <w:bodyDiv w:val="1"/>
      <w:marLeft w:val="0"/>
      <w:marRight w:val="0"/>
      <w:marTop w:val="0"/>
      <w:marBottom w:val="0"/>
      <w:divBdr>
        <w:top w:val="none" w:sz="0" w:space="0" w:color="auto"/>
        <w:left w:val="none" w:sz="0" w:space="0" w:color="auto"/>
        <w:bottom w:val="none" w:sz="0" w:space="0" w:color="auto"/>
        <w:right w:val="none" w:sz="0" w:space="0" w:color="auto"/>
      </w:divBdr>
    </w:div>
    <w:div w:id="561260555">
      <w:bodyDiv w:val="1"/>
      <w:marLeft w:val="0"/>
      <w:marRight w:val="0"/>
      <w:marTop w:val="0"/>
      <w:marBottom w:val="0"/>
      <w:divBdr>
        <w:top w:val="none" w:sz="0" w:space="0" w:color="auto"/>
        <w:left w:val="none" w:sz="0" w:space="0" w:color="auto"/>
        <w:bottom w:val="none" w:sz="0" w:space="0" w:color="auto"/>
        <w:right w:val="none" w:sz="0" w:space="0" w:color="auto"/>
      </w:divBdr>
    </w:div>
    <w:div w:id="564920815">
      <w:bodyDiv w:val="1"/>
      <w:marLeft w:val="0"/>
      <w:marRight w:val="0"/>
      <w:marTop w:val="0"/>
      <w:marBottom w:val="0"/>
      <w:divBdr>
        <w:top w:val="none" w:sz="0" w:space="0" w:color="auto"/>
        <w:left w:val="none" w:sz="0" w:space="0" w:color="auto"/>
        <w:bottom w:val="none" w:sz="0" w:space="0" w:color="auto"/>
        <w:right w:val="none" w:sz="0" w:space="0" w:color="auto"/>
      </w:divBdr>
    </w:div>
    <w:div w:id="567888791">
      <w:bodyDiv w:val="1"/>
      <w:marLeft w:val="0"/>
      <w:marRight w:val="0"/>
      <w:marTop w:val="0"/>
      <w:marBottom w:val="0"/>
      <w:divBdr>
        <w:top w:val="none" w:sz="0" w:space="0" w:color="auto"/>
        <w:left w:val="none" w:sz="0" w:space="0" w:color="auto"/>
        <w:bottom w:val="none" w:sz="0" w:space="0" w:color="auto"/>
        <w:right w:val="none" w:sz="0" w:space="0" w:color="auto"/>
      </w:divBdr>
    </w:div>
    <w:div w:id="571812131">
      <w:bodyDiv w:val="1"/>
      <w:marLeft w:val="0"/>
      <w:marRight w:val="0"/>
      <w:marTop w:val="0"/>
      <w:marBottom w:val="0"/>
      <w:divBdr>
        <w:top w:val="none" w:sz="0" w:space="0" w:color="auto"/>
        <w:left w:val="none" w:sz="0" w:space="0" w:color="auto"/>
        <w:bottom w:val="none" w:sz="0" w:space="0" w:color="auto"/>
        <w:right w:val="none" w:sz="0" w:space="0" w:color="auto"/>
      </w:divBdr>
    </w:div>
    <w:div w:id="572938087">
      <w:bodyDiv w:val="1"/>
      <w:marLeft w:val="0"/>
      <w:marRight w:val="0"/>
      <w:marTop w:val="0"/>
      <w:marBottom w:val="0"/>
      <w:divBdr>
        <w:top w:val="none" w:sz="0" w:space="0" w:color="auto"/>
        <w:left w:val="none" w:sz="0" w:space="0" w:color="auto"/>
        <w:bottom w:val="none" w:sz="0" w:space="0" w:color="auto"/>
        <w:right w:val="none" w:sz="0" w:space="0" w:color="auto"/>
      </w:divBdr>
    </w:div>
    <w:div w:id="573898913">
      <w:bodyDiv w:val="1"/>
      <w:marLeft w:val="0"/>
      <w:marRight w:val="0"/>
      <w:marTop w:val="0"/>
      <w:marBottom w:val="0"/>
      <w:divBdr>
        <w:top w:val="none" w:sz="0" w:space="0" w:color="auto"/>
        <w:left w:val="none" w:sz="0" w:space="0" w:color="auto"/>
        <w:bottom w:val="none" w:sz="0" w:space="0" w:color="auto"/>
        <w:right w:val="none" w:sz="0" w:space="0" w:color="auto"/>
      </w:divBdr>
    </w:div>
    <w:div w:id="574897471">
      <w:bodyDiv w:val="1"/>
      <w:marLeft w:val="0"/>
      <w:marRight w:val="0"/>
      <w:marTop w:val="0"/>
      <w:marBottom w:val="0"/>
      <w:divBdr>
        <w:top w:val="none" w:sz="0" w:space="0" w:color="auto"/>
        <w:left w:val="none" w:sz="0" w:space="0" w:color="auto"/>
        <w:bottom w:val="none" w:sz="0" w:space="0" w:color="auto"/>
        <w:right w:val="none" w:sz="0" w:space="0" w:color="auto"/>
      </w:divBdr>
    </w:div>
    <w:div w:id="576016627">
      <w:bodyDiv w:val="1"/>
      <w:marLeft w:val="0"/>
      <w:marRight w:val="0"/>
      <w:marTop w:val="0"/>
      <w:marBottom w:val="0"/>
      <w:divBdr>
        <w:top w:val="none" w:sz="0" w:space="0" w:color="auto"/>
        <w:left w:val="none" w:sz="0" w:space="0" w:color="auto"/>
        <w:bottom w:val="none" w:sz="0" w:space="0" w:color="auto"/>
        <w:right w:val="none" w:sz="0" w:space="0" w:color="auto"/>
      </w:divBdr>
    </w:div>
    <w:div w:id="582029434">
      <w:bodyDiv w:val="1"/>
      <w:marLeft w:val="0"/>
      <w:marRight w:val="0"/>
      <w:marTop w:val="0"/>
      <w:marBottom w:val="0"/>
      <w:divBdr>
        <w:top w:val="none" w:sz="0" w:space="0" w:color="auto"/>
        <w:left w:val="none" w:sz="0" w:space="0" w:color="auto"/>
        <w:bottom w:val="none" w:sz="0" w:space="0" w:color="auto"/>
        <w:right w:val="none" w:sz="0" w:space="0" w:color="auto"/>
      </w:divBdr>
    </w:div>
    <w:div w:id="584727000">
      <w:bodyDiv w:val="1"/>
      <w:marLeft w:val="0"/>
      <w:marRight w:val="0"/>
      <w:marTop w:val="0"/>
      <w:marBottom w:val="0"/>
      <w:divBdr>
        <w:top w:val="none" w:sz="0" w:space="0" w:color="auto"/>
        <w:left w:val="none" w:sz="0" w:space="0" w:color="auto"/>
        <w:bottom w:val="none" w:sz="0" w:space="0" w:color="auto"/>
        <w:right w:val="none" w:sz="0" w:space="0" w:color="auto"/>
      </w:divBdr>
    </w:div>
    <w:div w:id="585454340">
      <w:bodyDiv w:val="1"/>
      <w:marLeft w:val="0"/>
      <w:marRight w:val="0"/>
      <w:marTop w:val="0"/>
      <w:marBottom w:val="0"/>
      <w:divBdr>
        <w:top w:val="none" w:sz="0" w:space="0" w:color="auto"/>
        <w:left w:val="none" w:sz="0" w:space="0" w:color="auto"/>
        <w:bottom w:val="none" w:sz="0" w:space="0" w:color="auto"/>
        <w:right w:val="none" w:sz="0" w:space="0" w:color="auto"/>
      </w:divBdr>
    </w:div>
    <w:div w:id="585961267">
      <w:bodyDiv w:val="1"/>
      <w:marLeft w:val="0"/>
      <w:marRight w:val="0"/>
      <w:marTop w:val="0"/>
      <w:marBottom w:val="0"/>
      <w:divBdr>
        <w:top w:val="none" w:sz="0" w:space="0" w:color="auto"/>
        <w:left w:val="none" w:sz="0" w:space="0" w:color="auto"/>
        <w:bottom w:val="none" w:sz="0" w:space="0" w:color="auto"/>
        <w:right w:val="none" w:sz="0" w:space="0" w:color="auto"/>
      </w:divBdr>
    </w:div>
    <w:div w:id="591082935">
      <w:bodyDiv w:val="1"/>
      <w:marLeft w:val="0"/>
      <w:marRight w:val="0"/>
      <w:marTop w:val="0"/>
      <w:marBottom w:val="0"/>
      <w:divBdr>
        <w:top w:val="none" w:sz="0" w:space="0" w:color="auto"/>
        <w:left w:val="none" w:sz="0" w:space="0" w:color="auto"/>
        <w:bottom w:val="none" w:sz="0" w:space="0" w:color="auto"/>
        <w:right w:val="none" w:sz="0" w:space="0" w:color="auto"/>
      </w:divBdr>
    </w:div>
    <w:div w:id="591546506">
      <w:bodyDiv w:val="1"/>
      <w:marLeft w:val="0"/>
      <w:marRight w:val="0"/>
      <w:marTop w:val="0"/>
      <w:marBottom w:val="0"/>
      <w:divBdr>
        <w:top w:val="none" w:sz="0" w:space="0" w:color="auto"/>
        <w:left w:val="none" w:sz="0" w:space="0" w:color="auto"/>
        <w:bottom w:val="none" w:sz="0" w:space="0" w:color="auto"/>
        <w:right w:val="none" w:sz="0" w:space="0" w:color="auto"/>
      </w:divBdr>
    </w:div>
    <w:div w:id="594168639">
      <w:bodyDiv w:val="1"/>
      <w:marLeft w:val="0"/>
      <w:marRight w:val="0"/>
      <w:marTop w:val="0"/>
      <w:marBottom w:val="0"/>
      <w:divBdr>
        <w:top w:val="none" w:sz="0" w:space="0" w:color="auto"/>
        <w:left w:val="none" w:sz="0" w:space="0" w:color="auto"/>
        <w:bottom w:val="none" w:sz="0" w:space="0" w:color="auto"/>
        <w:right w:val="none" w:sz="0" w:space="0" w:color="auto"/>
      </w:divBdr>
    </w:div>
    <w:div w:id="598024779">
      <w:bodyDiv w:val="1"/>
      <w:marLeft w:val="0"/>
      <w:marRight w:val="0"/>
      <w:marTop w:val="0"/>
      <w:marBottom w:val="0"/>
      <w:divBdr>
        <w:top w:val="none" w:sz="0" w:space="0" w:color="auto"/>
        <w:left w:val="none" w:sz="0" w:space="0" w:color="auto"/>
        <w:bottom w:val="none" w:sz="0" w:space="0" w:color="auto"/>
        <w:right w:val="none" w:sz="0" w:space="0" w:color="auto"/>
      </w:divBdr>
    </w:div>
    <w:div w:id="598175177">
      <w:bodyDiv w:val="1"/>
      <w:marLeft w:val="0"/>
      <w:marRight w:val="0"/>
      <w:marTop w:val="0"/>
      <w:marBottom w:val="0"/>
      <w:divBdr>
        <w:top w:val="none" w:sz="0" w:space="0" w:color="auto"/>
        <w:left w:val="none" w:sz="0" w:space="0" w:color="auto"/>
        <w:bottom w:val="none" w:sz="0" w:space="0" w:color="auto"/>
        <w:right w:val="none" w:sz="0" w:space="0" w:color="auto"/>
      </w:divBdr>
    </w:div>
    <w:div w:id="599872253">
      <w:bodyDiv w:val="1"/>
      <w:marLeft w:val="0"/>
      <w:marRight w:val="0"/>
      <w:marTop w:val="0"/>
      <w:marBottom w:val="0"/>
      <w:divBdr>
        <w:top w:val="none" w:sz="0" w:space="0" w:color="auto"/>
        <w:left w:val="none" w:sz="0" w:space="0" w:color="auto"/>
        <w:bottom w:val="none" w:sz="0" w:space="0" w:color="auto"/>
        <w:right w:val="none" w:sz="0" w:space="0" w:color="auto"/>
      </w:divBdr>
    </w:div>
    <w:div w:id="600190586">
      <w:bodyDiv w:val="1"/>
      <w:marLeft w:val="0"/>
      <w:marRight w:val="0"/>
      <w:marTop w:val="0"/>
      <w:marBottom w:val="0"/>
      <w:divBdr>
        <w:top w:val="none" w:sz="0" w:space="0" w:color="auto"/>
        <w:left w:val="none" w:sz="0" w:space="0" w:color="auto"/>
        <w:bottom w:val="none" w:sz="0" w:space="0" w:color="auto"/>
        <w:right w:val="none" w:sz="0" w:space="0" w:color="auto"/>
      </w:divBdr>
    </w:div>
    <w:div w:id="608438114">
      <w:bodyDiv w:val="1"/>
      <w:marLeft w:val="0"/>
      <w:marRight w:val="0"/>
      <w:marTop w:val="0"/>
      <w:marBottom w:val="0"/>
      <w:divBdr>
        <w:top w:val="none" w:sz="0" w:space="0" w:color="auto"/>
        <w:left w:val="none" w:sz="0" w:space="0" w:color="auto"/>
        <w:bottom w:val="none" w:sz="0" w:space="0" w:color="auto"/>
        <w:right w:val="none" w:sz="0" w:space="0" w:color="auto"/>
      </w:divBdr>
    </w:div>
    <w:div w:id="608972774">
      <w:bodyDiv w:val="1"/>
      <w:marLeft w:val="0"/>
      <w:marRight w:val="0"/>
      <w:marTop w:val="0"/>
      <w:marBottom w:val="0"/>
      <w:divBdr>
        <w:top w:val="none" w:sz="0" w:space="0" w:color="auto"/>
        <w:left w:val="none" w:sz="0" w:space="0" w:color="auto"/>
        <w:bottom w:val="none" w:sz="0" w:space="0" w:color="auto"/>
        <w:right w:val="none" w:sz="0" w:space="0" w:color="auto"/>
      </w:divBdr>
    </w:div>
    <w:div w:id="611784579">
      <w:bodyDiv w:val="1"/>
      <w:marLeft w:val="0"/>
      <w:marRight w:val="0"/>
      <w:marTop w:val="0"/>
      <w:marBottom w:val="0"/>
      <w:divBdr>
        <w:top w:val="none" w:sz="0" w:space="0" w:color="auto"/>
        <w:left w:val="none" w:sz="0" w:space="0" w:color="auto"/>
        <w:bottom w:val="none" w:sz="0" w:space="0" w:color="auto"/>
        <w:right w:val="none" w:sz="0" w:space="0" w:color="auto"/>
      </w:divBdr>
    </w:div>
    <w:div w:id="615449414">
      <w:bodyDiv w:val="1"/>
      <w:marLeft w:val="0"/>
      <w:marRight w:val="0"/>
      <w:marTop w:val="0"/>
      <w:marBottom w:val="0"/>
      <w:divBdr>
        <w:top w:val="none" w:sz="0" w:space="0" w:color="auto"/>
        <w:left w:val="none" w:sz="0" w:space="0" w:color="auto"/>
        <w:bottom w:val="none" w:sz="0" w:space="0" w:color="auto"/>
        <w:right w:val="none" w:sz="0" w:space="0" w:color="auto"/>
      </w:divBdr>
    </w:div>
    <w:div w:id="624048629">
      <w:bodyDiv w:val="1"/>
      <w:marLeft w:val="0"/>
      <w:marRight w:val="0"/>
      <w:marTop w:val="0"/>
      <w:marBottom w:val="0"/>
      <w:divBdr>
        <w:top w:val="none" w:sz="0" w:space="0" w:color="auto"/>
        <w:left w:val="none" w:sz="0" w:space="0" w:color="auto"/>
        <w:bottom w:val="none" w:sz="0" w:space="0" w:color="auto"/>
        <w:right w:val="none" w:sz="0" w:space="0" w:color="auto"/>
      </w:divBdr>
    </w:div>
    <w:div w:id="624625099">
      <w:bodyDiv w:val="1"/>
      <w:marLeft w:val="0"/>
      <w:marRight w:val="0"/>
      <w:marTop w:val="0"/>
      <w:marBottom w:val="0"/>
      <w:divBdr>
        <w:top w:val="none" w:sz="0" w:space="0" w:color="auto"/>
        <w:left w:val="none" w:sz="0" w:space="0" w:color="auto"/>
        <w:bottom w:val="none" w:sz="0" w:space="0" w:color="auto"/>
        <w:right w:val="none" w:sz="0" w:space="0" w:color="auto"/>
      </w:divBdr>
    </w:div>
    <w:div w:id="633996032">
      <w:bodyDiv w:val="1"/>
      <w:marLeft w:val="0"/>
      <w:marRight w:val="0"/>
      <w:marTop w:val="0"/>
      <w:marBottom w:val="0"/>
      <w:divBdr>
        <w:top w:val="none" w:sz="0" w:space="0" w:color="auto"/>
        <w:left w:val="none" w:sz="0" w:space="0" w:color="auto"/>
        <w:bottom w:val="none" w:sz="0" w:space="0" w:color="auto"/>
        <w:right w:val="none" w:sz="0" w:space="0" w:color="auto"/>
      </w:divBdr>
    </w:div>
    <w:div w:id="642396095">
      <w:bodyDiv w:val="1"/>
      <w:marLeft w:val="0"/>
      <w:marRight w:val="0"/>
      <w:marTop w:val="0"/>
      <w:marBottom w:val="0"/>
      <w:divBdr>
        <w:top w:val="none" w:sz="0" w:space="0" w:color="auto"/>
        <w:left w:val="none" w:sz="0" w:space="0" w:color="auto"/>
        <w:bottom w:val="none" w:sz="0" w:space="0" w:color="auto"/>
        <w:right w:val="none" w:sz="0" w:space="0" w:color="auto"/>
      </w:divBdr>
    </w:div>
    <w:div w:id="649986133">
      <w:bodyDiv w:val="1"/>
      <w:marLeft w:val="0"/>
      <w:marRight w:val="0"/>
      <w:marTop w:val="0"/>
      <w:marBottom w:val="0"/>
      <w:divBdr>
        <w:top w:val="none" w:sz="0" w:space="0" w:color="auto"/>
        <w:left w:val="none" w:sz="0" w:space="0" w:color="auto"/>
        <w:bottom w:val="none" w:sz="0" w:space="0" w:color="auto"/>
        <w:right w:val="none" w:sz="0" w:space="0" w:color="auto"/>
      </w:divBdr>
    </w:div>
    <w:div w:id="651298837">
      <w:bodyDiv w:val="1"/>
      <w:marLeft w:val="0"/>
      <w:marRight w:val="0"/>
      <w:marTop w:val="0"/>
      <w:marBottom w:val="0"/>
      <w:divBdr>
        <w:top w:val="none" w:sz="0" w:space="0" w:color="auto"/>
        <w:left w:val="none" w:sz="0" w:space="0" w:color="auto"/>
        <w:bottom w:val="none" w:sz="0" w:space="0" w:color="auto"/>
        <w:right w:val="none" w:sz="0" w:space="0" w:color="auto"/>
      </w:divBdr>
    </w:div>
    <w:div w:id="652098153">
      <w:bodyDiv w:val="1"/>
      <w:marLeft w:val="0"/>
      <w:marRight w:val="0"/>
      <w:marTop w:val="0"/>
      <w:marBottom w:val="0"/>
      <w:divBdr>
        <w:top w:val="none" w:sz="0" w:space="0" w:color="auto"/>
        <w:left w:val="none" w:sz="0" w:space="0" w:color="auto"/>
        <w:bottom w:val="none" w:sz="0" w:space="0" w:color="auto"/>
        <w:right w:val="none" w:sz="0" w:space="0" w:color="auto"/>
      </w:divBdr>
    </w:div>
    <w:div w:id="652637091">
      <w:bodyDiv w:val="1"/>
      <w:marLeft w:val="0"/>
      <w:marRight w:val="0"/>
      <w:marTop w:val="0"/>
      <w:marBottom w:val="0"/>
      <w:divBdr>
        <w:top w:val="none" w:sz="0" w:space="0" w:color="auto"/>
        <w:left w:val="none" w:sz="0" w:space="0" w:color="auto"/>
        <w:bottom w:val="none" w:sz="0" w:space="0" w:color="auto"/>
        <w:right w:val="none" w:sz="0" w:space="0" w:color="auto"/>
      </w:divBdr>
    </w:div>
    <w:div w:id="654379651">
      <w:bodyDiv w:val="1"/>
      <w:marLeft w:val="0"/>
      <w:marRight w:val="0"/>
      <w:marTop w:val="0"/>
      <w:marBottom w:val="0"/>
      <w:divBdr>
        <w:top w:val="none" w:sz="0" w:space="0" w:color="auto"/>
        <w:left w:val="none" w:sz="0" w:space="0" w:color="auto"/>
        <w:bottom w:val="none" w:sz="0" w:space="0" w:color="auto"/>
        <w:right w:val="none" w:sz="0" w:space="0" w:color="auto"/>
      </w:divBdr>
    </w:div>
    <w:div w:id="656809062">
      <w:bodyDiv w:val="1"/>
      <w:marLeft w:val="0"/>
      <w:marRight w:val="0"/>
      <w:marTop w:val="0"/>
      <w:marBottom w:val="0"/>
      <w:divBdr>
        <w:top w:val="none" w:sz="0" w:space="0" w:color="auto"/>
        <w:left w:val="none" w:sz="0" w:space="0" w:color="auto"/>
        <w:bottom w:val="none" w:sz="0" w:space="0" w:color="auto"/>
        <w:right w:val="none" w:sz="0" w:space="0" w:color="auto"/>
      </w:divBdr>
    </w:div>
    <w:div w:id="661350024">
      <w:bodyDiv w:val="1"/>
      <w:marLeft w:val="0"/>
      <w:marRight w:val="0"/>
      <w:marTop w:val="0"/>
      <w:marBottom w:val="0"/>
      <w:divBdr>
        <w:top w:val="none" w:sz="0" w:space="0" w:color="auto"/>
        <w:left w:val="none" w:sz="0" w:space="0" w:color="auto"/>
        <w:bottom w:val="none" w:sz="0" w:space="0" w:color="auto"/>
        <w:right w:val="none" w:sz="0" w:space="0" w:color="auto"/>
      </w:divBdr>
    </w:div>
    <w:div w:id="662045055">
      <w:bodyDiv w:val="1"/>
      <w:marLeft w:val="0"/>
      <w:marRight w:val="0"/>
      <w:marTop w:val="0"/>
      <w:marBottom w:val="0"/>
      <w:divBdr>
        <w:top w:val="none" w:sz="0" w:space="0" w:color="auto"/>
        <w:left w:val="none" w:sz="0" w:space="0" w:color="auto"/>
        <w:bottom w:val="none" w:sz="0" w:space="0" w:color="auto"/>
        <w:right w:val="none" w:sz="0" w:space="0" w:color="auto"/>
      </w:divBdr>
    </w:div>
    <w:div w:id="662053409">
      <w:bodyDiv w:val="1"/>
      <w:marLeft w:val="0"/>
      <w:marRight w:val="0"/>
      <w:marTop w:val="0"/>
      <w:marBottom w:val="0"/>
      <w:divBdr>
        <w:top w:val="none" w:sz="0" w:space="0" w:color="auto"/>
        <w:left w:val="none" w:sz="0" w:space="0" w:color="auto"/>
        <w:bottom w:val="none" w:sz="0" w:space="0" w:color="auto"/>
        <w:right w:val="none" w:sz="0" w:space="0" w:color="auto"/>
      </w:divBdr>
    </w:div>
    <w:div w:id="664557276">
      <w:bodyDiv w:val="1"/>
      <w:marLeft w:val="0"/>
      <w:marRight w:val="0"/>
      <w:marTop w:val="0"/>
      <w:marBottom w:val="0"/>
      <w:divBdr>
        <w:top w:val="none" w:sz="0" w:space="0" w:color="auto"/>
        <w:left w:val="none" w:sz="0" w:space="0" w:color="auto"/>
        <w:bottom w:val="none" w:sz="0" w:space="0" w:color="auto"/>
        <w:right w:val="none" w:sz="0" w:space="0" w:color="auto"/>
      </w:divBdr>
    </w:div>
    <w:div w:id="666128543">
      <w:bodyDiv w:val="1"/>
      <w:marLeft w:val="0"/>
      <w:marRight w:val="0"/>
      <w:marTop w:val="0"/>
      <w:marBottom w:val="0"/>
      <w:divBdr>
        <w:top w:val="none" w:sz="0" w:space="0" w:color="auto"/>
        <w:left w:val="none" w:sz="0" w:space="0" w:color="auto"/>
        <w:bottom w:val="none" w:sz="0" w:space="0" w:color="auto"/>
        <w:right w:val="none" w:sz="0" w:space="0" w:color="auto"/>
      </w:divBdr>
    </w:div>
    <w:div w:id="680208224">
      <w:bodyDiv w:val="1"/>
      <w:marLeft w:val="0"/>
      <w:marRight w:val="0"/>
      <w:marTop w:val="0"/>
      <w:marBottom w:val="0"/>
      <w:divBdr>
        <w:top w:val="none" w:sz="0" w:space="0" w:color="auto"/>
        <w:left w:val="none" w:sz="0" w:space="0" w:color="auto"/>
        <w:bottom w:val="none" w:sz="0" w:space="0" w:color="auto"/>
        <w:right w:val="none" w:sz="0" w:space="0" w:color="auto"/>
      </w:divBdr>
    </w:div>
    <w:div w:id="685713368">
      <w:bodyDiv w:val="1"/>
      <w:marLeft w:val="0"/>
      <w:marRight w:val="0"/>
      <w:marTop w:val="0"/>
      <w:marBottom w:val="0"/>
      <w:divBdr>
        <w:top w:val="none" w:sz="0" w:space="0" w:color="auto"/>
        <w:left w:val="none" w:sz="0" w:space="0" w:color="auto"/>
        <w:bottom w:val="none" w:sz="0" w:space="0" w:color="auto"/>
        <w:right w:val="none" w:sz="0" w:space="0" w:color="auto"/>
      </w:divBdr>
    </w:div>
    <w:div w:id="691345216">
      <w:bodyDiv w:val="1"/>
      <w:marLeft w:val="0"/>
      <w:marRight w:val="0"/>
      <w:marTop w:val="0"/>
      <w:marBottom w:val="0"/>
      <w:divBdr>
        <w:top w:val="none" w:sz="0" w:space="0" w:color="auto"/>
        <w:left w:val="none" w:sz="0" w:space="0" w:color="auto"/>
        <w:bottom w:val="none" w:sz="0" w:space="0" w:color="auto"/>
        <w:right w:val="none" w:sz="0" w:space="0" w:color="auto"/>
      </w:divBdr>
    </w:div>
    <w:div w:id="691539180">
      <w:bodyDiv w:val="1"/>
      <w:marLeft w:val="0"/>
      <w:marRight w:val="0"/>
      <w:marTop w:val="0"/>
      <w:marBottom w:val="0"/>
      <w:divBdr>
        <w:top w:val="none" w:sz="0" w:space="0" w:color="auto"/>
        <w:left w:val="none" w:sz="0" w:space="0" w:color="auto"/>
        <w:bottom w:val="none" w:sz="0" w:space="0" w:color="auto"/>
        <w:right w:val="none" w:sz="0" w:space="0" w:color="auto"/>
      </w:divBdr>
    </w:div>
    <w:div w:id="694384487">
      <w:bodyDiv w:val="1"/>
      <w:marLeft w:val="0"/>
      <w:marRight w:val="0"/>
      <w:marTop w:val="0"/>
      <w:marBottom w:val="0"/>
      <w:divBdr>
        <w:top w:val="none" w:sz="0" w:space="0" w:color="auto"/>
        <w:left w:val="none" w:sz="0" w:space="0" w:color="auto"/>
        <w:bottom w:val="none" w:sz="0" w:space="0" w:color="auto"/>
        <w:right w:val="none" w:sz="0" w:space="0" w:color="auto"/>
      </w:divBdr>
    </w:div>
    <w:div w:id="695664978">
      <w:bodyDiv w:val="1"/>
      <w:marLeft w:val="0"/>
      <w:marRight w:val="0"/>
      <w:marTop w:val="0"/>
      <w:marBottom w:val="0"/>
      <w:divBdr>
        <w:top w:val="none" w:sz="0" w:space="0" w:color="auto"/>
        <w:left w:val="none" w:sz="0" w:space="0" w:color="auto"/>
        <w:bottom w:val="none" w:sz="0" w:space="0" w:color="auto"/>
        <w:right w:val="none" w:sz="0" w:space="0" w:color="auto"/>
      </w:divBdr>
    </w:div>
    <w:div w:id="696196631">
      <w:bodyDiv w:val="1"/>
      <w:marLeft w:val="0"/>
      <w:marRight w:val="0"/>
      <w:marTop w:val="0"/>
      <w:marBottom w:val="0"/>
      <w:divBdr>
        <w:top w:val="none" w:sz="0" w:space="0" w:color="auto"/>
        <w:left w:val="none" w:sz="0" w:space="0" w:color="auto"/>
        <w:bottom w:val="none" w:sz="0" w:space="0" w:color="auto"/>
        <w:right w:val="none" w:sz="0" w:space="0" w:color="auto"/>
      </w:divBdr>
    </w:div>
    <w:div w:id="698970841">
      <w:bodyDiv w:val="1"/>
      <w:marLeft w:val="0"/>
      <w:marRight w:val="0"/>
      <w:marTop w:val="0"/>
      <w:marBottom w:val="0"/>
      <w:divBdr>
        <w:top w:val="none" w:sz="0" w:space="0" w:color="auto"/>
        <w:left w:val="none" w:sz="0" w:space="0" w:color="auto"/>
        <w:bottom w:val="none" w:sz="0" w:space="0" w:color="auto"/>
        <w:right w:val="none" w:sz="0" w:space="0" w:color="auto"/>
      </w:divBdr>
    </w:div>
    <w:div w:id="701397973">
      <w:bodyDiv w:val="1"/>
      <w:marLeft w:val="0"/>
      <w:marRight w:val="0"/>
      <w:marTop w:val="0"/>
      <w:marBottom w:val="0"/>
      <w:divBdr>
        <w:top w:val="none" w:sz="0" w:space="0" w:color="auto"/>
        <w:left w:val="none" w:sz="0" w:space="0" w:color="auto"/>
        <w:bottom w:val="none" w:sz="0" w:space="0" w:color="auto"/>
        <w:right w:val="none" w:sz="0" w:space="0" w:color="auto"/>
      </w:divBdr>
    </w:div>
    <w:div w:id="710497433">
      <w:bodyDiv w:val="1"/>
      <w:marLeft w:val="0"/>
      <w:marRight w:val="0"/>
      <w:marTop w:val="0"/>
      <w:marBottom w:val="0"/>
      <w:divBdr>
        <w:top w:val="none" w:sz="0" w:space="0" w:color="auto"/>
        <w:left w:val="none" w:sz="0" w:space="0" w:color="auto"/>
        <w:bottom w:val="none" w:sz="0" w:space="0" w:color="auto"/>
        <w:right w:val="none" w:sz="0" w:space="0" w:color="auto"/>
      </w:divBdr>
    </w:div>
    <w:div w:id="717432400">
      <w:bodyDiv w:val="1"/>
      <w:marLeft w:val="0"/>
      <w:marRight w:val="0"/>
      <w:marTop w:val="0"/>
      <w:marBottom w:val="0"/>
      <w:divBdr>
        <w:top w:val="none" w:sz="0" w:space="0" w:color="auto"/>
        <w:left w:val="none" w:sz="0" w:space="0" w:color="auto"/>
        <w:bottom w:val="none" w:sz="0" w:space="0" w:color="auto"/>
        <w:right w:val="none" w:sz="0" w:space="0" w:color="auto"/>
      </w:divBdr>
    </w:div>
    <w:div w:id="718210939">
      <w:bodyDiv w:val="1"/>
      <w:marLeft w:val="0"/>
      <w:marRight w:val="0"/>
      <w:marTop w:val="0"/>
      <w:marBottom w:val="0"/>
      <w:divBdr>
        <w:top w:val="none" w:sz="0" w:space="0" w:color="auto"/>
        <w:left w:val="none" w:sz="0" w:space="0" w:color="auto"/>
        <w:bottom w:val="none" w:sz="0" w:space="0" w:color="auto"/>
        <w:right w:val="none" w:sz="0" w:space="0" w:color="auto"/>
      </w:divBdr>
    </w:div>
    <w:div w:id="719788773">
      <w:bodyDiv w:val="1"/>
      <w:marLeft w:val="0"/>
      <w:marRight w:val="0"/>
      <w:marTop w:val="0"/>
      <w:marBottom w:val="0"/>
      <w:divBdr>
        <w:top w:val="none" w:sz="0" w:space="0" w:color="auto"/>
        <w:left w:val="none" w:sz="0" w:space="0" w:color="auto"/>
        <w:bottom w:val="none" w:sz="0" w:space="0" w:color="auto"/>
        <w:right w:val="none" w:sz="0" w:space="0" w:color="auto"/>
      </w:divBdr>
    </w:div>
    <w:div w:id="719866448">
      <w:bodyDiv w:val="1"/>
      <w:marLeft w:val="0"/>
      <w:marRight w:val="0"/>
      <w:marTop w:val="0"/>
      <w:marBottom w:val="0"/>
      <w:divBdr>
        <w:top w:val="none" w:sz="0" w:space="0" w:color="auto"/>
        <w:left w:val="none" w:sz="0" w:space="0" w:color="auto"/>
        <w:bottom w:val="none" w:sz="0" w:space="0" w:color="auto"/>
        <w:right w:val="none" w:sz="0" w:space="0" w:color="auto"/>
      </w:divBdr>
    </w:div>
    <w:div w:id="720440776">
      <w:bodyDiv w:val="1"/>
      <w:marLeft w:val="0"/>
      <w:marRight w:val="0"/>
      <w:marTop w:val="0"/>
      <w:marBottom w:val="0"/>
      <w:divBdr>
        <w:top w:val="none" w:sz="0" w:space="0" w:color="auto"/>
        <w:left w:val="none" w:sz="0" w:space="0" w:color="auto"/>
        <w:bottom w:val="none" w:sz="0" w:space="0" w:color="auto"/>
        <w:right w:val="none" w:sz="0" w:space="0" w:color="auto"/>
      </w:divBdr>
    </w:div>
    <w:div w:id="724641093">
      <w:bodyDiv w:val="1"/>
      <w:marLeft w:val="0"/>
      <w:marRight w:val="0"/>
      <w:marTop w:val="0"/>
      <w:marBottom w:val="0"/>
      <w:divBdr>
        <w:top w:val="none" w:sz="0" w:space="0" w:color="auto"/>
        <w:left w:val="none" w:sz="0" w:space="0" w:color="auto"/>
        <w:bottom w:val="none" w:sz="0" w:space="0" w:color="auto"/>
        <w:right w:val="none" w:sz="0" w:space="0" w:color="auto"/>
      </w:divBdr>
    </w:div>
    <w:div w:id="725835614">
      <w:bodyDiv w:val="1"/>
      <w:marLeft w:val="0"/>
      <w:marRight w:val="0"/>
      <w:marTop w:val="0"/>
      <w:marBottom w:val="0"/>
      <w:divBdr>
        <w:top w:val="none" w:sz="0" w:space="0" w:color="auto"/>
        <w:left w:val="none" w:sz="0" w:space="0" w:color="auto"/>
        <w:bottom w:val="none" w:sz="0" w:space="0" w:color="auto"/>
        <w:right w:val="none" w:sz="0" w:space="0" w:color="auto"/>
      </w:divBdr>
    </w:div>
    <w:div w:id="726032477">
      <w:bodyDiv w:val="1"/>
      <w:marLeft w:val="0"/>
      <w:marRight w:val="0"/>
      <w:marTop w:val="0"/>
      <w:marBottom w:val="0"/>
      <w:divBdr>
        <w:top w:val="none" w:sz="0" w:space="0" w:color="auto"/>
        <w:left w:val="none" w:sz="0" w:space="0" w:color="auto"/>
        <w:bottom w:val="none" w:sz="0" w:space="0" w:color="auto"/>
        <w:right w:val="none" w:sz="0" w:space="0" w:color="auto"/>
      </w:divBdr>
    </w:div>
    <w:div w:id="727075530">
      <w:bodyDiv w:val="1"/>
      <w:marLeft w:val="0"/>
      <w:marRight w:val="0"/>
      <w:marTop w:val="0"/>
      <w:marBottom w:val="0"/>
      <w:divBdr>
        <w:top w:val="none" w:sz="0" w:space="0" w:color="auto"/>
        <w:left w:val="none" w:sz="0" w:space="0" w:color="auto"/>
        <w:bottom w:val="none" w:sz="0" w:space="0" w:color="auto"/>
        <w:right w:val="none" w:sz="0" w:space="0" w:color="auto"/>
      </w:divBdr>
    </w:div>
    <w:div w:id="729694388">
      <w:bodyDiv w:val="1"/>
      <w:marLeft w:val="0"/>
      <w:marRight w:val="0"/>
      <w:marTop w:val="0"/>
      <w:marBottom w:val="0"/>
      <w:divBdr>
        <w:top w:val="none" w:sz="0" w:space="0" w:color="auto"/>
        <w:left w:val="none" w:sz="0" w:space="0" w:color="auto"/>
        <w:bottom w:val="none" w:sz="0" w:space="0" w:color="auto"/>
        <w:right w:val="none" w:sz="0" w:space="0" w:color="auto"/>
      </w:divBdr>
    </w:div>
    <w:div w:id="731007531">
      <w:bodyDiv w:val="1"/>
      <w:marLeft w:val="0"/>
      <w:marRight w:val="0"/>
      <w:marTop w:val="0"/>
      <w:marBottom w:val="0"/>
      <w:divBdr>
        <w:top w:val="none" w:sz="0" w:space="0" w:color="auto"/>
        <w:left w:val="none" w:sz="0" w:space="0" w:color="auto"/>
        <w:bottom w:val="none" w:sz="0" w:space="0" w:color="auto"/>
        <w:right w:val="none" w:sz="0" w:space="0" w:color="auto"/>
      </w:divBdr>
    </w:div>
    <w:div w:id="731346556">
      <w:bodyDiv w:val="1"/>
      <w:marLeft w:val="0"/>
      <w:marRight w:val="0"/>
      <w:marTop w:val="0"/>
      <w:marBottom w:val="0"/>
      <w:divBdr>
        <w:top w:val="none" w:sz="0" w:space="0" w:color="auto"/>
        <w:left w:val="none" w:sz="0" w:space="0" w:color="auto"/>
        <w:bottom w:val="none" w:sz="0" w:space="0" w:color="auto"/>
        <w:right w:val="none" w:sz="0" w:space="0" w:color="auto"/>
      </w:divBdr>
    </w:div>
    <w:div w:id="735324332">
      <w:bodyDiv w:val="1"/>
      <w:marLeft w:val="0"/>
      <w:marRight w:val="0"/>
      <w:marTop w:val="0"/>
      <w:marBottom w:val="0"/>
      <w:divBdr>
        <w:top w:val="none" w:sz="0" w:space="0" w:color="auto"/>
        <w:left w:val="none" w:sz="0" w:space="0" w:color="auto"/>
        <w:bottom w:val="none" w:sz="0" w:space="0" w:color="auto"/>
        <w:right w:val="none" w:sz="0" w:space="0" w:color="auto"/>
      </w:divBdr>
    </w:div>
    <w:div w:id="740836928">
      <w:bodyDiv w:val="1"/>
      <w:marLeft w:val="0"/>
      <w:marRight w:val="0"/>
      <w:marTop w:val="0"/>
      <w:marBottom w:val="0"/>
      <w:divBdr>
        <w:top w:val="none" w:sz="0" w:space="0" w:color="auto"/>
        <w:left w:val="none" w:sz="0" w:space="0" w:color="auto"/>
        <w:bottom w:val="none" w:sz="0" w:space="0" w:color="auto"/>
        <w:right w:val="none" w:sz="0" w:space="0" w:color="auto"/>
      </w:divBdr>
    </w:div>
    <w:div w:id="741828895">
      <w:bodyDiv w:val="1"/>
      <w:marLeft w:val="0"/>
      <w:marRight w:val="0"/>
      <w:marTop w:val="0"/>
      <w:marBottom w:val="0"/>
      <w:divBdr>
        <w:top w:val="none" w:sz="0" w:space="0" w:color="auto"/>
        <w:left w:val="none" w:sz="0" w:space="0" w:color="auto"/>
        <w:bottom w:val="none" w:sz="0" w:space="0" w:color="auto"/>
        <w:right w:val="none" w:sz="0" w:space="0" w:color="auto"/>
      </w:divBdr>
    </w:div>
    <w:div w:id="743576248">
      <w:bodyDiv w:val="1"/>
      <w:marLeft w:val="0"/>
      <w:marRight w:val="0"/>
      <w:marTop w:val="0"/>
      <w:marBottom w:val="0"/>
      <w:divBdr>
        <w:top w:val="none" w:sz="0" w:space="0" w:color="auto"/>
        <w:left w:val="none" w:sz="0" w:space="0" w:color="auto"/>
        <w:bottom w:val="none" w:sz="0" w:space="0" w:color="auto"/>
        <w:right w:val="none" w:sz="0" w:space="0" w:color="auto"/>
      </w:divBdr>
    </w:div>
    <w:div w:id="748311649">
      <w:bodyDiv w:val="1"/>
      <w:marLeft w:val="0"/>
      <w:marRight w:val="0"/>
      <w:marTop w:val="0"/>
      <w:marBottom w:val="0"/>
      <w:divBdr>
        <w:top w:val="none" w:sz="0" w:space="0" w:color="auto"/>
        <w:left w:val="none" w:sz="0" w:space="0" w:color="auto"/>
        <w:bottom w:val="none" w:sz="0" w:space="0" w:color="auto"/>
        <w:right w:val="none" w:sz="0" w:space="0" w:color="auto"/>
      </w:divBdr>
    </w:div>
    <w:div w:id="757799236">
      <w:bodyDiv w:val="1"/>
      <w:marLeft w:val="0"/>
      <w:marRight w:val="0"/>
      <w:marTop w:val="0"/>
      <w:marBottom w:val="0"/>
      <w:divBdr>
        <w:top w:val="none" w:sz="0" w:space="0" w:color="auto"/>
        <w:left w:val="none" w:sz="0" w:space="0" w:color="auto"/>
        <w:bottom w:val="none" w:sz="0" w:space="0" w:color="auto"/>
        <w:right w:val="none" w:sz="0" w:space="0" w:color="auto"/>
      </w:divBdr>
    </w:div>
    <w:div w:id="759837062">
      <w:bodyDiv w:val="1"/>
      <w:marLeft w:val="0"/>
      <w:marRight w:val="0"/>
      <w:marTop w:val="0"/>
      <w:marBottom w:val="0"/>
      <w:divBdr>
        <w:top w:val="none" w:sz="0" w:space="0" w:color="auto"/>
        <w:left w:val="none" w:sz="0" w:space="0" w:color="auto"/>
        <w:bottom w:val="none" w:sz="0" w:space="0" w:color="auto"/>
        <w:right w:val="none" w:sz="0" w:space="0" w:color="auto"/>
      </w:divBdr>
    </w:div>
    <w:div w:id="761947560">
      <w:bodyDiv w:val="1"/>
      <w:marLeft w:val="0"/>
      <w:marRight w:val="0"/>
      <w:marTop w:val="0"/>
      <w:marBottom w:val="0"/>
      <w:divBdr>
        <w:top w:val="none" w:sz="0" w:space="0" w:color="auto"/>
        <w:left w:val="none" w:sz="0" w:space="0" w:color="auto"/>
        <w:bottom w:val="none" w:sz="0" w:space="0" w:color="auto"/>
        <w:right w:val="none" w:sz="0" w:space="0" w:color="auto"/>
      </w:divBdr>
    </w:div>
    <w:div w:id="764115326">
      <w:bodyDiv w:val="1"/>
      <w:marLeft w:val="0"/>
      <w:marRight w:val="0"/>
      <w:marTop w:val="0"/>
      <w:marBottom w:val="0"/>
      <w:divBdr>
        <w:top w:val="none" w:sz="0" w:space="0" w:color="auto"/>
        <w:left w:val="none" w:sz="0" w:space="0" w:color="auto"/>
        <w:bottom w:val="none" w:sz="0" w:space="0" w:color="auto"/>
        <w:right w:val="none" w:sz="0" w:space="0" w:color="auto"/>
      </w:divBdr>
    </w:div>
    <w:div w:id="769395127">
      <w:bodyDiv w:val="1"/>
      <w:marLeft w:val="0"/>
      <w:marRight w:val="0"/>
      <w:marTop w:val="0"/>
      <w:marBottom w:val="0"/>
      <w:divBdr>
        <w:top w:val="none" w:sz="0" w:space="0" w:color="auto"/>
        <w:left w:val="none" w:sz="0" w:space="0" w:color="auto"/>
        <w:bottom w:val="none" w:sz="0" w:space="0" w:color="auto"/>
        <w:right w:val="none" w:sz="0" w:space="0" w:color="auto"/>
      </w:divBdr>
    </w:div>
    <w:div w:id="771828579">
      <w:bodyDiv w:val="1"/>
      <w:marLeft w:val="0"/>
      <w:marRight w:val="0"/>
      <w:marTop w:val="0"/>
      <w:marBottom w:val="0"/>
      <w:divBdr>
        <w:top w:val="none" w:sz="0" w:space="0" w:color="auto"/>
        <w:left w:val="none" w:sz="0" w:space="0" w:color="auto"/>
        <w:bottom w:val="none" w:sz="0" w:space="0" w:color="auto"/>
        <w:right w:val="none" w:sz="0" w:space="0" w:color="auto"/>
      </w:divBdr>
    </w:div>
    <w:div w:id="773014665">
      <w:bodyDiv w:val="1"/>
      <w:marLeft w:val="0"/>
      <w:marRight w:val="0"/>
      <w:marTop w:val="0"/>
      <w:marBottom w:val="0"/>
      <w:divBdr>
        <w:top w:val="none" w:sz="0" w:space="0" w:color="auto"/>
        <w:left w:val="none" w:sz="0" w:space="0" w:color="auto"/>
        <w:bottom w:val="none" w:sz="0" w:space="0" w:color="auto"/>
        <w:right w:val="none" w:sz="0" w:space="0" w:color="auto"/>
      </w:divBdr>
    </w:div>
    <w:div w:id="774784183">
      <w:bodyDiv w:val="1"/>
      <w:marLeft w:val="0"/>
      <w:marRight w:val="0"/>
      <w:marTop w:val="0"/>
      <w:marBottom w:val="0"/>
      <w:divBdr>
        <w:top w:val="none" w:sz="0" w:space="0" w:color="auto"/>
        <w:left w:val="none" w:sz="0" w:space="0" w:color="auto"/>
        <w:bottom w:val="none" w:sz="0" w:space="0" w:color="auto"/>
        <w:right w:val="none" w:sz="0" w:space="0" w:color="auto"/>
      </w:divBdr>
    </w:div>
    <w:div w:id="775178479">
      <w:bodyDiv w:val="1"/>
      <w:marLeft w:val="0"/>
      <w:marRight w:val="0"/>
      <w:marTop w:val="0"/>
      <w:marBottom w:val="0"/>
      <w:divBdr>
        <w:top w:val="none" w:sz="0" w:space="0" w:color="auto"/>
        <w:left w:val="none" w:sz="0" w:space="0" w:color="auto"/>
        <w:bottom w:val="none" w:sz="0" w:space="0" w:color="auto"/>
        <w:right w:val="none" w:sz="0" w:space="0" w:color="auto"/>
      </w:divBdr>
    </w:div>
    <w:div w:id="777257470">
      <w:bodyDiv w:val="1"/>
      <w:marLeft w:val="0"/>
      <w:marRight w:val="0"/>
      <w:marTop w:val="0"/>
      <w:marBottom w:val="0"/>
      <w:divBdr>
        <w:top w:val="none" w:sz="0" w:space="0" w:color="auto"/>
        <w:left w:val="none" w:sz="0" w:space="0" w:color="auto"/>
        <w:bottom w:val="none" w:sz="0" w:space="0" w:color="auto"/>
        <w:right w:val="none" w:sz="0" w:space="0" w:color="auto"/>
      </w:divBdr>
    </w:div>
    <w:div w:id="781535411">
      <w:bodyDiv w:val="1"/>
      <w:marLeft w:val="0"/>
      <w:marRight w:val="0"/>
      <w:marTop w:val="0"/>
      <w:marBottom w:val="0"/>
      <w:divBdr>
        <w:top w:val="none" w:sz="0" w:space="0" w:color="auto"/>
        <w:left w:val="none" w:sz="0" w:space="0" w:color="auto"/>
        <w:bottom w:val="none" w:sz="0" w:space="0" w:color="auto"/>
        <w:right w:val="none" w:sz="0" w:space="0" w:color="auto"/>
      </w:divBdr>
    </w:div>
    <w:div w:id="783811385">
      <w:bodyDiv w:val="1"/>
      <w:marLeft w:val="0"/>
      <w:marRight w:val="0"/>
      <w:marTop w:val="0"/>
      <w:marBottom w:val="0"/>
      <w:divBdr>
        <w:top w:val="none" w:sz="0" w:space="0" w:color="auto"/>
        <w:left w:val="none" w:sz="0" w:space="0" w:color="auto"/>
        <w:bottom w:val="none" w:sz="0" w:space="0" w:color="auto"/>
        <w:right w:val="none" w:sz="0" w:space="0" w:color="auto"/>
      </w:divBdr>
    </w:div>
    <w:div w:id="786388930">
      <w:bodyDiv w:val="1"/>
      <w:marLeft w:val="0"/>
      <w:marRight w:val="0"/>
      <w:marTop w:val="0"/>
      <w:marBottom w:val="0"/>
      <w:divBdr>
        <w:top w:val="none" w:sz="0" w:space="0" w:color="auto"/>
        <w:left w:val="none" w:sz="0" w:space="0" w:color="auto"/>
        <w:bottom w:val="none" w:sz="0" w:space="0" w:color="auto"/>
        <w:right w:val="none" w:sz="0" w:space="0" w:color="auto"/>
      </w:divBdr>
    </w:div>
    <w:div w:id="787433688">
      <w:bodyDiv w:val="1"/>
      <w:marLeft w:val="0"/>
      <w:marRight w:val="0"/>
      <w:marTop w:val="0"/>
      <w:marBottom w:val="0"/>
      <w:divBdr>
        <w:top w:val="none" w:sz="0" w:space="0" w:color="auto"/>
        <w:left w:val="none" w:sz="0" w:space="0" w:color="auto"/>
        <w:bottom w:val="none" w:sz="0" w:space="0" w:color="auto"/>
        <w:right w:val="none" w:sz="0" w:space="0" w:color="auto"/>
      </w:divBdr>
    </w:div>
    <w:div w:id="787893950">
      <w:bodyDiv w:val="1"/>
      <w:marLeft w:val="0"/>
      <w:marRight w:val="0"/>
      <w:marTop w:val="0"/>
      <w:marBottom w:val="0"/>
      <w:divBdr>
        <w:top w:val="none" w:sz="0" w:space="0" w:color="auto"/>
        <w:left w:val="none" w:sz="0" w:space="0" w:color="auto"/>
        <w:bottom w:val="none" w:sz="0" w:space="0" w:color="auto"/>
        <w:right w:val="none" w:sz="0" w:space="0" w:color="auto"/>
      </w:divBdr>
    </w:div>
    <w:div w:id="799231541">
      <w:bodyDiv w:val="1"/>
      <w:marLeft w:val="0"/>
      <w:marRight w:val="0"/>
      <w:marTop w:val="0"/>
      <w:marBottom w:val="0"/>
      <w:divBdr>
        <w:top w:val="none" w:sz="0" w:space="0" w:color="auto"/>
        <w:left w:val="none" w:sz="0" w:space="0" w:color="auto"/>
        <w:bottom w:val="none" w:sz="0" w:space="0" w:color="auto"/>
        <w:right w:val="none" w:sz="0" w:space="0" w:color="auto"/>
      </w:divBdr>
    </w:div>
    <w:div w:id="800000241">
      <w:bodyDiv w:val="1"/>
      <w:marLeft w:val="0"/>
      <w:marRight w:val="0"/>
      <w:marTop w:val="0"/>
      <w:marBottom w:val="0"/>
      <w:divBdr>
        <w:top w:val="none" w:sz="0" w:space="0" w:color="auto"/>
        <w:left w:val="none" w:sz="0" w:space="0" w:color="auto"/>
        <w:bottom w:val="none" w:sz="0" w:space="0" w:color="auto"/>
        <w:right w:val="none" w:sz="0" w:space="0" w:color="auto"/>
      </w:divBdr>
    </w:div>
    <w:div w:id="808212128">
      <w:bodyDiv w:val="1"/>
      <w:marLeft w:val="0"/>
      <w:marRight w:val="0"/>
      <w:marTop w:val="0"/>
      <w:marBottom w:val="0"/>
      <w:divBdr>
        <w:top w:val="none" w:sz="0" w:space="0" w:color="auto"/>
        <w:left w:val="none" w:sz="0" w:space="0" w:color="auto"/>
        <w:bottom w:val="none" w:sz="0" w:space="0" w:color="auto"/>
        <w:right w:val="none" w:sz="0" w:space="0" w:color="auto"/>
      </w:divBdr>
    </w:div>
    <w:div w:id="809981723">
      <w:bodyDiv w:val="1"/>
      <w:marLeft w:val="0"/>
      <w:marRight w:val="0"/>
      <w:marTop w:val="0"/>
      <w:marBottom w:val="0"/>
      <w:divBdr>
        <w:top w:val="none" w:sz="0" w:space="0" w:color="auto"/>
        <w:left w:val="none" w:sz="0" w:space="0" w:color="auto"/>
        <w:bottom w:val="none" w:sz="0" w:space="0" w:color="auto"/>
        <w:right w:val="none" w:sz="0" w:space="0" w:color="auto"/>
      </w:divBdr>
    </w:div>
    <w:div w:id="813914519">
      <w:bodyDiv w:val="1"/>
      <w:marLeft w:val="0"/>
      <w:marRight w:val="0"/>
      <w:marTop w:val="0"/>
      <w:marBottom w:val="0"/>
      <w:divBdr>
        <w:top w:val="none" w:sz="0" w:space="0" w:color="auto"/>
        <w:left w:val="none" w:sz="0" w:space="0" w:color="auto"/>
        <w:bottom w:val="none" w:sz="0" w:space="0" w:color="auto"/>
        <w:right w:val="none" w:sz="0" w:space="0" w:color="auto"/>
      </w:divBdr>
    </w:div>
    <w:div w:id="814834454">
      <w:bodyDiv w:val="1"/>
      <w:marLeft w:val="0"/>
      <w:marRight w:val="0"/>
      <w:marTop w:val="0"/>
      <w:marBottom w:val="0"/>
      <w:divBdr>
        <w:top w:val="none" w:sz="0" w:space="0" w:color="auto"/>
        <w:left w:val="none" w:sz="0" w:space="0" w:color="auto"/>
        <w:bottom w:val="none" w:sz="0" w:space="0" w:color="auto"/>
        <w:right w:val="none" w:sz="0" w:space="0" w:color="auto"/>
      </w:divBdr>
    </w:div>
    <w:div w:id="815494136">
      <w:bodyDiv w:val="1"/>
      <w:marLeft w:val="0"/>
      <w:marRight w:val="0"/>
      <w:marTop w:val="0"/>
      <w:marBottom w:val="0"/>
      <w:divBdr>
        <w:top w:val="none" w:sz="0" w:space="0" w:color="auto"/>
        <w:left w:val="none" w:sz="0" w:space="0" w:color="auto"/>
        <w:bottom w:val="none" w:sz="0" w:space="0" w:color="auto"/>
        <w:right w:val="none" w:sz="0" w:space="0" w:color="auto"/>
      </w:divBdr>
    </w:div>
    <w:div w:id="815731000">
      <w:bodyDiv w:val="1"/>
      <w:marLeft w:val="0"/>
      <w:marRight w:val="0"/>
      <w:marTop w:val="0"/>
      <w:marBottom w:val="0"/>
      <w:divBdr>
        <w:top w:val="none" w:sz="0" w:space="0" w:color="auto"/>
        <w:left w:val="none" w:sz="0" w:space="0" w:color="auto"/>
        <w:bottom w:val="none" w:sz="0" w:space="0" w:color="auto"/>
        <w:right w:val="none" w:sz="0" w:space="0" w:color="auto"/>
      </w:divBdr>
    </w:div>
    <w:div w:id="823469109">
      <w:bodyDiv w:val="1"/>
      <w:marLeft w:val="0"/>
      <w:marRight w:val="0"/>
      <w:marTop w:val="0"/>
      <w:marBottom w:val="0"/>
      <w:divBdr>
        <w:top w:val="none" w:sz="0" w:space="0" w:color="auto"/>
        <w:left w:val="none" w:sz="0" w:space="0" w:color="auto"/>
        <w:bottom w:val="none" w:sz="0" w:space="0" w:color="auto"/>
        <w:right w:val="none" w:sz="0" w:space="0" w:color="auto"/>
      </w:divBdr>
    </w:div>
    <w:div w:id="832795105">
      <w:bodyDiv w:val="1"/>
      <w:marLeft w:val="0"/>
      <w:marRight w:val="0"/>
      <w:marTop w:val="0"/>
      <w:marBottom w:val="0"/>
      <w:divBdr>
        <w:top w:val="none" w:sz="0" w:space="0" w:color="auto"/>
        <w:left w:val="none" w:sz="0" w:space="0" w:color="auto"/>
        <w:bottom w:val="none" w:sz="0" w:space="0" w:color="auto"/>
        <w:right w:val="none" w:sz="0" w:space="0" w:color="auto"/>
      </w:divBdr>
    </w:div>
    <w:div w:id="833226427">
      <w:bodyDiv w:val="1"/>
      <w:marLeft w:val="0"/>
      <w:marRight w:val="0"/>
      <w:marTop w:val="0"/>
      <w:marBottom w:val="0"/>
      <w:divBdr>
        <w:top w:val="none" w:sz="0" w:space="0" w:color="auto"/>
        <w:left w:val="none" w:sz="0" w:space="0" w:color="auto"/>
        <w:bottom w:val="none" w:sz="0" w:space="0" w:color="auto"/>
        <w:right w:val="none" w:sz="0" w:space="0" w:color="auto"/>
      </w:divBdr>
    </w:div>
    <w:div w:id="835416966">
      <w:bodyDiv w:val="1"/>
      <w:marLeft w:val="0"/>
      <w:marRight w:val="0"/>
      <w:marTop w:val="0"/>
      <w:marBottom w:val="0"/>
      <w:divBdr>
        <w:top w:val="none" w:sz="0" w:space="0" w:color="auto"/>
        <w:left w:val="none" w:sz="0" w:space="0" w:color="auto"/>
        <w:bottom w:val="none" w:sz="0" w:space="0" w:color="auto"/>
        <w:right w:val="none" w:sz="0" w:space="0" w:color="auto"/>
      </w:divBdr>
    </w:div>
    <w:div w:id="835924483">
      <w:bodyDiv w:val="1"/>
      <w:marLeft w:val="0"/>
      <w:marRight w:val="0"/>
      <w:marTop w:val="0"/>
      <w:marBottom w:val="0"/>
      <w:divBdr>
        <w:top w:val="none" w:sz="0" w:space="0" w:color="auto"/>
        <w:left w:val="none" w:sz="0" w:space="0" w:color="auto"/>
        <w:bottom w:val="none" w:sz="0" w:space="0" w:color="auto"/>
        <w:right w:val="none" w:sz="0" w:space="0" w:color="auto"/>
      </w:divBdr>
    </w:div>
    <w:div w:id="839153660">
      <w:bodyDiv w:val="1"/>
      <w:marLeft w:val="0"/>
      <w:marRight w:val="0"/>
      <w:marTop w:val="0"/>
      <w:marBottom w:val="0"/>
      <w:divBdr>
        <w:top w:val="none" w:sz="0" w:space="0" w:color="auto"/>
        <w:left w:val="none" w:sz="0" w:space="0" w:color="auto"/>
        <w:bottom w:val="none" w:sz="0" w:space="0" w:color="auto"/>
        <w:right w:val="none" w:sz="0" w:space="0" w:color="auto"/>
      </w:divBdr>
    </w:div>
    <w:div w:id="839202084">
      <w:bodyDiv w:val="1"/>
      <w:marLeft w:val="0"/>
      <w:marRight w:val="0"/>
      <w:marTop w:val="0"/>
      <w:marBottom w:val="0"/>
      <w:divBdr>
        <w:top w:val="none" w:sz="0" w:space="0" w:color="auto"/>
        <w:left w:val="none" w:sz="0" w:space="0" w:color="auto"/>
        <w:bottom w:val="none" w:sz="0" w:space="0" w:color="auto"/>
        <w:right w:val="none" w:sz="0" w:space="0" w:color="auto"/>
      </w:divBdr>
    </w:div>
    <w:div w:id="839738709">
      <w:bodyDiv w:val="1"/>
      <w:marLeft w:val="0"/>
      <w:marRight w:val="0"/>
      <w:marTop w:val="0"/>
      <w:marBottom w:val="0"/>
      <w:divBdr>
        <w:top w:val="none" w:sz="0" w:space="0" w:color="auto"/>
        <w:left w:val="none" w:sz="0" w:space="0" w:color="auto"/>
        <w:bottom w:val="none" w:sz="0" w:space="0" w:color="auto"/>
        <w:right w:val="none" w:sz="0" w:space="0" w:color="auto"/>
      </w:divBdr>
    </w:div>
    <w:div w:id="842017749">
      <w:bodyDiv w:val="1"/>
      <w:marLeft w:val="0"/>
      <w:marRight w:val="0"/>
      <w:marTop w:val="0"/>
      <w:marBottom w:val="0"/>
      <w:divBdr>
        <w:top w:val="none" w:sz="0" w:space="0" w:color="auto"/>
        <w:left w:val="none" w:sz="0" w:space="0" w:color="auto"/>
        <w:bottom w:val="none" w:sz="0" w:space="0" w:color="auto"/>
        <w:right w:val="none" w:sz="0" w:space="0" w:color="auto"/>
      </w:divBdr>
    </w:div>
    <w:div w:id="843396256">
      <w:bodyDiv w:val="1"/>
      <w:marLeft w:val="0"/>
      <w:marRight w:val="0"/>
      <w:marTop w:val="0"/>
      <w:marBottom w:val="0"/>
      <w:divBdr>
        <w:top w:val="none" w:sz="0" w:space="0" w:color="auto"/>
        <w:left w:val="none" w:sz="0" w:space="0" w:color="auto"/>
        <w:bottom w:val="none" w:sz="0" w:space="0" w:color="auto"/>
        <w:right w:val="none" w:sz="0" w:space="0" w:color="auto"/>
      </w:divBdr>
    </w:div>
    <w:div w:id="844057009">
      <w:bodyDiv w:val="1"/>
      <w:marLeft w:val="0"/>
      <w:marRight w:val="0"/>
      <w:marTop w:val="0"/>
      <w:marBottom w:val="0"/>
      <w:divBdr>
        <w:top w:val="none" w:sz="0" w:space="0" w:color="auto"/>
        <w:left w:val="none" w:sz="0" w:space="0" w:color="auto"/>
        <w:bottom w:val="none" w:sz="0" w:space="0" w:color="auto"/>
        <w:right w:val="none" w:sz="0" w:space="0" w:color="auto"/>
      </w:divBdr>
    </w:div>
    <w:div w:id="844438033">
      <w:bodyDiv w:val="1"/>
      <w:marLeft w:val="0"/>
      <w:marRight w:val="0"/>
      <w:marTop w:val="0"/>
      <w:marBottom w:val="0"/>
      <w:divBdr>
        <w:top w:val="none" w:sz="0" w:space="0" w:color="auto"/>
        <w:left w:val="none" w:sz="0" w:space="0" w:color="auto"/>
        <w:bottom w:val="none" w:sz="0" w:space="0" w:color="auto"/>
        <w:right w:val="none" w:sz="0" w:space="0" w:color="auto"/>
      </w:divBdr>
    </w:div>
    <w:div w:id="847669731">
      <w:bodyDiv w:val="1"/>
      <w:marLeft w:val="0"/>
      <w:marRight w:val="0"/>
      <w:marTop w:val="0"/>
      <w:marBottom w:val="0"/>
      <w:divBdr>
        <w:top w:val="none" w:sz="0" w:space="0" w:color="auto"/>
        <w:left w:val="none" w:sz="0" w:space="0" w:color="auto"/>
        <w:bottom w:val="none" w:sz="0" w:space="0" w:color="auto"/>
        <w:right w:val="none" w:sz="0" w:space="0" w:color="auto"/>
      </w:divBdr>
    </w:div>
    <w:div w:id="850217227">
      <w:bodyDiv w:val="1"/>
      <w:marLeft w:val="0"/>
      <w:marRight w:val="0"/>
      <w:marTop w:val="0"/>
      <w:marBottom w:val="0"/>
      <w:divBdr>
        <w:top w:val="none" w:sz="0" w:space="0" w:color="auto"/>
        <w:left w:val="none" w:sz="0" w:space="0" w:color="auto"/>
        <w:bottom w:val="none" w:sz="0" w:space="0" w:color="auto"/>
        <w:right w:val="none" w:sz="0" w:space="0" w:color="auto"/>
      </w:divBdr>
    </w:div>
    <w:div w:id="850223879">
      <w:bodyDiv w:val="1"/>
      <w:marLeft w:val="0"/>
      <w:marRight w:val="0"/>
      <w:marTop w:val="0"/>
      <w:marBottom w:val="0"/>
      <w:divBdr>
        <w:top w:val="none" w:sz="0" w:space="0" w:color="auto"/>
        <w:left w:val="none" w:sz="0" w:space="0" w:color="auto"/>
        <w:bottom w:val="none" w:sz="0" w:space="0" w:color="auto"/>
        <w:right w:val="none" w:sz="0" w:space="0" w:color="auto"/>
      </w:divBdr>
    </w:div>
    <w:div w:id="851188151">
      <w:bodyDiv w:val="1"/>
      <w:marLeft w:val="0"/>
      <w:marRight w:val="0"/>
      <w:marTop w:val="0"/>
      <w:marBottom w:val="0"/>
      <w:divBdr>
        <w:top w:val="none" w:sz="0" w:space="0" w:color="auto"/>
        <w:left w:val="none" w:sz="0" w:space="0" w:color="auto"/>
        <w:bottom w:val="none" w:sz="0" w:space="0" w:color="auto"/>
        <w:right w:val="none" w:sz="0" w:space="0" w:color="auto"/>
      </w:divBdr>
    </w:div>
    <w:div w:id="862088878">
      <w:bodyDiv w:val="1"/>
      <w:marLeft w:val="0"/>
      <w:marRight w:val="0"/>
      <w:marTop w:val="0"/>
      <w:marBottom w:val="0"/>
      <w:divBdr>
        <w:top w:val="none" w:sz="0" w:space="0" w:color="auto"/>
        <w:left w:val="none" w:sz="0" w:space="0" w:color="auto"/>
        <w:bottom w:val="none" w:sz="0" w:space="0" w:color="auto"/>
        <w:right w:val="none" w:sz="0" w:space="0" w:color="auto"/>
      </w:divBdr>
    </w:div>
    <w:div w:id="864949509">
      <w:bodyDiv w:val="1"/>
      <w:marLeft w:val="0"/>
      <w:marRight w:val="0"/>
      <w:marTop w:val="0"/>
      <w:marBottom w:val="0"/>
      <w:divBdr>
        <w:top w:val="none" w:sz="0" w:space="0" w:color="auto"/>
        <w:left w:val="none" w:sz="0" w:space="0" w:color="auto"/>
        <w:bottom w:val="none" w:sz="0" w:space="0" w:color="auto"/>
        <w:right w:val="none" w:sz="0" w:space="0" w:color="auto"/>
      </w:divBdr>
    </w:div>
    <w:div w:id="869802485">
      <w:bodyDiv w:val="1"/>
      <w:marLeft w:val="0"/>
      <w:marRight w:val="0"/>
      <w:marTop w:val="0"/>
      <w:marBottom w:val="0"/>
      <w:divBdr>
        <w:top w:val="none" w:sz="0" w:space="0" w:color="auto"/>
        <w:left w:val="none" w:sz="0" w:space="0" w:color="auto"/>
        <w:bottom w:val="none" w:sz="0" w:space="0" w:color="auto"/>
        <w:right w:val="none" w:sz="0" w:space="0" w:color="auto"/>
      </w:divBdr>
    </w:div>
    <w:div w:id="879825206">
      <w:bodyDiv w:val="1"/>
      <w:marLeft w:val="0"/>
      <w:marRight w:val="0"/>
      <w:marTop w:val="0"/>
      <w:marBottom w:val="0"/>
      <w:divBdr>
        <w:top w:val="none" w:sz="0" w:space="0" w:color="auto"/>
        <w:left w:val="none" w:sz="0" w:space="0" w:color="auto"/>
        <w:bottom w:val="none" w:sz="0" w:space="0" w:color="auto"/>
        <w:right w:val="none" w:sz="0" w:space="0" w:color="auto"/>
      </w:divBdr>
    </w:div>
    <w:div w:id="885068253">
      <w:bodyDiv w:val="1"/>
      <w:marLeft w:val="0"/>
      <w:marRight w:val="0"/>
      <w:marTop w:val="0"/>
      <w:marBottom w:val="0"/>
      <w:divBdr>
        <w:top w:val="none" w:sz="0" w:space="0" w:color="auto"/>
        <w:left w:val="none" w:sz="0" w:space="0" w:color="auto"/>
        <w:bottom w:val="none" w:sz="0" w:space="0" w:color="auto"/>
        <w:right w:val="none" w:sz="0" w:space="0" w:color="auto"/>
      </w:divBdr>
    </w:div>
    <w:div w:id="886531416">
      <w:bodyDiv w:val="1"/>
      <w:marLeft w:val="0"/>
      <w:marRight w:val="0"/>
      <w:marTop w:val="0"/>
      <w:marBottom w:val="0"/>
      <w:divBdr>
        <w:top w:val="none" w:sz="0" w:space="0" w:color="auto"/>
        <w:left w:val="none" w:sz="0" w:space="0" w:color="auto"/>
        <w:bottom w:val="none" w:sz="0" w:space="0" w:color="auto"/>
        <w:right w:val="none" w:sz="0" w:space="0" w:color="auto"/>
      </w:divBdr>
    </w:div>
    <w:div w:id="891696270">
      <w:bodyDiv w:val="1"/>
      <w:marLeft w:val="0"/>
      <w:marRight w:val="0"/>
      <w:marTop w:val="0"/>
      <w:marBottom w:val="0"/>
      <w:divBdr>
        <w:top w:val="none" w:sz="0" w:space="0" w:color="auto"/>
        <w:left w:val="none" w:sz="0" w:space="0" w:color="auto"/>
        <w:bottom w:val="none" w:sz="0" w:space="0" w:color="auto"/>
        <w:right w:val="none" w:sz="0" w:space="0" w:color="auto"/>
      </w:divBdr>
    </w:div>
    <w:div w:id="893547406">
      <w:bodyDiv w:val="1"/>
      <w:marLeft w:val="0"/>
      <w:marRight w:val="0"/>
      <w:marTop w:val="0"/>
      <w:marBottom w:val="0"/>
      <w:divBdr>
        <w:top w:val="none" w:sz="0" w:space="0" w:color="auto"/>
        <w:left w:val="none" w:sz="0" w:space="0" w:color="auto"/>
        <w:bottom w:val="none" w:sz="0" w:space="0" w:color="auto"/>
        <w:right w:val="none" w:sz="0" w:space="0" w:color="auto"/>
      </w:divBdr>
    </w:div>
    <w:div w:id="898594259">
      <w:bodyDiv w:val="1"/>
      <w:marLeft w:val="0"/>
      <w:marRight w:val="0"/>
      <w:marTop w:val="0"/>
      <w:marBottom w:val="0"/>
      <w:divBdr>
        <w:top w:val="none" w:sz="0" w:space="0" w:color="auto"/>
        <w:left w:val="none" w:sz="0" w:space="0" w:color="auto"/>
        <w:bottom w:val="none" w:sz="0" w:space="0" w:color="auto"/>
        <w:right w:val="none" w:sz="0" w:space="0" w:color="auto"/>
      </w:divBdr>
    </w:div>
    <w:div w:id="898975466">
      <w:bodyDiv w:val="1"/>
      <w:marLeft w:val="0"/>
      <w:marRight w:val="0"/>
      <w:marTop w:val="0"/>
      <w:marBottom w:val="0"/>
      <w:divBdr>
        <w:top w:val="none" w:sz="0" w:space="0" w:color="auto"/>
        <w:left w:val="none" w:sz="0" w:space="0" w:color="auto"/>
        <w:bottom w:val="none" w:sz="0" w:space="0" w:color="auto"/>
        <w:right w:val="none" w:sz="0" w:space="0" w:color="auto"/>
      </w:divBdr>
    </w:div>
    <w:div w:id="901794477">
      <w:bodyDiv w:val="1"/>
      <w:marLeft w:val="0"/>
      <w:marRight w:val="0"/>
      <w:marTop w:val="0"/>
      <w:marBottom w:val="0"/>
      <w:divBdr>
        <w:top w:val="none" w:sz="0" w:space="0" w:color="auto"/>
        <w:left w:val="none" w:sz="0" w:space="0" w:color="auto"/>
        <w:bottom w:val="none" w:sz="0" w:space="0" w:color="auto"/>
        <w:right w:val="none" w:sz="0" w:space="0" w:color="auto"/>
      </w:divBdr>
    </w:div>
    <w:div w:id="902788066">
      <w:bodyDiv w:val="1"/>
      <w:marLeft w:val="0"/>
      <w:marRight w:val="0"/>
      <w:marTop w:val="0"/>
      <w:marBottom w:val="0"/>
      <w:divBdr>
        <w:top w:val="none" w:sz="0" w:space="0" w:color="auto"/>
        <w:left w:val="none" w:sz="0" w:space="0" w:color="auto"/>
        <w:bottom w:val="none" w:sz="0" w:space="0" w:color="auto"/>
        <w:right w:val="none" w:sz="0" w:space="0" w:color="auto"/>
      </w:divBdr>
    </w:div>
    <w:div w:id="905188950">
      <w:bodyDiv w:val="1"/>
      <w:marLeft w:val="0"/>
      <w:marRight w:val="0"/>
      <w:marTop w:val="0"/>
      <w:marBottom w:val="0"/>
      <w:divBdr>
        <w:top w:val="none" w:sz="0" w:space="0" w:color="auto"/>
        <w:left w:val="none" w:sz="0" w:space="0" w:color="auto"/>
        <w:bottom w:val="none" w:sz="0" w:space="0" w:color="auto"/>
        <w:right w:val="none" w:sz="0" w:space="0" w:color="auto"/>
      </w:divBdr>
    </w:div>
    <w:div w:id="913055237">
      <w:bodyDiv w:val="1"/>
      <w:marLeft w:val="0"/>
      <w:marRight w:val="0"/>
      <w:marTop w:val="0"/>
      <w:marBottom w:val="0"/>
      <w:divBdr>
        <w:top w:val="none" w:sz="0" w:space="0" w:color="auto"/>
        <w:left w:val="none" w:sz="0" w:space="0" w:color="auto"/>
        <w:bottom w:val="none" w:sz="0" w:space="0" w:color="auto"/>
        <w:right w:val="none" w:sz="0" w:space="0" w:color="auto"/>
      </w:divBdr>
    </w:div>
    <w:div w:id="915169862">
      <w:bodyDiv w:val="1"/>
      <w:marLeft w:val="0"/>
      <w:marRight w:val="0"/>
      <w:marTop w:val="0"/>
      <w:marBottom w:val="0"/>
      <w:divBdr>
        <w:top w:val="none" w:sz="0" w:space="0" w:color="auto"/>
        <w:left w:val="none" w:sz="0" w:space="0" w:color="auto"/>
        <w:bottom w:val="none" w:sz="0" w:space="0" w:color="auto"/>
        <w:right w:val="none" w:sz="0" w:space="0" w:color="auto"/>
      </w:divBdr>
    </w:div>
    <w:div w:id="917206467">
      <w:bodyDiv w:val="1"/>
      <w:marLeft w:val="0"/>
      <w:marRight w:val="0"/>
      <w:marTop w:val="0"/>
      <w:marBottom w:val="0"/>
      <w:divBdr>
        <w:top w:val="none" w:sz="0" w:space="0" w:color="auto"/>
        <w:left w:val="none" w:sz="0" w:space="0" w:color="auto"/>
        <w:bottom w:val="none" w:sz="0" w:space="0" w:color="auto"/>
        <w:right w:val="none" w:sz="0" w:space="0" w:color="auto"/>
      </w:divBdr>
    </w:div>
    <w:div w:id="918440468">
      <w:bodyDiv w:val="1"/>
      <w:marLeft w:val="0"/>
      <w:marRight w:val="0"/>
      <w:marTop w:val="0"/>
      <w:marBottom w:val="0"/>
      <w:divBdr>
        <w:top w:val="none" w:sz="0" w:space="0" w:color="auto"/>
        <w:left w:val="none" w:sz="0" w:space="0" w:color="auto"/>
        <w:bottom w:val="none" w:sz="0" w:space="0" w:color="auto"/>
        <w:right w:val="none" w:sz="0" w:space="0" w:color="auto"/>
      </w:divBdr>
    </w:div>
    <w:div w:id="919565416">
      <w:bodyDiv w:val="1"/>
      <w:marLeft w:val="0"/>
      <w:marRight w:val="0"/>
      <w:marTop w:val="0"/>
      <w:marBottom w:val="0"/>
      <w:divBdr>
        <w:top w:val="none" w:sz="0" w:space="0" w:color="auto"/>
        <w:left w:val="none" w:sz="0" w:space="0" w:color="auto"/>
        <w:bottom w:val="none" w:sz="0" w:space="0" w:color="auto"/>
        <w:right w:val="none" w:sz="0" w:space="0" w:color="auto"/>
      </w:divBdr>
    </w:div>
    <w:div w:id="925267783">
      <w:bodyDiv w:val="1"/>
      <w:marLeft w:val="0"/>
      <w:marRight w:val="0"/>
      <w:marTop w:val="0"/>
      <w:marBottom w:val="0"/>
      <w:divBdr>
        <w:top w:val="none" w:sz="0" w:space="0" w:color="auto"/>
        <w:left w:val="none" w:sz="0" w:space="0" w:color="auto"/>
        <w:bottom w:val="none" w:sz="0" w:space="0" w:color="auto"/>
        <w:right w:val="none" w:sz="0" w:space="0" w:color="auto"/>
      </w:divBdr>
    </w:div>
    <w:div w:id="927956966">
      <w:bodyDiv w:val="1"/>
      <w:marLeft w:val="0"/>
      <w:marRight w:val="0"/>
      <w:marTop w:val="0"/>
      <w:marBottom w:val="0"/>
      <w:divBdr>
        <w:top w:val="none" w:sz="0" w:space="0" w:color="auto"/>
        <w:left w:val="none" w:sz="0" w:space="0" w:color="auto"/>
        <w:bottom w:val="none" w:sz="0" w:space="0" w:color="auto"/>
        <w:right w:val="none" w:sz="0" w:space="0" w:color="auto"/>
      </w:divBdr>
    </w:div>
    <w:div w:id="929433545">
      <w:bodyDiv w:val="1"/>
      <w:marLeft w:val="0"/>
      <w:marRight w:val="0"/>
      <w:marTop w:val="0"/>
      <w:marBottom w:val="0"/>
      <w:divBdr>
        <w:top w:val="none" w:sz="0" w:space="0" w:color="auto"/>
        <w:left w:val="none" w:sz="0" w:space="0" w:color="auto"/>
        <w:bottom w:val="none" w:sz="0" w:space="0" w:color="auto"/>
        <w:right w:val="none" w:sz="0" w:space="0" w:color="auto"/>
      </w:divBdr>
    </w:div>
    <w:div w:id="932543354">
      <w:bodyDiv w:val="1"/>
      <w:marLeft w:val="0"/>
      <w:marRight w:val="0"/>
      <w:marTop w:val="0"/>
      <w:marBottom w:val="0"/>
      <w:divBdr>
        <w:top w:val="none" w:sz="0" w:space="0" w:color="auto"/>
        <w:left w:val="none" w:sz="0" w:space="0" w:color="auto"/>
        <w:bottom w:val="none" w:sz="0" w:space="0" w:color="auto"/>
        <w:right w:val="none" w:sz="0" w:space="0" w:color="auto"/>
      </w:divBdr>
    </w:div>
    <w:div w:id="936213449">
      <w:bodyDiv w:val="1"/>
      <w:marLeft w:val="0"/>
      <w:marRight w:val="0"/>
      <w:marTop w:val="0"/>
      <w:marBottom w:val="0"/>
      <w:divBdr>
        <w:top w:val="none" w:sz="0" w:space="0" w:color="auto"/>
        <w:left w:val="none" w:sz="0" w:space="0" w:color="auto"/>
        <w:bottom w:val="none" w:sz="0" w:space="0" w:color="auto"/>
        <w:right w:val="none" w:sz="0" w:space="0" w:color="auto"/>
      </w:divBdr>
    </w:div>
    <w:div w:id="941189422">
      <w:bodyDiv w:val="1"/>
      <w:marLeft w:val="0"/>
      <w:marRight w:val="0"/>
      <w:marTop w:val="0"/>
      <w:marBottom w:val="0"/>
      <w:divBdr>
        <w:top w:val="none" w:sz="0" w:space="0" w:color="auto"/>
        <w:left w:val="none" w:sz="0" w:space="0" w:color="auto"/>
        <w:bottom w:val="none" w:sz="0" w:space="0" w:color="auto"/>
        <w:right w:val="none" w:sz="0" w:space="0" w:color="auto"/>
      </w:divBdr>
    </w:div>
    <w:div w:id="948121461">
      <w:bodyDiv w:val="1"/>
      <w:marLeft w:val="0"/>
      <w:marRight w:val="0"/>
      <w:marTop w:val="0"/>
      <w:marBottom w:val="0"/>
      <w:divBdr>
        <w:top w:val="none" w:sz="0" w:space="0" w:color="auto"/>
        <w:left w:val="none" w:sz="0" w:space="0" w:color="auto"/>
        <w:bottom w:val="none" w:sz="0" w:space="0" w:color="auto"/>
        <w:right w:val="none" w:sz="0" w:space="0" w:color="auto"/>
      </w:divBdr>
    </w:div>
    <w:div w:id="948393623">
      <w:bodyDiv w:val="1"/>
      <w:marLeft w:val="0"/>
      <w:marRight w:val="0"/>
      <w:marTop w:val="0"/>
      <w:marBottom w:val="0"/>
      <w:divBdr>
        <w:top w:val="none" w:sz="0" w:space="0" w:color="auto"/>
        <w:left w:val="none" w:sz="0" w:space="0" w:color="auto"/>
        <w:bottom w:val="none" w:sz="0" w:space="0" w:color="auto"/>
        <w:right w:val="none" w:sz="0" w:space="0" w:color="auto"/>
      </w:divBdr>
    </w:div>
    <w:div w:id="949122269">
      <w:bodyDiv w:val="1"/>
      <w:marLeft w:val="0"/>
      <w:marRight w:val="0"/>
      <w:marTop w:val="0"/>
      <w:marBottom w:val="0"/>
      <w:divBdr>
        <w:top w:val="none" w:sz="0" w:space="0" w:color="auto"/>
        <w:left w:val="none" w:sz="0" w:space="0" w:color="auto"/>
        <w:bottom w:val="none" w:sz="0" w:space="0" w:color="auto"/>
        <w:right w:val="none" w:sz="0" w:space="0" w:color="auto"/>
      </w:divBdr>
    </w:div>
    <w:div w:id="951127978">
      <w:bodyDiv w:val="1"/>
      <w:marLeft w:val="0"/>
      <w:marRight w:val="0"/>
      <w:marTop w:val="0"/>
      <w:marBottom w:val="0"/>
      <w:divBdr>
        <w:top w:val="none" w:sz="0" w:space="0" w:color="auto"/>
        <w:left w:val="none" w:sz="0" w:space="0" w:color="auto"/>
        <w:bottom w:val="none" w:sz="0" w:space="0" w:color="auto"/>
        <w:right w:val="none" w:sz="0" w:space="0" w:color="auto"/>
      </w:divBdr>
    </w:div>
    <w:div w:id="958872512">
      <w:bodyDiv w:val="1"/>
      <w:marLeft w:val="0"/>
      <w:marRight w:val="0"/>
      <w:marTop w:val="0"/>
      <w:marBottom w:val="0"/>
      <w:divBdr>
        <w:top w:val="none" w:sz="0" w:space="0" w:color="auto"/>
        <w:left w:val="none" w:sz="0" w:space="0" w:color="auto"/>
        <w:bottom w:val="none" w:sz="0" w:space="0" w:color="auto"/>
        <w:right w:val="none" w:sz="0" w:space="0" w:color="auto"/>
      </w:divBdr>
    </w:div>
    <w:div w:id="959452715">
      <w:bodyDiv w:val="1"/>
      <w:marLeft w:val="0"/>
      <w:marRight w:val="0"/>
      <w:marTop w:val="0"/>
      <w:marBottom w:val="0"/>
      <w:divBdr>
        <w:top w:val="none" w:sz="0" w:space="0" w:color="auto"/>
        <w:left w:val="none" w:sz="0" w:space="0" w:color="auto"/>
        <w:bottom w:val="none" w:sz="0" w:space="0" w:color="auto"/>
        <w:right w:val="none" w:sz="0" w:space="0" w:color="auto"/>
      </w:divBdr>
    </w:div>
    <w:div w:id="960189833">
      <w:bodyDiv w:val="1"/>
      <w:marLeft w:val="0"/>
      <w:marRight w:val="0"/>
      <w:marTop w:val="0"/>
      <w:marBottom w:val="0"/>
      <w:divBdr>
        <w:top w:val="none" w:sz="0" w:space="0" w:color="auto"/>
        <w:left w:val="none" w:sz="0" w:space="0" w:color="auto"/>
        <w:bottom w:val="none" w:sz="0" w:space="0" w:color="auto"/>
        <w:right w:val="none" w:sz="0" w:space="0" w:color="auto"/>
      </w:divBdr>
    </w:div>
    <w:div w:id="962928156">
      <w:bodyDiv w:val="1"/>
      <w:marLeft w:val="0"/>
      <w:marRight w:val="0"/>
      <w:marTop w:val="0"/>
      <w:marBottom w:val="0"/>
      <w:divBdr>
        <w:top w:val="none" w:sz="0" w:space="0" w:color="auto"/>
        <w:left w:val="none" w:sz="0" w:space="0" w:color="auto"/>
        <w:bottom w:val="none" w:sz="0" w:space="0" w:color="auto"/>
        <w:right w:val="none" w:sz="0" w:space="0" w:color="auto"/>
      </w:divBdr>
    </w:div>
    <w:div w:id="964039524">
      <w:bodyDiv w:val="1"/>
      <w:marLeft w:val="0"/>
      <w:marRight w:val="0"/>
      <w:marTop w:val="0"/>
      <w:marBottom w:val="0"/>
      <w:divBdr>
        <w:top w:val="none" w:sz="0" w:space="0" w:color="auto"/>
        <w:left w:val="none" w:sz="0" w:space="0" w:color="auto"/>
        <w:bottom w:val="none" w:sz="0" w:space="0" w:color="auto"/>
        <w:right w:val="none" w:sz="0" w:space="0" w:color="auto"/>
      </w:divBdr>
    </w:div>
    <w:div w:id="964388668">
      <w:bodyDiv w:val="1"/>
      <w:marLeft w:val="0"/>
      <w:marRight w:val="0"/>
      <w:marTop w:val="0"/>
      <w:marBottom w:val="0"/>
      <w:divBdr>
        <w:top w:val="none" w:sz="0" w:space="0" w:color="auto"/>
        <w:left w:val="none" w:sz="0" w:space="0" w:color="auto"/>
        <w:bottom w:val="none" w:sz="0" w:space="0" w:color="auto"/>
        <w:right w:val="none" w:sz="0" w:space="0" w:color="auto"/>
      </w:divBdr>
    </w:div>
    <w:div w:id="965234663">
      <w:bodyDiv w:val="1"/>
      <w:marLeft w:val="0"/>
      <w:marRight w:val="0"/>
      <w:marTop w:val="0"/>
      <w:marBottom w:val="0"/>
      <w:divBdr>
        <w:top w:val="none" w:sz="0" w:space="0" w:color="auto"/>
        <w:left w:val="none" w:sz="0" w:space="0" w:color="auto"/>
        <w:bottom w:val="none" w:sz="0" w:space="0" w:color="auto"/>
        <w:right w:val="none" w:sz="0" w:space="0" w:color="auto"/>
      </w:divBdr>
    </w:div>
    <w:div w:id="965550500">
      <w:bodyDiv w:val="1"/>
      <w:marLeft w:val="0"/>
      <w:marRight w:val="0"/>
      <w:marTop w:val="0"/>
      <w:marBottom w:val="0"/>
      <w:divBdr>
        <w:top w:val="none" w:sz="0" w:space="0" w:color="auto"/>
        <w:left w:val="none" w:sz="0" w:space="0" w:color="auto"/>
        <w:bottom w:val="none" w:sz="0" w:space="0" w:color="auto"/>
        <w:right w:val="none" w:sz="0" w:space="0" w:color="auto"/>
      </w:divBdr>
    </w:div>
    <w:div w:id="980041198">
      <w:bodyDiv w:val="1"/>
      <w:marLeft w:val="0"/>
      <w:marRight w:val="0"/>
      <w:marTop w:val="0"/>
      <w:marBottom w:val="0"/>
      <w:divBdr>
        <w:top w:val="none" w:sz="0" w:space="0" w:color="auto"/>
        <w:left w:val="none" w:sz="0" w:space="0" w:color="auto"/>
        <w:bottom w:val="none" w:sz="0" w:space="0" w:color="auto"/>
        <w:right w:val="none" w:sz="0" w:space="0" w:color="auto"/>
      </w:divBdr>
    </w:div>
    <w:div w:id="984889679">
      <w:bodyDiv w:val="1"/>
      <w:marLeft w:val="0"/>
      <w:marRight w:val="0"/>
      <w:marTop w:val="0"/>
      <w:marBottom w:val="0"/>
      <w:divBdr>
        <w:top w:val="none" w:sz="0" w:space="0" w:color="auto"/>
        <w:left w:val="none" w:sz="0" w:space="0" w:color="auto"/>
        <w:bottom w:val="none" w:sz="0" w:space="0" w:color="auto"/>
        <w:right w:val="none" w:sz="0" w:space="0" w:color="auto"/>
      </w:divBdr>
    </w:div>
    <w:div w:id="987251039">
      <w:bodyDiv w:val="1"/>
      <w:marLeft w:val="0"/>
      <w:marRight w:val="0"/>
      <w:marTop w:val="0"/>
      <w:marBottom w:val="0"/>
      <w:divBdr>
        <w:top w:val="none" w:sz="0" w:space="0" w:color="auto"/>
        <w:left w:val="none" w:sz="0" w:space="0" w:color="auto"/>
        <w:bottom w:val="none" w:sz="0" w:space="0" w:color="auto"/>
        <w:right w:val="none" w:sz="0" w:space="0" w:color="auto"/>
      </w:divBdr>
    </w:div>
    <w:div w:id="987904614">
      <w:bodyDiv w:val="1"/>
      <w:marLeft w:val="0"/>
      <w:marRight w:val="0"/>
      <w:marTop w:val="0"/>
      <w:marBottom w:val="0"/>
      <w:divBdr>
        <w:top w:val="none" w:sz="0" w:space="0" w:color="auto"/>
        <w:left w:val="none" w:sz="0" w:space="0" w:color="auto"/>
        <w:bottom w:val="none" w:sz="0" w:space="0" w:color="auto"/>
        <w:right w:val="none" w:sz="0" w:space="0" w:color="auto"/>
      </w:divBdr>
    </w:div>
    <w:div w:id="988556632">
      <w:bodyDiv w:val="1"/>
      <w:marLeft w:val="0"/>
      <w:marRight w:val="0"/>
      <w:marTop w:val="0"/>
      <w:marBottom w:val="0"/>
      <w:divBdr>
        <w:top w:val="none" w:sz="0" w:space="0" w:color="auto"/>
        <w:left w:val="none" w:sz="0" w:space="0" w:color="auto"/>
        <w:bottom w:val="none" w:sz="0" w:space="0" w:color="auto"/>
        <w:right w:val="none" w:sz="0" w:space="0" w:color="auto"/>
      </w:divBdr>
    </w:div>
    <w:div w:id="990446460">
      <w:bodyDiv w:val="1"/>
      <w:marLeft w:val="0"/>
      <w:marRight w:val="0"/>
      <w:marTop w:val="0"/>
      <w:marBottom w:val="0"/>
      <w:divBdr>
        <w:top w:val="none" w:sz="0" w:space="0" w:color="auto"/>
        <w:left w:val="none" w:sz="0" w:space="0" w:color="auto"/>
        <w:bottom w:val="none" w:sz="0" w:space="0" w:color="auto"/>
        <w:right w:val="none" w:sz="0" w:space="0" w:color="auto"/>
      </w:divBdr>
    </w:div>
    <w:div w:id="992878567">
      <w:bodyDiv w:val="1"/>
      <w:marLeft w:val="0"/>
      <w:marRight w:val="0"/>
      <w:marTop w:val="0"/>
      <w:marBottom w:val="0"/>
      <w:divBdr>
        <w:top w:val="none" w:sz="0" w:space="0" w:color="auto"/>
        <w:left w:val="none" w:sz="0" w:space="0" w:color="auto"/>
        <w:bottom w:val="none" w:sz="0" w:space="0" w:color="auto"/>
        <w:right w:val="none" w:sz="0" w:space="0" w:color="auto"/>
      </w:divBdr>
    </w:div>
    <w:div w:id="995110945">
      <w:bodyDiv w:val="1"/>
      <w:marLeft w:val="0"/>
      <w:marRight w:val="0"/>
      <w:marTop w:val="0"/>
      <w:marBottom w:val="0"/>
      <w:divBdr>
        <w:top w:val="none" w:sz="0" w:space="0" w:color="auto"/>
        <w:left w:val="none" w:sz="0" w:space="0" w:color="auto"/>
        <w:bottom w:val="none" w:sz="0" w:space="0" w:color="auto"/>
        <w:right w:val="none" w:sz="0" w:space="0" w:color="auto"/>
      </w:divBdr>
    </w:div>
    <w:div w:id="998507947">
      <w:bodyDiv w:val="1"/>
      <w:marLeft w:val="0"/>
      <w:marRight w:val="0"/>
      <w:marTop w:val="0"/>
      <w:marBottom w:val="0"/>
      <w:divBdr>
        <w:top w:val="none" w:sz="0" w:space="0" w:color="auto"/>
        <w:left w:val="none" w:sz="0" w:space="0" w:color="auto"/>
        <w:bottom w:val="none" w:sz="0" w:space="0" w:color="auto"/>
        <w:right w:val="none" w:sz="0" w:space="0" w:color="auto"/>
      </w:divBdr>
    </w:div>
    <w:div w:id="998532848">
      <w:bodyDiv w:val="1"/>
      <w:marLeft w:val="0"/>
      <w:marRight w:val="0"/>
      <w:marTop w:val="0"/>
      <w:marBottom w:val="0"/>
      <w:divBdr>
        <w:top w:val="none" w:sz="0" w:space="0" w:color="auto"/>
        <w:left w:val="none" w:sz="0" w:space="0" w:color="auto"/>
        <w:bottom w:val="none" w:sz="0" w:space="0" w:color="auto"/>
        <w:right w:val="none" w:sz="0" w:space="0" w:color="auto"/>
      </w:divBdr>
    </w:div>
    <w:div w:id="1000277001">
      <w:bodyDiv w:val="1"/>
      <w:marLeft w:val="0"/>
      <w:marRight w:val="0"/>
      <w:marTop w:val="0"/>
      <w:marBottom w:val="0"/>
      <w:divBdr>
        <w:top w:val="none" w:sz="0" w:space="0" w:color="auto"/>
        <w:left w:val="none" w:sz="0" w:space="0" w:color="auto"/>
        <w:bottom w:val="none" w:sz="0" w:space="0" w:color="auto"/>
        <w:right w:val="none" w:sz="0" w:space="0" w:color="auto"/>
      </w:divBdr>
    </w:div>
    <w:div w:id="1005285968">
      <w:bodyDiv w:val="1"/>
      <w:marLeft w:val="0"/>
      <w:marRight w:val="0"/>
      <w:marTop w:val="0"/>
      <w:marBottom w:val="0"/>
      <w:divBdr>
        <w:top w:val="none" w:sz="0" w:space="0" w:color="auto"/>
        <w:left w:val="none" w:sz="0" w:space="0" w:color="auto"/>
        <w:bottom w:val="none" w:sz="0" w:space="0" w:color="auto"/>
        <w:right w:val="none" w:sz="0" w:space="0" w:color="auto"/>
      </w:divBdr>
    </w:div>
    <w:div w:id="1009529140">
      <w:bodyDiv w:val="1"/>
      <w:marLeft w:val="0"/>
      <w:marRight w:val="0"/>
      <w:marTop w:val="0"/>
      <w:marBottom w:val="0"/>
      <w:divBdr>
        <w:top w:val="none" w:sz="0" w:space="0" w:color="auto"/>
        <w:left w:val="none" w:sz="0" w:space="0" w:color="auto"/>
        <w:bottom w:val="none" w:sz="0" w:space="0" w:color="auto"/>
        <w:right w:val="none" w:sz="0" w:space="0" w:color="auto"/>
      </w:divBdr>
    </w:div>
    <w:div w:id="1012609196">
      <w:bodyDiv w:val="1"/>
      <w:marLeft w:val="0"/>
      <w:marRight w:val="0"/>
      <w:marTop w:val="0"/>
      <w:marBottom w:val="0"/>
      <w:divBdr>
        <w:top w:val="none" w:sz="0" w:space="0" w:color="auto"/>
        <w:left w:val="none" w:sz="0" w:space="0" w:color="auto"/>
        <w:bottom w:val="none" w:sz="0" w:space="0" w:color="auto"/>
        <w:right w:val="none" w:sz="0" w:space="0" w:color="auto"/>
      </w:divBdr>
    </w:div>
    <w:div w:id="1016809563">
      <w:bodyDiv w:val="1"/>
      <w:marLeft w:val="0"/>
      <w:marRight w:val="0"/>
      <w:marTop w:val="0"/>
      <w:marBottom w:val="0"/>
      <w:divBdr>
        <w:top w:val="none" w:sz="0" w:space="0" w:color="auto"/>
        <w:left w:val="none" w:sz="0" w:space="0" w:color="auto"/>
        <w:bottom w:val="none" w:sz="0" w:space="0" w:color="auto"/>
        <w:right w:val="none" w:sz="0" w:space="0" w:color="auto"/>
      </w:divBdr>
    </w:div>
    <w:div w:id="1018504086">
      <w:bodyDiv w:val="1"/>
      <w:marLeft w:val="0"/>
      <w:marRight w:val="0"/>
      <w:marTop w:val="0"/>
      <w:marBottom w:val="0"/>
      <w:divBdr>
        <w:top w:val="none" w:sz="0" w:space="0" w:color="auto"/>
        <w:left w:val="none" w:sz="0" w:space="0" w:color="auto"/>
        <w:bottom w:val="none" w:sz="0" w:space="0" w:color="auto"/>
        <w:right w:val="none" w:sz="0" w:space="0" w:color="auto"/>
      </w:divBdr>
    </w:div>
    <w:div w:id="1018698808">
      <w:bodyDiv w:val="1"/>
      <w:marLeft w:val="0"/>
      <w:marRight w:val="0"/>
      <w:marTop w:val="0"/>
      <w:marBottom w:val="0"/>
      <w:divBdr>
        <w:top w:val="none" w:sz="0" w:space="0" w:color="auto"/>
        <w:left w:val="none" w:sz="0" w:space="0" w:color="auto"/>
        <w:bottom w:val="none" w:sz="0" w:space="0" w:color="auto"/>
        <w:right w:val="none" w:sz="0" w:space="0" w:color="auto"/>
      </w:divBdr>
    </w:div>
    <w:div w:id="1022635958">
      <w:bodyDiv w:val="1"/>
      <w:marLeft w:val="0"/>
      <w:marRight w:val="0"/>
      <w:marTop w:val="0"/>
      <w:marBottom w:val="0"/>
      <w:divBdr>
        <w:top w:val="none" w:sz="0" w:space="0" w:color="auto"/>
        <w:left w:val="none" w:sz="0" w:space="0" w:color="auto"/>
        <w:bottom w:val="none" w:sz="0" w:space="0" w:color="auto"/>
        <w:right w:val="none" w:sz="0" w:space="0" w:color="auto"/>
      </w:divBdr>
    </w:div>
    <w:div w:id="1022972023">
      <w:bodyDiv w:val="1"/>
      <w:marLeft w:val="0"/>
      <w:marRight w:val="0"/>
      <w:marTop w:val="0"/>
      <w:marBottom w:val="0"/>
      <w:divBdr>
        <w:top w:val="none" w:sz="0" w:space="0" w:color="auto"/>
        <w:left w:val="none" w:sz="0" w:space="0" w:color="auto"/>
        <w:bottom w:val="none" w:sz="0" w:space="0" w:color="auto"/>
        <w:right w:val="none" w:sz="0" w:space="0" w:color="auto"/>
      </w:divBdr>
    </w:div>
    <w:div w:id="1025983573">
      <w:bodyDiv w:val="1"/>
      <w:marLeft w:val="0"/>
      <w:marRight w:val="0"/>
      <w:marTop w:val="0"/>
      <w:marBottom w:val="0"/>
      <w:divBdr>
        <w:top w:val="none" w:sz="0" w:space="0" w:color="auto"/>
        <w:left w:val="none" w:sz="0" w:space="0" w:color="auto"/>
        <w:bottom w:val="none" w:sz="0" w:space="0" w:color="auto"/>
        <w:right w:val="none" w:sz="0" w:space="0" w:color="auto"/>
      </w:divBdr>
    </w:div>
    <w:div w:id="1032460971">
      <w:bodyDiv w:val="1"/>
      <w:marLeft w:val="0"/>
      <w:marRight w:val="0"/>
      <w:marTop w:val="0"/>
      <w:marBottom w:val="0"/>
      <w:divBdr>
        <w:top w:val="none" w:sz="0" w:space="0" w:color="auto"/>
        <w:left w:val="none" w:sz="0" w:space="0" w:color="auto"/>
        <w:bottom w:val="none" w:sz="0" w:space="0" w:color="auto"/>
        <w:right w:val="none" w:sz="0" w:space="0" w:color="auto"/>
      </w:divBdr>
    </w:div>
    <w:div w:id="1033075889">
      <w:bodyDiv w:val="1"/>
      <w:marLeft w:val="0"/>
      <w:marRight w:val="0"/>
      <w:marTop w:val="0"/>
      <w:marBottom w:val="0"/>
      <w:divBdr>
        <w:top w:val="none" w:sz="0" w:space="0" w:color="auto"/>
        <w:left w:val="none" w:sz="0" w:space="0" w:color="auto"/>
        <w:bottom w:val="none" w:sz="0" w:space="0" w:color="auto"/>
        <w:right w:val="none" w:sz="0" w:space="0" w:color="auto"/>
      </w:divBdr>
    </w:div>
    <w:div w:id="1035735894">
      <w:bodyDiv w:val="1"/>
      <w:marLeft w:val="0"/>
      <w:marRight w:val="0"/>
      <w:marTop w:val="0"/>
      <w:marBottom w:val="0"/>
      <w:divBdr>
        <w:top w:val="none" w:sz="0" w:space="0" w:color="auto"/>
        <w:left w:val="none" w:sz="0" w:space="0" w:color="auto"/>
        <w:bottom w:val="none" w:sz="0" w:space="0" w:color="auto"/>
        <w:right w:val="none" w:sz="0" w:space="0" w:color="auto"/>
      </w:divBdr>
    </w:div>
    <w:div w:id="1037049632">
      <w:bodyDiv w:val="1"/>
      <w:marLeft w:val="0"/>
      <w:marRight w:val="0"/>
      <w:marTop w:val="0"/>
      <w:marBottom w:val="0"/>
      <w:divBdr>
        <w:top w:val="none" w:sz="0" w:space="0" w:color="auto"/>
        <w:left w:val="none" w:sz="0" w:space="0" w:color="auto"/>
        <w:bottom w:val="none" w:sz="0" w:space="0" w:color="auto"/>
        <w:right w:val="none" w:sz="0" w:space="0" w:color="auto"/>
      </w:divBdr>
    </w:div>
    <w:div w:id="1037394758">
      <w:bodyDiv w:val="1"/>
      <w:marLeft w:val="0"/>
      <w:marRight w:val="0"/>
      <w:marTop w:val="0"/>
      <w:marBottom w:val="0"/>
      <w:divBdr>
        <w:top w:val="none" w:sz="0" w:space="0" w:color="auto"/>
        <w:left w:val="none" w:sz="0" w:space="0" w:color="auto"/>
        <w:bottom w:val="none" w:sz="0" w:space="0" w:color="auto"/>
        <w:right w:val="none" w:sz="0" w:space="0" w:color="auto"/>
      </w:divBdr>
    </w:div>
    <w:div w:id="1037663435">
      <w:bodyDiv w:val="1"/>
      <w:marLeft w:val="0"/>
      <w:marRight w:val="0"/>
      <w:marTop w:val="0"/>
      <w:marBottom w:val="0"/>
      <w:divBdr>
        <w:top w:val="none" w:sz="0" w:space="0" w:color="auto"/>
        <w:left w:val="none" w:sz="0" w:space="0" w:color="auto"/>
        <w:bottom w:val="none" w:sz="0" w:space="0" w:color="auto"/>
        <w:right w:val="none" w:sz="0" w:space="0" w:color="auto"/>
      </w:divBdr>
    </w:div>
    <w:div w:id="1038822389">
      <w:bodyDiv w:val="1"/>
      <w:marLeft w:val="0"/>
      <w:marRight w:val="0"/>
      <w:marTop w:val="0"/>
      <w:marBottom w:val="0"/>
      <w:divBdr>
        <w:top w:val="none" w:sz="0" w:space="0" w:color="auto"/>
        <w:left w:val="none" w:sz="0" w:space="0" w:color="auto"/>
        <w:bottom w:val="none" w:sz="0" w:space="0" w:color="auto"/>
        <w:right w:val="none" w:sz="0" w:space="0" w:color="auto"/>
      </w:divBdr>
    </w:div>
    <w:div w:id="1039402892">
      <w:bodyDiv w:val="1"/>
      <w:marLeft w:val="0"/>
      <w:marRight w:val="0"/>
      <w:marTop w:val="0"/>
      <w:marBottom w:val="0"/>
      <w:divBdr>
        <w:top w:val="none" w:sz="0" w:space="0" w:color="auto"/>
        <w:left w:val="none" w:sz="0" w:space="0" w:color="auto"/>
        <w:bottom w:val="none" w:sz="0" w:space="0" w:color="auto"/>
        <w:right w:val="none" w:sz="0" w:space="0" w:color="auto"/>
      </w:divBdr>
    </w:div>
    <w:div w:id="1039625442">
      <w:bodyDiv w:val="1"/>
      <w:marLeft w:val="0"/>
      <w:marRight w:val="0"/>
      <w:marTop w:val="0"/>
      <w:marBottom w:val="0"/>
      <w:divBdr>
        <w:top w:val="none" w:sz="0" w:space="0" w:color="auto"/>
        <w:left w:val="none" w:sz="0" w:space="0" w:color="auto"/>
        <w:bottom w:val="none" w:sz="0" w:space="0" w:color="auto"/>
        <w:right w:val="none" w:sz="0" w:space="0" w:color="auto"/>
      </w:divBdr>
    </w:div>
    <w:div w:id="1040935049">
      <w:bodyDiv w:val="1"/>
      <w:marLeft w:val="0"/>
      <w:marRight w:val="0"/>
      <w:marTop w:val="0"/>
      <w:marBottom w:val="0"/>
      <w:divBdr>
        <w:top w:val="none" w:sz="0" w:space="0" w:color="auto"/>
        <w:left w:val="none" w:sz="0" w:space="0" w:color="auto"/>
        <w:bottom w:val="none" w:sz="0" w:space="0" w:color="auto"/>
        <w:right w:val="none" w:sz="0" w:space="0" w:color="auto"/>
      </w:divBdr>
    </w:div>
    <w:div w:id="1044674732">
      <w:bodyDiv w:val="1"/>
      <w:marLeft w:val="0"/>
      <w:marRight w:val="0"/>
      <w:marTop w:val="0"/>
      <w:marBottom w:val="0"/>
      <w:divBdr>
        <w:top w:val="none" w:sz="0" w:space="0" w:color="auto"/>
        <w:left w:val="none" w:sz="0" w:space="0" w:color="auto"/>
        <w:bottom w:val="none" w:sz="0" w:space="0" w:color="auto"/>
        <w:right w:val="none" w:sz="0" w:space="0" w:color="auto"/>
      </w:divBdr>
    </w:div>
    <w:div w:id="1053306072">
      <w:bodyDiv w:val="1"/>
      <w:marLeft w:val="0"/>
      <w:marRight w:val="0"/>
      <w:marTop w:val="0"/>
      <w:marBottom w:val="0"/>
      <w:divBdr>
        <w:top w:val="none" w:sz="0" w:space="0" w:color="auto"/>
        <w:left w:val="none" w:sz="0" w:space="0" w:color="auto"/>
        <w:bottom w:val="none" w:sz="0" w:space="0" w:color="auto"/>
        <w:right w:val="none" w:sz="0" w:space="0" w:color="auto"/>
      </w:divBdr>
    </w:div>
    <w:div w:id="1057162367">
      <w:bodyDiv w:val="1"/>
      <w:marLeft w:val="0"/>
      <w:marRight w:val="0"/>
      <w:marTop w:val="0"/>
      <w:marBottom w:val="0"/>
      <w:divBdr>
        <w:top w:val="none" w:sz="0" w:space="0" w:color="auto"/>
        <w:left w:val="none" w:sz="0" w:space="0" w:color="auto"/>
        <w:bottom w:val="none" w:sz="0" w:space="0" w:color="auto"/>
        <w:right w:val="none" w:sz="0" w:space="0" w:color="auto"/>
      </w:divBdr>
    </w:div>
    <w:div w:id="1058557493">
      <w:bodyDiv w:val="1"/>
      <w:marLeft w:val="0"/>
      <w:marRight w:val="0"/>
      <w:marTop w:val="0"/>
      <w:marBottom w:val="0"/>
      <w:divBdr>
        <w:top w:val="none" w:sz="0" w:space="0" w:color="auto"/>
        <w:left w:val="none" w:sz="0" w:space="0" w:color="auto"/>
        <w:bottom w:val="none" w:sz="0" w:space="0" w:color="auto"/>
        <w:right w:val="none" w:sz="0" w:space="0" w:color="auto"/>
      </w:divBdr>
    </w:div>
    <w:div w:id="1061636341">
      <w:bodyDiv w:val="1"/>
      <w:marLeft w:val="0"/>
      <w:marRight w:val="0"/>
      <w:marTop w:val="0"/>
      <w:marBottom w:val="0"/>
      <w:divBdr>
        <w:top w:val="none" w:sz="0" w:space="0" w:color="auto"/>
        <w:left w:val="none" w:sz="0" w:space="0" w:color="auto"/>
        <w:bottom w:val="none" w:sz="0" w:space="0" w:color="auto"/>
        <w:right w:val="none" w:sz="0" w:space="0" w:color="auto"/>
      </w:divBdr>
    </w:div>
    <w:div w:id="1067800066">
      <w:bodyDiv w:val="1"/>
      <w:marLeft w:val="0"/>
      <w:marRight w:val="0"/>
      <w:marTop w:val="0"/>
      <w:marBottom w:val="0"/>
      <w:divBdr>
        <w:top w:val="none" w:sz="0" w:space="0" w:color="auto"/>
        <w:left w:val="none" w:sz="0" w:space="0" w:color="auto"/>
        <w:bottom w:val="none" w:sz="0" w:space="0" w:color="auto"/>
        <w:right w:val="none" w:sz="0" w:space="0" w:color="auto"/>
      </w:divBdr>
    </w:div>
    <w:div w:id="1068067743">
      <w:bodyDiv w:val="1"/>
      <w:marLeft w:val="0"/>
      <w:marRight w:val="0"/>
      <w:marTop w:val="0"/>
      <w:marBottom w:val="0"/>
      <w:divBdr>
        <w:top w:val="none" w:sz="0" w:space="0" w:color="auto"/>
        <w:left w:val="none" w:sz="0" w:space="0" w:color="auto"/>
        <w:bottom w:val="none" w:sz="0" w:space="0" w:color="auto"/>
        <w:right w:val="none" w:sz="0" w:space="0" w:color="auto"/>
      </w:divBdr>
    </w:div>
    <w:div w:id="1071076458">
      <w:bodyDiv w:val="1"/>
      <w:marLeft w:val="0"/>
      <w:marRight w:val="0"/>
      <w:marTop w:val="0"/>
      <w:marBottom w:val="0"/>
      <w:divBdr>
        <w:top w:val="none" w:sz="0" w:space="0" w:color="auto"/>
        <w:left w:val="none" w:sz="0" w:space="0" w:color="auto"/>
        <w:bottom w:val="none" w:sz="0" w:space="0" w:color="auto"/>
        <w:right w:val="none" w:sz="0" w:space="0" w:color="auto"/>
      </w:divBdr>
    </w:div>
    <w:div w:id="1072043095">
      <w:bodyDiv w:val="1"/>
      <w:marLeft w:val="0"/>
      <w:marRight w:val="0"/>
      <w:marTop w:val="0"/>
      <w:marBottom w:val="0"/>
      <w:divBdr>
        <w:top w:val="none" w:sz="0" w:space="0" w:color="auto"/>
        <w:left w:val="none" w:sz="0" w:space="0" w:color="auto"/>
        <w:bottom w:val="none" w:sz="0" w:space="0" w:color="auto"/>
        <w:right w:val="none" w:sz="0" w:space="0" w:color="auto"/>
      </w:divBdr>
    </w:div>
    <w:div w:id="1075013438">
      <w:bodyDiv w:val="1"/>
      <w:marLeft w:val="0"/>
      <w:marRight w:val="0"/>
      <w:marTop w:val="0"/>
      <w:marBottom w:val="0"/>
      <w:divBdr>
        <w:top w:val="none" w:sz="0" w:space="0" w:color="auto"/>
        <w:left w:val="none" w:sz="0" w:space="0" w:color="auto"/>
        <w:bottom w:val="none" w:sz="0" w:space="0" w:color="auto"/>
        <w:right w:val="none" w:sz="0" w:space="0" w:color="auto"/>
      </w:divBdr>
    </w:div>
    <w:div w:id="1080249092">
      <w:bodyDiv w:val="1"/>
      <w:marLeft w:val="0"/>
      <w:marRight w:val="0"/>
      <w:marTop w:val="0"/>
      <w:marBottom w:val="0"/>
      <w:divBdr>
        <w:top w:val="none" w:sz="0" w:space="0" w:color="auto"/>
        <w:left w:val="none" w:sz="0" w:space="0" w:color="auto"/>
        <w:bottom w:val="none" w:sz="0" w:space="0" w:color="auto"/>
        <w:right w:val="none" w:sz="0" w:space="0" w:color="auto"/>
      </w:divBdr>
    </w:div>
    <w:div w:id="1088500457">
      <w:bodyDiv w:val="1"/>
      <w:marLeft w:val="0"/>
      <w:marRight w:val="0"/>
      <w:marTop w:val="0"/>
      <w:marBottom w:val="0"/>
      <w:divBdr>
        <w:top w:val="none" w:sz="0" w:space="0" w:color="auto"/>
        <w:left w:val="none" w:sz="0" w:space="0" w:color="auto"/>
        <w:bottom w:val="none" w:sz="0" w:space="0" w:color="auto"/>
        <w:right w:val="none" w:sz="0" w:space="0" w:color="auto"/>
      </w:divBdr>
    </w:div>
    <w:div w:id="1090397346">
      <w:bodyDiv w:val="1"/>
      <w:marLeft w:val="0"/>
      <w:marRight w:val="0"/>
      <w:marTop w:val="0"/>
      <w:marBottom w:val="0"/>
      <w:divBdr>
        <w:top w:val="none" w:sz="0" w:space="0" w:color="auto"/>
        <w:left w:val="none" w:sz="0" w:space="0" w:color="auto"/>
        <w:bottom w:val="none" w:sz="0" w:space="0" w:color="auto"/>
        <w:right w:val="none" w:sz="0" w:space="0" w:color="auto"/>
      </w:divBdr>
    </w:div>
    <w:div w:id="1091008371">
      <w:bodyDiv w:val="1"/>
      <w:marLeft w:val="0"/>
      <w:marRight w:val="0"/>
      <w:marTop w:val="0"/>
      <w:marBottom w:val="0"/>
      <w:divBdr>
        <w:top w:val="none" w:sz="0" w:space="0" w:color="auto"/>
        <w:left w:val="none" w:sz="0" w:space="0" w:color="auto"/>
        <w:bottom w:val="none" w:sz="0" w:space="0" w:color="auto"/>
        <w:right w:val="none" w:sz="0" w:space="0" w:color="auto"/>
      </w:divBdr>
    </w:div>
    <w:div w:id="1091392234">
      <w:bodyDiv w:val="1"/>
      <w:marLeft w:val="0"/>
      <w:marRight w:val="0"/>
      <w:marTop w:val="0"/>
      <w:marBottom w:val="0"/>
      <w:divBdr>
        <w:top w:val="none" w:sz="0" w:space="0" w:color="auto"/>
        <w:left w:val="none" w:sz="0" w:space="0" w:color="auto"/>
        <w:bottom w:val="none" w:sz="0" w:space="0" w:color="auto"/>
        <w:right w:val="none" w:sz="0" w:space="0" w:color="auto"/>
      </w:divBdr>
    </w:div>
    <w:div w:id="1093405072">
      <w:bodyDiv w:val="1"/>
      <w:marLeft w:val="0"/>
      <w:marRight w:val="0"/>
      <w:marTop w:val="0"/>
      <w:marBottom w:val="0"/>
      <w:divBdr>
        <w:top w:val="none" w:sz="0" w:space="0" w:color="auto"/>
        <w:left w:val="none" w:sz="0" w:space="0" w:color="auto"/>
        <w:bottom w:val="none" w:sz="0" w:space="0" w:color="auto"/>
        <w:right w:val="none" w:sz="0" w:space="0" w:color="auto"/>
      </w:divBdr>
    </w:div>
    <w:div w:id="1101757921">
      <w:bodyDiv w:val="1"/>
      <w:marLeft w:val="0"/>
      <w:marRight w:val="0"/>
      <w:marTop w:val="0"/>
      <w:marBottom w:val="0"/>
      <w:divBdr>
        <w:top w:val="none" w:sz="0" w:space="0" w:color="auto"/>
        <w:left w:val="none" w:sz="0" w:space="0" w:color="auto"/>
        <w:bottom w:val="none" w:sz="0" w:space="0" w:color="auto"/>
        <w:right w:val="none" w:sz="0" w:space="0" w:color="auto"/>
      </w:divBdr>
    </w:div>
    <w:div w:id="1106540305">
      <w:bodyDiv w:val="1"/>
      <w:marLeft w:val="0"/>
      <w:marRight w:val="0"/>
      <w:marTop w:val="0"/>
      <w:marBottom w:val="0"/>
      <w:divBdr>
        <w:top w:val="none" w:sz="0" w:space="0" w:color="auto"/>
        <w:left w:val="none" w:sz="0" w:space="0" w:color="auto"/>
        <w:bottom w:val="none" w:sz="0" w:space="0" w:color="auto"/>
        <w:right w:val="none" w:sz="0" w:space="0" w:color="auto"/>
      </w:divBdr>
    </w:div>
    <w:div w:id="1106772149">
      <w:bodyDiv w:val="1"/>
      <w:marLeft w:val="0"/>
      <w:marRight w:val="0"/>
      <w:marTop w:val="0"/>
      <w:marBottom w:val="0"/>
      <w:divBdr>
        <w:top w:val="none" w:sz="0" w:space="0" w:color="auto"/>
        <w:left w:val="none" w:sz="0" w:space="0" w:color="auto"/>
        <w:bottom w:val="none" w:sz="0" w:space="0" w:color="auto"/>
        <w:right w:val="none" w:sz="0" w:space="0" w:color="auto"/>
      </w:divBdr>
    </w:div>
    <w:div w:id="1106996643">
      <w:bodyDiv w:val="1"/>
      <w:marLeft w:val="0"/>
      <w:marRight w:val="0"/>
      <w:marTop w:val="0"/>
      <w:marBottom w:val="0"/>
      <w:divBdr>
        <w:top w:val="none" w:sz="0" w:space="0" w:color="auto"/>
        <w:left w:val="none" w:sz="0" w:space="0" w:color="auto"/>
        <w:bottom w:val="none" w:sz="0" w:space="0" w:color="auto"/>
        <w:right w:val="none" w:sz="0" w:space="0" w:color="auto"/>
      </w:divBdr>
    </w:div>
    <w:div w:id="1117259092">
      <w:bodyDiv w:val="1"/>
      <w:marLeft w:val="0"/>
      <w:marRight w:val="0"/>
      <w:marTop w:val="0"/>
      <w:marBottom w:val="0"/>
      <w:divBdr>
        <w:top w:val="none" w:sz="0" w:space="0" w:color="auto"/>
        <w:left w:val="none" w:sz="0" w:space="0" w:color="auto"/>
        <w:bottom w:val="none" w:sz="0" w:space="0" w:color="auto"/>
        <w:right w:val="none" w:sz="0" w:space="0" w:color="auto"/>
      </w:divBdr>
    </w:div>
    <w:div w:id="1121192581">
      <w:bodyDiv w:val="1"/>
      <w:marLeft w:val="0"/>
      <w:marRight w:val="0"/>
      <w:marTop w:val="0"/>
      <w:marBottom w:val="0"/>
      <w:divBdr>
        <w:top w:val="none" w:sz="0" w:space="0" w:color="auto"/>
        <w:left w:val="none" w:sz="0" w:space="0" w:color="auto"/>
        <w:bottom w:val="none" w:sz="0" w:space="0" w:color="auto"/>
        <w:right w:val="none" w:sz="0" w:space="0" w:color="auto"/>
      </w:divBdr>
    </w:div>
    <w:div w:id="1124695310">
      <w:bodyDiv w:val="1"/>
      <w:marLeft w:val="0"/>
      <w:marRight w:val="0"/>
      <w:marTop w:val="0"/>
      <w:marBottom w:val="0"/>
      <w:divBdr>
        <w:top w:val="none" w:sz="0" w:space="0" w:color="auto"/>
        <w:left w:val="none" w:sz="0" w:space="0" w:color="auto"/>
        <w:bottom w:val="none" w:sz="0" w:space="0" w:color="auto"/>
        <w:right w:val="none" w:sz="0" w:space="0" w:color="auto"/>
      </w:divBdr>
    </w:div>
    <w:div w:id="1135835106">
      <w:bodyDiv w:val="1"/>
      <w:marLeft w:val="0"/>
      <w:marRight w:val="0"/>
      <w:marTop w:val="0"/>
      <w:marBottom w:val="0"/>
      <w:divBdr>
        <w:top w:val="none" w:sz="0" w:space="0" w:color="auto"/>
        <w:left w:val="none" w:sz="0" w:space="0" w:color="auto"/>
        <w:bottom w:val="none" w:sz="0" w:space="0" w:color="auto"/>
        <w:right w:val="none" w:sz="0" w:space="0" w:color="auto"/>
      </w:divBdr>
    </w:div>
    <w:div w:id="1135873914">
      <w:bodyDiv w:val="1"/>
      <w:marLeft w:val="0"/>
      <w:marRight w:val="0"/>
      <w:marTop w:val="0"/>
      <w:marBottom w:val="0"/>
      <w:divBdr>
        <w:top w:val="none" w:sz="0" w:space="0" w:color="auto"/>
        <w:left w:val="none" w:sz="0" w:space="0" w:color="auto"/>
        <w:bottom w:val="none" w:sz="0" w:space="0" w:color="auto"/>
        <w:right w:val="none" w:sz="0" w:space="0" w:color="auto"/>
      </w:divBdr>
    </w:div>
    <w:div w:id="1136025543">
      <w:bodyDiv w:val="1"/>
      <w:marLeft w:val="0"/>
      <w:marRight w:val="0"/>
      <w:marTop w:val="0"/>
      <w:marBottom w:val="0"/>
      <w:divBdr>
        <w:top w:val="none" w:sz="0" w:space="0" w:color="auto"/>
        <w:left w:val="none" w:sz="0" w:space="0" w:color="auto"/>
        <w:bottom w:val="none" w:sz="0" w:space="0" w:color="auto"/>
        <w:right w:val="none" w:sz="0" w:space="0" w:color="auto"/>
      </w:divBdr>
    </w:div>
    <w:div w:id="1136142515">
      <w:bodyDiv w:val="1"/>
      <w:marLeft w:val="0"/>
      <w:marRight w:val="0"/>
      <w:marTop w:val="0"/>
      <w:marBottom w:val="0"/>
      <w:divBdr>
        <w:top w:val="none" w:sz="0" w:space="0" w:color="auto"/>
        <w:left w:val="none" w:sz="0" w:space="0" w:color="auto"/>
        <w:bottom w:val="none" w:sz="0" w:space="0" w:color="auto"/>
        <w:right w:val="none" w:sz="0" w:space="0" w:color="auto"/>
      </w:divBdr>
    </w:div>
    <w:div w:id="1136871939">
      <w:bodyDiv w:val="1"/>
      <w:marLeft w:val="0"/>
      <w:marRight w:val="0"/>
      <w:marTop w:val="0"/>
      <w:marBottom w:val="0"/>
      <w:divBdr>
        <w:top w:val="none" w:sz="0" w:space="0" w:color="auto"/>
        <w:left w:val="none" w:sz="0" w:space="0" w:color="auto"/>
        <w:bottom w:val="none" w:sz="0" w:space="0" w:color="auto"/>
        <w:right w:val="none" w:sz="0" w:space="0" w:color="auto"/>
      </w:divBdr>
    </w:div>
    <w:div w:id="1138111878">
      <w:bodyDiv w:val="1"/>
      <w:marLeft w:val="0"/>
      <w:marRight w:val="0"/>
      <w:marTop w:val="0"/>
      <w:marBottom w:val="0"/>
      <w:divBdr>
        <w:top w:val="none" w:sz="0" w:space="0" w:color="auto"/>
        <w:left w:val="none" w:sz="0" w:space="0" w:color="auto"/>
        <w:bottom w:val="none" w:sz="0" w:space="0" w:color="auto"/>
        <w:right w:val="none" w:sz="0" w:space="0" w:color="auto"/>
      </w:divBdr>
    </w:div>
    <w:div w:id="1139617898">
      <w:bodyDiv w:val="1"/>
      <w:marLeft w:val="0"/>
      <w:marRight w:val="0"/>
      <w:marTop w:val="0"/>
      <w:marBottom w:val="0"/>
      <w:divBdr>
        <w:top w:val="none" w:sz="0" w:space="0" w:color="auto"/>
        <w:left w:val="none" w:sz="0" w:space="0" w:color="auto"/>
        <w:bottom w:val="none" w:sz="0" w:space="0" w:color="auto"/>
        <w:right w:val="none" w:sz="0" w:space="0" w:color="auto"/>
      </w:divBdr>
    </w:div>
    <w:div w:id="1140415670">
      <w:bodyDiv w:val="1"/>
      <w:marLeft w:val="0"/>
      <w:marRight w:val="0"/>
      <w:marTop w:val="0"/>
      <w:marBottom w:val="0"/>
      <w:divBdr>
        <w:top w:val="none" w:sz="0" w:space="0" w:color="auto"/>
        <w:left w:val="none" w:sz="0" w:space="0" w:color="auto"/>
        <w:bottom w:val="none" w:sz="0" w:space="0" w:color="auto"/>
        <w:right w:val="none" w:sz="0" w:space="0" w:color="auto"/>
      </w:divBdr>
    </w:div>
    <w:div w:id="1140923780">
      <w:bodyDiv w:val="1"/>
      <w:marLeft w:val="0"/>
      <w:marRight w:val="0"/>
      <w:marTop w:val="0"/>
      <w:marBottom w:val="0"/>
      <w:divBdr>
        <w:top w:val="none" w:sz="0" w:space="0" w:color="auto"/>
        <w:left w:val="none" w:sz="0" w:space="0" w:color="auto"/>
        <w:bottom w:val="none" w:sz="0" w:space="0" w:color="auto"/>
        <w:right w:val="none" w:sz="0" w:space="0" w:color="auto"/>
      </w:divBdr>
    </w:div>
    <w:div w:id="1145045954">
      <w:bodyDiv w:val="1"/>
      <w:marLeft w:val="0"/>
      <w:marRight w:val="0"/>
      <w:marTop w:val="0"/>
      <w:marBottom w:val="0"/>
      <w:divBdr>
        <w:top w:val="none" w:sz="0" w:space="0" w:color="auto"/>
        <w:left w:val="none" w:sz="0" w:space="0" w:color="auto"/>
        <w:bottom w:val="none" w:sz="0" w:space="0" w:color="auto"/>
        <w:right w:val="none" w:sz="0" w:space="0" w:color="auto"/>
      </w:divBdr>
    </w:div>
    <w:div w:id="1148203110">
      <w:bodyDiv w:val="1"/>
      <w:marLeft w:val="0"/>
      <w:marRight w:val="0"/>
      <w:marTop w:val="0"/>
      <w:marBottom w:val="0"/>
      <w:divBdr>
        <w:top w:val="none" w:sz="0" w:space="0" w:color="auto"/>
        <w:left w:val="none" w:sz="0" w:space="0" w:color="auto"/>
        <w:bottom w:val="none" w:sz="0" w:space="0" w:color="auto"/>
        <w:right w:val="none" w:sz="0" w:space="0" w:color="auto"/>
      </w:divBdr>
    </w:div>
    <w:div w:id="1153180767">
      <w:bodyDiv w:val="1"/>
      <w:marLeft w:val="0"/>
      <w:marRight w:val="0"/>
      <w:marTop w:val="0"/>
      <w:marBottom w:val="0"/>
      <w:divBdr>
        <w:top w:val="none" w:sz="0" w:space="0" w:color="auto"/>
        <w:left w:val="none" w:sz="0" w:space="0" w:color="auto"/>
        <w:bottom w:val="none" w:sz="0" w:space="0" w:color="auto"/>
        <w:right w:val="none" w:sz="0" w:space="0" w:color="auto"/>
      </w:divBdr>
    </w:div>
    <w:div w:id="1155536007">
      <w:bodyDiv w:val="1"/>
      <w:marLeft w:val="0"/>
      <w:marRight w:val="0"/>
      <w:marTop w:val="0"/>
      <w:marBottom w:val="0"/>
      <w:divBdr>
        <w:top w:val="none" w:sz="0" w:space="0" w:color="auto"/>
        <w:left w:val="none" w:sz="0" w:space="0" w:color="auto"/>
        <w:bottom w:val="none" w:sz="0" w:space="0" w:color="auto"/>
        <w:right w:val="none" w:sz="0" w:space="0" w:color="auto"/>
      </w:divBdr>
    </w:div>
    <w:div w:id="1155876428">
      <w:bodyDiv w:val="1"/>
      <w:marLeft w:val="0"/>
      <w:marRight w:val="0"/>
      <w:marTop w:val="0"/>
      <w:marBottom w:val="0"/>
      <w:divBdr>
        <w:top w:val="none" w:sz="0" w:space="0" w:color="auto"/>
        <w:left w:val="none" w:sz="0" w:space="0" w:color="auto"/>
        <w:bottom w:val="none" w:sz="0" w:space="0" w:color="auto"/>
        <w:right w:val="none" w:sz="0" w:space="0" w:color="auto"/>
      </w:divBdr>
    </w:div>
    <w:div w:id="1157262529">
      <w:bodyDiv w:val="1"/>
      <w:marLeft w:val="0"/>
      <w:marRight w:val="0"/>
      <w:marTop w:val="0"/>
      <w:marBottom w:val="0"/>
      <w:divBdr>
        <w:top w:val="none" w:sz="0" w:space="0" w:color="auto"/>
        <w:left w:val="none" w:sz="0" w:space="0" w:color="auto"/>
        <w:bottom w:val="none" w:sz="0" w:space="0" w:color="auto"/>
        <w:right w:val="none" w:sz="0" w:space="0" w:color="auto"/>
      </w:divBdr>
    </w:div>
    <w:div w:id="1157645783">
      <w:bodyDiv w:val="1"/>
      <w:marLeft w:val="0"/>
      <w:marRight w:val="0"/>
      <w:marTop w:val="0"/>
      <w:marBottom w:val="0"/>
      <w:divBdr>
        <w:top w:val="none" w:sz="0" w:space="0" w:color="auto"/>
        <w:left w:val="none" w:sz="0" w:space="0" w:color="auto"/>
        <w:bottom w:val="none" w:sz="0" w:space="0" w:color="auto"/>
        <w:right w:val="none" w:sz="0" w:space="0" w:color="auto"/>
      </w:divBdr>
    </w:div>
    <w:div w:id="1157722514">
      <w:bodyDiv w:val="1"/>
      <w:marLeft w:val="0"/>
      <w:marRight w:val="0"/>
      <w:marTop w:val="0"/>
      <w:marBottom w:val="0"/>
      <w:divBdr>
        <w:top w:val="none" w:sz="0" w:space="0" w:color="auto"/>
        <w:left w:val="none" w:sz="0" w:space="0" w:color="auto"/>
        <w:bottom w:val="none" w:sz="0" w:space="0" w:color="auto"/>
        <w:right w:val="none" w:sz="0" w:space="0" w:color="auto"/>
      </w:divBdr>
    </w:div>
    <w:div w:id="1158810539">
      <w:bodyDiv w:val="1"/>
      <w:marLeft w:val="0"/>
      <w:marRight w:val="0"/>
      <w:marTop w:val="0"/>
      <w:marBottom w:val="0"/>
      <w:divBdr>
        <w:top w:val="none" w:sz="0" w:space="0" w:color="auto"/>
        <w:left w:val="none" w:sz="0" w:space="0" w:color="auto"/>
        <w:bottom w:val="none" w:sz="0" w:space="0" w:color="auto"/>
        <w:right w:val="none" w:sz="0" w:space="0" w:color="auto"/>
      </w:divBdr>
    </w:div>
    <w:div w:id="1159888402">
      <w:bodyDiv w:val="1"/>
      <w:marLeft w:val="0"/>
      <w:marRight w:val="0"/>
      <w:marTop w:val="0"/>
      <w:marBottom w:val="0"/>
      <w:divBdr>
        <w:top w:val="none" w:sz="0" w:space="0" w:color="auto"/>
        <w:left w:val="none" w:sz="0" w:space="0" w:color="auto"/>
        <w:bottom w:val="none" w:sz="0" w:space="0" w:color="auto"/>
        <w:right w:val="none" w:sz="0" w:space="0" w:color="auto"/>
      </w:divBdr>
    </w:div>
    <w:div w:id="1161701863">
      <w:bodyDiv w:val="1"/>
      <w:marLeft w:val="0"/>
      <w:marRight w:val="0"/>
      <w:marTop w:val="0"/>
      <w:marBottom w:val="0"/>
      <w:divBdr>
        <w:top w:val="none" w:sz="0" w:space="0" w:color="auto"/>
        <w:left w:val="none" w:sz="0" w:space="0" w:color="auto"/>
        <w:bottom w:val="none" w:sz="0" w:space="0" w:color="auto"/>
        <w:right w:val="none" w:sz="0" w:space="0" w:color="auto"/>
      </w:divBdr>
    </w:div>
    <w:div w:id="1162088370">
      <w:bodyDiv w:val="1"/>
      <w:marLeft w:val="0"/>
      <w:marRight w:val="0"/>
      <w:marTop w:val="0"/>
      <w:marBottom w:val="0"/>
      <w:divBdr>
        <w:top w:val="none" w:sz="0" w:space="0" w:color="auto"/>
        <w:left w:val="none" w:sz="0" w:space="0" w:color="auto"/>
        <w:bottom w:val="none" w:sz="0" w:space="0" w:color="auto"/>
        <w:right w:val="none" w:sz="0" w:space="0" w:color="auto"/>
      </w:divBdr>
    </w:div>
    <w:div w:id="1163276172">
      <w:bodyDiv w:val="1"/>
      <w:marLeft w:val="0"/>
      <w:marRight w:val="0"/>
      <w:marTop w:val="0"/>
      <w:marBottom w:val="0"/>
      <w:divBdr>
        <w:top w:val="none" w:sz="0" w:space="0" w:color="auto"/>
        <w:left w:val="none" w:sz="0" w:space="0" w:color="auto"/>
        <w:bottom w:val="none" w:sz="0" w:space="0" w:color="auto"/>
        <w:right w:val="none" w:sz="0" w:space="0" w:color="auto"/>
      </w:divBdr>
    </w:div>
    <w:div w:id="1167089846">
      <w:bodyDiv w:val="1"/>
      <w:marLeft w:val="0"/>
      <w:marRight w:val="0"/>
      <w:marTop w:val="0"/>
      <w:marBottom w:val="0"/>
      <w:divBdr>
        <w:top w:val="none" w:sz="0" w:space="0" w:color="auto"/>
        <w:left w:val="none" w:sz="0" w:space="0" w:color="auto"/>
        <w:bottom w:val="none" w:sz="0" w:space="0" w:color="auto"/>
        <w:right w:val="none" w:sz="0" w:space="0" w:color="auto"/>
      </w:divBdr>
    </w:div>
    <w:div w:id="1168521333">
      <w:bodyDiv w:val="1"/>
      <w:marLeft w:val="0"/>
      <w:marRight w:val="0"/>
      <w:marTop w:val="0"/>
      <w:marBottom w:val="0"/>
      <w:divBdr>
        <w:top w:val="none" w:sz="0" w:space="0" w:color="auto"/>
        <w:left w:val="none" w:sz="0" w:space="0" w:color="auto"/>
        <w:bottom w:val="none" w:sz="0" w:space="0" w:color="auto"/>
        <w:right w:val="none" w:sz="0" w:space="0" w:color="auto"/>
      </w:divBdr>
    </w:div>
    <w:div w:id="1174951587">
      <w:bodyDiv w:val="1"/>
      <w:marLeft w:val="0"/>
      <w:marRight w:val="0"/>
      <w:marTop w:val="0"/>
      <w:marBottom w:val="0"/>
      <w:divBdr>
        <w:top w:val="none" w:sz="0" w:space="0" w:color="auto"/>
        <w:left w:val="none" w:sz="0" w:space="0" w:color="auto"/>
        <w:bottom w:val="none" w:sz="0" w:space="0" w:color="auto"/>
        <w:right w:val="none" w:sz="0" w:space="0" w:color="auto"/>
      </w:divBdr>
    </w:div>
    <w:div w:id="1182821161">
      <w:bodyDiv w:val="1"/>
      <w:marLeft w:val="0"/>
      <w:marRight w:val="0"/>
      <w:marTop w:val="0"/>
      <w:marBottom w:val="0"/>
      <w:divBdr>
        <w:top w:val="none" w:sz="0" w:space="0" w:color="auto"/>
        <w:left w:val="none" w:sz="0" w:space="0" w:color="auto"/>
        <w:bottom w:val="none" w:sz="0" w:space="0" w:color="auto"/>
        <w:right w:val="none" w:sz="0" w:space="0" w:color="auto"/>
      </w:divBdr>
    </w:div>
    <w:div w:id="1185053931">
      <w:bodyDiv w:val="1"/>
      <w:marLeft w:val="0"/>
      <w:marRight w:val="0"/>
      <w:marTop w:val="0"/>
      <w:marBottom w:val="0"/>
      <w:divBdr>
        <w:top w:val="none" w:sz="0" w:space="0" w:color="auto"/>
        <w:left w:val="none" w:sz="0" w:space="0" w:color="auto"/>
        <w:bottom w:val="none" w:sz="0" w:space="0" w:color="auto"/>
        <w:right w:val="none" w:sz="0" w:space="0" w:color="auto"/>
      </w:divBdr>
    </w:div>
    <w:div w:id="1186166742">
      <w:bodyDiv w:val="1"/>
      <w:marLeft w:val="0"/>
      <w:marRight w:val="0"/>
      <w:marTop w:val="0"/>
      <w:marBottom w:val="0"/>
      <w:divBdr>
        <w:top w:val="none" w:sz="0" w:space="0" w:color="auto"/>
        <w:left w:val="none" w:sz="0" w:space="0" w:color="auto"/>
        <w:bottom w:val="none" w:sz="0" w:space="0" w:color="auto"/>
        <w:right w:val="none" w:sz="0" w:space="0" w:color="auto"/>
      </w:divBdr>
    </w:div>
    <w:div w:id="1187059579">
      <w:bodyDiv w:val="1"/>
      <w:marLeft w:val="0"/>
      <w:marRight w:val="0"/>
      <w:marTop w:val="0"/>
      <w:marBottom w:val="0"/>
      <w:divBdr>
        <w:top w:val="none" w:sz="0" w:space="0" w:color="auto"/>
        <w:left w:val="none" w:sz="0" w:space="0" w:color="auto"/>
        <w:bottom w:val="none" w:sz="0" w:space="0" w:color="auto"/>
        <w:right w:val="none" w:sz="0" w:space="0" w:color="auto"/>
      </w:divBdr>
    </w:div>
    <w:div w:id="1189417118">
      <w:bodyDiv w:val="1"/>
      <w:marLeft w:val="0"/>
      <w:marRight w:val="0"/>
      <w:marTop w:val="0"/>
      <w:marBottom w:val="0"/>
      <w:divBdr>
        <w:top w:val="none" w:sz="0" w:space="0" w:color="auto"/>
        <w:left w:val="none" w:sz="0" w:space="0" w:color="auto"/>
        <w:bottom w:val="none" w:sz="0" w:space="0" w:color="auto"/>
        <w:right w:val="none" w:sz="0" w:space="0" w:color="auto"/>
      </w:divBdr>
    </w:div>
    <w:div w:id="1194614047">
      <w:bodyDiv w:val="1"/>
      <w:marLeft w:val="0"/>
      <w:marRight w:val="0"/>
      <w:marTop w:val="0"/>
      <w:marBottom w:val="0"/>
      <w:divBdr>
        <w:top w:val="none" w:sz="0" w:space="0" w:color="auto"/>
        <w:left w:val="none" w:sz="0" w:space="0" w:color="auto"/>
        <w:bottom w:val="none" w:sz="0" w:space="0" w:color="auto"/>
        <w:right w:val="none" w:sz="0" w:space="0" w:color="auto"/>
      </w:divBdr>
    </w:div>
    <w:div w:id="1198080499">
      <w:bodyDiv w:val="1"/>
      <w:marLeft w:val="0"/>
      <w:marRight w:val="0"/>
      <w:marTop w:val="0"/>
      <w:marBottom w:val="0"/>
      <w:divBdr>
        <w:top w:val="none" w:sz="0" w:space="0" w:color="auto"/>
        <w:left w:val="none" w:sz="0" w:space="0" w:color="auto"/>
        <w:bottom w:val="none" w:sz="0" w:space="0" w:color="auto"/>
        <w:right w:val="none" w:sz="0" w:space="0" w:color="auto"/>
      </w:divBdr>
    </w:div>
    <w:div w:id="1205561351">
      <w:bodyDiv w:val="1"/>
      <w:marLeft w:val="0"/>
      <w:marRight w:val="0"/>
      <w:marTop w:val="0"/>
      <w:marBottom w:val="0"/>
      <w:divBdr>
        <w:top w:val="none" w:sz="0" w:space="0" w:color="auto"/>
        <w:left w:val="none" w:sz="0" w:space="0" w:color="auto"/>
        <w:bottom w:val="none" w:sz="0" w:space="0" w:color="auto"/>
        <w:right w:val="none" w:sz="0" w:space="0" w:color="auto"/>
      </w:divBdr>
    </w:div>
    <w:div w:id="1214780577">
      <w:bodyDiv w:val="1"/>
      <w:marLeft w:val="0"/>
      <w:marRight w:val="0"/>
      <w:marTop w:val="0"/>
      <w:marBottom w:val="0"/>
      <w:divBdr>
        <w:top w:val="none" w:sz="0" w:space="0" w:color="auto"/>
        <w:left w:val="none" w:sz="0" w:space="0" w:color="auto"/>
        <w:bottom w:val="none" w:sz="0" w:space="0" w:color="auto"/>
        <w:right w:val="none" w:sz="0" w:space="0" w:color="auto"/>
      </w:divBdr>
    </w:div>
    <w:div w:id="1218542360">
      <w:bodyDiv w:val="1"/>
      <w:marLeft w:val="0"/>
      <w:marRight w:val="0"/>
      <w:marTop w:val="0"/>
      <w:marBottom w:val="0"/>
      <w:divBdr>
        <w:top w:val="none" w:sz="0" w:space="0" w:color="auto"/>
        <w:left w:val="none" w:sz="0" w:space="0" w:color="auto"/>
        <w:bottom w:val="none" w:sz="0" w:space="0" w:color="auto"/>
        <w:right w:val="none" w:sz="0" w:space="0" w:color="auto"/>
      </w:divBdr>
    </w:div>
    <w:div w:id="1221407595">
      <w:bodyDiv w:val="1"/>
      <w:marLeft w:val="0"/>
      <w:marRight w:val="0"/>
      <w:marTop w:val="0"/>
      <w:marBottom w:val="0"/>
      <w:divBdr>
        <w:top w:val="none" w:sz="0" w:space="0" w:color="auto"/>
        <w:left w:val="none" w:sz="0" w:space="0" w:color="auto"/>
        <w:bottom w:val="none" w:sz="0" w:space="0" w:color="auto"/>
        <w:right w:val="none" w:sz="0" w:space="0" w:color="auto"/>
      </w:divBdr>
    </w:div>
    <w:div w:id="1221675742">
      <w:bodyDiv w:val="1"/>
      <w:marLeft w:val="0"/>
      <w:marRight w:val="0"/>
      <w:marTop w:val="0"/>
      <w:marBottom w:val="0"/>
      <w:divBdr>
        <w:top w:val="none" w:sz="0" w:space="0" w:color="auto"/>
        <w:left w:val="none" w:sz="0" w:space="0" w:color="auto"/>
        <w:bottom w:val="none" w:sz="0" w:space="0" w:color="auto"/>
        <w:right w:val="none" w:sz="0" w:space="0" w:color="auto"/>
      </w:divBdr>
    </w:div>
    <w:div w:id="1225489156">
      <w:bodyDiv w:val="1"/>
      <w:marLeft w:val="0"/>
      <w:marRight w:val="0"/>
      <w:marTop w:val="0"/>
      <w:marBottom w:val="0"/>
      <w:divBdr>
        <w:top w:val="none" w:sz="0" w:space="0" w:color="auto"/>
        <w:left w:val="none" w:sz="0" w:space="0" w:color="auto"/>
        <w:bottom w:val="none" w:sz="0" w:space="0" w:color="auto"/>
        <w:right w:val="none" w:sz="0" w:space="0" w:color="auto"/>
      </w:divBdr>
    </w:div>
    <w:div w:id="1225603341">
      <w:bodyDiv w:val="1"/>
      <w:marLeft w:val="0"/>
      <w:marRight w:val="0"/>
      <w:marTop w:val="0"/>
      <w:marBottom w:val="0"/>
      <w:divBdr>
        <w:top w:val="none" w:sz="0" w:space="0" w:color="auto"/>
        <w:left w:val="none" w:sz="0" w:space="0" w:color="auto"/>
        <w:bottom w:val="none" w:sz="0" w:space="0" w:color="auto"/>
        <w:right w:val="none" w:sz="0" w:space="0" w:color="auto"/>
      </w:divBdr>
    </w:div>
    <w:div w:id="1228148267">
      <w:bodyDiv w:val="1"/>
      <w:marLeft w:val="0"/>
      <w:marRight w:val="0"/>
      <w:marTop w:val="0"/>
      <w:marBottom w:val="0"/>
      <w:divBdr>
        <w:top w:val="none" w:sz="0" w:space="0" w:color="auto"/>
        <w:left w:val="none" w:sz="0" w:space="0" w:color="auto"/>
        <w:bottom w:val="none" w:sz="0" w:space="0" w:color="auto"/>
        <w:right w:val="none" w:sz="0" w:space="0" w:color="auto"/>
      </w:divBdr>
    </w:div>
    <w:div w:id="1237591444">
      <w:bodyDiv w:val="1"/>
      <w:marLeft w:val="0"/>
      <w:marRight w:val="0"/>
      <w:marTop w:val="0"/>
      <w:marBottom w:val="0"/>
      <w:divBdr>
        <w:top w:val="none" w:sz="0" w:space="0" w:color="auto"/>
        <w:left w:val="none" w:sz="0" w:space="0" w:color="auto"/>
        <w:bottom w:val="none" w:sz="0" w:space="0" w:color="auto"/>
        <w:right w:val="none" w:sz="0" w:space="0" w:color="auto"/>
      </w:divBdr>
    </w:div>
    <w:div w:id="1246449867">
      <w:bodyDiv w:val="1"/>
      <w:marLeft w:val="0"/>
      <w:marRight w:val="0"/>
      <w:marTop w:val="0"/>
      <w:marBottom w:val="0"/>
      <w:divBdr>
        <w:top w:val="none" w:sz="0" w:space="0" w:color="auto"/>
        <w:left w:val="none" w:sz="0" w:space="0" w:color="auto"/>
        <w:bottom w:val="none" w:sz="0" w:space="0" w:color="auto"/>
        <w:right w:val="none" w:sz="0" w:space="0" w:color="auto"/>
      </w:divBdr>
    </w:div>
    <w:div w:id="1250427671">
      <w:bodyDiv w:val="1"/>
      <w:marLeft w:val="0"/>
      <w:marRight w:val="0"/>
      <w:marTop w:val="0"/>
      <w:marBottom w:val="0"/>
      <w:divBdr>
        <w:top w:val="none" w:sz="0" w:space="0" w:color="auto"/>
        <w:left w:val="none" w:sz="0" w:space="0" w:color="auto"/>
        <w:bottom w:val="none" w:sz="0" w:space="0" w:color="auto"/>
        <w:right w:val="none" w:sz="0" w:space="0" w:color="auto"/>
      </w:divBdr>
    </w:div>
    <w:div w:id="1253706868">
      <w:bodyDiv w:val="1"/>
      <w:marLeft w:val="0"/>
      <w:marRight w:val="0"/>
      <w:marTop w:val="0"/>
      <w:marBottom w:val="0"/>
      <w:divBdr>
        <w:top w:val="none" w:sz="0" w:space="0" w:color="auto"/>
        <w:left w:val="none" w:sz="0" w:space="0" w:color="auto"/>
        <w:bottom w:val="none" w:sz="0" w:space="0" w:color="auto"/>
        <w:right w:val="none" w:sz="0" w:space="0" w:color="auto"/>
      </w:divBdr>
    </w:div>
    <w:div w:id="1256747893">
      <w:bodyDiv w:val="1"/>
      <w:marLeft w:val="0"/>
      <w:marRight w:val="0"/>
      <w:marTop w:val="0"/>
      <w:marBottom w:val="0"/>
      <w:divBdr>
        <w:top w:val="none" w:sz="0" w:space="0" w:color="auto"/>
        <w:left w:val="none" w:sz="0" w:space="0" w:color="auto"/>
        <w:bottom w:val="none" w:sz="0" w:space="0" w:color="auto"/>
        <w:right w:val="none" w:sz="0" w:space="0" w:color="auto"/>
      </w:divBdr>
    </w:div>
    <w:div w:id="1257136930">
      <w:bodyDiv w:val="1"/>
      <w:marLeft w:val="0"/>
      <w:marRight w:val="0"/>
      <w:marTop w:val="0"/>
      <w:marBottom w:val="0"/>
      <w:divBdr>
        <w:top w:val="none" w:sz="0" w:space="0" w:color="auto"/>
        <w:left w:val="none" w:sz="0" w:space="0" w:color="auto"/>
        <w:bottom w:val="none" w:sz="0" w:space="0" w:color="auto"/>
        <w:right w:val="none" w:sz="0" w:space="0" w:color="auto"/>
      </w:divBdr>
    </w:div>
    <w:div w:id="1257593028">
      <w:bodyDiv w:val="1"/>
      <w:marLeft w:val="0"/>
      <w:marRight w:val="0"/>
      <w:marTop w:val="0"/>
      <w:marBottom w:val="0"/>
      <w:divBdr>
        <w:top w:val="none" w:sz="0" w:space="0" w:color="auto"/>
        <w:left w:val="none" w:sz="0" w:space="0" w:color="auto"/>
        <w:bottom w:val="none" w:sz="0" w:space="0" w:color="auto"/>
        <w:right w:val="none" w:sz="0" w:space="0" w:color="auto"/>
      </w:divBdr>
    </w:div>
    <w:div w:id="1260261953">
      <w:bodyDiv w:val="1"/>
      <w:marLeft w:val="0"/>
      <w:marRight w:val="0"/>
      <w:marTop w:val="0"/>
      <w:marBottom w:val="0"/>
      <w:divBdr>
        <w:top w:val="none" w:sz="0" w:space="0" w:color="auto"/>
        <w:left w:val="none" w:sz="0" w:space="0" w:color="auto"/>
        <w:bottom w:val="none" w:sz="0" w:space="0" w:color="auto"/>
        <w:right w:val="none" w:sz="0" w:space="0" w:color="auto"/>
      </w:divBdr>
    </w:div>
    <w:div w:id="1265114538">
      <w:bodyDiv w:val="1"/>
      <w:marLeft w:val="0"/>
      <w:marRight w:val="0"/>
      <w:marTop w:val="0"/>
      <w:marBottom w:val="0"/>
      <w:divBdr>
        <w:top w:val="none" w:sz="0" w:space="0" w:color="auto"/>
        <w:left w:val="none" w:sz="0" w:space="0" w:color="auto"/>
        <w:bottom w:val="none" w:sz="0" w:space="0" w:color="auto"/>
        <w:right w:val="none" w:sz="0" w:space="0" w:color="auto"/>
      </w:divBdr>
    </w:div>
    <w:div w:id="1266233411">
      <w:bodyDiv w:val="1"/>
      <w:marLeft w:val="0"/>
      <w:marRight w:val="0"/>
      <w:marTop w:val="0"/>
      <w:marBottom w:val="0"/>
      <w:divBdr>
        <w:top w:val="none" w:sz="0" w:space="0" w:color="auto"/>
        <w:left w:val="none" w:sz="0" w:space="0" w:color="auto"/>
        <w:bottom w:val="none" w:sz="0" w:space="0" w:color="auto"/>
        <w:right w:val="none" w:sz="0" w:space="0" w:color="auto"/>
      </w:divBdr>
    </w:div>
    <w:div w:id="1268931165">
      <w:bodyDiv w:val="1"/>
      <w:marLeft w:val="0"/>
      <w:marRight w:val="0"/>
      <w:marTop w:val="0"/>
      <w:marBottom w:val="0"/>
      <w:divBdr>
        <w:top w:val="none" w:sz="0" w:space="0" w:color="auto"/>
        <w:left w:val="none" w:sz="0" w:space="0" w:color="auto"/>
        <w:bottom w:val="none" w:sz="0" w:space="0" w:color="auto"/>
        <w:right w:val="none" w:sz="0" w:space="0" w:color="auto"/>
      </w:divBdr>
    </w:div>
    <w:div w:id="1269235864">
      <w:bodyDiv w:val="1"/>
      <w:marLeft w:val="0"/>
      <w:marRight w:val="0"/>
      <w:marTop w:val="0"/>
      <w:marBottom w:val="0"/>
      <w:divBdr>
        <w:top w:val="none" w:sz="0" w:space="0" w:color="auto"/>
        <w:left w:val="none" w:sz="0" w:space="0" w:color="auto"/>
        <w:bottom w:val="none" w:sz="0" w:space="0" w:color="auto"/>
        <w:right w:val="none" w:sz="0" w:space="0" w:color="auto"/>
      </w:divBdr>
    </w:div>
    <w:div w:id="1272321122">
      <w:bodyDiv w:val="1"/>
      <w:marLeft w:val="0"/>
      <w:marRight w:val="0"/>
      <w:marTop w:val="0"/>
      <w:marBottom w:val="0"/>
      <w:divBdr>
        <w:top w:val="none" w:sz="0" w:space="0" w:color="auto"/>
        <w:left w:val="none" w:sz="0" w:space="0" w:color="auto"/>
        <w:bottom w:val="none" w:sz="0" w:space="0" w:color="auto"/>
        <w:right w:val="none" w:sz="0" w:space="0" w:color="auto"/>
      </w:divBdr>
    </w:div>
    <w:div w:id="1272586438">
      <w:bodyDiv w:val="1"/>
      <w:marLeft w:val="0"/>
      <w:marRight w:val="0"/>
      <w:marTop w:val="0"/>
      <w:marBottom w:val="0"/>
      <w:divBdr>
        <w:top w:val="none" w:sz="0" w:space="0" w:color="auto"/>
        <w:left w:val="none" w:sz="0" w:space="0" w:color="auto"/>
        <w:bottom w:val="none" w:sz="0" w:space="0" w:color="auto"/>
        <w:right w:val="none" w:sz="0" w:space="0" w:color="auto"/>
      </w:divBdr>
    </w:div>
    <w:div w:id="1273174310">
      <w:bodyDiv w:val="1"/>
      <w:marLeft w:val="0"/>
      <w:marRight w:val="0"/>
      <w:marTop w:val="0"/>
      <w:marBottom w:val="0"/>
      <w:divBdr>
        <w:top w:val="none" w:sz="0" w:space="0" w:color="auto"/>
        <w:left w:val="none" w:sz="0" w:space="0" w:color="auto"/>
        <w:bottom w:val="none" w:sz="0" w:space="0" w:color="auto"/>
        <w:right w:val="none" w:sz="0" w:space="0" w:color="auto"/>
      </w:divBdr>
    </w:div>
    <w:div w:id="1273245804">
      <w:bodyDiv w:val="1"/>
      <w:marLeft w:val="0"/>
      <w:marRight w:val="0"/>
      <w:marTop w:val="0"/>
      <w:marBottom w:val="0"/>
      <w:divBdr>
        <w:top w:val="none" w:sz="0" w:space="0" w:color="auto"/>
        <w:left w:val="none" w:sz="0" w:space="0" w:color="auto"/>
        <w:bottom w:val="none" w:sz="0" w:space="0" w:color="auto"/>
        <w:right w:val="none" w:sz="0" w:space="0" w:color="auto"/>
      </w:divBdr>
    </w:div>
    <w:div w:id="1275093701">
      <w:bodyDiv w:val="1"/>
      <w:marLeft w:val="0"/>
      <w:marRight w:val="0"/>
      <w:marTop w:val="0"/>
      <w:marBottom w:val="0"/>
      <w:divBdr>
        <w:top w:val="none" w:sz="0" w:space="0" w:color="auto"/>
        <w:left w:val="none" w:sz="0" w:space="0" w:color="auto"/>
        <w:bottom w:val="none" w:sz="0" w:space="0" w:color="auto"/>
        <w:right w:val="none" w:sz="0" w:space="0" w:color="auto"/>
      </w:divBdr>
    </w:div>
    <w:div w:id="1278636756">
      <w:bodyDiv w:val="1"/>
      <w:marLeft w:val="0"/>
      <w:marRight w:val="0"/>
      <w:marTop w:val="0"/>
      <w:marBottom w:val="0"/>
      <w:divBdr>
        <w:top w:val="none" w:sz="0" w:space="0" w:color="auto"/>
        <w:left w:val="none" w:sz="0" w:space="0" w:color="auto"/>
        <w:bottom w:val="none" w:sz="0" w:space="0" w:color="auto"/>
        <w:right w:val="none" w:sz="0" w:space="0" w:color="auto"/>
      </w:divBdr>
    </w:div>
    <w:div w:id="1280602959">
      <w:bodyDiv w:val="1"/>
      <w:marLeft w:val="0"/>
      <w:marRight w:val="0"/>
      <w:marTop w:val="0"/>
      <w:marBottom w:val="0"/>
      <w:divBdr>
        <w:top w:val="none" w:sz="0" w:space="0" w:color="auto"/>
        <w:left w:val="none" w:sz="0" w:space="0" w:color="auto"/>
        <w:bottom w:val="none" w:sz="0" w:space="0" w:color="auto"/>
        <w:right w:val="none" w:sz="0" w:space="0" w:color="auto"/>
      </w:divBdr>
    </w:div>
    <w:div w:id="1290168905">
      <w:bodyDiv w:val="1"/>
      <w:marLeft w:val="0"/>
      <w:marRight w:val="0"/>
      <w:marTop w:val="0"/>
      <w:marBottom w:val="0"/>
      <w:divBdr>
        <w:top w:val="none" w:sz="0" w:space="0" w:color="auto"/>
        <w:left w:val="none" w:sz="0" w:space="0" w:color="auto"/>
        <w:bottom w:val="none" w:sz="0" w:space="0" w:color="auto"/>
        <w:right w:val="none" w:sz="0" w:space="0" w:color="auto"/>
      </w:divBdr>
    </w:div>
    <w:div w:id="1290742473">
      <w:bodyDiv w:val="1"/>
      <w:marLeft w:val="0"/>
      <w:marRight w:val="0"/>
      <w:marTop w:val="0"/>
      <w:marBottom w:val="0"/>
      <w:divBdr>
        <w:top w:val="none" w:sz="0" w:space="0" w:color="auto"/>
        <w:left w:val="none" w:sz="0" w:space="0" w:color="auto"/>
        <w:bottom w:val="none" w:sz="0" w:space="0" w:color="auto"/>
        <w:right w:val="none" w:sz="0" w:space="0" w:color="auto"/>
      </w:divBdr>
    </w:div>
    <w:div w:id="1290934881">
      <w:bodyDiv w:val="1"/>
      <w:marLeft w:val="0"/>
      <w:marRight w:val="0"/>
      <w:marTop w:val="0"/>
      <w:marBottom w:val="0"/>
      <w:divBdr>
        <w:top w:val="none" w:sz="0" w:space="0" w:color="auto"/>
        <w:left w:val="none" w:sz="0" w:space="0" w:color="auto"/>
        <w:bottom w:val="none" w:sz="0" w:space="0" w:color="auto"/>
        <w:right w:val="none" w:sz="0" w:space="0" w:color="auto"/>
      </w:divBdr>
    </w:div>
    <w:div w:id="1292442019">
      <w:bodyDiv w:val="1"/>
      <w:marLeft w:val="0"/>
      <w:marRight w:val="0"/>
      <w:marTop w:val="0"/>
      <w:marBottom w:val="0"/>
      <w:divBdr>
        <w:top w:val="none" w:sz="0" w:space="0" w:color="auto"/>
        <w:left w:val="none" w:sz="0" w:space="0" w:color="auto"/>
        <w:bottom w:val="none" w:sz="0" w:space="0" w:color="auto"/>
        <w:right w:val="none" w:sz="0" w:space="0" w:color="auto"/>
      </w:divBdr>
    </w:div>
    <w:div w:id="1294292263">
      <w:bodyDiv w:val="1"/>
      <w:marLeft w:val="0"/>
      <w:marRight w:val="0"/>
      <w:marTop w:val="0"/>
      <w:marBottom w:val="0"/>
      <w:divBdr>
        <w:top w:val="none" w:sz="0" w:space="0" w:color="auto"/>
        <w:left w:val="none" w:sz="0" w:space="0" w:color="auto"/>
        <w:bottom w:val="none" w:sz="0" w:space="0" w:color="auto"/>
        <w:right w:val="none" w:sz="0" w:space="0" w:color="auto"/>
      </w:divBdr>
    </w:div>
    <w:div w:id="1294944425">
      <w:bodyDiv w:val="1"/>
      <w:marLeft w:val="0"/>
      <w:marRight w:val="0"/>
      <w:marTop w:val="0"/>
      <w:marBottom w:val="0"/>
      <w:divBdr>
        <w:top w:val="none" w:sz="0" w:space="0" w:color="auto"/>
        <w:left w:val="none" w:sz="0" w:space="0" w:color="auto"/>
        <w:bottom w:val="none" w:sz="0" w:space="0" w:color="auto"/>
        <w:right w:val="none" w:sz="0" w:space="0" w:color="auto"/>
      </w:divBdr>
    </w:div>
    <w:div w:id="1296915014">
      <w:bodyDiv w:val="1"/>
      <w:marLeft w:val="0"/>
      <w:marRight w:val="0"/>
      <w:marTop w:val="0"/>
      <w:marBottom w:val="0"/>
      <w:divBdr>
        <w:top w:val="none" w:sz="0" w:space="0" w:color="auto"/>
        <w:left w:val="none" w:sz="0" w:space="0" w:color="auto"/>
        <w:bottom w:val="none" w:sz="0" w:space="0" w:color="auto"/>
        <w:right w:val="none" w:sz="0" w:space="0" w:color="auto"/>
      </w:divBdr>
    </w:div>
    <w:div w:id="1302463798">
      <w:bodyDiv w:val="1"/>
      <w:marLeft w:val="0"/>
      <w:marRight w:val="0"/>
      <w:marTop w:val="0"/>
      <w:marBottom w:val="0"/>
      <w:divBdr>
        <w:top w:val="none" w:sz="0" w:space="0" w:color="auto"/>
        <w:left w:val="none" w:sz="0" w:space="0" w:color="auto"/>
        <w:bottom w:val="none" w:sz="0" w:space="0" w:color="auto"/>
        <w:right w:val="none" w:sz="0" w:space="0" w:color="auto"/>
      </w:divBdr>
    </w:div>
    <w:div w:id="1302734243">
      <w:bodyDiv w:val="1"/>
      <w:marLeft w:val="0"/>
      <w:marRight w:val="0"/>
      <w:marTop w:val="0"/>
      <w:marBottom w:val="0"/>
      <w:divBdr>
        <w:top w:val="none" w:sz="0" w:space="0" w:color="auto"/>
        <w:left w:val="none" w:sz="0" w:space="0" w:color="auto"/>
        <w:bottom w:val="none" w:sz="0" w:space="0" w:color="auto"/>
        <w:right w:val="none" w:sz="0" w:space="0" w:color="auto"/>
      </w:divBdr>
    </w:div>
    <w:div w:id="1304702679">
      <w:bodyDiv w:val="1"/>
      <w:marLeft w:val="0"/>
      <w:marRight w:val="0"/>
      <w:marTop w:val="0"/>
      <w:marBottom w:val="0"/>
      <w:divBdr>
        <w:top w:val="none" w:sz="0" w:space="0" w:color="auto"/>
        <w:left w:val="none" w:sz="0" w:space="0" w:color="auto"/>
        <w:bottom w:val="none" w:sz="0" w:space="0" w:color="auto"/>
        <w:right w:val="none" w:sz="0" w:space="0" w:color="auto"/>
      </w:divBdr>
    </w:div>
    <w:div w:id="1307392206">
      <w:bodyDiv w:val="1"/>
      <w:marLeft w:val="0"/>
      <w:marRight w:val="0"/>
      <w:marTop w:val="0"/>
      <w:marBottom w:val="0"/>
      <w:divBdr>
        <w:top w:val="none" w:sz="0" w:space="0" w:color="auto"/>
        <w:left w:val="none" w:sz="0" w:space="0" w:color="auto"/>
        <w:bottom w:val="none" w:sz="0" w:space="0" w:color="auto"/>
        <w:right w:val="none" w:sz="0" w:space="0" w:color="auto"/>
      </w:divBdr>
    </w:div>
    <w:div w:id="1308583447">
      <w:bodyDiv w:val="1"/>
      <w:marLeft w:val="0"/>
      <w:marRight w:val="0"/>
      <w:marTop w:val="0"/>
      <w:marBottom w:val="0"/>
      <w:divBdr>
        <w:top w:val="none" w:sz="0" w:space="0" w:color="auto"/>
        <w:left w:val="none" w:sz="0" w:space="0" w:color="auto"/>
        <w:bottom w:val="none" w:sz="0" w:space="0" w:color="auto"/>
        <w:right w:val="none" w:sz="0" w:space="0" w:color="auto"/>
      </w:divBdr>
    </w:div>
    <w:div w:id="1311325971">
      <w:bodyDiv w:val="1"/>
      <w:marLeft w:val="0"/>
      <w:marRight w:val="0"/>
      <w:marTop w:val="0"/>
      <w:marBottom w:val="0"/>
      <w:divBdr>
        <w:top w:val="none" w:sz="0" w:space="0" w:color="auto"/>
        <w:left w:val="none" w:sz="0" w:space="0" w:color="auto"/>
        <w:bottom w:val="none" w:sz="0" w:space="0" w:color="auto"/>
        <w:right w:val="none" w:sz="0" w:space="0" w:color="auto"/>
      </w:divBdr>
    </w:div>
    <w:div w:id="1311834991">
      <w:bodyDiv w:val="1"/>
      <w:marLeft w:val="0"/>
      <w:marRight w:val="0"/>
      <w:marTop w:val="0"/>
      <w:marBottom w:val="0"/>
      <w:divBdr>
        <w:top w:val="none" w:sz="0" w:space="0" w:color="auto"/>
        <w:left w:val="none" w:sz="0" w:space="0" w:color="auto"/>
        <w:bottom w:val="none" w:sz="0" w:space="0" w:color="auto"/>
        <w:right w:val="none" w:sz="0" w:space="0" w:color="auto"/>
      </w:divBdr>
    </w:div>
    <w:div w:id="1316107926">
      <w:bodyDiv w:val="1"/>
      <w:marLeft w:val="0"/>
      <w:marRight w:val="0"/>
      <w:marTop w:val="0"/>
      <w:marBottom w:val="0"/>
      <w:divBdr>
        <w:top w:val="none" w:sz="0" w:space="0" w:color="auto"/>
        <w:left w:val="none" w:sz="0" w:space="0" w:color="auto"/>
        <w:bottom w:val="none" w:sz="0" w:space="0" w:color="auto"/>
        <w:right w:val="none" w:sz="0" w:space="0" w:color="auto"/>
      </w:divBdr>
    </w:div>
    <w:div w:id="1318143224">
      <w:bodyDiv w:val="1"/>
      <w:marLeft w:val="0"/>
      <w:marRight w:val="0"/>
      <w:marTop w:val="0"/>
      <w:marBottom w:val="0"/>
      <w:divBdr>
        <w:top w:val="none" w:sz="0" w:space="0" w:color="auto"/>
        <w:left w:val="none" w:sz="0" w:space="0" w:color="auto"/>
        <w:bottom w:val="none" w:sz="0" w:space="0" w:color="auto"/>
        <w:right w:val="none" w:sz="0" w:space="0" w:color="auto"/>
      </w:divBdr>
    </w:div>
    <w:div w:id="1322807111">
      <w:bodyDiv w:val="1"/>
      <w:marLeft w:val="0"/>
      <w:marRight w:val="0"/>
      <w:marTop w:val="0"/>
      <w:marBottom w:val="0"/>
      <w:divBdr>
        <w:top w:val="none" w:sz="0" w:space="0" w:color="auto"/>
        <w:left w:val="none" w:sz="0" w:space="0" w:color="auto"/>
        <w:bottom w:val="none" w:sz="0" w:space="0" w:color="auto"/>
        <w:right w:val="none" w:sz="0" w:space="0" w:color="auto"/>
      </w:divBdr>
    </w:div>
    <w:div w:id="1323392388">
      <w:bodyDiv w:val="1"/>
      <w:marLeft w:val="0"/>
      <w:marRight w:val="0"/>
      <w:marTop w:val="0"/>
      <w:marBottom w:val="0"/>
      <w:divBdr>
        <w:top w:val="none" w:sz="0" w:space="0" w:color="auto"/>
        <w:left w:val="none" w:sz="0" w:space="0" w:color="auto"/>
        <w:bottom w:val="none" w:sz="0" w:space="0" w:color="auto"/>
        <w:right w:val="none" w:sz="0" w:space="0" w:color="auto"/>
      </w:divBdr>
    </w:div>
    <w:div w:id="1326739304">
      <w:bodyDiv w:val="1"/>
      <w:marLeft w:val="0"/>
      <w:marRight w:val="0"/>
      <w:marTop w:val="0"/>
      <w:marBottom w:val="0"/>
      <w:divBdr>
        <w:top w:val="none" w:sz="0" w:space="0" w:color="auto"/>
        <w:left w:val="none" w:sz="0" w:space="0" w:color="auto"/>
        <w:bottom w:val="none" w:sz="0" w:space="0" w:color="auto"/>
        <w:right w:val="none" w:sz="0" w:space="0" w:color="auto"/>
      </w:divBdr>
    </w:div>
    <w:div w:id="1328896086">
      <w:bodyDiv w:val="1"/>
      <w:marLeft w:val="0"/>
      <w:marRight w:val="0"/>
      <w:marTop w:val="0"/>
      <w:marBottom w:val="0"/>
      <w:divBdr>
        <w:top w:val="none" w:sz="0" w:space="0" w:color="auto"/>
        <w:left w:val="none" w:sz="0" w:space="0" w:color="auto"/>
        <w:bottom w:val="none" w:sz="0" w:space="0" w:color="auto"/>
        <w:right w:val="none" w:sz="0" w:space="0" w:color="auto"/>
      </w:divBdr>
    </w:div>
    <w:div w:id="1336228111">
      <w:bodyDiv w:val="1"/>
      <w:marLeft w:val="0"/>
      <w:marRight w:val="0"/>
      <w:marTop w:val="0"/>
      <w:marBottom w:val="0"/>
      <w:divBdr>
        <w:top w:val="none" w:sz="0" w:space="0" w:color="auto"/>
        <w:left w:val="none" w:sz="0" w:space="0" w:color="auto"/>
        <w:bottom w:val="none" w:sz="0" w:space="0" w:color="auto"/>
        <w:right w:val="none" w:sz="0" w:space="0" w:color="auto"/>
      </w:divBdr>
    </w:div>
    <w:div w:id="1346130374">
      <w:bodyDiv w:val="1"/>
      <w:marLeft w:val="0"/>
      <w:marRight w:val="0"/>
      <w:marTop w:val="0"/>
      <w:marBottom w:val="0"/>
      <w:divBdr>
        <w:top w:val="none" w:sz="0" w:space="0" w:color="auto"/>
        <w:left w:val="none" w:sz="0" w:space="0" w:color="auto"/>
        <w:bottom w:val="none" w:sz="0" w:space="0" w:color="auto"/>
        <w:right w:val="none" w:sz="0" w:space="0" w:color="auto"/>
      </w:divBdr>
    </w:div>
    <w:div w:id="1349796817">
      <w:bodyDiv w:val="1"/>
      <w:marLeft w:val="0"/>
      <w:marRight w:val="0"/>
      <w:marTop w:val="0"/>
      <w:marBottom w:val="0"/>
      <w:divBdr>
        <w:top w:val="none" w:sz="0" w:space="0" w:color="auto"/>
        <w:left w:val="none" w:sz="0" w:space="0" w:color="auto"/>
        <w:bottom w:val="none" w:sz="0" w:space="0" w:color="auto"/>
        <w:right w:val="none" w:sz="0" w:space="0" w:color="auto"/>
      </w:divBdr>
    </w:div>
    <w:div w:id="1353605769">
      <w:bodyDiv w:val="1"/>
      <w:marLeft w:val="0"/>
      <w:marRight w:val="0"/>
      <w:marTop w:val="0"/>
      <w:marBottom w:val="0"/>
      <w:divBdr>
        <w:top w:val="none" w:sz="0" w:space="0" w:color="auto"/>
        <w:left w:val="none" w:sz="0" w:space="0" w:color="auto"/>
        <w:bottom w:val="none" w:sz="0" w:space="0" w:color="auto"/>
        <w:right w:val="none" w:sz="0" w:space="0" w:color="auto"/>
      </w:divBdr>
    </w:div>
    <w:div w:id="1355502736">
      <w:bodyDiv w:val="1"/>
      <w:marLeft w:val="0"/>
      <w:marRight w:val="0"/>
      <w:marTop w:val="0"/>
      <w:marBottom w:val="0"/>
      <w:divBdr>
        <w:top w:val="none" w:sz="0" w:space="0" w:color="auto"/>
        <w:left w:val="none" w:sz="0" w:space="0" w:color="auto"/>
        <w:bottom w:val="none" w:sz="0" w:space="0" w:color="auto"/>
        <w:right w:val="none" w:sz="0" w:space="0" w:color="auto"/>
      </w:divBdr>
    </w:div>
    <w:div w:id="1355769301">
      <w:bodyDiv w:val="1"/>
      <w:marLeft w:val="0"/>
      <w:marRight w:val="0"/>
      <w:marTop w:val="0"/>
      <w:marBottom w:val="0"/>
      <w:divBdr>
        <w:top w:val="none" w:sz="0" w:space="0" w:color="auto"/>
        <w:left w:val="none" w:sz="0" w:space="0" w:color="auto"/>
        <w:bottom w:val="none" w:sz="0" w:space="0" w:color="auto"/>
        <w:right w:val="none" w:sz="0" w:space="0" w:color="auto"/>
      </w:divBdr>
    </w:div>
    <w:div w:id="1356886536">
      <w:bodyDiv w:val="1"/>
      <w:marLeft w:val="0"/>
      <w:marRight w:val="0"/>
      <w:marTop w:val="0"/>
      <w:marBottom w:val="0"/>
      <w:divBdr>
        <w:top w:val="none" w:sz="0" w:space="0" w:color="auto"/>
        <w:left w:val="none" w:sz="0" w:space="0" w:color="auto"/>
        <w:bottom w:val="none" w:sz="0" w:space="0" w:color="auto"/>
        <w:right w:val="none" w:sz="0" w:space="0" w:color="auto"/>
      </w:divBdr>
    </w:div>
    <w:div w:id="1360742057">
      <w:bodyDiv w:val="1"/>
      <w:marLeft w:val="0"/>
      <w:marRight w:val="0"/>
      <w:marTop w:val="0"/>
      <w:marBottom w:val="0"/>
      <w:divBdr>
        <w:top w:val="none" w:sz="0" w:space="0" w:color="auto"/>
        <w:left w:val="none" w:sz="0" w:space="0" w:color="auto"/>
        <w:bottom w:val="none" w:sz="0" w:space="0" w:color="auto"/>
        <w:right w:val="none" w:sz="0" w:space="0" w:color="auto"/>
      </w:divBdr>
    </w:div>
    <w:div w:id="1364787889">
      <w:bodyDiv w:val="1"/>
      <w:marLeft w:val="0"/>
      <w:marRight w:val="0"/>
      <w:marTop w:val="0"/>
      <w:marBottom w:val="0"/>
      <w:divBdr>
        <w:top w:val="none" w:sz="0" w:space="0" w:color="auto"/>
        <w:left w:val="none" w:sz="0" w:space="0" w:color="auto"/>
        <w:bottom w:val="none" w:sz="0" w:space="0" w:color="auto"/>
        <w:right w:val="none" w:sz="0" w:space="0" w:color="auto"/>
      </w:divBdr>
    </w:div>
    <w:div w:id="1364935653">
      <w:bodyDiv w:val="1"/>
      <w:marLeft w:val="0"/>
      <w:marRight w:val="0"/>
      <w:marTop w:val="0"/>
      <w:marBottom w:val="0"/>
      <w:divBdr>
        <w:top w:val="none" w:sz="0" w:space="0" w:color="auto"/>
        <w:left w:val="none" w:sz="0" w:space="0" w:color="auto"/>
        <w:bottom w:val="none" w:sz="0" w:space="0" w:color="auto"/>
        <w:right w:val="none" w:sz="0" w:space="0" w:color="auto"/>
      </w:divBdr>
    </w:div>
    <w:div w:id="1365136103">
      <w:bodyDiv w:val="1"/>
      <w:marLeft w:val="0"/>
      <w:marRight w:val="0"/>
      <w:marTop w:val="0"/>
      <w:marBottom w:val="0"/>
      <w:divBdr>
        <w:top w:val="none" w:sz="0" w:space="0" w:color="auto"/>
        <w:left w:val="none" w:sz="0" w:space="0" w:color="auto"/>
        <w:bottom w:val="none" w:sz="0" w:space="0" w:color="auto"/>
        <w:right w:val="none" w:sz="0" w:space="0" w:color="auto"/>
      </w:divBdr>
    </w:div>
    <w:div w:id="1371417774">
      <w:bodyDiv w:val="1"/>
      <w:marLeft w:val="0"/>
      <w:marRight w:val="0"/>
      <w:marTop w:val="0"/>
      <w:marBottom w:val="0"/>
      <w:divBdr>
        <w:top w:val="none" w:sz="0" w:space="0" w:color="auto"/>
        <w:left w:val="none" w:sz="0" w:space="0" w:color="auto"/>
        <w:bottom w:val="none" w:sz="0" w:space="0" w:color="auto"/>
        <w:right w:val="none" w:sz="0" w:space="0" w:color="auto"/>
      </w:divBdr>
    </w:div>
    <w:div w:id="1371882136">
      <w:bodyDiv w:val="1"/>
      <w:marLeft w:val="0"/>
      <w:marRight w:val="0"/>
      <w:marTop w:val="0"/>
      <w:marBottom w:val="0"/>
      <w:divBdr>
        <w:top w:val="none" w:sz="0" w:space="0" w:color="auto"/>
        <w:left w:val="none" w:sz="0" w:space="0" w:color="auto"/>
        <w:bottom w:val="none" w:sz="0" w:space="0" w:color="auto"/>
        <w:right w:val="none" w:sz="0" w:space="0" w:color="auto"/>
      </w:divBdr>
    </w:div>
    <w:div w:id="1374690130">
      <w:bodyDiv w:val="1"/>
      <w:marLeft w:val="0"/>
      <w:marRight w:val="0"/>
      <w:marTop w:val="0"/>
      <w:marBottom w:val="0"/>
      <w:divBdr>
        <w:top w:val="none" w:sz="0" w:space="0" w:color="auto"/>
        <w:left w:val="none" w:sz="0" w:space="0" w:color="auto"/>
        <w:bottom w:val="none" w:sz="0" w:space="0" w:color="auto"/>
        <w:right w:val="none" w:sz="0" w:space="0" w:color="auto"/>
      </w:divBdr>
    </w:div>
    <w:div w:id="1376656889">
      <w:bodyDiv w:val="1"/>
      <w:marLeft w:val="0"/>
      <w:marRight w:val="0"/>
      <w:marTop w:val="0"/>
      <w:marBottom w:val="0"/>
      <w:divBdr>
        <w:top w:val="none" w:sz="0" w:space="0" w:color="auto"/>
        <w:left w:val="none" w:sz="0" w:space="0" w:color="auto"/>
        <w:bottom w:val="none" w:sz="0" w:space="0" w:color="auto"/>
        <w:right w:val="none" w:sz="0" w:space="0" w:color="auto"/>
      </w:divBdr>
    </w:div>
    <w:div w:id="1377050077">
      <w:bodyDiv w:val="1"/>
      <w:marLeft w:val="0"/>
      <w:marRight w:val="0"/>
      <w:marTop w:val="0"/>
      <w:marBottom w:val="0"/>
      <w:divBdr>
        <w:top w:val="none" w:sz="0" w:space="0" w:color="auto"/>
        <w:left w:val="none" w:sz="0" w:space="0" w:color="auto"/>
        <w:bottom w:val="none" w:sz="0" w:space="0" w:color="auto"/>
        <w:right w:val="none" w:sz="0" w:space="0" w:color="auto"/>
      </w:divBdr>
    </w:div>
    <w:div w:id="1378116691">
      <w:bodyDiv w:val="1"/>
      <w:marLeft w:val="0"/>
      <w:marRight w:val="0"/>
      <w:marTop w:val="0"/>
      <w:marBottom w:val="0"/>
      <w:divBdr>
        <w:top w:val="none" w:sz="0" w:space="0" w:color="auto"/>
        <w:left w:val="none" w:sz="0" w:space="0" w:color="auto"/>
        <w:bottom w:val="none" w:sz="0" w:space="0" w:color="auto"/>
        <w:right w:val="none" w:sz="0" w:space="0" w:color="auto"/>
      </w:divBdr>
    </w:div>
    <w:div w:id="1381903473">
      <w:bodyDiv w:val="1"/>
      <w:marLeft w:val="0"/>
      <w:marRight w:val="0"/>
      <w:marTop w:val="0"/>
      <w:marBottom w:val="0"/>
      <w:divBdr>
        <w:top w:val="none" w:sz="0" w:space="0" w:color="auto"/>
        <w:left w:val="none" w:sz="0" w:space="0" w:color="auto"/>
        <w:bottom w:val="none" w:sz="0" w:space="0" w:color="auto"/>
        <w:right w:val="none" w:sz="0" w:space="0" w:color="auto"/>
      </w:divBdr>
    </w:div>
    <w:div w:id="1385716653">
      <w:bodyDiv w:val="1"/>
      <w:marLeft w:val="0"/>
      <w:marRight w:val="0"/>
      <w:marTop w:val="0"/>
      <w:marBottom w:val="0"/>
      <w:divBdr>
        <w:top w:val="none" w:sz="0" w:space="0" w:color="auto"/>
        <w:left w:val="none" w:sz="0" w:space="0" w:color="auto"/>
        <w:bottom w:val="none" w:sz="0" w:space="0" w:color="auto"/>
        <w:right w:val="none" w:sz="0" w:space="0" w:color="auto"/>
      </w:divBdr>
    </w:div>
    <w:div w:id="1388725218">
      <w:bodyDiv w:val="1"/>
      <w:marLeft w:val="0"/>
      <w:marRight w:val="0"/>
      <w:marTop w:val="0"/>
      <w:marBottom w:val="0"/>
      <w:divBdr>
        <w:top w:val="none" w:sz="0" w:space="0" w:color="auto"/>
        <w:left w:val="none" w:sz="0" w:space="0" w:color="auto"/>
        <w:bottom w:val="none" w:sz="0" w:space="0" w:color="auto"/>
        <w:right w:val="none" w:sz="0" w:space="0" w:color="auto"/>
      </w:divBdr>
    </w:div>
    <w:div w:id="1389304186">
      <w:bodyDiv w:val="1"/>
      <w:marLeft w:val="0"/>
      <w:marRight w:val="0"/>
      <w:marTop w:val="0"/>
      <w:marBottom w:val="0"/>
      <w:divBdr>
        <w:top w:val="none" w:sz="0" w:space="0" w:color="auto"/>
        <w:left w:val="none" w:sz="0" w:space="0" w:color="auto"/>
        <w:bottom w:val="none" w:sz="0" w:space="0" w:color="auto"/>
        <w:right w:val="none" w:sz="0" w:space="0" w:color="auto"/>
      </w:divBdr>
    </w:div>
    <w:div w:id="1397706850">
      <w:bodyDiv w:val="1"/>
      <w:marLeft w:val="0"/>
      <w:marRight w:val="0"/>
      <w:marTop w:val="0"/>
      <w:marBottom w:val="0"/>
      <w:divBdr>
        <w:top w:val="none" w:sz="0" w:space="0" w:color="auto"/>
        <w:left w:val="none" w:sz="0" w:space="0" w:color="auto"/>
        <w:bottom w:val="none" w:sz="0" w:space="0" w:color="auto"/>
        <w:right w:val="none" w:sz="0" w:space="0" w:color="auto"/>
      </w:divBdr>
    </w:div>
    <w:div w:id="1400786955">
      <w:bodyDiv w:val="1"/>
      <w:marLeft w:val="0"/>
      <w:marRight w:val="0"/>
      <w:marTop w:val="0"/>
      <w:marBottom w:val="0"/>
      <w:divBdr>
        <w:top w:val="none" w:sz="0" w:space="0" w:color="auto"/>
        <w:left w:val="none" w:sz="0" w:space="0" w:color="auto"/>
        <w:bottom w:val="none" w:sz="0" w:space="0" w:color="auto"/>
        <w:right w:val="none" w:sz="0" w:space="0" w:color="auto"/>
      </w:divBdr>
    </w:div>
    <w:div w:id="1402020138">
      <w:bodyDiv w:val="1"/>
      <w:marLeft w:val="0"/>
      <w:marRight w:val="0"/>
      <w:marTop w:val="0"/>
      <w:marBottom w:val="0"/>
      <w:divBdr>
        <w:top w:val="none" w:sz="0" w:space="0" w:color="auto"/>
        <w:left w:val="none" w:sz="0" w:space="0" w:color="auto"/>
        <w:bottom w:val="none" w:sz="0" w:space="0" w:color="auto"/>
        <w:right w:val="none" w:sz="0" w:space="0" w:color="auto"/>
      </w:divBdr>
    </w:div>
    <w:div w:id="1407414913">
      <w:bodyDiv w:val="1"/>
      <w:marLeft w:val="0"/>
      <w:marRight w:val="0"/>
      <w:marTop w:val="0"/>
      <w:marBottom w:val="0"/>
      <w:divBdr>
        <w:top w:val="none" w:sz="0" w:space="0" w:color="auto"/>
        <w:left w:val="none" w:sz="0" w:space="0" w:color="auto"/>
        <w:bottom w:val="none" w:sz="0" w:space="0" w:color="auto"/>
        <w:right w:val="none" w:sz="0" w:space="0" w:color="auto"/>
      </w:divBdr>
    </w:div>
    <w:div w:id="1407916662">
      <w:bodyDiv w:val="1"/>
      <w:marLeft w:val="0"/>
      <w:marRight w:val="0"/>
      <w:marTop w:val="0"/>
      <w:marBottom w:val="0"/>
      <w:divBdr>
        <w:top w:val="none" w:sz="0" w:space="0" w:color="auto"/>
        <w:left w:val="none" w:sz="0" w:space="0" w:color="auto"/>
        <w:bottom w:val="none" w:sz="0" w:space="0" w:color="auto"/>
        <w:right w:val="none" w:sz="0" w:space="0" w:color="auto"/>
      </w:divBdr>
    </w:div>
    <w:div w:id="1409308107">
      <w:bodyDiv w:val="1"/>
      <w:marLeft w:val="0"/>
      <w:marRight w:val="0"/>
      <w:marTop w:val="0"/>
      <w:marBottom w:val="0"/>
      <w:divBdr>
        <w:top w:val="none" w:sz="0" w:space="0" w:color="auto"/>
        <w:left w:val="none" w:sz="0" w:space="0" w:color="auto"/>
        <w:bottom w:val="none" w:sz="0" w:space="0" w:color="auto"/>
        <w:right w:val="none" w:sz="0" w:space="0" w:color="auto"/>
      </w:divBdr>
    </w:div>
    <w:div w:id="1412696365">
      <w:bodyDiv w:val="1"/>
      <w:marLeft w:val="0"/>
      <w:marRight w:val="0"/>
      <w:marTop w:val="0"/>
      <w:marBottom w:val="0"/>
      <w:divBdr>
        <w:top w:val="none" w:sz="0" w:space="0" w:color="auto"/>
        <w:left w:val="none" w:sz="0" w:space="0" w:color="auto"/>
        <w:bottom w:val="none" w:sz="0" w:space="0" w:color="auto"/>
        <w:right w:val="none" w:sz="0" w:space="0" w:color="auto"/>
      </w:divBdr>
    </w:div>
    <w:div w:id="1413550475">
      <w:bodyDiv w:val="1"/>
      <w:marLeft w:val="0"/>
      <w:marRight w:val="0"/>
      <w:marTop w:val="0"/>
      <w:marBottom w:val="0"/>
      <w:divBdr>
        <w:top w:val="none" w:sz="0" w:space="0" w:color="auto"/>
        <w:left w:val="none" w:sz="0" w:space="0" w:color="auto"/>
        <w:bottom w:val="none" w:sz="0" w:space="0" w:color="auto"/>
        <w:right w:val="none" w:sz="0" w:space="0" w:color="auto"/>
      </w:divBdr>
    </w:div>
    <w:div w:id="1413775147">
      <w:bodyDiv w:val="1"/>
      <w:marLeft w:val="0"/>
      <w:marRight w:val="0"/>
      <w:marTop w:val="0"/>
      <w:marBottom w:val="0"/>
      <w:divBdr>
        <w:top w:val="none" w:sz="0" w:space="0" w:color="auto"/>
        <w:left w:val="none" w:sz="0" w:space="0" w:color="auto"/>
        <w:bottom w:val="none" w:sz="0" w:space="0" w:color="auto"/>
        <w:right w:val="none" w:sz="0" w:space="0" w:color="auto"/>
      </w:divBdr>
    </w:div>
    <w:div w:id="1415779828">
      <w:bodyDiv w:val="1"/>
      <w:marLeft w:val="0"/>
      <w:marRight w:val="0"/>
      <w:marTop w:val="0"/>
      <w:marBottom w:val="0"/>
      <w:divBdr>
        <w:top w:val="none" w:sz="0" w:space="0" w:color="auto"/>
        <w:left w:val="none" w:sz="0" w:space="0" w:color="auto"/>
        <w:bottom w:val="none" w:sz="0" w:space="0" w:color="auto"/>
        <w:right w:val="none" w:sz="0" w:space="0" w:color="auto"/>
      </w:divBdr>
    </w:div>
    <w:div w:id="1416826899">
      <w:bodyDiv w:val="1"/>
      <w:marLeft w:val="0"/>
      <w:marRight w:val="0"/>
      <w:marTop w:val="0"/>
      <w:marBottom w:val="0"/>
      <w:divBdr>
        <w:top w:val="none" w:sz="0" w:space="0" w:color="auto"/>
        <w:left w:val="none" w:sz="0" w:space="0" w:color="auto"/>
        <w:bottom w:val="none" w:sz="0" w:space="0" w:color="auto"/>
        <w:right w:val="none" w:sz="0" w:space="0" w:color="auto"/>
      </w:divBdr>
    </w:div>
    <w:div w:id="1420057362">
      <w:bodyDiv w:val="1"/>
      <w:marLeft w:val="0"/>
      <w:marRight w:val="0"/>
      <w:marTop w:val="0"/>
      <w:marBottom w:val="0"/>
      <w:divBdr>
        <w:top w:val="none" w:sz="0" w:space="0" w:color="auto"/>
        <w:left w:val="none" w:sz="0" w:space="0" w:color="auto"/>
        <w:bottom w:val="none" w:sz="0" w:space="0" w:color="auto"/>
        <w:right w:val="none" w:sz="0" w:space="0" w:color="auto"/>
      </w:divBdr>
    </w:div>
    <w:div w:id="1420759563">
      <w:bodyDiv w:val="1"/>
      <w:marLeft w:val="0"/>
      <w:marRight w:val="0"/>
      <w:marTop w:val="0"/>
      <w:marBottom w:val="0"/>
      <w:divBdr>
        <w:top w:val="none" w:sz="0" w:space="0" w:color="auto"/>
        <w:left w:val="none" w:sz="0" w:space="0" w:color="auto"/>
        <w:bottom w:val="none" w:sz="0" w:space="0" w:color="auto"/>
        <w:right w:val="none" w:sz="0" w:space="0" w:color="auto"/>
      </w:divBdr>
    </w:div>
    <w:div w:id="1420902575">
      <w:bodyDiv w:val="1"/>
      <w:marLeft w:val="0"/>
      <w:marRight w:val="0"/>
      <w:marTop w:val="0"/>
      <w:marBottom w:val="0"/>
      <w:divBdr>
        <w:top w:val="none" w:sz="0" w:space="0" w:color="auto"/>
        <w:left w:val="none" w:sz="0" w:space="0" w:color="auto"/>
        <w:bottom w:val="none" w:sz="0" w:space="0" w:color="auto"/>
        <w:right w:val="none" w:sz="0" w:space="0" w:color="auto"/>
      </w:divBdr>
    </w:div>
    <w:div w:id="1420952372">
      <w:bodyDiv w:val="1"/>
      <w:marLeft w:val="0"/>
      <w:marRight w:val="0"/>
      <w:marTop w:val="0"/>
      <w:marBottom w:val="0"/>
      <w:divBdr>
        <w:top w:val="none" w:sz="0" w:space="0" w:color="auto"/>
        <w:left w:val="none" w:sz="0" w:space="0" w:color="auto"/>
        <w:bottom w:val="none" w:sz="0" w:space="0" w:color="auto"/>
        <w:right w:val="none" w:sz="0" w:space="0" w:color="auto"/>
      </w:divBdr>
    </w:div>
    <w:div w:id="1423450829">
      <w:bodyDiv w:val="1"/>
      <w:marLeft w:val="0"/>
      <w:marRight w:val="0"/>
      <w:marTop w:val="0"/>
      <w:marBottom w:val="0"/>
      <w:divBdr>
        <w:top w:val="none" w:sz="0" w:space="0" w:color="auto"/>
        <w:left w:val="none" w:sz="0" w:space="0" w:color="auto"/>
        <w:bottom w:val="none" w:sz="0" w:space="0" w:color="auto"/>
        <w:right w:val="none" w:sz="0" w:space="0" w:color="auto"/>
      </w:divBdr>
    </w:div>
    <w:div w:id="1423992747">
      <w:bodyDiv w:val="1"/>
      <w:marLeft w:val="0"/>
      <w:marRight w:val="0"/>
      <w:marTop w:val="0"/>
      <w:marBottom w:val="0"/>
      <w:divBdr>
        <w:top w:val="none" w:sz="0" w:space="0" w:color="auto"/>
        <w:left w:val="none" w:sz="0" w:space="0" w:color="auto"/>
        <w:bottom w:val="none" w:sz="0" w:space="0" w:color="auto"/>
        <w:right w:val="none" w:sz="0" w:space="0" w:color="auto"/>
      </w:divBdr>
    </w:div>
    <w:div w:id="1426271432">
      <w:bodyDiv w:val="1"/>
      <w:marLeft w:val="0"/>
      <w:marRight w:val="0"/>
      <w:marTop w:val="0"/>
      <w:marBottom w:val="0"/>
      <w:divBdr>
        <w:top w:val="none" w:sz="0" w:space="0" w:color="auto"/>
        <w:left w:val="none" w:sz="0" w:space="0" w:color="auto"/>
        <w:bottom w:val="none" w:sz="0" w:space="0" w:color="auto"/>
        <w:right w:val="none" w:sz="0" w:space="0" w:color="auto"/>
      </w:divBdr>
    </w:div>
    <w:div w:id="1426806344">
      <w:bodyDiv w:val="1"/>
      <w:marLeft w:val="0"/>
      <w:marRight w:val="0"/>
      <w:marTop w:val="0"/>
      <w:marBottom w:val="0"/>
      <w:divBdr>
        <w:top w:val="none" w:sz="0" w:space="0" w:color="auto"/>
        <w:left w:val="none" w:sz="0" w:space="0" w:color="auto"/>
        <w:bottom w:val="none" w:sz="0" w:space="0" w:color="auto"/>
        <w:right w:val="none" w:sz="0" w:space="0" w:color="auto"/>
      </w:divBdr>
    </w:div>
    <w:div w:id="1427969031">
      <w:bodyDiv w:val="1"/>
      <w:marLeft w:val="0"/>
      <w:marRight w:val="0"/>
      <w:marTop w:val="0"/>
      <w:marBottom w:val="0"/>
      <w:divBdr>
        <w:top w:val="none" w:sz="0" w:space="0" w:color="auto"/>
        <w:left w:val="none" w:sz="0" w:space="0" w:color="auto"/>
        <w:bottom w:val="none" w:sz="0" w:space="0" w:color="auto"/>
        <w:right w:val="none" w:sz="0" w:space="0" w:color="auto"/>
      </w:divBdr>
    </w:div>
    <w:div w:id="1430350773">
      <w:bodyDiv w:val="1"/>
      <w:marLeft w:val="0"/>
      <w:marRight w:val="0"/>
      <w:marTop w:val="0"/>
      <w:marBottom w:val="0"/>
      <w:divBdr>
        <w:top w:val="none" w:sz="0" w:space="0" w:color="auto"/>
        <w:left w:val="none" w:sz="0" w:space="0" w:color="auto"/>
        <w:bottom w:val="none" w:sz="0" w:space="0" w:color="auto"/>
        <w:right w:val="none" w:sz="0" w:space="0" w:color="auto"/>
      </w:divBdr>
    </w:div>
    <w:div w:id="1432706640">
      <w:bodyDiv w:val="1"/>
      <w:marLeft w:val="0"/>
      <w:marRight w:val="0"/>
      <w:marTop w:val="0"/>
      <w:marBottom w:val="0"/>
      <w:divBdr>
        <w:top w:val="none" w:sz="0" w:space="0" w:color="auto"/>
        <w:left w:val="none" w:sz="0" w:space="0" w:color="auto"/>
        <w:bottom w:val="none" w:sz="0" w:space="0" w:color="auto"/>
        <w:right w:val="none" w:sz="0" w:space="0" w:color="auto"/>
      </w:divBdr>
    </w:div>
    <w:div w:id="1437797558">
      <w:bodyDiv w:val="1"/>
      <w:marLeft w:val="0"/>
      <w:marRight w:val="0"/>
      <w:marTop w:val="0"/>
      <w:marBottom w:val="0"/>
      <w:divBdr>
        <w:top w:val="none" w:sz="0" w:space="0" w:color="auto"/>
        <w:left w:val="none" w:sz="0" w:space="0" w:color="auto"/>
        <w:bottom w:val="none" w:sz="0" w:space="0" w:color="auto"/>
        <w:right w:val="none" w:sz="0" w:space="0" w:color="auto"/>
      </w:divBdr>
    </w:div>
    <w:div w:id="1447848851">
      <w:bodyDiv w:val="1"/>
      <w:marLeft w:val="0"/>
      <w:marRight w:val="0"/>
      <w:marTop w:val="0"/>
      <w:marBottom w:val="0"/>
      <w:divBdr>
        <w:top w:val="none" w:sz="0" w:space="0" w:color="auto"/>
        <w:left w:val="none" w:sz="0" w:space="0" w:color="auto"/>
        <w:bottom w:val="none" w:sz="0" w:space="0" w:color="auto"/>
        <w:right w:val="none" w:sz="0" w:space="0" w:color="auto"/>
      </w:divBdr>
    </w:div>
    <w:div w:id="1447963852">
      <w:bodyDiv w:val="1"/>
      <w:marLeft w:val="0"/>
      <w:marRight w:val="0"/>
      <w:marTop w:val="0"/>
      <w:marBottom w:val="0"/>
      <w:divBdr>
        <w:top w:val="none" w:sz="0" w:space="0" w:color="auto"/>
        <w:left w:val="none" w:sz="0" w:space="0" w:color="auto"/>
        <w:bottom w:val="none" w:sz="0" w:space="0" w:color="auto"/>
        <w:right w:val="none" w:sz="0" w:space="0" w:color="auto"/>
      </w:divBdr>
    </w:div>
    <w:div w:id="1451244984">
      <w:bodyDiv w:val="1"/>
      <w:marLeft w:val="0"/>
      <w:marRight w:val="0"/>
      <w:marTop w:val="0"/>
      <w:marBottom w:val="0"/>
      <w:divBdr>
        <w:top w:val="none" w:sz="0" w:space="0" w:color="auto"/>
        <w:left w:val="none" w:sz="0" w:space="0" w:color="auto"/>
        <w:bottom w:val="none" w:sz="0" w:space="0" w:color="auto"/>
        <w:right w:val="none" w:sz="0" w:space="0" w:color="auto"/>
      </w:divBdr>
    </w:div>
    <w:div w:id="1453479395">
      <w:bodyDiv w:val="1"/>
      <w:marLeft w:val="0"/>
      <w:marRight w:val="0"/>
      <w:marTop w:val="0"/>
      <w:marBottom w:val="0"/>
      <w:divBdr>
        <w:top w:val="none" w:sz="0" w:space="0" w:color="auto"/>
        <w:left w:val="none" w:sz="0" w:space="0" w:color="auto"/>
        <w:bottom w:val="none" w:sz="0" w:space="0" w:color="auto"/>
        <w:right w:val="none" w:sz="0" w:space="0" w:color="auto"/>
      </w:divBdr>
    </w:div>
    <w:div w:id="1463768470">
      <w:bodyDiv w:val="1"/>
      <w:marLeft w:val="0"/>
      <w:marRight w:val="0"/>
      <w:marTop w:val="0"/>
      <w:marBottom w:val="0"/>
      <w:divBdr>
        <w:top w:val="none" w:sz="0" w:space="0" w:color="auto"/>
        <w:left w:val="none" w:sz="0" w:space="0" w:color="auto"/>
        <w:bottom w:val="none" w:sz="0" w:space="0" w:color="auto"/>
        <w:right w:val="none" w:sz="0" w:space="0" w:color="auto"/>
      </w:divBdr>
    </w:div>
    <w:div w:id="1465074627">
      <w:bodyDiv w:val="1"/>
      <w:marLeft w:val="0"/>
      <w:marRight w:val="0"/>
      <w:marTop w:val="0"/>
      <w:marBottom w:val="0"/>
      <w:divBdr>
        <w:top w:val="none" w:sz="0" w:space="0" w:color="auto"/>
        <w:left w:val="none" w:sz="0" w:space="0" w:color="auto"/>
        <w:bottom w:val="none" w:sz="0" w:space="0" w:color="auto"/>
        <w:right w:val="none" w:sz="0" w:space="0" w:color="auto"/>
      </w:divBdr>
    </w:div>
    <w:div w:id="1466923012">
      <w:bodyDiv w:val="1"/>
      <w:marLeft w:val="0"/>
      <w:marRight w:val="0"/>
      <w:marTop w:val="0"/>
      <w:marBottom w:val="0"/>
      <w:divBdr>
        <w:top w:val="none" w:sz="0" w:space="0" w:color="auto"/>
        <w:left w:val="none" w:sz="0" w:space="0" w:color="auto"/>
        <w:bottom w:val="none" w:sz="0" w:space="0" w:color="auto"/>
        <w:right w:val="none" w:sz="0" w:space="0" w:color="auto"/>
      </w:divBdr>
    </w:div>
    <w:div w:id="1466973305">
      <w:bodyDiv w:val="1"/>
      <w:marLeft w:val="0"/>
      <w:marRight w:val="0"/>
      <w:marTop w:val="0"/>
      <w:marBottom w:val="0"/>
      <w:divBdr>
        <w:top w:val="none" w:sz="0" w:space="0" w:color="auto"/>
        <w:left w:val="none" w:sz="0" w:space="0" w:color="auto"/>
        <w:bottom w:val="none" w:sz="0" w:space="0" w:color="auto"/>
        <w:right w:val="none" w:sz="0" w:space="0" w:color="auto"/>
      </w:divBdr>
    </w:div>
    <w:div w:id="1469935084">
      <w:bodyDiv w:val="1"/>
      <w:marLeft w:val="0"/>
      <w:marRight w:val="0"/>
      <w:marTop w:val="0"/>
      <w:marBottom w:val="0"/>
      <w:divBdr>
        <w:top w:val="none" w:sz="0" w:space="0" w:color="auto"/>
        <w:left w:val="none" w:sz="0" w:space="0" w:color="auto"/>
        <w:bottom w:val="none" w:sz="0" w:space="0" w:color="auto"/>
        <w:right w:val="none" w:sz="0" w:space="0" w:color="auto"/>
      </w:divBdr>
    </w:div>
    <w:div w:id="1470055339">
      <w:bodyDiv w:val="1"/>
      <w:marLeft w:val="0"/>
      <w:marRight w:val="0"/>
      <w:marTop w:val="0"/>
      <w:marBottom w:val="0"/>
      <w:divBdr>
        <w:top w:val="none" w:sz="0" w:space="0" w:color="auto"/>
        <w:left w:val="none" w:sz="0" w:space="0" w:color="auto"/>
        <w:bottom w:val="none" w:sz="0" w:space="0" w:color="auto"/>
        <w:right w:val="none" w:sz="0" w:space="0" w:color="auto"/>
      </w:divBdr>
    </w:div>
    <w:div w:id="1477524119">
      <w:bodyDiv w:val="1"/>
      <w:marLeft w:val="0"/>
      <w:marRight w:val="0"/>
      <w:marTop w:val="0"/>
      <w:marBottom w:val="0"/>
      <w:divBdr>
        <w:top w:val="none" w:sz="0" w:space="0" w:color="auto"/>
        <w:left w:val="none" w:sz="0" w:space="0" w:color="auto"/>
        <w:bottom w:val="none" w:sz="0" w:space="0" w:color="auto"/>
        <w:right w:val="none" w:sz="0" w:space="0" w:color="auto"/>
      </w:divBdr>
    </w:div>
    <w:div w:id="1481073878">
      <w:bodyDiv w:val="1"/>
      <w:marLeft w:val="0"/>
      <w:marRight w:val="0"/>
      <w:marTop w:val="0"/>
      <w:marBottom w:val="0"/>
      <w:divBdr>
        <w:top w:val="none" w:sz="0" w:space="0" w:color="auto"/>
        <w:left w:val="none" w:sz="0" w:space="0" w:color="auto"/>
        <w:bottom w:val="none" w:sz="0" w:space="0" w:color="auto"/>
        <w:right w:val="none" w:sz="0" w:space="0" w:color="auto"/>
      </w:divBdr>
    </w:div>
    <w:div w:id="1488127210">
      <w:bodyDiv w:val="1"/>
      <w:marLeft w:val="0"/>
      <w:marRight w:val="0"/>
      <w:marTop w:val="0"/>
      <w:marBottom w:val="0"/>
      <w:divBdr>
        <w:top w:val="none" w:sz="0" w:space="0" w:color="auto"/>
        <w:left w:val="none" w:sz="0" w:space="0" w:color="auto"/>
        <w:bottom w:val="none" w:sz="0" w:space="0" w:color="auto"/>
        <w:right w:val="none" w:sz="0" w:space="0" w:color="auto"/>
      </w:divBdr>
    </w:div>
    <w:div w:id="1491216085">
      <w:bodyDiv w:val="1"/>
      <w:marLeft w:val="0"/>
      <w:marRight w:val="0"/>
      <w:marTop w:val="0"/>
      <w:marBottom w:val="0"/>
      <w:divBdr>
        <w:top w:val="none" w:sz="0" w:space="0" w:color="auto"/>
        <w:left w:val="none" w:sz="0" w:space="0" w:color="auto"/>
        <w:bottom w:val="none" w:sz="0" w:space="0" w:color="auto"/>
        <w:right w:val="none" w:sz="0" w:space="0" w:color="auto"/>
      </w:divBdr>
    </w:div>
    <w:div w:id="1492214669">
      <w:bodyDiv w:val="1"/>
      <w:marLeft w:val="0"/>
      <w:marRight w:val="0"/>
      <w:marTop w:val="0"/>
      <w:marBottom w:val="0"/>
      <w:divBdr>
        <w:top w:val="none" w:sz="0" w:space="0" w:color="auto"/>
        <w:left w:val="none" w:sz="0" w:space="0" w:color="auto"/>
        <w:bottom w:val="none" w:sz="0" w:space="0" w:color="auto"/>
        <w:right w:val="none" w:sz="0" w:space="0" w:color="auto"/>
      </w:divBdr>
    </w:div>
    <w:div w:id="1495218582">
      <w:bodyDiv w:val="1"/>
      <w:marLeft w:val="0"/>
      <w:marRight w:val="0"/>
      <w:marTop w:val="0"/>
      <w:marBottom w:val="0"/>
      <w:divBdr>
        <w:top w:val="none" w:sz="0" w:space="0" w:color="auto"/>
        <w:left w:val="none" w:sz="0" w:space="0" w:color="auto"/>
        <w:bottom w:val="none" w:sz="0" w:space="0" w:color="auto"/>
        <w:right w:val="none" w:sz="0" w:space="0" w:color="auto"/>
      </w:divBdr>
    </w:div>
    <w:div w:id="1495804146">
      <w:bodyDiv w:val="1"/>
      <w:marLeft w:val="0"/>
      <w:marRight w:val="0"/>
      <w:marTop w:val="0"/>
      <w:marBottom w:val="0"/>
      <w:divBdr>
        <w:top w:val="none" w:sz="0" w:space="0" w:color="auto"/>
        <w:left w:val="none" w:sz="0" w:space="0" w:color="auto"/>
        <w:bottom w:val="none" w:sz="0" w:space="0" w:color="auto"/>
        <w:right w:val="none" w:sz="0" w:space="0" w:color="auto"/>
      </w:divBdr>
    </w:div>
    <w:div w:id="1496535969">
      <w:bodyDiv w:val="1"/>
      <w:marLeft w:val="0"/>
      <w:marRight w:val="0"/>
      <w:marTop w:val="0"/>
      <w:marBottom w:val="0"/>
      <w:divBdr>
        <w:top w:val="none" w:sz="0" w:space="0" w:color="auto"/>
        <w:left w:val="none" w:sz="0" w:space="0" w:color="auto"/>
        <w:bottom w:val="none" w:sz="0" w:space="0" w:color="auto"/>
        <w:right w:val="none" w:sz="0" w:space="0" w:color="auto"/>
      </w:divBdr>
    </w:div>
    <w:div w:id="1501850689">
      <w:bodyDiv w:val="1"/>
      <w:marLeft w:val="0"/>
      <w:marRight w:val="0"/>
      <w:marTop w:val="0"/>
      <w:marBottom w:val="0"/>
      <w:divBdr>
        <w:top w:val="none" w:sz="0" w:space="0" w:color="auto"/>
        <w:left w:val="none" w:sz="0" w:space="0" w:color="auto"/>
        <w:bottom w:val="none" w:sz="0" w:space="0" w:color="auto"/>
        <w:right w:val="none" w:sz="0" w:space="0" w:color="auto"/>
      </w:divBdr>
    </w:div>
    <w:div w:id="1503080657">
      <w:bodyDiv w:val="1"/>
      <w:marLeft w:val="0"/>
      <w:marRight w:val="0"/>
      <w:marTop w:val="0"/>
      <w:marBottom w:val="0"/>
      <w:divBdr>
        <w:top w:val="none" w:sz="0" w:space="0" w:color="auto"/>
        <w:left w:val="none" w:sz="0" w:space="0" w:color="auto"/>
        <w:bottom w:val="none" w:sz="0" w:space="0" w:color="auto"/>
        <w:right w:val="none" w:sz="0" w:space="0" w:color="auto"/>
      </w:divBdr>
    </w:div>
    <w:div w:id="1503543588">
      <w:bodyDiv w:val="1"/>
      <w:marLeft w:val="0"/>
      <w:marRight w:val="0"/>
      <w:marTop w:val="0"/>
      <w:marBottom w:val="0"/>
      <w:divBdr>
        <w:top w:val="none" w:sz="0" w:space="0" w:color="auto"/>
        <w:left w:val="none" w:sz="0" w:space="0" w:color="auto"/>
        <w:bottom w:val="none" w:sz="0" w:space="0" w:color="auto"/>
        <w:right w:val="none" w:sz="0" w:space="0" w:color="auto"/>
      </w:divBdr>
    </w:div>
    <w:div w:id="1505903232">
      <w:bodyDiv w:val="1"/>
      <w:marLeft w:val="0"/>
      <w:marRight w:val="0"/>
      <w:marTop w:val="0"/>
      <w:marBottom w:val="0"/>
      <w:divBdr>
        <w:top w:val="none" w:sz="0" w:space="0" w:color="auto"/>
        <w:left w:val="none" w:sz="0" w:space="0" w:color="auto"/>
        <w:bottom w:val="none" w:sz="0" w:space="0" w:color="auto"/>
        <w:right w:val="none" w:sz="0" w:space="0" w:color="auto"/>
      </w:divBdr>
    </w:div>
    <w:div w:id="1509369617">
      <w:bodyDiv w:val="1"/>
      <w:marLeft w:val="0"/>
      <w:marRight w:val="0"/>
      <w:marTop w:val="0"/>
      <w:marBottom w:val="0"/>
      <w:divBdr>
        <w:top w:val="none" w:sz="0" w:space="0" w:color="auto"/>
        <w:left w:val="none" w:sz="0" w:space="0" w:color="auto"/>
        <w:bottom w:val="none" w:sz="0" w:space="0" w:color="auto"/>
        <w:right w:val="none" w:sz="0" w:space="0" w:color="auto"/>
      </w:divBdr>
    </w:div>
    <w:div w:id="1511289613">
      <w:bodyDiv w:val="1"/>
      <w:marLeft w:val="0"/>
      <w:marRight w:val="0"/>
      <w:marTop w:val="0"/>
      <w:marBottom w:val="0"/>
      <w:divBdr>
        <w:top w:val="none" w:sz="0" w:space="0" w:color="auto"/>
        <w:left w:val="none" w:sz="0" w:space="0" w:color="auto"/>
        <w:bottom w:val="none" w:sz="0" w:space="0" w:color="auto"/>
        <w:right w:val="none" w:sz="0" w:space="0" w:color="auto"/>
      </w:divBdr>
    </w:div>
    <w:div w:id="1512599636">
      <w:bodyDiv w:val="1"/>
      <w:marLeft w:val="0"/>
      <w:marRight w:val="0"/>
      <w:marTop w:val="0"/>
      <w:marBottom w:val="0"/>
      <w:divBdr>
        <w:top w:val="none" w:sz="0" w:space="0" w:color="auto"/>
        <w:left w:val="none" w:sz="0" w:space="0" w:color="auto"/>
        <w:bottom w:val="none" w:sz="0" w:space="0" w:color="auto"/>
        <w:right w:val="none" w:sz="0" w:space="0" w:color="auto"/>
      </w:divBdr>
    </w:div>
    <w:div w:id="1513062037">
      <w:bodyDiv w:val="1"/>
      <w:marLeft w:val="0"/>
      <w:marRight w:val="0"/>
      <w:marTop w:val="0"/>
      <w:marBottom w:val="0"/>
      <w:divBdr>
        <w:top w:val="none" w:sz="0" w:space="0" w:color="auto"/>
        <w:left w:val="none" w:sz="0" w:space="0" w:color="auto"/>
        <w:bottom w:val="none" w:sz="0" w:space="0" w:color="auto"/>
        <w:right w:val="none" w:sz="0" w:space="0" w:color="auto"/>
      </w:divBdr>
    </w:div>
    <w:div w:id="1513569998">
      <w:bodyDiv w:val="1"/>
      <w:marLeft w:val="0"/>
      <w:marRight w:val="0"/>
      <w:marTop w:val="0"/>
      <w:marBottom w:val="0"/>
      <w:divBdr>
        <w:top w:val="none" w:sz="0" w:space="0" w:color="auto"/>
        <w:left w:val="none" w:sz="0" w:space="0" w:color="auto"/>
        <w:bottom w:val="none" w:sz="0" w:space="0" w:color="auto"/>
        <w:right w:val="none" w:sz="0" w:space="0" w:color="auto"/>
      </w:divBdr>
    </w:div>
    <w:div w:id="1515463642">
      <w:bodyDiv w:val="1"/>
      <w:marLeft w:val="0"/>
      <w:marRight w:val="0"/>
      <w:marTop w:val="0"/>
      <w:marBottom w:val="0"/>
      <w:divBdr>
        <w:top w:val="none" w:sz="0" w:space="0" w:color="auto"/>
        <w:left w:val="none" w:sz="0" w:space="0" w:color="auto"/>
        <w:bottom w:val="none" w:sz="0" w:space="0" w:color="auto"/>
        <w:right w:val="none" w:sz="0" w:space="0" w:color="auto"/>
      </w:divBdr>
    </w:div>
    <w:div w:id="1515726153">
      <w:bodyDiv w:val="1"/>
      <w:marLeft w:val="0"/>
      <w:marRight w:val="0"/>
      <w:marTop w:val="0"/>
      <w:marBottom w:val="0"/>
      <w:divBdr>
        <w:top w:val="none" w:sz="0" w:space="0" w:color="auto"/>
        <w:left w:val="none" w:sz="0" w:space="0" w:color="auto"/>
        <w:bottom w:val="none" w:sz="0" w:space="0" w:color="auto"/>
        <w:right w:val="none" w:sz="0" w:space="0" w:color="auto"/>
      </w:divBdr>
    </w:div>
    <w:div w:id="1519849688">
      <w:bodyDiv w:val="1"/>
      <w:marLeft w:val="0"/>
      <w:marRight w:val="0"/>
      <w:marTop w:val="0"/>
      <w:marBottom w:val="0"/>
      <w:divBdr>
        <w:top w:val="none" w:sz="0" w:space="0" w:color="auto"/>
        <w:left w:val="none" w:sz="0" w:space="0" w:color="auto"/>
        <w:bottom w:val="none" w:sz="0" w:space="0" w:color="auto"/>
        <w:right w:val="none" w:sz="0" w:space="0" w:color="auto"/>
      </w:divBdr>
    </w:div>
    <w:div w:id="1520008173">
      <w:bodyDiv w:val="1"/>
      <w:marLeft w:val="0"/>
      <w:marRight w:val="0"/>
      <w:marTop w:val="0"/>
      <w:marBottom w:val="0"/>
      <w:divBdr>
        <w:top w:val="none" w:sz="0" w:space="0" w:color="auto"/>
        <w:left w:val="none" w:sz="0" w:space="0" w:color="auto"/>
        <w:bottom w:val="none" w:sz="0" w:space="0" w:color="auto"/>
        <w:right w:val="none" w:sz="0" w:space="0" w:color="auto"/>
      </w:divBdr>
    </w:div>
    <w:div w:id="1520704967">
      <w:bodyDiv w:val="1"/>
      <w:marLeft w:val="0"/>
      <w:marRight w:val="0"/>
      <w:marTop w:val="0"/>
      <w:marBottom w:val="0"/>
      <w:divBdr>
        <w:top w:val="none" w:sz="0" w:space="0" w:color="auto"/>
        <w:left w:val="none" w:sz="0" w:space="0" w:color="auto"/>
        <w:bottom w:val="none" w:sz="0" w:space="0" w:color="auto"/>
        <w:right w:val="none" w:sz="0" w:space="0" w:color="auto"/>
      </w:divBdr>
    </w:div>
    <w:div w:id="1522937034">
      <w:bodyDiv w:val="1"/>
      <w:marLeft w:val="0"/>
      <w:marRight w:val="0"/>
      <w:marTop w:val="0"/>
      <w:marBottom w:val="0"/>
      <w:divBdr>
        <w:top w:val="none" w:sz="0" w:space="0" w:color="auto"/>
        <w:left w:val="none" w:sz="0" w:space="0" w:color="auto"/>
        <w:bottom w:val="none" w:sz="0" w:space="0" w:color="auto"/>
        <w:right w:val="none" w:sz="0" w:space="0" w:color="auto"/>
      </w:divBdr>
    </w:div>
    <w:div w:id="1525166063">
      <w:bodyDiv w:val="1"/>
      <w:marLeft w:val="0"/>
      <w:marRight w:val="0"/>
      <w:marTop w:val="0"/>
      <w:marBottom w:val="0"/>
      <w:divBdr>
        <w:top w:val="none" w:sz="0" w:space="0" w:color="auto"/>
        <w:left w:val="none" w:sz="0" w:space="0" w:color="auto"/>
        <w:bottom w:val="none" w:sz="0" w:space="0" w:color="auto"/>
        <w:right w:val="none" w:sz="0" w:space="0" w:color="auto"/>
      </w:divBdr>
    </w:div>
    <w:div w:id="1539775543">
      <w:bodyDiv w:val="1"/>
      <w:marLeft w:val="0"/>
      <w:marRight w:val="0"/>
      <w:marTop w:val="0"/>
      <w:marBottom w:val="0"/>
      <w:divBdr>
        <w:top w:val="none" w:sz="0" w:space="0" w:color="auto"/>
        <w:left w:val="none" w:sz="0" w:space="0" w:color="auto"/>
        <w:bottom w:val="none" w:sz="0" w:space="0" w:color="auto"/>
        <w:right w:val="none" w:sz="0" w:space="0" w:color="auto"/>
      </w:divBdr>
    </w:div>
    <w:div w:id="1539925640">
      <w:bodyDiv w:val="1"/>
      <w:marLeft w:val="0"/>
      <w:marRight w:val="0"/>
      <w:marTop w:val="0"/>
      <w:marBottom w:val="0"/>
      <w:divBdr>
        <w:top w:val="none" w:sz="0" w:space="0" w:color="auto"/>
        <w:left w:val="none" w:sz="0" w:space="0" w:color="auto"/>
        <w:bottom w:val="none" w:sz="0" w:space="0" w:color="auto"/>
        <w:right w:val="none" w:sz="0" w:space="0" w:color="auto"/>
      </w:divBdr>
    </w:div>
    <w:div w:id="1541093181">
      <w:bodyDiv w:val="1"/>
      <w:marLeft w:val="0"/>
      <w:marRight w:val="0"/>
      <w:marTop w:val="0"/>
      <w:marBottom w:val="0"/>
      <w:divBdr>
        <w:top w:val="none" w:sz="0" w:space="0" w:color="auto"/>
        <w:left w:val="none" w:sz="0" w:space="0" w:color="auto"/>
        <w:bottom w:val="none" w:sz="0" w:space="0" w:color="auto"/>
        <w:right w:val="none" w:sz="0" w:space="0" w:color="auto"/>
      </w:divBdr>
    </w:div>
    <w:div w:id="1543517365">
      <w:bodyDiv w:val="1"/>
      <w:marLeft w:val="0"/>
      <w:marRight w:val="0"/>
      <w:marTop w:val="0"/>
      <w:marBottom w:val="0"/>
      <w:divBdr>
        <w:top w:val="none" w:sz="0" w:space="0" w:color="auto"/>
        <w:left w:val="none" w:sz="0" w:space="0" w:color="auto"/>
        <w:bottom w:val="none" w:sz="0" w:space="0" w:color="auto"/>
        <w:right w:val="none" w:sz="0" w:space="0" w:color="auto"/>
      </w:divBdr>
    </w:div>
    <w:div w:id="1546285279">
      <w:bodyDiv w:val="1"/>
      <w:marLeft w:val="0"/>
      <w:marRight w:val="0"/>
      <w:marTop w:val="0"/>
      <w:marBottom w:val="0"/>
      <w:divBdr>
        <w:top w:val="none" w:sz="0" w:space="0" w:color="auto"/>
        <w:left w:val="none" w:sz="0" w:space="0" w:color="auto"/>
        <w:bottom w:val="none" w:sz="0" w:space="0" w:color="auto"/>
        <w:right w:val="none" w:sz="0" w:space="0" w:color="auto"/>
      </w:divBdr>
    </w:div>
    <w:div w:id="1554655870">
      <w:bodyDiv w:val="1"/>
      <w:marLeft w:val="0"/>
      <w:marRight w:val="0"/>
      <w:marTop w:val="0"/>
      <w:marBottom w:val="0"/>
      <w:divBdr>
        <w:top w:val="none" w:sz="0" w:space="0" w:color="auto"/>
        <w:left w:val="none" w:sz="0" w:space="0" w:color="auto"/>
        <w:bottom w:val="none" w:sz="0" w:space="0" w:color="auto"/>
        <w:right w:val="none" w:sz="0" w:space="0" w:color="auto"/>
      </w:divBdr>
    </w:div>
    <w:div w:id="1559586273">
      <w:bodyDiv w:val="1"/>
      <w:marLeft w:val="0"/>
      <w:marRight w:val="0"/>
      <w:marTop w:val="0"/>
      <w:marBottom w:val="0"/>
      <w:divBdr>
        <w:top w:val="none" w:sz="0" w:space="0" w:color="auto"/>
        <w:left w:val="none" w:sz="0" w:space="0" w:color="auto"/>
        <w:bottom w:val="none" w:sz="0" w:space="0" w:color="auto"/>
        <w:right w:val="none" w:sz="0" w:space="0" w:color="auto"/>
      </w:divBdr>
    </w:div>
    <w:div w:id="1562249403">
      <w:bodyDiv w:val="1"/>
      <w:marLeft w:val="0"/>
      <w:marRight w:val="0"/>
      <w:marTop w:val="0"/>
      <w:marBottom w:val="0"/>
      <w:divBdr>
        <w:top w:val="none" w:sz="0" w:space="0" w:color="auto"/>
        <w:left w:val="none" w:sz="0" w:space="0" w:color="auto"/>
        <w:bottom w:val="none" w:sz="0" w:space="0" w:color="auto"/>
        <w:right w:val="none" w:sz="0" w:space="0" w:color="auto"/>
      </w:divBdr>
    </w:div>
    <w:div w:id="1562595308">
      <w:bodyDiv w:val="1"/>
      <w:marLeft w:val="0"/>
      <w:marRight w:val="0"/>
      <w:marTop w:val="0"/>
      <w:marBottom w:val="0"/>
      <w:divBdr>
        <w:top w:val="none" w:sz="0" w:space="0" w:color="auto"/>
        <w:left w:val="none" w:sz="0" w:space="0" w:color="auto"/>
        <w:bottom w:val="none" w:sz="0" w:space="0" w:color="auto"/>
        <w:right w:val="none" w:sz="0" w:space="0" w:color="auto"/>
      </w:divBdr>
    </w:div>
    <w:div w:id="1568227546">
      <w:bodyDiv w:val="1"/>
      <w:marLeft w:val="0"/>
      <w:marRight w:val="0"/>
      <w:marTop w:val="0"/>
      <w:marBottom w:val="0"/>
      <w:divBdr>
        <w:top w:val="none" w:sz="0" w:space="0" w:color="auto"/>
        <w:left w:val="none" w:sz="0" w:space="0" w:color="auto"/>
        <w:bottom w:val="none" w:sz="0" w:space="0" w:color="auto"/>
        <w:right w:val="none" w:sz="0" w:space="0" w:color="auto"/>
      </w:divBdr>
    </w:div>
    <w:div w:id="1568757646">
      <w:bodyDiv w:val="1"/>
      <w:marLeft w:val="0"/>
      <w:marRight w:val="0"/>
      <w:marTop w:val="0"/>
      <w:marBottom w:val="0"/>
      <w:divBdr>
        <w:top w:val="none" w:sz="0" w:space="0" w:color="auto"/>
        <w:left w:val="none" w:sz="0" w:space="0" w:color="auto"/>
        <w:bottom w:val="none" w:sz="0" w:space="0" w:color="auto"/>
        <w:right w:val="none" w:sz="0" w:space="0" w:color="auto"/>
      </w:divBdr>
    </w:div>
    <w:div w:id="1569653672">
      <w:bodyDiv w:val="1"/>
      <w:marLeft w:val="0"/>
      <w:marRight w:val="0"/>
      <w:marTop w:val="0"/>
      <w:marBottom w:val="0"/>
      <w:divBdr>
        <w:top w:val="none" w:sz="0" w:space="0" w:color="auto"/>
        <w:left w:val="none" w:sz="0" w:space="0" w:color="auto"/>
        <w:bottom w:val="none" w:sz="0" w:space="0" w:color="auto"/>
        <w:right w:val="none" w:sz="0" w:space="0" w:color="auto"/>
      </w:divBdr>
    </w:div>
    <w:div w:id="1572079679">
      <w:bodyDiv w:val="1"/>
      <w:marLeft w:val="0"/>
      <w:marRight w:val="0"/>
      <w:marTop w:val="0"/>
      <w:marBottom w:val="0"/>
      <w:divBdr>
        <w:top w:val="none" w:sz="0" w:space="0" w:color="auto"/>
        <w:left w:val="none" w:sz="0" w:space="0" w:color="auto"/>
        <w:bottom w:val="none" w:sz="0" w:space="0" w:color="auto"/>
        <w:right w:val="none" w:sz="0" w:space="0" w:color="auto"/>
      </w:divBdr>
    </w:div>
    <w:div w:id="1572351952">
      <w:bodyDiv w:val="1"/>
      <w:marLeft w:val="0"/>
      <w:marRight w:val="0"/>
      <w:marTop w:val="0"/>
      <w:marBottom w:val="0"/>
      <w:divBdr>
        <w:top w:val="none" w:sz="0" w:space="0" w:color="auto"/>
        <w:left w:val="none" w:sz="0" w:space="0" w:color="auto"/>
        <w:bottom w:val="none" w:sz="0" w:space="0" w:color="auto"/>
        <w:right w:val="none" w:sz="0" w:space="0" w:color="auto"/>
      </w:divBdr>
    </w:div>
    <w:div w:id="1574857408">
      <w:bodyDiv w:val="1"/>
      <w:marLeft w:val="0"/>
      <w:marRight w:val="0"/>
      <w:marTop w:val="0"/>
      <w:marBottom w:val="0"/>
      <w:divBdr>
        <w:top w:val="none" w:sz="0" w:space="0" w:color="auto"/>
        <w:left w:val="none" w:sz="0" w:space="0" w:color="auto"/>
        <w:bottom w:val="none" w:sz="0" w:space="0" w:color="auto"/>
        <w:right w:val="none" w:sz="0" w:space="0" w:color="auto"/>
      </w:divBdr>
    </w:div>
    <w:div w:id="1579091200">
      <w:bodyDiv w:val="1"/>
      <w:marLeft w:val="0"/>
      <w:marRight w:val="0"/>
      <w:marTop w:val="0"/>
      <w:marBottom w:val="0"/>
      <w:divBdr>
        <w:top w:val="none" w:sz="0" w:space="0" w:color="auto"/>
        <w:left w:val="none" w:sz="0" w:space="0" w:color="auto"/>
        <w:bottom w:val="none" w:sz="0" w:space="0" w:color="auto"/>
        <w:right w:val="none" w:sz="0" w:space="0" w:color="auto"/>
      </w:divBdr>
    </w:div>
    <w:div w:id="1579368662">
      <w:bodyDiv w:val="1"/>
      <w:marLeft w:val="0"/>
      <w:marRight w:val="0"/>
      <w:marTop w:val="0"/>
      <w:marBottom w:val="0"/>
      <w:divBdr>
        <w:top w:val="none" w:sz="0" w:space="0" w:color="auto"/>
        <w:left w:val="none" w:sz="0" w:space="0" w:color="auto"/>
        <w:bottom w:val="none" w:sz="0" w:space="0" w:color="auto"/>
        <w:right w:val="none" w:sz="0" w:space="0" w:color="auto"/>
      </w:divBdr>
    </w:div>
    <w:div w:id="1582135860">
      <w:bodyDiv w:val="1"/>
      <w:marLeft w:val="0"/>
      <w:marRight w:val="0"/>
      <w:marTop w:val="0"/>
      <w:marBottom w:val="0"/>
      <w:divBdr>
        <w:top w:val="none" w:sz="0" w:space="0" w:color="auto"/>
        <w:left w:val="none" w:sz="0" w:space="0" w:color="auto"/>
        <w:bottom w:val="none" w:sz="0" w:space="0" w:color="auto"/>
        <w:right w:val="none" w:sz="0" w:space="0" w:color="auto"/>
      </w:divBdr>
    </w:div>
    <w:div w:id="1586112056">
      <w:bodyDiv w:val="1"/>
      <w:marLeft w:val="0"/>
      <w:marRight w:val="0"/>
      <w:marTop w:val="0"/>
      <w:marBottom w:val="0"/>
      <w:divBdr>
        <w:top w:val="none" w:sz="0" w:space="0" w:color="auto"/>
        <w:left w:val="none" w:sz="0" w:space="0" w:color="auto"/>
        <w:bottom w:val="none" w:sz="0" w:space="0" w:color="auto"/>
        <w:right w:val="none" w:sz="0" w:space="0" w:color="auto"/>
      </w:divBdr>
    </w:div>
    <w:div w:id="1589194823">
      <w:bodyDiv w:val="1"/>
      <w:marLeft w:val="0"/>
      <w:marRight w:val="0"/>
      <w:marTop w:val="0"/>
      <w:marBottom w:val="0"/>
      <w:divBdr>
        <w:top w:val="none" w:sz="0" w:space="0" w:color="auto"/>
        <w:left w:val="none" w:sz="0" w:space="0" w:color="auto"/>
        <w:bottom w:val="none" w:sz="0" w:space="0" w:color="auto"/>
        <w:right w:val="none" w:sz="0" w:space="0" w:color="auto"/>
      </w:divBdr>
    </w:div>
    <w:div w:id="1591617373">
      <w:bodyDiv w:val="1"/>
      <w:marLeft w:val="0"/>
      <w:marRight w:val="0"/>
      <w:marTop w:val="0"/>
      <w:marBottom w:val="0"/>
      <w:divBdr>
        <w:top w:val="none" w:sz="0" w:space="0" w:color="auto"/>
        <w:left w:val="none" w:sz="0" w:space="0" w:color="auto"/>
        <w:bottom w:val="none" w:sz="0" w:space="0" w:color="auto"/>
        <w:right w:val="none" w:sz="0" w:space="0" w:color="auto"/>
      </w:divBdr>
    </w:div>
    <w:div w:id="1596206793">
      <w:bodyDiv w:val="1"/>
      <w:marLeft w:val="0"/>
      <w:marRight w:val="0"/>
      <w:marTop w:val="0"/>
      <w:marBottom w:val="0"/>
      <w:divBdr>
        <w:top w:val="none" w:sz="0" w:space="0" w:color="auto"/>
        <w:left w:val="none" w:sz="0" w:space="0" w:color="auto"/>
        <w:bottom w:val="none" w:sz="0" w:space="0" w:color="auto"/>
        <w:right w:val="none" w:sz="0" w:space="0" w:color="auto"/>
      </w:divBdr>
    </w:div>
    <w:div w:id="1597637027">
      <w:bodyDiv w:val="1"/>
      <w:marLeft w:val="0"/>
      <w:marRight w:val="0"/>
      <w:marTop w:val="0"/>
      <w:marBottom w:val="0"/>
      <w:divBdr>
        <w:top w:val="none" w:sz="0" w:space="0" w:color="auto"/>
        <w:left w:val="none" w:sz="0" w:space="0" w:color="auto"/>
        <w:bottom w:val="none" w:sz="0" w:space="0" w:color="auto"/>
        <w:right w:val="none" w:sz="0" w:space="0" w:color="auto"/>
      </w:divBdr>
    </w:div>
    <w:div w:id="1603993652">
      <w:bodyDiv w:val="1"/>
      <w:marLeft w:val="0"/>
      <w:marRight w:val="0"/>
      <w:marTop w:val="0"/>
      <w:marBottom w:val="0"/>
      <w:divBdr>
        <w:top w:val="none" w:sz="0" w:space="0" w:color="auto"/>
        <w:left w:val="none" w:sz="0" w:space="0" w:color="auto"/>
        <w:bottom w:val="none" w:sz="0" w:space="0" w:color="auto"/>
        <w:right w:val="none" w:sz="0" w:space="0" w:color="auto"/>
      </w:divBdr>
    </w:div>
    <w:div w:id="1604417831">
      <w:bodyDiv w:val="1"/>
      <w:marLeft w:val="0"/>
      <w:marRight w:val="0"/>
      <w:marTop w:val="0"/>
      <w:marBottom w:val="0"/>
      <w:divBdr>
        <w:top w:val="none" w:sz="0" w:space="0" w:color="auto"/>
        <w:left w:val="none" w:sz="0" w:space="0" w:color="auto"/>
        <w:bottom w:val="none" w:sz="0" w:space="0" w:color="auto"/>
        <w:right w:val="none" w:sz="0" w:space="0" w:color="auto"/>
      </w:divBdr>
    </w:div>
    <w:div w:id="1605990464">
      <w:bodyDiv w:val="1"/>
      <w:marLeft w:val="0"/>
      <w:marRight w:val="0"/>
      <w:marTop w:val="0"/>
      <w:marBottom w:val="0"/>
      <w:divBdr>
        <w:top w:val="none" w:sz="0" w:space="0" w:color="auto"/>
        <w:left w:val="none" w:sz="0" w:space="0" w:color="auto"/>
        <w:bottom w:val="none" w:sz="0" w:space="0" w:color="auto"/>
        <w:right w:val="none" w:sz="0" w:space="0" w:color="auto"/>
      </w:divBdr>
    </w:div>
    <w:div w:id="1610968722">
      <w:bodyDiv w:val="1"/>
      <w:marLeft w:val="0"/>
      <w:marRight w:val="0"/>
      <w:marTop w:val="0"/>
      <w:marBottom w:val="0"/>
      <w:divBdr>
        <w:top w:val="none" w:sz="0" w:space="0" w:color="auto"/>
        <w:left w:val="none" w:sz="0" w:space="0" w:color="auto"/>
        <w:bottom w:val="none" w:sz="0" w:space="0" w:color="auto"/>
        <w:right w:val="none" w:sz="0" w:space="0" w:color="auto"/>
      </w:divBdr>
    </w:div>
    <w:div w:id="1617248464">
      <w:bodyDiv w:val="1"/>
      <w:marLeft w:val="0"/>
      <w:marRight w:val="0"/>
      <w:marTop w:val="0"/>
      <w:marBottom w:val="0"/>
      <w:divBdr>
        <w:top w:val="none" w:sz="0" w:space="0" w:color="auto"/>
        <w:left w:val="none" w:sz="0" w:space="0" w:color="auto"/>
        <w:bottom w:val="none" w:sz="0" w:space="0" w:color="auto"/>
        <w:right w:val="none" w:sz="0" w:space="0" w:color="auto"/>
      </w:divBdr>
    </w:div>
    <w:div w:id="1619336986">
      <w:bodyDiv w:val="1"/>
      <w:marLeft w:val="0"/>
      <w:marRight w:val="0"/>
      <w:marTop w:val="0"/>
      <w:marBottom w:val="0"/>
      <w:divBdr>
        <w:top w:val="none" w:sz="0" w:space="0" w:color="auto"/>
        <w:left w:val="none" w:sz="0" w:space="0" w:color="auto"/>
        <w:bottom w:val="none" w:sz="0" w:space="0" w:color="auto"/>
        <w:right w:val="none" w:sz="0" w:space="0" w:color="auto"/>
      </w:divBdr>
    </w:div>
    <w:div w:id="1619870723">
      <w:bodyDiv w:val="1"/>
      <w:marLeft w:val="0"/>
      <w:marRight w:val="0"/>
      <w:marTop w:val="0"/>
      <w:marBottom w:val="0"/>
      <w:divBdr>
        <w:top w:val="none" w:sz="0" w:space="0" w:color="auto"/>
        <w:left w:val="none" w:sz="0" w:space="0" w:color="auto"/>
        <w:bottom w:val="none" w:sz="0" w:space="0" w:color="auto"/>
        <w:right w:val="none" w:sz="0" w:space="0" w:color="auto"/>
      </w:divBdr>
    </w:div>
    <w:div w:id="1624653426">
      <w:bodyDiv w:val="1"/>
      <w:marLeft w:val="0"/>
      <w:marRight w:val="0"/>
      <w:marTop w:val="0"/>
      <w:marBottom w:val="0"/>
      <w:divBdr>
        <w:top w:val="none" w:sz="0" w:space="0" w:color="auto"/>
        <w:left w:val="none" w:sz="0" w:space="0" w:color="auto"/>
        <w:bottom w:val="none" w:sz="0" w:space="0" w:color="auto"/>
        <w:right w:val="none" w:sz="0" w:space="0" w:color="auto"/>
      </w:divBdr>
    </w:div>
    <w:div w:id="1627617225">
      <w:bodyDiv w:val="1"/>
      <w:marLeft w:val="0"/>
      <w:marRight w:val="0"/>
      <w:marTop w:val="0"/>
      <w:marBottom w:val="0"/>
      <w:divBdr>
        <w:top w:val="none" w:sz="0" w:space="0" w:color="auto"/>
        <w:left w:val="none" w:sz="0" w:space="0" w:color="auto"/>
        <w:bottom w:val="none" w:sz="0" w:space="0" w:color="auto"/>
        <w:right w:val="none" w:sz="0" w:space="0" w:color="auto"/>
      </w:divBdr>
    </w:div>
    <w:div w:id="1628392879">
      <w:bodyDiv w:val="1"/>
      <w:marLeft w:val="0"/>
      <w:marRight w:val="0"/>
      <w:marTop w:val="0"/>
      <w:marBottom w:val="0"/>
      <w:divBdr>
        <w:top w:val="none" w:sz="0" w:space="0" w:color="auto"/>
        <w:left w:val="none" w:sz="0" w:space="0" w:color="auto"/>
        <w:bottom w:val="none" w:sz="0" w:space="0" w:color="auto"/>
        <w:right w:val="none" w:sz="0" w:space="0" w:color="auto"/>
      </w:divBdr>
    </w:div>
    <w:div w:id="1629162795">
      <w:bodyDiv w:val="1"/>
      <w:marLeft w:val="0"/>
      <w:marRight w:val="0"/>
      <w:marTop w:val="0"/>
      <w:marBottom w:val="0"/>
      <w:divBdr>
        <w:top w:val="none" w:sz="0" w:space="0" w:color="auto"/>
        <w:left w:val="none" w:sz="0" w:space="0" w:color="auto"/>
        <w:bottom w:val="none" w:sz="0" w:space="0" w:color="auto"/>
        <w:right w:val="none" w:sz="0" w:space="0" w:color="auto"/>
      </w:divBdr>
    </w:div>
    <w:div w:id="1633707215">
      <w:bodyDiv w:val="1"/>
      <w:marLeft w:val="0"/>
      <w:marRight w:val="0"/>
      <w:marTop w:val="0"/>
      <w:marBottom w:val="0"/>
      <w:divBdr>
        <w:top w:val="none" w:sz="0" w:space="0" w:color="auto"/>
        <w:left w:val="none" w:sz="0" w:space="0" w:color="auto"/>
        <w:bottom w:val="none" w:sz="0" w:space="0" w:color="auto"/>
        <w:right w:val="none" w:sz="0" w:space="0" w:color="auto"/>
      </w:divBdr>
    </w:div>
    <w:div w:id="1635015149">
      <w:bodyDiv w:val="1"/>
      <w:marLeft w:val="0"/>
      <w:marRight w:val="0"/>
      <w:marTop w:val="0"/>
      <w:marBottom w:val="0"/>
      <w:divBdr>
        <w:top w:val="none" w:sz="0" w:space="0" w:color="auto"/>
        <w:left w:val="none" w:sz="0" w:space="0" w:color="auto"/>
        <w:bottom w:val="none" w:sz="0" w:space="0" w:color="auto"/>
        <w:right w:val="none" w:sz="0" w:space="0" w:color="auto"/>
      </w:divBdr>
    </w:div>
    <w:div w:id="1635018271">
      <w:bodyDiv w:val="1"/>
      <w:marLeft w:val="0"/>
      <w:marRight w:val="0"/>
      <w:marTop w:val="0"/>
      <w:marBottom w:val="0"/>
      <w:divBdr>
        <w:top w:val="none" w:sz="0" w:space="0" w:color="auto"/>
        <w:left w:val="none" w:sz="0" w:space="0" w:color="auto"/>
        <w:bottom w:val="none" w:sz="0" w:space="0" w:color="auto"/>
        <w:right w:val="none" w:sz="0" w:space="0" w:color="auto"/>
      </w:divBdr>
    </w:div>
    <w:div w:id="1635135364">
      <w:bodyDiv w:val="1"/>
      <w:marLeft w:val="0"/>
      <w:marRight w:val="0"/>
      <w:marTop w:val="0"/>
      <w:marBottom w:val="0"/>
      <w:divBdr>
        <w:top w:val="none" w:sz="0" w:space="0" w:color="auto"/>
        <w:left w:val="none" w:sz="0" w:space="0" w:color="auto"/>
        <w:bottom w:val="none" w:sz="0" w:space="0" w:color="auto"/>
        <w:right w:val="none" w:sz="0" w:space="0" w:color="auto"/>
      </w:divBdr>
    </w:div>
    <w:div w:id="1637562591">
      <w:bodyDiv w:val="1"/>
      <w:marLeft w:val="0"/>
      <w:marRight w:val="0"/>
      <w:marTop w:val="0"/>
      <w:marBottom w:val="0"/>
      <w:divBdr>
        <w:top w:val="none" w:sz="0" w:space="0" w:color="auto"/>
        <w:left w:val="none" w:sz="0" w:space="0" w:color="auto"/>
        <w:bottom w:val="none" w:sz="0" w:space="0" w:color="auto"/>
        <w:right w:val="none" w:sz="0" w:space="0" w:color="auto"/>
      </w:divBdr>
    </w:div>
    <w:div w:id="1640646098">
      <w:bodyDiv w:val="1"/>
      <w:marLeft w:val="0"/>
      <w:marRight w:val="0"/>
      <w:marTop w:val="0"/>
      <w:marBottom w:val="0"/>
      <w:divBdr>
        <w:top w:val="none" w:sz="0" w:space="0" w:color="auto"/>
        <w:left w:val="none" w:sz="0" w:space="0" w:color="auto"/>
        <w:bottom w:val="none" w:sz="0" w:space="0" w:color="auto"/>
        <w:right w:val="none" w:sz="0" w:space="0" w:color="auto"/>
      </w:divBdr>
    </w:div>
    <w:div w:id="1644500491">
      <w:bodyDiv w:val="1"/>
      <w:marLeft w:val="0"/>
      <w:marRight w:val="0"/>
      <w:marTop w:val="0"/>
      <w:marBottom w:val="0"/>
      <w:divBdr>
        <w:top w:val="none" w:sz="0" w:space="0" w:color="auto"/>
        <w:left w:val="none" w:sz="0" w:space="0" w:color="auto"/>
        <w:bottom w:val="none" w:sz="0" w:space="0" w:color="auto"/>
        <w:right w:val="none" w:sz="0" w:space="0" w:color="auto"/>
      </w:divBdr>
    </w:div>
    <w:div w:id="1645087824">
      <w:bodyDiv w:val="1"/>
      <w:marLeft w:val="0"/>
      <w:marRight w:val="0"/>
      <w:marTop w:val="0"/>
      <w:marBottom w:val="0"/>
      <w:divBdr>
        <w:top w:val="none" w:sz="0" w:space="0" w:color="auto"/>
        <w:left w:val="none" w:sz="0" w:space="0" w:color="auto"/>
        <w:bottom w:val="none" w:sz="0" w:space="0" w:color="auto"/>
        <w:right w:val="none" w:sz="0" w:space="0" w:color="auto"/>
      </w:divBdr>
    </w:div>
    <w:div w:id="1647323626">
      <w:bodyDiv w:val="1"/>
      <w:marLeft w:val="0"/>
      <w:marRight w:val="0"/>
      <w:marTop w:val="0"/>
      <w:marBottom w:val="0"/>
      <w:divBdr>
        <w:top w:val="none" w:sz="0" w:space="0" w:color="auto"/>
        <w:left w:val="none" w:sz="0" w:space="0" w:color="auto"/>
        <w:bottom w:val="none" w:sz="0" w:space="0" w:color="auto"/>
        <w:right w:val="none" w:sz="0" w:space="0" w:color="auto"/>
      </w:divBdr>
    </w:div>
    <w:div w:id="1648633015">
      <w:bodyDiv w:val="1"/>
      <w:marLeft w:val="0"/>
      <w:marRight w:val="0"/>
      <w:marTop w:val="0"/>
      <w:marBottom w:val="0"/>
      <w:divBdr>
        <w:top w:val="none" w:sz="0" w:space="0" w:color="auto"/>
        <w:left w:val="none" w:sz="0" w:space="0" w:color="auto"/>
        <w:bottom w:val="none" w:sz="0" w:space="0" w:color="auto"/>
        <w:right w:val="none" w:sz="0" w:space="0" w:color="auto"/>
      </w:divBdr>
    </w:div>
    <w:div w:id="1655142118">
      <w:bodyDiv w:val="1"/>
      <w:marLeft w:val="0"/>
      <w:marRight w:val="0"/>
      <w:marTop w:val="0"/>
      <w:marBottom w:val="0"/>
      <w:divBdr>
        <w:top w:val="none" w:sz="0" w:space="0" w:color="auto"/>
        <w:left w:val="none" w:sz="0" w:space="0" w:color="auto"/>
        <w:bottom w:val="none" w:sz="0" w:space="0" w:color="auto"/>
        <w:right w:val="none" w:sz="0" w:space="0" w:color="auto"/>
      </w:divBdr>
    </w:div>
    <w:div w:id="1656647489">
      <w:bodyDiv w:val="1"/>
      <w:marLeft w:val="0"/>
      <w:marRight w:val="0"/>
      <w:marTop w:val="0"/>
      <w:marBottom w:val="0"/>
      <w:divBdr>
        <w:top w:val="none" w:sz="0" w:space="0" w:color="auto"/>
        <w:left w:val="none" w:sz="0" w:space="0" w:color="auto"/>
        <w:bottom w:val="none" w:sz="0" w:space="0" w:color="auto"/>
        <w:right w:val="none" w:sz="0" w:space="0" w:color="auto"/>
      </w:divBdr>
    </w:div>
    <w:div w:id="1658919941">
      <w:bodyDiv w:val="1"/>
      <w:marLeft w:val="0"/>
      <w:marRight w:val="0"/>
      <w:marTop w:val="0"/>
      <w:marBottom w:val="0"/>
      <w:divBdr>
        <w:top w:val="none" w:sz="0" w:space="0" w:color="auto"/>
        <w:left w:val="none" w:sz="0" w:space="0" w:color="auto"/>
        <w:bottom w:val="none" w:sz="0" w:space="0" w:color="auto"/>
        <w:right w:val="none" w:sz="0" w:space="0" w:color="auto"/>
      </w:divBdr>
    </w:div>
    <w:div w:id="1659066426">
      <w:bodyDiv w:val="1"/>
      <w:marLeft w:val="0"/>
      <w:marRight w:val="0"/>
      <w:marTop w:val="0"/>
      <w:marBottom w:val="0"/>
      <w:divBdr>
        <w:top w:val="none" w:sz="0" w:space="0" w:color="auto"/>
        <w:left w:val="none" w:sz="0" w:space="0" w:color="auto"/>
        <w:bottom w:val="none" w:sz="0" w:space="0" w:color="auto"/>
        <w:right w:val="none" w:sz="0" w:space="0" w:color="auto"/>
      </w:divBdr>
    </w:div>
    <w:div w:id="1659842218">
      <w:bodyDiv w:val="1"/>
      <w:marLeft w:val="0"/>
      <w:marRight w:val="0"/>
      <w:marTop w:val="0"/>
      <w:marBottom w:val="0"/>
      <w:divBdr>
        <w:top w:val="none" w:sz="0" w:space="0" w:color="auto"/>
        <w:left w:val="none" w:sz="0" w:space="0" w:color="auto"/>
        <w:bottom w:val="none" w:sz="0" w:space="0" w:color="auto"/>
        <w:right w:val="none" w:sz="0" w:space="0" w:color="auto"/>
      </w:divBdr>
    </w:div>
    <w:div w:id="1661542241">
      <w:bodyDiv w:val="1"/>
      <w:marLeft w:val="0"/>
      <w:marRight w:val="0"/>
      <w:marTop w:val="0"/>
      <w:marBottom w:val="0"/>
      <w:divBdr>
        <w:top w:val="none" w:sz="0" w:space="0" w:color="auto"/>
        <w:left w:val="none" w:sz="0" w:space="0" w:color="auto"/>
        <w:bottom w:val="none" w:sz="0" w:space="0" w:color="auto"/>
        <w:right w:val="none" w:sz="0" w:space="0" w:color="auto"/>
      </w:divBdr>
    </w:div>
    <w:div w:id="1662196987">
      <w:bodyDiv w:val="1"/>
      <w:marLeft w:val="0"/>
      <w:marRight w:val="0"/>
      <w:marTop w:val="0"/>
      <w:marBottom w:val="0"/>
      <w:divBdr>
        <w:top w:val="none" w:sz="0" w:space="0" w:color="auto"/>
        <w:left w:val="none" w:sz="0" w:space="0" w:color="auto"/>
        <w:bottom w:val="none" w:sz="0" w:space="0" w:color="auto"/>
        <w:right w:val="none" w:sz="0" w:space="0" w:color="auto"/>
      </w:divBdr>
    </w:div>
    <w:div w:id="1662738075">
      <w:bodyDiv w:val="1"/>
      <w:marLeft w:val="0"/>
      <w:marRight w:val="0"/>
      <w:marTop w:val="0"/>
      <w:marBottom w:val="0"/>
      <w:divBdr>
        <w:top w:val="none" w:sz="0" w:space="0" w:color="auto"/>
        <w:left w:val="none" w:sz="0" w:space="0" w:color="auto"/>
        <w:bottom w:val="none" w:sz="0" w:space="0" w:color="auto"/>
        <w:right w:val="none" w:sz="0" w:space="0" w:color="auto"/>
      </w:divBdr>
    </w:div>
    <w:div w:id="1667971822">
      <w:bodyDiv w:val="1"/>
      <w:marLeft w:val="0"/>
      <w:marRight w:val="0"/>
      <w:marTop w:val="0"/>
      <w:marBottom w:val="0"/>
      <w:divBdr>
        <w:top w:val="none" w:sz="0" w:space="0" w:color="auto"/>
        <w:left w:val="none" w:sz="0" w:space="0" w:color="auto"/>
        <w:bottom w:val="none" w:sz="0" w:space="0" w:color="auto"/>
        <w:right w:val="none" w:sz="0" w:space="0" w:color="auto"/>
      </w:divBdr>
    </w:div>
    <w:div w:id="1674721519">
      <w:bodyDiv w:val="1"/>
      <w:marLeft w:val="0"/>
      <w:marRight w:val="0"/>
      <w:marTop w:val="0"/>
      <w:marBottom w:val="0"/>
      <w:divBdr>
        <w:top w:val="none" w:sz="0" w:space="0" w:color="auto"/>
        <w:left w:val="none" w:sz="0" w:space="0" w:color="auto"/>
        <w:bottom w:val="none" w:sz="0" w:space="0" w:color="auto"/>
        <w:right w:val="none" w:sz="0" w:space="0" w:color="auto"/>
      </w:divBdr>
    </w:div>
    <w:div w:id="1676345719">
      <w:bodyDiv w:val="1"/>
      <w:marLeft w:val="0"/>
      <w:marRight w:val="0"/>
      <w:marTop w:val="0"/>
      <w:marBottom w:val="0"/>
      <w:divBdr>
        <w:top w:val="none" w:sz="0" w:space="0" w:color="auto"/>
        <w:left w:val="none" w:sz="0" w:space="0" w:color="auto"/>
        <w:bottom w:val="none" w:sz="0" w:space="0" w:color="auto"/>
        <w:right w:val="none" w:sz="0" w:space="0" w:color="auto"/>
      </w:divBdr>
    </w:div>
    <w:div w:id="1681276641">
      <w:bodyDiv w:val="1"/>
      <w:marLeft w:val="0"/>
      <w:marRight w:val="0"/>
      <w:marTop w:val="0"/>
      <w:marBottom w:val="0"/>
      <w:divBdr>
        <w:top w:val="none" w:sz="0" w:space="0" w:color="auto"/>
        <w:left w:val="none" w:sz="0" w:space="0" w:color="auto"/>
        <w:bottom w:val="none" w:sz="0" w:space="0" w:color="auto"/>
        <w:right w:val="none" w:sz="0" w:space="0" w:color="auto"/>
      </w:divBdr>
    </w:div>
    <w:div w:id="1681665658">
      <w:bodyDiv w:val="1"/>
      <w:marLeft w:val="0"/>
      <w:marRight w:val="0"/>
      <w:marTop w:val="0"/>
      <w:marBottom w:val="0"/>
      <w:divBdr>
        <w:top w:val="none" w:sz="0" w:space="0" w:color="auto"/>
        <w:left w:val="none" w:sz="0" w:space="0" w:color="auto"/>
        <w:bottom w:val="none" w:sz="0" w:space="0" w:color="auto"/>
        <w:right w:val="none" w:sz="0" w:space="0" w:color="auto"/>
      </w:divBdr>
    </w:div>
    <w:div w:id="1683164746">
      <w:bodyDiv w:val="1"/>
      <w:marLeft w:val="0"/>
      <w:marRight w:val="0"/>
      <w:marTop w:val="0"/>
      <w:marBottom w:val="0"/>
      <w:divBdr>
        <w:top w:val="none" w:sz="0" w:space="0" w:color="auto"/>
        <w:left w:val="none" w:sz="0" w:space="0" w:color="auto"/>
        <w:bottom w:val="none" w:sz="0" w:space="0" w:color="auto"/>
        <w:right w:val="none" w:sz="0" w:space="0" w:color="auto"/>
      </w:divBdr>
    </w:div>
    <w:div w:id="1697151719">
      <w:bodyDiv w:val="1"/>
      <w:marLeft w:val="0"/>
      <w:marRight w:val="0"/>
      <w:marTop w:val="0"/>
      <w:marBottom w:val="0"/>
      <w:divBdr>
        <w:top w:val="none" w:sz="0" w:space="0" w:color="auto"/>
        <w:left w:val="none" w:sz="0" w:space="0" w:color="auto"/>
        <w:bottom w:val="none" w:sz="0" w:space="0" w:color="auto"/>
        <w:right w:val="none" w:sz="0" w:space="0" w:color="auto"/>
      </w:divBdr>
    </w:div>
    <w:div w:id="1700155910">
      <w:bodyDiv w:val="1"/>
      <w:marLeft w:val="0"/>
      <w:marRight w:val="0"/>
      <w:marTop w:val="0"/>
      <w:marBottom w:val="0"/>
      <w:divBdr>
        <w:top w:val="none" w:sz="0" w:space="0" w:color="auto"/>
        <w:left w:val="none" w:sz="0" w:space="0" w:color="auto"/>
        <w:bottom w:val="none" w:sz="0" w:space="0" w:color="auto"/>
        <w:right w:val="none" w:sz="0" w:space="0" w:color="auto"/>
      </w:divBdr>
    </w:div>
    <w:div w:id="1704549685">
      <w:bodyDiv w:val="1"/>
      <w:marLeft w:val="0"/>
      <w:marRight w:val="0"/>
      <w:marTop w:val="0"/>
      <w:marBottom w:val="0"/>
      <w:divBdr>
        <w:top w:val="none" w:sz="0" w:space="0" w:color="auto"/>
        <w:left w:val="none" w:sz="0" w:space="0" w:color="auto"/>
        <w:bottom w:val="none" w:sz="0" w:space="0" w:color="auto"/>
        <w:right w:val="none" w:sz="0" w:space="0" w:color="auto"/>
      </w:divBdr>
    </w:div>
    <w:div w:id="1704742945">
      <w:bodyDiv w:val="1"/>
      <w:marLeft w:val="0"/>
      <w:marRight w:val="0"/>
      <w:marTop w:val="0"/>
      <w:marBottom w:val="0"/>
      <w:divBdr>
        <w:top w:val="none" w:sz="0" w:space="0" w:color="auto"/>
        <w:left w:val="none" w:sz="0" w:space="0" w:color="auto"/>
        <w:bottom w:val="none" w:sz="0" w:space="0" w:color="auto"/>
        <w:right w:val="none" w:sz="0" w:space="0" w:color="auto"/>
      </w:divBdr>
    </w:div>
    <w:div w:id="1705671306">
      <w:bodyDiv w:val="1"/>
      <w:marLeft w:val="0"/>
      <w:marRight w:val="0"/>
      <w:marTop w:val="0"/>
      <w:marBottom w:val="0"/>
      <w:divBdr>
        <w:top w:val="none" w:sz="0" w:space="0" w:color="auto"/>
        <w:left w:val="none" w:sz="0" w:space="0" w:color="auto"/>
        <w:bottom w:val="none" w:sz="0" w:space="0" w:color="auto"/>
        <w:right w:val="none" w:sz="0" w:space="0" w:color="auto"/>
      </w:divBdr>
    </w:div>
    <w:div w:id="1708219308">
      <w:bodyDiv w:val="1"/>
      <w:marLeft w:val="0"/>
      <w:marRight w:val="0"/>
      <w:marTop w:val="0"/>
      <w:marBottom w:val="0"/>
      <w:divBdr>
        <w:top w:val="none" w:sz="0" w:space="0" w:color="auto"/>
        <w:left w:val="none" w:sz="0" w:space="0" w:color="auto"/>
        <w:bottom w:val="none" w:sz="0" w:space="0" w:color="auto"/>
        <w:right w:val="none" w:sz="0" w:space="0" w:color="auto"/>
      </w:divBdr>
    </w:div>
    <w:div w:id="1709139310">
      <w:bodyDiv w:val="1"/>
      <w:marLeft w:val="0"/>
      <w:marRight w:val="0"/>
      <w:marTop w:val="0"/>
      <w:marBottom w:val="0"/>
      <w:divBdr>
        <w:top w:val="none" w:sz="0" w:space="0" w:color="auto"/>
        <w:left w:val="none" w:sz="0" w:space="0" w:color="auto"/>
        <w:bottom w:val="none" w:sz="0" w:space="0" w:color="auto"/>
        <w:right w:val="none" w:sz="0" w:space="0" w:color="auto"/>
      </w:divBdr>
    </w:div>
    <w:div w:id="1710296116">
      <w:bodyDiv w:val="1"/>
      <w:marLeft w:val="0"/>
      <w:marRight w:val="0"/>
      <w:marTop w:val="0"/>
      <w:marBottom w:val="0"/>
      <w:divBdr>
        <w:top w:val="none" w:sz="0" w:space="0" w:color="auto"/>
        <w:left w:val="none" w:sz="0" w:space="0" w:color="auto"/>
        <w:bottom w:val="none" w:sz="0" w:space="0" w:color="auto"/>
        <w:right w:val="none" w:sz="0" w:space="0" w:color="auto"/>
      </w:divBdr>
    </w:div>
    <w:div w:id="1710953573">
      <w:bodyDiv w:val="1"/>
      <w:marLeft w:val="0"/>
      <w:marRight w:val="0"/>
      <w:marTop w:val="0"/>
      <w:marBottom w:val="0"/>
      <w:divBdr>
        <w:top w:val="none" w:sz="0" w:space="0" w:color="auto"/>
        <w:left w:val="none" w:sz="0" w:space="0" w:color="auto"/>
        <w:bottom w:val="none" w:sz="0" w:space="0" w:color="auto"/>
        <w:right w:val="none" w:sz="0" w:space="0" w:color="auto"/>
      </w:divBdr>
    </w:div>
    <w:div w:id="1712683119">
      <w:bodyDiv w:val="1"/>
      <w:marLeft w:val="0"/>
      <w:marRight w:val="0"/>
      <w:marTop w:val="0"/>
      <w:marBottom w:val="0"/>
      <w:divBdr>
        <w:top w:val="none" w:sz="0" w:space="0" w:color="auto"/>
        <w:left w:val="none" w:sz="0" w:space="0" w:color="auto"/>
        <w:bottom w:val="none" w:sz="0" w:space="0" w:color="auto"/>
        <w:right w:val="none" w:sz="0" w:space="0" w:color="auto"/>
      </w:divBdr>
    </w:div>
    <w:div w:id="1716389830">
      <w:bodyDiv w:val="1"/>
      <w:marLeft w:val="0"/>
      <w:marRight w:val="0"/>
      <w:marTop w:val="0"/>
      <w:marBottom w:val="0"/>
      <w:divBdr>
        <w:top w:val="none" w:sz="0" w:space="0" w:color="auto"/>
        <w:left w:val="none" w:sz="0" w:space="0" w:color="auto"/>
        <w:bottom w:val="none" w:sz="0" w:space="0" w:color="auto"/>
        <w:right w:val="none" w:sz="0" w:space="0" w:color="auto"/>
      </w:divBdr>
    </w:div>
    <w:div w:id="1717779563">
      <w:bodyDiv w:val="1"/>
      <w:marLeft w:val="0"/>
      <w:marRight w:val="0"/>
      <w:marTop w:val="0"/>
      <w:marBottom w:val="0"/>
      <w:divBdr>
        <w:top w:val="none" w:sz="0" w:space="0" w:color="auto"/>
        <w:left w:val="none" w:sz="0" w:space="0" w:color="auto"/>
        <w:bottom w:val="none" w:sz="0" w:space="0" w:color="auto"/>
        <w:right w:val="none" w:sz="0" w:space="0" w:color="auto"/>
      </w:divBdr>
    </w:div>
    <w:div w:id="1722171399">
      <w:bodyDiv w:val="1"/>
      <w:marLeft w:val="0"/>
      <w:marRight w:val="0"/>
      <w:marTop w:val="0"/>
      <w:marBottom w:val="0"/>
      <w:divBdr>
        <w:top w:val="none" w:sz="0" w:space="0" w:color="auto"/>
        <w:left w:val="none" w:sz="0" w:space="0" w:color="auto"/>
        <w:bottom w:val="none" w:sz="0" w:space="0" w:color="auto"/>
        <w:right w:val="none" w:sz="0" w:space="0" w:color="auto"/>
      </w:divBdr>
    </w:div>
    <w:div w:id="1722943926">
      <w:bodyDiv w:val="1"/>
      <w:marLeft w:val="0"/>
      <w:marRight w:val="0"/>
      <w:marTop w:val="0"/>
      <w:marBottom w:val="0"/>
      <w:divBdr>
        <w:top w:val="none" w:sz="0" w:space="0" w:color="auto"/>
        <w:left w:val="none" w:sz="0" w:space="0" w:color="auto"/>
        <w:bottom w:val="none" w:sz="0" w:space="0" w:color="auto"/>
        <w:right w:val="none" w:sz="0" w:space="0" w:color="auto"/>
      </w:divBdr>
    </w:div>
    <w:div w:id="1723747851">
      <w:bodyDiv w:val="1"/>
      <w:marLeft w:val="0"/>
      <w:marRight w:val="0"/>
      <w:marTop w:val="0"/>
      <w:marBottom w:val="0"/>
      <w:divBdr>
        <w:top w:val="none" w:sz="0" w:space="0" w:color="auto"/>
        <w:left w:val="none" w:sz="0" w:space="0" w:color="auto"/>
        <w:bottom w:val="none" w:sz="0" w:space="0" w:color="auto"/>
        <w:right w:val="none" w:sz="0" w:space="0" w:color="auto"/>
      </w:divBdr>
    </w:div>
    <w:div w:id="1735347199">
      <w:bodyDiv w:val="1"/>
      <w:marLeft w:val="0"/>
      <w:marRight w:val="0"/>
      <w:marTop w:val="0"/>
      <w:marBottom w:val="0"/>
      <w:divBdr>
        <w:top w:val="none" w:sz="0" w:space="0" w:color="auto"/>
        <w:left w:val="none" w:sz="0" w:space="0" w:color="auto"/>
        <w:bottom w:val="none" w:sz="0" w:space="0" w:color="auto"/>
        <w:right w:val="none" w:sz="0" w:space="0" w:color="auto"/>
      </w:divBdr>
    </w:div>
    <w:div w:id="1741634680">
      <w:bodyDiv w:val="1"/>
      <w:marLeft w:val="0"/>
      <w:marRight w:val="0"/>
      <w:marTop w:val="0"/>
      <w:marBottom w:val="0"/>
      <w:divBdr>
        <w:top w:val="none" w:sz="0" w:space="0" w:color="auto"/>
        <w:left w:val="none" w:sz="0" w:space="0" w:color="auto"/>
        <w:bottom w:val="none" w:sz="0" w:space="0" w:color="auto"/>
        <w:right w:val="none" w:sz="0" w:space="0" w:color="auto"/>
      </w:divBdr>
    </w:div>
    <w:div w:id="1744372700">
      <w:bodyDiv w:val="1"/>
      <w:marLeft w:val="0"/>
      <w:marRight w:val="0"/>
      <w:marTop w:val="0"/>
      <w:marBottom w:val="0"/>
      <w:divBdr>
        <w:top w:val="none" w:sz="0" w:space="0" w:color="auto"/>
        <w:left w:val="none" w:sz="0" w:space="0" w:color="auto"/>
        <w:bottom w:val="none" w:sz="0" w:space="0" w:color="auto"/>
        <w:right w:val="none" w:sz="0" w:space="0" w:color="auto"/>
      </w:divBdr>
    </w:div>
    <w:div w:id="1746217813">
      <w:bodyDiv w:val="1"/>
      <w:marLeft w:val="0"/>
      <w:marRight w:val="0"/>
      <w:marTop w:val="0"/>
      <w:marBottom w:val="0"/>
      <w:divBdr>
        <w:top w:val="none" w:sz="0" w:space="0" w:color="auto"/>
        <w:left w:val="none" w:sz="0" w:space="0" w:color="auto"/>
        <w:bottom w:val="none" w:sz="0" w:space="0" w:color="auto"/>
        <w:right w:val="none" w:sz="0" w:space="0" w:color="auto"/>
      </w:divBdr>
    </w:div>
    <w:div w:id="1746341377">
      <w:bodyDiv w:val="1"/>
      <w:marLeft w:val="0"/>
      <w:marRight w:val="0"/>
      <w:marTop w:val="0"/>
      <w:marBottom w:val="0"/>
      <w:divBdr>
        <w:top w:val="none" w:sz="0" w:space="0" w:color="auto"/>
        <w:left w:val="none" w:sz="0" w:space="0" w:color="auto"/>
        <w:bottom w:val="none" w:sz="0" w:space="0" w:color="auto"/>
        <w:right w:val="none" w:sz="0" w:space="0" w:color="auto"/>
      </w:divBdr>
    </w:div>
    <w:div w:id="1746876721">
      <w:bodyDiv w:val="1"/>
      <w:marLeft w:val="0"/>
      <w:marRight w:val="0"/>
      <w:marTop w:val="0"/>
      <w:marBottom w:val="0"/>
      <w:divBdr>
        <w:top w:val="none" w:sz="0" w:space="0" w:color="auto"/>
        <w:left w:val="none" w:sz="0" w:space="0" w:color="auto"/>
        <w:bottom w:val="none" w:sz="0" w:space="0" w:color="auto"/>
        <w:right w:val="none" w:sz="0" w:space="0" w:color="auto"/>
      </w:divBdr>
    </w:div>
    <w:div w:id="1747608980">
      <w:bodyDiv w:val="1"/>
      <w:marLeft w:val="0"/>
      <w:marRight w:val="0"/>
      <w:marTop w:val="0"/>
      <w:marBottom w:val="0"/>
      <w:divBdr>
        <w:top w:val="none" w:sz="0" w:space="0" w:color="auto"/>
        <w:left w:val="none" w:sz="0" w:space="0" w:color="auto"/>
        <w:bottom w:val="none" w:sz="0" w:space="0" w:color="auto"/>
        <w:right w:val="none" w:sz="0" w:space="0" w:color="auto"/>
      </w:divBdr>
    </w:div>
    <w:div w:id="1751268210">
      <w:bodyDiv w:val="1"/>
      <w:marLeft w:val="0"/>
      <w:marRight w:val="0"/>
      <w:marTop w:val="0"/>
      <w:marBottom w:val="0"/>
      <w:divBdr>
        <w:top w:val="none" w:sz="0" w:space="0" w:color="auto"/>
        <w:left w:val="none" w:sz="0" w:space="0" w:color="auto"/>
        <w:bottom w:val="none" w:sz="0" w:space="0" w:color="auto"/>
        <w:right w:val="none" w:sz="0" w:space="0" w:color="auto"/>
      </w:divBdr>
    </w:div>
    <w:div w:id="1752312588">
      <w:bodyDiv w:val="1"/>
      <w:marLeft w:val="0"/>
      <w:marRight w:val="0"/>
      <w:marTop w:val="0"/>
      <w:marBottom w:val="0"/>
      <w:divBdr>
        <w:top w:val="none" w:sz="0" w:space="0" w:color="auto"/>
        <w:left w:val="none" w:sz="0" w:space="0" w:color="auto"/>
        <w:bottom w:val="none" w:sz="0" w:space="0" w:color="auto"/>
        <w:right w:val="none" w:sz="0" w:space="0" w:color="auto"/>
      </w:divBdr>
    </w:div>
    <w:div w:id="1756244643">
      <w:bodyDiv w:val="1"/>
      <w:marLeft w:val="0"/>
      <w:marRight w:val="0"/>
      <w:marTop w:val="0"/>
      <w:marBottom w:val="0"/>
      <w:divBdr>
        <w:top w:val="none" w:sz="0" w:space="0" w:color="auto"/>
        <w:left w:val="none" w:sz="0" w:space="0" w:color="auto"/>
        <w:bottom w:val="none" w:sz="0" w:space="0" w:color="auto"/>
        <w:right w:val="none" w:sz="0" w:space="0" w:color="auto"/>
      </w:divBdr>
    </w:div>
    <w:div w:id="1757364482">
      <w:bodyDiv w:val="1"/>
      <w:marLeft w:val="0"/>
      <w:marRight w:val="0"/>
      <w:marTop w:val="0"/>
      <w:marBottom w:val="0"/>
      <w:divBdr>
        <w:top w:val="none" w:sz="0" w:space="0" w:color="auto"/>
        <w:left w:val="none" w:sz="0" w:space="0" w:color="auto"/>
        <w:bottom w:val="none" w:sz="0" w:space="0" w:color="auto"/>
        <w:right w:val="none" w:sz="0" w:space="0" w:color="auto"/>
      </w:divBdr>
    </w:div>
    <w:div w:id="1759667953">
      <w:bodyDiv w:val="1"/>
      <w:marLeft w:val="0"/>
      <w:marRight w:val="0"/>
      <w:marTop w:val="0"/>
      <w:marBottom w:val="0"/>
      <w:divBdr>
        <w:top w:val="none" w:sz="0" w:space="0" w:color="auto"/>
        <w:left w:val="none" w:sz="0" w:space="0" w:color="auto"/>
        <w:bottom w:val="none" w:sz="0" w:space="0" w:color="auto"/>
        <w:right w:val="none" w:sz="0" w:space="0" w:color="auto"/>
      </w:divBdr>
    </w:div>
    <w:div w:id="1762412566">
      <w:bodyDiv w:val="1"/>
      <w:marLeft w:val="0"/>
      <w:marRight w:val="0"/>
      <w:marTop w:val="0"/>
      <w:marBottom w:val="0"/>
      <w:divBdr>
        <w:top w:val="none" w:sz="0" w:space="0" w:color="auto"/>
        <w:left w:val="none" w:sz="0" w:space="0" w:color="auto"/>
        <w:bottom w:val="none" w:sz="0" w:space="0" w:color="auto"/>
        <w:right w:val="none" w:sz="0" w:space="0" w:color="auto"/>
      </w:divBdr>
    </w:div>
    <w:div w:id="1764103446">
      <w:bodyDiv w:val="1"/>
      <w:marLeft w:val="0"/>
      <w:marRight w:val="0"/>
      <w:marTop w:val="0"/>
      <w:marBottom w:val="0"/>
      <w:divBdr>
        <w:top w:val="none" w:sz="0" w:space="0" w:color="auto"/>
        <w:left w:val="none" w:sz="0" w:space="0" w:color="auto"/>
        <w:bottom w:val="none" w:sz="0" w:space="0" w:color="auto"/>
        <w:right w:val="none" w:sz="0" w:space="0" w:color="auto"/>
      </w:divBdr>
    </w:div>
    <w:div w:id="1769696880">
      <w:bodyDiv w:val="1"/>
      <w:marLeft w:val="0"/>
      <w:marRight w:val="0"/>
      <w:marTop w:val="0"/>
      <w:marBottom w:val="0"/>
      <w:divBdr>
        <w:top w:val="none" w:sz="0" w:space="0" w:color="auto"/>
        <w:left w:val="none" w:sz="0" w:space="0" w:color="auto"/>
        <w:bottom w:val="none" w:sz="0" w:space="0" w:color="auto"/>
        <w:right w:val="none" w:sz="0" w:space="0" w:color="auto"/>
      </w:divBdr>
    </w:div>
    <w:div w:id="1770278338">
      <w:bodyDiv w:val="1"/>
      <w:marLeft w:val="0"/>
      <w:marRight w:val="0"/>
      <w:marTop w:val="0"/>
      <w:marBottom w:val="0"/>
      <w:divBdr>
        <w:top w:val="none" w:sz="0" w:space="0" w:color="auto"/>
        <w:left w:val="none" w:sz="0" w:space="0" w:color="auto"/>
        <w:bottom w:val="none" w:sz="0" w:space="0" w:color="auto"/>
        <w:right w:val="none" w:sz="0" w:space="0" w:color="auto"/>
      </w:divBdr>
    </w:div>
    <w:div w:id="1770848727">
      <w:bodyDiv w:val="1"/>
      <w:marLeft w:val="0"/>
      <w:marRight w:val="0"/>
      <w:marTop w:val="0"/>
      <w:marBottom w:val="0"/>
      <w:divBdr>
        <w:top w:val="none" w:sz="0" w:space="0" w:color="auto"/>
        <w:left w:val="none" w:sz="0" w:space="0" w:color="auto"/>
        <w:bottom w:val="none" w:sz="0" w:space="0" w:color="auto"/>
        <w:right w:val="none" w:sz="0" w:space="0" w:color="auto"/>
      </w:divBdr>
    </w:div>
    <w:div w:id="1772238193">
      <w:bodyDiv w:val="1"/>
      <w:marLeft w:val="0"/>
      <w:marRight w:val="0"/>
      <w:marTop w:val="0"/>
      <w:marBottom w:val="0"/>
      <w:divBdr>
        <w:top w:val="none" w:sz="0" w:space="0" w:color="auto"/>
        <w:left w:val="none" w:sz="0" w:space="0" w:color="auto"/>
        <w:bottom w:val="none" w:sz="0" w:space="0" w:color="auto"/>
        <w:right w:val="none" w:sz="0" w:space="0" w:color="auto"/>
      </w:divBdr>
    </w:div>
    <w:div w:id="1773865663">
      <w:bodyDiv w:val="1"/>
      <w:marLeft w:val="0"/>
      <w:marRight w:val="0"/>
      <w:marTop w:val="0"/>
      <w:marBottom w:val="0"/>
      <w:divBdr>
        <w:top w:val="none" w:sz="0" w:space="0" w:color="auto"/>
        <w:left w:val="none" w:sz="0" w:space="0" w:color="auto"/>
        <w:bottom w:val="none" w:sz="0" w:space="0" w:color="auto"/>
        <w:right w:val="none" w:sz="0" w:space="0" w:color="auto"/>
      </w:divBdr>
    </w:div>
    <w:div w:id="1773938835">
      <w:bodyDiv w:val="1"/>
      <w:marLeft w:val="0"/>
      <w:marRight w:val="0"/>
      <w:marTop w:val="0"/>
      <w:marBottom w:val="0"/>
      <w:divBdr>
        <w:top w:val="none" w:sz="0" w:space="0" w:color="auto"/>
        <w:left w:val="none" w:sz="0" w:space="0" w:color="auto"/>
        <w:bottom w:val="none" w:sz="0" w:space="0" w:color="auto"/>
        <w:right w:val="none" w:sz="0" w:space="0" w:color="auto"/>
      </w:divBdr>
    </w:div>
    <w:div w:id="1776635617">
      <w:bodyDiv w:val="1"/>
      <w:marLeft w:val="0"/>
      <w:marRight w:val="0"/>
      <w:marTop w:val="0"/>
      <w:marBottom w:val="0"/>
      <w:divBdr>
        <w:top w:val="none" w:sz="0" w:space="0" w:color="auto"/>
        <w:left w:val="none" w:sz="0" w:space="0" w:color="auto"/>
        <w:bottom w:val="none" w:sz="0" w:space="0" w:color="auto"/>
        <w:right w:val="none" w:sz="0" w:space="0" w:color="auto"/>
      </w:divBdr>
    </w:div>
    <w:div w:id="1777553707">
      <w:bodyDiv w:val="1"/>
      <w:marLeft w:val="0"/>
      <w:marRight w:val="0"/>
      <w:marTop w:val="0"/>
      <w:marBottom w:val="0"/>
      <w:divBdr>
        <w:top w:val="none" w:sz="0" w:space="0" w:color="auto"/>
        <w:left w:val="none" w:sz="0" w:space="0" w:color="auto"/>
        <w:bottom w:val="none" w:sz="0" w:space="0" w:color="auto"/>
        <w:right w:val="none" w:sz="0" w:space="0" w:color="auto"/>
      </w:divBdr>
    </w:div>
    <w:div w:id="1782605703">
      <w:bodyDiv w:val="1"/>
      <w:marLeft w:val="0"/>
      <w:marRight w:val="0"/>
      <w:marTop w:val="0"/>
      <w:marBottom w:val="0"/>
      <w:divBdr>
        <w:top w:val="none" w:sz="0" w:space="0" w:color="auto"/>
        <w:left w:val="none" w:sz="0" w:space="0" w:color="auto"/>
        <w:bottom w:val="none" w:sz="0" w:space="0" w:color="auto"/>
        <w:right w:val="none" w:sz="0" w:space="0" w:color="auto"/>
      </w:divBdr>
    </w:div>
    <w:div w:id="1783256189">
      <w:bodyDiv w:val="1"/>
      <w:marLeft w:val="0"/>
      <w:marRight w:val="0"/>
      <w:marTop w:val="0"/>
      <w:marBottom w:val="0"/>
      <w:divBdr>
        <w:top w:val="none" w:sz="0" w:space="0" w:color="auto"/>
        <w:left w:val="none" w:sz="0" w:space="0" w:color="auto"/>
        <w:bottom w:val="none" w:sz="0" w:space="0" w:color="auto"/>
        <w:right w:val="none" w:sz="0" w:space="0" w:color="auto"/>
      </w:divBdr>
    </w:div>
    <w:div w:id="1786998247">
      <w:bodyDiv w:val="1"/>
      <w:marLeft w:val="0"/>
      <w:marRight w:val="0"/>
      <w:marTop w:val="0"/>
      <w:marBottom w:val="0"/>
      <w:divBdr>
        <w:top w:val="none" w:sz="0" w:space="0" w:color="auto"/>
        <w:left w:val="none" w:sz="0" w:space="0" w:color="auto"/>
        <w:bottom w:val="none" w:sz="0" w:space="0" w:color="auto"/>
        <w:right w:val="none" w:sz="0" w:space="0" w:color="auto"/>
      </w:divBdr>
    </w:div>
    <w:div w:id="1787693360">
      <w:bodyDiv w:val="1"/>
      <w:marLeft w:val="0"/>
      <w:marRight w:val="0"/>
      <w:marTop w:val="0"/>
      <w:marBottom w:val="0"/>
      <w:divBdr>
        <w:top w:val="none" w:sz="0" w:space="0" w:color="auto"/>
        <w:left w:val="none" w:sz="0" w:space="0" w:color="auto"/>
        <w:bottom w:val="none" w:sz="0" w:space="0" w:color="auto"/>
        <w:right w:val="none" w:sz="0" w:space="0" w:color="auto"/>
      </w:divBdr>
    </w:div>
    <w:div w:id="1788617346">
      <w:bodyDiv w:val="1"/>
      <w:marLeft w:val="0"/>
      <w:marRight w:val="0"/>
      <w:marTop w:val="0"/>
      <w:marBottom w:val="0"/>
      <w:divBdr>
        <w:top w:val="none" w:sz="0" w:space="0" w:color="auto"/>
        <w:left w:val="none" w:sz="0" w:space="0" w:color="auto"/>
        <w:bottom w:val="none" w:sz="0" w:space="0" w:color="auto"/>
        <w:right w:val="none" w:sz="0" w:space="0" w:color="auto"/>
      </w:divBdr>
    </w:div>
    <w:div w:id="1792019810">
      <w:bodyDiv w:val="1"/>
      <w:marLeft w:val="0"/>
      <w:marRight w:val="0"/>
      <w:marTop w:val="0"/>
      <w:marBottom w:val="0"/>
      <w:divBdr>
        <w:top w:val="none" w:sz="0" w:space="0" w:color="auto"/>
        <w:left w:val="none" w:sz="0" w:space="0" w:color="auto"/>
        <w:bottom w:val="none" w:sz="0" w:space="0" w:color="auto"/>
        <w:right w:val="none" w:sz="0" w:space="0" w:color="auto"/>
      </w:divBdr>
    </w:div>
    <w:div w:id="1792356864">
      <w:bodyDiv w:val="1"/>
      <w:marLeft w:val="0"/>
      <w:marRight w:val="0"/>
      <w:marTop w:val="0"/>
      <w:marBottom w:val="0"/>
      <w:divBdr>
        <w:top w:val="none" w:sz="0" w:space="0" w:color="auto"/>
        <w:left w:val="none" w:sz="0" w:space="0" w:color="auto"/>
        <w:bottom w:val="none" w:sz="0" w:space="0" w:color="auto"/>
        <w:right w:val="none" w:sz="0" w:space="0" w:color="auto"/>
      </w:divBdr>
    </w:div>
    <w:div w:id="1801802311">
      <w:bodyDiv w:val="1"/>
      <w:marLeft w:val="0"/>
      <w:marRight w:val="0"/>
      <w:marTop w:val="0"/>
      <w:marBottom w:val="0"/>
      <w:divBdr>
        <w:top w:val="none" w:sz="0" w:space="0" w:color="auto"/>
        <w:left w:val="none" w:sz="0" w:space="0" w:color="auto"/>
        <w:bottom w:val="none" w:sz="0" w:space="0" w:color="auto"/>
        <w:right w:val="none" w:sz="0" w:space="0" w:color="auto"/>
      </w:divBdr>
    </w:div>
    <w:div w:id="1805149816">
      <w:bodyDiv w:val="1"/>
      <w:marLeft w:val="0"/>
      <w:marRight w:val="0"/>
      <w:marTop w:val="0"/>
      <w:marBottom w:val="0"/>
      <w:divBdr>
        <w:top w:val="none" w:sz="0" w:space="0" w:color="auto"/>
        <w:left w:val="none" w:sz="0" w:space="0" w:color="auto"/>
        <w:bottom w:val="none" w:sz="0" w:space="0" w:color="auto"/>
        <w:right w:val="none" w:sz="0" w:space="0" w:color="auto"/>
      </w:divBdr>
    </w:div>
    <w:div w:id="1806510496">
      <w:bodyDiv w:val="1"/>
      <w:marLeft w:val="0"/>
      <w:marRight w:val="0"/>
      <w:marTop w:val="0"/>
      <w:marBottom w:val="0"/>
      <w:divBdr>
        <w:top w:val="none" w:sz="0" w:space="0" w:color="auto"/>
        <w:left w:val="none" w:sz="0" w:space="0" w:color="auto"/>
        <w:bottom w:val="none" w:sz="0" w:space="0" w:color="auto"/>
        <w:right w:val="none" w:sz="0" w:space="0" w:color="auto"/>
      </w:divBdr>
    </w:div>
    <w:div w:id="1808083184">
      <w:bodyDiv w:val="1"/>
      <w:marLeft w:val="0"/>
      <w:marRight w:val="0"/>
      <w:marTop w:val="0"/>
      <w:marBottom w:val="0"/>
      <w:divBdr>
        <w:top w:val="none" w:sz="0" w:space="0" w:color="auto"/>
        <w:left w:val="none" w:sz="0" w:space="0" w:color="auto"/>
        <w:bottom w:val="none" w:sz="0" w:space="0" w:color="auto"/>
        <w:right w:val="none" w:sz="0" w:space="0" w:color="auto"/>
      </w:divBdr>
    </w:div>
    <w:div w:id="1820613337">
      <w:bodyDiv w:val="1"/>
      <w:marLeft w:val="0"/>
      <w:marRight w:val="0"/>
      <w:marTop w:val="0"/>
      <w:marBottom w:val="0"/>
      <w:divBdr>
        <w:top w:val="none" w:sz="0" w:space="0" w:color="auto"/>
        <w:left w:val="none" w:sz="0" w:space="0" w:color="auto"/>
        <w:bottom w:val="none" w:sz="0" w:space="0" w:color="auto"/>
        <w:right w:val="none" w:sz="0" w:space="0" w:color="auto"/>
      </w:divBdr>
    </w:div>
    <w:div w:id="1821802298">
      <w:bodyDiv w:val="1"/>
      <w:marLeft w:val="0"/>
      <w:marRight w:val="0"/>
      <w:marTop w:val="0"/>
      <w:marBottom w:val="0"/>
      <w:divBdr>
        <w:top w:val="none" w:sz="0" w:space="0" w:color="auto"/>
        <w:left w:val="none" w:sz="0" w:space="0" w:color="auto"/>
        <w:bottom w:val="none" w:sz="0" w:space="0" w:color="auto"/>
        <w:right w:val="none" w:sz="0" w:space="0" w:color="auto"/>
      </w:divBdr>
    </w:div>
    <w:div w:id="1825193344">
      <w:bodyDiv w:val="1"/>
      <w:marLeft w:val="0"/>
      <w:marRight w:val="0"/>
      <w:marTop w:val="0"/>
      <w:marBottom w:val="0"/>
      <w:divBdr>
        <w:top w:val="none" w:sz="0" w:space="0" w:color="auto"/>
        <w:left w:val="none" w:sz="0" w:space="0" w:color="auto"/>
        <w:bottom w:val="none" w:sz="0" w:space="0" w:color="auto"/>
        <w:right w:val="none" w:sz="0" w:space="0" w:color="auto"/>
      </w:divBdr>
    </w:div>
    <w:div w:id="1827236300">
      <w:bodyDiv w:val="1"/>
      <w:marLeft w:val="0"/>
      <w:marRight w:val="0"/>
      <w:marTop w:val="0"/>
      <w:marBottom w:val="0"/>
      <w:divBdr>
        <w:top w:val="none" w:sz="0" w:space="0" w:color="auto"/>
        <w:left w:val="none" w:sz="0" w:space="0" w:color="auto"/>
        <w:bottom w:val="none" w:sz="0" w:space="0" w:color="auto"/>
        <w:right w:val="none" w:sz="0" w:space="0" w:color="auto"/>
      </w:divBdr>
    </w:div>
    <w:div w:id="1832912355">
      <w:bodyDiv w:val="1"/>
      <w:marLeft w:val="0"/>
      <w:marRight w:val="0"/>
      <w:marTop w:val="0"/>
      <w:marBottom w:val="0"/>
      <w:divBdr>
        <w:top w:val="none" w:sz="0" w:space="0" w:color="auto"/>
        <w:left w:val="none" w:sz="0" w:space="0" w:color="auto"/>
        <w:bottom w:val="none" w:sz="0" w:space="0" w:color="auto"/>
        <w:right w:val="none" w:sz="0" w:space="0" w:color="auto"/>
      </w:divBdr>
    </w:div>
    <w:div w:id="1834373343">
      <w:bodyDiv w:val="1"/>
      <w:marLeft w:val="0"/>
      <w:marRight w:val="0"/>
      <w:marTop w:val="0"/>
      <w:marBottom w:val="0"/>
      <w:divBdr>
        <w:top w:val="none" w:sz="0" w:space="0" w:color="auto"/>
        <w:left w:val="none" w:sz="0" w:space="0" w:color="auto"/>
        <w:bottom w:val="none" w:sz="0" w:space="0" w:color="auto"/>
        <w:right w:val="none" w:sz="0" w:space="0" w:color="auto"/>
      </w:divBdr>
    </w:div>
    <w:div w:id="1839927637">
      <w:bodyDiv w:val="1"/>
      <w:marLeft w:val="0"/>
      <w:marRight w:val="0"/>
      <w:marTop w:val="0"/>
      <w:marBottom w:val="0"/>
      <w:divBdr>
        <w:top w:val="none" w:sz="0" w:space="0" w:color="auto"/>
        <w:left w:val="none" w:sz="0" w:space="0" w:color="auto"/>
        <w:bottom w:val="none" w:sz="0" w:space="0" w:color="auto"/>
        <w:right w:val="none" w:sz="0" w:space="0" w:color="auto"/>
      </w:divBdr>
    </w:div>
    <w:div w:id="1843740852">
      <w:bodyDiv w:val="1"/>
      <w:marLeft w:val="0"/>
      <w:marRight w:val="0"/>
      <w:marTop w:val="0"/>
      <w:marBottom w:val="0"/>
      <w:divBdr>
        <w:top w:val="none" w:sz="0" w:space="0" w:color="auto"/>
        <w:left w:val="none" w:sz="0" w:space="0" w:color="auto"/>
        <w:bottom w:val="none" w:sz="0" w:space="0" w:color="auto"/>
        <w:right w:val="none" w:sz="0" w:space="0" w:color="auto"/>
      </w:divBdr>
    </w:div>
    <w:div w:id="1846244880">
      <w:bodyDiv w:val="1"/>
      <w:marLeft w:val="0"/>
      <w:marRight w:val="0"/>
      <w:marTop w:val="0"/>
      <w:marBottom w:val="0"/>
      <w:divBdr>
        <w:top w:val="none" w:sz="0" w:space="0" w:color="auto"/>
        <w:left w:val="none" w:sz="0" w:space="0" w:color="auto"/>
        <w:bottom w:val="none" w:sz="0" w:space="0" w:color="auto"/>
        <w:right w:val="none" w:sz="0" w:space="0" w:color="auto"/>
      </w:divBdr>
    </w:div>
    <w:div w:id="1847092186">
      <w:bodyDiv w:val="1"/>
      <w:marLeft w:val="0"/>
      <w:marRight w:val="0"/>
      <w:marTop w:val="0"/>
      <w:marBottom w:val="0"/>
      <w:divBdr>
        <w:top w:val="none" w:sz="0" w:space="0" w:color="auto"/>
        <w:left w:val="none" w:sz="0" w:space="0" w:color="auto"/>
        <w:bottom w:val="none" w:sz="0" w:space="0" w:color="auto"/>
        <w:right w:val="none" w:sz="0" w:space="0" w:color="auto"/>
      </w:divBdr>
    </w:div>
    <w:div w:id="1849710876">
      <w:bodyDiv w:val="1"/>
      <w:marLeft w:val="0"/>
      <w:marRight w:val="0"/>
      <w:marTop w:val="0"/>
      <w:marBottom w:val="0"/>
      <w:divBdr>
        <w:top w:val="none" w:sz="0" w:space="0" w:color="auto"/>
        <w:left w:val="none" w:sz="0" w:space="0" w:color="auto"/>
        <w:bottom w:val="none" w:sz="0" w:space="0" w:color="auto"/>
        <w:right w:val="none" w:sz="0" w:space="0" w:color="auto"/>
      </w:divBdr>
    </w:div>
    <w:div w:id="1854950741">
      <w:bodyDiv w:val="1"/>
      <w:marLeft w:val="0"/>
      <w:marRight w:val="0"/>
      <w:marTop w:val="0"/>
      <w:marBottom w:val="0"/>
      <w:divBdr>
        <w:top w:val="none" w:sz="0" w:space="0" w:color="auto"/>
        <w:left w:val="none" w:sz="0" w:space="0" w:color="auto"/>
        <w:bottom w:val="none" w:sz="0" w:space="0" w:color="auto"/>
        <w:right w:val="none" w:sz="0" w:space="0" w:color="auto"/>
      </w:divBdr>
    </w:div>
    <w:div w:id="1855798008">
      <w:bodyDiv w:val="1"/>
      <w:marLeft w:val="0"/>
      <w:marRight w:val="0"/>
      <w:marTop w:val="0"/>
      <w:marBottom w:val="0"/>
      <w:divBdr>
        <w:top w:val="none" w:sz="0" w:space="0" w:color="auto"/>
        <w:left w:val="none" w:sz="0" w:space="0" w:color="auto"/>
        <w:bottom w:val="none" w:sz="0" w:space="0" w:color="auto"/>
        <w:right w:val="none" w:sz="0" w:space="0" w:color="auto"/>
      </w:divBdr>
    </w:div>
    <w:div w:id="1856573272">
      <w:bodyDiv w:val="1"/>
      <w:marLeft w:val="0"/>
      <w:marRight w:val="0"/>
      <w:marTop w:val="0"/>
      <w:marBottom w:val="0"/>
      <w:divBdr>
        <w:top w:val="none" w:sz="0" w:space="0" w:color="auto"/>
        <w:left w:val="none" w:sz="0" w:space="0" w:color="auto"/>
        <w:bottom w:val="none" w:sz="0" w:space="0" w:color="auto"/>
        <w:right w:val="none" w:sz="0" w:space="0" w:color="auto"/>
      </w:divBdr>
    </w:div>
    <w:div w:id="1859781241">
      <w:bodyDiv w:val="1"/>
      <w:marLeft w:val="0"/>
      <w:marRight w:val="0"/>
      <w:marTop w:val="0"/>
      <w:marBottom w:val="0"/>
      <w:divBdr>
        <w:top w:val="none" w:sz="0" w:space="0" w:color="auto"/>
        <w:left w:val="none" w:sz="0" w:space="0" w:color="auto"/>
        <w:bottom w:val="none" w:sz="0" w:space="0" w:color="auto"/>
        <w:right w:val="none" w:sz="0" w:space="0" w:color="auto"/>
      </w:divBdr>
    </w:div>
    <w:div w:id="1863202390">
      <w:bodyDiv w:val="1"/>
      <w:marLeft w:val="0"/>
      <w:marRight w:val="0"/>
      <w:marTop w:val="0"/>
      <w:marBottom w:val="0"/>
      <w:divBdr>
        <w:top w:val="none" w:sz="0" w:space="0" w:color="auto"/>
        <w:left w:val="none" w:sz="0" w:space="0" w:color="auto"/>
        <w:bottom w:val="none" w:sz="0" w:space="0" w:color="auto"/>
        <w:right w:val="none" w:sz="0" w:space="0" w:color="auto"/>
      </w:divBdr>
    </w:div>
    <w:div w:id="1863745001">
      <w:bodyDiv w:val="1"/>
      <w:marLeft w:val="0"/>
      <w:marRight w:val="0"/>
      <w:marTop w:val="0"/>
      <w:marBottom w:val="0"/>
      <w:divBdr>
        <w:top w:val="none" w:sz="0" w:space="0" w:color="auto"/>
        <w:left w:val="none" w:sz="0" w:space="0" w:color="auto"/>
        <w:bottom w:val="none" w:sz="0" w:space="0" w:color="auto"/>
        <w:right w:val="none" w:sz="0" w:space="0" w:color="auto"/>
      </w:divBdr>
    </w:div>
    <w:div w:id="1869635355">
      <w:bodyDiv w:val="1"/>
      <w:marLeft w:val="0"/>
      <w:marRight w:val="0"/>
      <w:marTop w:val="0"/>
      <w:marBottom w:val="0"/>
      <w:divBdr>
        <w:top w:val="none" w:sz="0" w:space="0" w:color="auto"/>
        <w:left w:val="none" w:sz="0" w:space="0" w:color="auto"/>
        <w:bottom w:val="none" w:sz="0" w:space="0" w:color="auto"/>
        <w:right w:val="none" w:sz="0" w:space="0" w:color="auto"/>
      </w:divBdr>
    </w:div>
    <w:div w:id="1873179203">
      <w:bodyDiv w:val="1"/>
      <w:marLeft w:val="0"/>
      <w:marRight w:val="0"/>
      <w:marTop w:val="0"/>
      <w:marBottom w:val="0"/>
      <w:divBdr>
        <w:top w:val="none" w:sz="0" w:space="0" w:color="auto"/>
        <w:left w:val="none" w:sz="0" w:space="0" w:color="auto"/>
        <w:bottom w:val="none" w:sz="0" w:space="0" w:color="auto"/>
        <w:right w:val="none" w:sz="0" w:space="0" w:color="auto"/>
      </w:divBdr>
    </w:div>
    <w:div w:id="1875656267">
      <w:bodyDiv w:val="1"/>
      <w:marLeft w:val="0"/>
      <w:marRight w:val="0"/>
      <w:marTop w:val="0"/>
      <w:marBottom w:val="0"/>
      <w:divBdr>
        <w:top w:val="none" w:sz="0" w:space="0" w:color="auto"/>
        <w:left w:val="none" w:sz="0" w:space="0" w:color="auto"/>
        <w:bottom w:val="none" w:sz="0" w:space="0" w:color="auto"/>
        <w:right w:val="none" w:sz="0" w:space="0" w:color="auto"/>
      </w:divBdr>
    </w:div>
    <w:div w:id="1879852948">
      <w:bodyDiv w:val="1"/>
      <w:marLeft w:val="0"/>
      <w:marRight w:val="0"/>
      <w:marTop w:val="0"/>
      <w:marBottom w:val="0"/>
      <w:divBdr>
        <w:top w:val="none" w:sz="0" w:space="0" w:color="auto"/>
        <w:left w:val="none" w:sz="0" w:space="0" w:color="auto"/>
        <w:bottom w:val="none" w:sz="0" w:space="0" w:color="auto"/>
        <w:right w:val="none" w:sz="0" w:space="0" w:color="auto"/>
      </w:divBdr>
    </w:div>
    <w:div w:id="1880848813">
      <w:bodyDiv w:val="1"/>
      <w:marLeft w:val="0"/>
      <w:marRight w:val="0"/>
      <w:marTop w:val="0"/>
      <w:marBottom w:val="0"/>
      <w:divBdr>
        <w:top w:val="none" w:sz="0" w:space="0" w:color="auto"/>
        <w:left w:val="none" w:sz="0" w:space="0" w:color="auto"/>
        <w:bottom w:val="none" w:sz="0" w:space="0" w:color="auto"/>
        <w:right w:val="none" w:sz="0" w:space="0" w:color="auto"/>
      </w:divBdr>
    </w:div>
    <w:div w:id="1890872578">
      <w:bodyDiv w:val="1"/>
      <w:marLeft w:val="0"/>
      <w:marRight w:val="0"/>
      <w:marTop w:val="0"/>
      <w:marBottom w:val="0"/>
      <w:divBdr>
        <w:top w:val="none" w:sz="0" w:space="0" w:color="auto"/>
        <w:left w:val="none" w:sz="0" w:space="0" w:color="auto"/>
        <w:bottom w:val="none" w:sz="0" w:space="0" w:color="auto"/>
        <w:right w:val="none" w:sz="0" w:space="0" w:color="auto"/>
      </w:divBdr>
    </w:div>
    <w:div w:id="1890919560">
      <w:bodyDiv w:val="1"/>
      <w:marLeft w:val="0"/>
      <w:marRight w:val="0"/>
      <w:marTop w:val="0"/>
      <w:marBottom w:val="0"/>
      <w:divBdr>
        <w:top w:val="none" w:sz="0" w:space="0" w:color="auto"/>
        <w:left w:val="none" w:sz="0" w:space="0" w:color="auto"/>
        <w:bottom w:val="none" w:sz="0" w:space="0" w:color="auto"/>
        <w:right w:val="none" w:sz="0" w:space="0" w:color="auto"/>
      </w:divBdr>
    </w:div>
    <w:div w:id="1891305136">
      <w:bodyDiv w:val="1"/>
      <w:marLeft w:val="0"/>
      <w:marRight w:val="0"/>
      <w:marTop w:val="0"/>
      <w:marBottom w:val="0"/>
      <w:divBdr>
        <w:top w:val="none" w:sz="0" w:space="0" w:color="auto"/>
        <w:left w:val="none" w:sz="0" w:space="0" w:color="auto"/>
        <w:bottom w:val="none" w:sz="0" w:space="0" w:color="auto"/>
        <w:right w:val="none" w:sz="0" w:space="0" w:color="auto"/>
      </w:divBdr>
    </w:div>
    <w:div w:id="1896507572">
      <w:bodyDiv w:val="1"/>
      <w:marLeft w:val="0"/>
      <w:marRight w:val="0"/>
      <w:marTop w:val="0"/>
      <w:marBottom w:val="0"/>
      <w:divBdr>
        <w:top w:val="none" w:sz="0" w:space="0" w:color="auto"/>
        <w:left w:val="none" w:sz="0" w:space="0" w:color="auto"/>
        <w:bottom w:val="none" w:sz="0" w:space="0" w:color="auto"/>
        <w:right w:val="none" w:sz="0" w:space="0" w:color="auto"/>
      </w:divBdr>
    </w:div>
    <w:div w:id="1896693665">
      <w:bodyDiv w:val="1"/>
      <w:marLeft w:val="0"/>
      <w:marRight w:val="0"/>
      <w:marTop w:val="0"/>
      <w:marBottom w:val="0"/>
      <w:divBdr>
        <w:top w:val="none" w:sz="0" w:space="0" w:color="auto"/>
        <w:left w:val="none" w:sz="0" w:space="0" w:color="auto"/>
        <w:bottom w:val="none" w:sz="0" w:space="0" w:color="auto"/>
        <w:right w:val="none" w:sz="0" w:space="0" w:color="auto"/>
      </w:divBdr>
    </w:div>
    <w:div w:id="1898710202">
      <w:bodyDiv w:val="1"/>
      <w:marLeft w:val="0"/>
      <w:marRight w:val="0"/>
      <w:marTop w:val="0"/>
      <w:marBottom w:val="0"/>
      <w:divBdr>
        <w:top w:val="none" w:sz="0" w:space="0" w:color="auto"/>
        <w:left w:val="none" w:sz="0" w:space="0" w:color="auto"/>
        <w:bottom w:val="none" w:sz="0" w:space="0" w:color="auto"/>
        <w:right w:val="none" w:sz="0" w:space="0" w:color="auto"/>
      </w:divBdr>
    </w:div>
    <w:div w:id="1900896709">
      <w:bodyDiv w:val="1"/>
      <w:marLeft w:val="0"/>
      <w:marRight w:val="0"/>
      <w:marTop w:val="0"/>
      <w:marBottom w:val="0"/>
      <w:divBdr>
        <w:top w:val="none" w:sz="0" w:space="0" w:color="auto"/>
        <w:left w:val="none" w:sz="0" w:space="0" w:color="auto"/>
        <w:bottom w:val="none" w:sz="0" w:space="0" w:color="auto"/>
        <w:right w:val="none" w:sz="0" w:space="0" w:color="auto"/>
      </w:divBdr>
    </w:div>
    <w:div w:id="1907953001">
      <w:bodyDiv w:val="1"/>
      <w:marLeft w:val="0"/>
      <w:marRight w:val="0"/>
      <w:marTop w:val="0"/>
      <w:marBottom w:val="0"/>
      <w:divBdr>
        <w:top w:val="none" w:sz="0" w:space="0" w:color="auto"/>
        <w:left w:val="none" w:sz="0" w:space="0" w:color="auto"/>
        <w:bottom w:val="none" w:sz="0" w:space="0" w:color="auto"/>
        <w:right w:val="none" w:sz="0" w:space="0" w:color="auto"/>
      </w:divBdr>
    </w:div>
    <w:div w:id="1907959789">
      <w:bodyDiv w:val="1"/>
      <w:marLeft w:val="0"/>
      <w:marRight w:val="0"/>
      <w:marTop w:val="0"/>
      <w:marBottom w:val="0"/>
      <w:divBdr>
        <w:top w:val="none" w:sz="0" w:space="0" w:color="auto"/>
        <w:left w:val="none" w:sz="0" w:space="0" w:color="auto"/>
        <w:bottom w:val="none" w:sz="0" w:space="0" w:color="auto"/>
        <w:right w:val="none" w:sz="0" w:space="0" w:color="auto"/>
      </w:divBdr>
    </w:div>
    <w:div w:id="1908032942">
      <w:bodyDiv w:val="1"/>
      <w:marLeft w:val="0"/>
      <w:marRight w:val="0"/>
      <w:marTop w:val="0"/>
      <w:marBottom w:val="0"/>
      <w:divBdr>
        <w:top w:val="none" w:sz="0" w:space="0" w:color="auto"/>
        <w:left w:val="none" w:sz="0" w:space="0" w:color="auto"/>
        <w:bottom w:val="none" w:sz="0" w:space="0" w:color="auto"/>
        <w:right w:val="none" w:sz="0" w:space="0" w:color="auto"/>
      </w:divBdr>
    </w:div>
    <w:div w:id="1908301197">
      <w:bodyDiv w:val="1"/>
      <w:marLeft w:val="0"/>
      <w:marRight w:val="0"/>
      <w:marTop w:val="0"/>
      <w:marBottom w:val="0"/>
      <w:divBdr>
        <w:top w:val="none" w:sz="0" w:space="0" w:color="auto"/>
        <w:left w:val="none" w:sz="0" w:space="0" w:color="auto"/>
        <w:bottom w:val="none" w:sz="0" w:space="0" w:color="auto"/>
        <w:right w:val="none" w:sz="0" w:space="0" w:color="auto"/>
      </w:divBdr>
    </w:div>
    <w:div w:id="1908764628">
      <w:bodyDiv w:val="1"/>
      <w:marLeft w:val="0"/>
      <w:marRight w:val="0"/>
      <w:marTop w:val="0"/>
      <w:marBottom w:val="0"/>
      <w:divBdr>
        <w:top w:val="none" w:sz="0" w:space="0" w:color="auto"/>
        <w:left w:val="none" w:sz="0" w:space="0" w:color="auto"/>
        <w:bottom w:val="none" w:sz="0" w:space="0" w:color="auto"/>
        <w:right w:val="none" w:sz="0" w:space="0" w:color="auto"/>
      </w:divBdr>
    </w:div>
    <w:div w:id="1911841416">
      <w:bodyDiv w:val="1"/>
      <w:marLeft w:val="0"/>
      <w:marRight w:val="0"/>
      <w:marTop w:val="0"/>
      <w:marBottom w:val="0"/>
      <w:divBdr>
        <w:top w:val="none" w:sz="0" w:space="0" w:color="auto"/>
        <w:left w:val="none" w:sz="0" w:space="0" w:color="auto"/>
        <w:bottom w:val="none" w:sz="0" w:space="0" w:color="auto"/>
        <w:right w:val="none" w:sz="0" w:space="0" w:color="auto"/>
      </w:divBdr>
    </w:div>
    <w:div w:id="1920481664">
      <w:bodyDiv w:val="1"/>
      <w:marLeft w:val="0"/>
      <w:marRight w:val="0"/>
      <w:marTop w:val="0"/>
      <w:marBottom w:val="0"/>
      <w:divBdr>
        <w:top w:val="none" w:sz="0" w:space="0" w:color="auto"/>
        <w:left w:val="none" w:sz="0" w:space="0" w:color="auto"/>
        <w:bottom w:val="none" w:sz="0" w:space="0" w:color="auto"/>
        <w:right w:val="none" w:sz="0" w:space="0" w:color="auto"/>
      </w:divBdr>
    </w:div>
    <w:div w:id="1925145600">
      <w:bodyDiv w:val="1"/>
      <w:marLeft w:val="0"/>
      <w:marRight w:val="0"/>
      <w:marTop w:val="0"/>
      <w:marBottom w:val="0"/>
      <w:divBdr>
        <w:top w:val="none" w:sz="0" w:space="0" w:color="auto"/>
        <w:left w:val="none" w:sz="0" w:space="0" w:color="auto"/>
        <w:bottom w:val="none" w:sz="0" w:space="0" w:color="auto"/>
        <w:right w:val="none" w:sz="0" w:space="0" w:color="auto"/>
      </w:divBdr>
    </w:div>
    <w:div w:id="1925189449">
      <w:bodyDiv w:val="1"/>
      <w:marLeft w:val="0"/>
      <w:marRight w:val="0"/>
      <w:marTop w:val="0"/>
      <w:marBottom w:val="0"/>
      <w:divBdr>
        <w:top w:val="none" w:sz="0" w:space="0" w:color="auto"/>
        <w:left w:val="none" w:sz="0" w:space="0" w:color="auto"/>
        <w:bottom w:val="none" w:sz="0" w:space="0" w:color="auto"/>
        <w:right w:val="none" w:sz="0" w:space="0" w:color="auto"/>
      </w:divBdr>
    </w:div>
    <w:div w:id="1927105940">
      <w:bodyDiv w:val="1"/>
      <w:marLeft w:val="0"/>
      <w:marRight w:val="0"/>
      <w:marTop w:val="0"/>
      <w:marBottom w:val="0"/>
      <w:divBdr>
        <w:top w:val="none" w:sz="0" w:space="0" w:color="auto"/>
        <w:left w:val="none" w:sz="0" w:space="0" w:color="auto"/>
        <w:bottom w:val="none" w:sz="0" w:space="0" w:color="auto"/>
        <w:right w:val="none" w:sz="0" w:space="0" w:color="auto"/>
      </w:divBdr>
    </w:div>
    <w:div w:id="1933003266">
      <w:bodyDiv w:val="1"/>
      <w:marLeft w:val="0"/>
      <w:marRight w:val="0"/>
      <w:marTop w:val="0"/>
      <w:marBottom w:val="0"/>
      <w:divBdr>
        <w:top w:val="none" w:sz="0" w:space="0" w:color="auto"/>
        <w:left w:val="none" w:sz="0" w:space="0" w:color="auto"/>
        <w:bottom w:val="none" w:sz="0" w:space="0" w:color="auto"/>
        <w:right w:val="none" w:sz="0" w:space="0" w:color="auto"/>
      </w:divBdr>
    </w:div>
    <w:div w:id="1936397831">
      <w:bodyDiv w:val="1"/>
      <w:marLeft w:val="0"/>
      <w:marRight w:val="0"/>
      <w:marTop w:val="0"/>
      <w:marBottom w:val="0"/>
      <w:divBdr>
        <w:top w:val="none" w:sz="0" w:space="0" w:color="auto"/>
        <w:left w:val="none" w:sz="0" w:space="0" w:color="auto"/>
        <w:bottom w:val="none" w:sz="0" w:space="0" w:color="auto"/>
        <w:right w:val="none" w:sz="0" w:space="0" w:color="auto"/>
      </w:divBdr>
    </w:div>
    <w:div w:id="1938250750">
      <w:bodyDiv w:val="1"/>
      <w:marLeft w:val="0"/>
      <w:marRight w:val="0"/>
      <w:marTop w:val="0"/>
      <w:marBottom w:val="0"/>
      <w:divBdr>
        <w:top w:val="none" w:sz="0" w:space="0" w:color="auto"/>
        <w:left w:val="none" w:sz="0" w:space="0" w:color="auto"/>
        <w:bottom w:val="none" w:sz="0" w:space="0" w:color="auto"/>
        <w:right w:val="none" w:sz="0" w:space="0" w:color="auto"/>
      </w:divBdr>
    </w:div>
    <w:div w:id="1938294132">
      <w:bodyDiv w:val="1"/>
      <w:marLeft w:val="0"/>
      <w:marRight w:val="0"/>
      <w:marTop w:val="0"/>
      <w:marBottom w:val="0"/>
      <w:divBdr>
        <w:top w:val="none" w:sz="0" w:space="0" w:color="auto"/>
        <w:left w:val="none" w:sz="0" w:space="0" w:color="auto"/>
        <w:bottom w:val="none" w:sz="0" w:space="0" w:color="auto"/>
        <w:right w:val="none" w:sz="0" w:space="0" w:color="auto"/>
      </w:divBdr>
    </w:div>
    <w:div w:id="1938903470">
      <w:bodyDiv w:val="1"/>
      <w:marLeft w:val="0"/>
      <w:marRight w:val="0"/>
      <w:marTop w:val="0"/>
      <w:marBottom w:val="0"/>
      <w:divBdr>
        <w:top w:val="none" w:sz="0" w:space="0" w:color="auto"/>
        <w:left w:val="none" w:sz="0" w:space="0" w:color="auto"/>
        <w:bottom w:val="none" w:sz="0" w:space="0" w:color="auto"/>
        <w:right w:val="none" w:sz="0" w:space="0" w:color="auto"/>
      </w:divBdr>
    </w:div>
    <w:div w:id="1939171703">
      <w:bodyDiv w:val="1"/>
      <w:marLeft w:val="0"/>
      <w:marRight w:val="0"/>
      <w:marTop w:val="0"/>
      <w:marBottom w:val="0"/>
      <w:divBdr>
        <w:top w:val="none" w:sz="0" w:space="0" w:color="auto"/>
        <w:left w:val="none" w:sz="0" w:space="0" w:color="auto"/>
        <w:bottom w:val="none" w:sz="0" w:space="0" w:color="auto"/>
        <w:right w:val="none" w:sz="0" w:space="0" w:color="auto"/>
      </w:divBdr>
    </w:div>
    <w:div w:id="1947537513">
      <w:bodyDiv w:val="1"/>
      <w:marLeft w:val="0"/>
      <w:marRight w:val="0"/>
      <w:marTop w:val="0"/>
      <w:marBottom w:val="0"/>
      <w:divBdr>
        <w:top w:val="none" w:sz="0" w:space="0" w:color="auto"/>
        <w:left w:val="none" w:sz="0" w:space="0" w:color="auto"/>
        <w:bottom w:val="none" w:sz="0" w:space="0" w:color="auto"/>
        <w:right w:val="none" w:sz="0" w:space="0" w:color="auto"/>
      </w:divBdr>
    </w:div>
    <w:div w:id="1951542404">
      <w:bodyDiv w:val="1"/>
      <w:marLeft w:val="0"/>
      <w:marRight w:val="0"/>
      <w:marTop w:val="0"/>
      <w:marBottom w:val="0"/>
      <w:divBdr>
        <w:top w:val="none" w:sz="0" w:space="0" w:color="auto"/>
        <w:left w:val="none" w:sz="0" w:space="0" w:color="auto"/>
        <w:bottom w:val="none" w:sz="0" w:space="0" w:color="auto"/>
        <w:right w:val="none" w:sz="0" w:space="0" w:color="auto"/>
      </w:divBdr>
    </w:div>
    <w:div w:id="1951619052">
      <w:bodyDiv w:val="1"/>
      <w:marLeft w:val="0"/>
      <w:marRight w:val="0"/>
      <w:marTop w:val="0"/>
      <w:marBottom w:val="0"/>
      <w:divBdr>
        <w:top w:val="none" w:sz="0" w:space="0" w:color="auto"/>
        <w:left w:val="none" w:sz="0" w:space="0" w:color="auto"/>
        <w:bottom w:val="none" w:sz="0" w:space="0" w:color="auto"/>
        <w:right w:val="none" w:sz="0" w:space="0" w:color="auto"/>
      </w:divBdr>
    </w:div>
    <w:div w:id="1951622035">
      <w:bodyDiv w:val="1"/>
      <w:marLeft w:val="0"/>
      <w:marRight w:val="0"/>
      <w:marTop w:val="0"/>
      <w:marBottom w:val="0"/>
      <w:divBdr>
        <w:top w:val="none" w:sz="0" w:space="0" w:color="auto"/>
        <w:left w:val="none" w:sz="0" w:space="0" w:color="auto"/>
        <w:bottom w:val="none" w:sz="0" w:space="0" w:color="auto"/>
        <w:right w:val="none" w:sz="0" w:space="0" w:color="auto"/>
      </w:divBdr>
    </w:div>
    <w:div w:id="1952276896">
      <w:bodyDiv w:val="1"/>
      <w:marLeft w:val="0"/>
      <w:marRight w:val="0"/>
      <w:marTop w:val="0"/>
      <w:marBottom w:val="0"/>
      <w:divBdr>
        <w:top w:val="none" w:sz="0" w:space="0" w:color="auto"/>
        <w:left w:val="none" w:sz="0" w:space="0" w:color="auto"/>
        <w:bottom w:val="none" w:sz="0" w:space="0" w:color="auto"/>
        <w:right w:val="none" w:sz="0" w:space="0" w:color="auto"/>
      </w:divBdr>
    </w:div>
    <w:div w:id="1955095861">
      <w:bodyDiv w:val="1"/>
      <w:marLeft w:val="0"/>
      <w:marRight w:val="0"/>
      <w:marTop w:val="0"/>
      <w:marBottom w:val="0"/>
      <w:divBdr>
        <w:top w:val="none" w:sz="0" w:space="0" w:color="auto"/>
        <w:left w:val="none" w:sz="0" w:space="0" w:color="auto"/>
        <w:bottom w:val="none" w:sz="0" w:space="0" w:color="auto"/>
        <w:right w:val="none" w:sz="0" w:space="0" w:color="auto"/>
      </w:divBdr>
    </w:div>
    <w:div w:id="1963147635">
      <w:bodyDiv w:val="1"/>
      <w:marLeft w:val="0"/>
      <w:marRight w:val="0"/>
      <w:marTop w:val="0"/>
      <w:marBottom w:val="0"/>
      <w:divBdr>
        <w:top w:val="none" w:sz="0" w:space="0" w:color="auto"/>
        <w:left w:val="none" w:sz="0" w:space="0" w:color="auto"/>
        <w:bottom w:val="none" w:sz="0" w:space="0" w:color="auto"/>
        <w:right w:val="none" w:sz="0" w:space="0" w:color="auto"/>
      </w:divBdr>
    </w:div>
    <w:div w:id="1964190754">
      <w:bodyDiv w:val="1"/>
      <w:marLeft w:val="0"/>
      <w:marRight w:val="0"/>
      <w:marTop w:val="0"/>
      <w:marBottom w:val="0"/>
      <w:divBdr>
        <w:top w:val="none" w:sz="0" w:space="0" w:color="auto"/>
        <w:left w:val="none" w:sz="0" w:space="0" w:color="auto"/>
        <w:bottom w:val="none" w:sz="0" w:space="0" w:color="auto"/>
        <w:right w:val="none" w:sz="0" w:space="0" w:color="auto"/>
      </w:divBdr>
    </w:div>
    <w:div w:id="1964801763">
      <w:bodyDiv w:val="1"/>
      <w:marLeft w:val="0"/>
      <w:marRight w:val="0"/>
      <w:marTop w:val="0"/>
      <w:marBottom w:val="0"/>
      <w:divBdr>
        <w:top w:val="none" w:sz="0" w:space="0" w:color="auto"/>
        <w:left w:val="none" w:sz="0" w:space="0" w:color="auto"/>
        <w:bottom w:val="none" w:sz="0" w:space="0" w:color="auto"/>
        <w:right w:val="none" w:sz="0" w:space="0" w:color="auto"/>
      </w:divBdr>
    </w:div>
    <w:div w:id="1967733643">
      <w:bodyDiv w:val="1"/>
      <w:marLeft w:val="0"/>
      <w:marRight w:val="0"/>
      <w:marTop w:val="0"/>
      <w:marBottom w:val="0"/>
      <w:divBdr>
        <w:top w:val="none" w:sz="0" w:space="0" w:color="auto"/>
        <w:left w:val="none" w:sz="0" w:space="0" w:color="auto"/>
        <w:bottom w:val="none" w:sz="0" w:space="0" w:color="auto"/>
        <w:right w:val="none" w:sz="0" w:space="0" w:color="auto"/>
      </w:divBdr>
    </w:div>
    <w:div w:id="1972399527">
      <w:bodyDiv w:val="1"/>
      <w:marLeft w:val="0"/>
      <w:marRight w:val="0"/>
      <w:marTop w:val="0"/>
      <w:marBottom w:val="0"/>
      <w:divBdr>
        <w:top w:val="none" w:sz="0" w:space="0" w:color="auto"/>
        <w:left w:val="none" w:sz="0" w:space="0" w:color="auto"/>
        <w:bottom w:val="none" w:sz="0" w:space="0" w:color="auto"/>
        <w:right w:val="none" w:sz="0" w:space="0" w:color="auto"/>
      </w:divBdr>
    </w:div>
    <w:div w:id="1976139467">
      <w:bodyDiv w:val="1"/>
      <w:marLeft w:val="0"/>
      <w:marRight w:val="0"/>
      <w:marTop w:val="0"/>
      <w:marBottom w:val="0"/>
      <w:divBdr>
        <w:top w:val="none" w:sz="0" w:space="0" w:color="auto"/>
        <w:left w:val="none" w:sz="0" w:space="0" w:color="auto"/>
        <w:bottom w:val="none" w:sz="0" w:space="0" w:color="auto"/>
        <w:right w:val="none" w:sz="0" w:space="0" w:color="auto"/>
      </w:divBdr>
    </w:div>
    <w:div w:id="1982076757">
      <w:bodyDiv w:val="1"/>
      <w:marLeft w:val="0"/>
      <w:marRight w:val="0"/>
      <w:marTop w:val="0"/>
      <w:marBottom w:val="0"/>
      <w:divBdr>
        <w:top w:val="none" w:sz="0" w:space="0" w:color="auto"/>
        <w:left w:val="none" w:sz="0" w:space="0" w:color="auto"/>
        <w:bottom w:val="none" w:sz="0" w:space="0" w:color="auto"/>
        <w:right w:val="none" w:sz="0" w:space="0" w:color="auto"/>
      </w:divBdr>
    </w:div>
    <w:div w:id="1983344724">
      <w:bodyDiv w:val="1"/>
      <w:marLeft w:val="0"/>
      <w:marRight w:val="0"/>
      <w:marTop w:val="0"/>
      <w:marBottom w:val="0"/>
      <w:divBdr>
        <w:top w:val="none" w:sz="0" w:space="0" w:color="auto"/>
        <w:left w:val="none" w:sz="0" w:space="0" w:color="auto"/>
        <w:bottom w:val="none" w:sz="0" w:space="0" w:color="auto"/>
        <w:right w:val="none" w:sz="0" w:space="0" w:color="auto"/>
      </w:divBdr>
    </w:div>
    <w:div w:id="1987541097">
      <w:bodyDiv w:val="1"/>
      <w:marLeft w:val="0"/>
      <w:marRight w:val="0"/>
      <w:marTop w:val="0"/>
      <w:marBottom w:val="0"/>
      <w:divBdr>
        <w:top w:val="none" w:sz="0" w:space="0" w:color="auto"/>
        <w:left w:val="none" w:sz="0" w:space="0" w:color="auto"/>
        <w:bottom w:val="none" w:sz="0" w:space="0" w:color="auto"/>
        <w:right w:val="none" w:sz="0" w:space="0" w:color="auto"/>
      </w:divBdr>
    </w:div>
    <w:div w:id="1991249638">
      <w:bodyDiv w:val="1"/>
      <w:marLeft w:val="0"/>
      <w:marRight w:val="0"/>
      <w:marTop w:val="0"/>
      <w:marBottom w:val="0"/>
      <w:divBdr>
        <w:top w:val="none" w:sz="0" w:space="0" w:color="auto"/>
        <w:left w:val="none" w:sz="0" w:space="0" w:color="auto"/>
        <w:bottom w:val="none" w:sz="0" w:space="0" w:color="auto"/>
        <w:right w:val="none" w:sz="0" w:space="0" w:color="auto"/>
      </w:divBdr>
    </w:div>
    <w:div w:id="1995378081">
      <w:bodyDiv w:val="1"/>
      <w:marLeft w:val="0"/>
      <w:marRight w:val="0"/>
      <w:marTop w:val="0"/>
      <w:marBottom w:val="0"/>
      <w:divBdr>
        <w:top w:val="none" w:sz="0" w:space="0" w:color="auto"/>
        <w:left w:val="none" w:sz="0" w:space="0" w:color="auto"/>
        <w:bottom w:val="none" w:sz="0" w:space="0" w:color="auto"/>
        <w:right w:val="none" w:sz="0" w:space="0" w:color="auto"/>
      </w:divBdr>
    </w:div>
    <w:div w:id="1997490820">
      <w:bodyDiv w:val="1"/>
      <w:marLeft w:val="0"/>
      <w:marRight w:val="0"/>
      <w:marTop w:val="0"/>
      <w:marBottom w:val="0"/>
      <w:divBdr>
        <w:top w:val="none" w:sz="0" w:space="0" w:color="auto"/>
        <w:left w:val="none" w:sz="0" w:space="0" w:color="auto"/>
        <w:bottom w:val="none" w:sz="0" w:space="0" w:color="auto"/>
        <w:right w:val="none" w:sz="0" w:space="0" w:color="auto"/>
      </w:divBdr>
    </w:div>
    <w:div w:id="1997537588">
      <w:bodyDiv w:val="1"/>
      <w:marLeft w:val="0"/>
      <w:marRight w:val="0"/>
      <w:marTop w:val="0"/>
      <w:marBottom w:val="0"/>
      <w:divBdr>
        <w:top w:val="none" w:sz="0" w:space="0" w:color="auto"/>
        <w:left w:val="none" w:sz="0" w:space="0" w:color="auto"/>
        <w:bottom w:val="none" w:sz="0" w:space="0" w:color="auto"/>
        <w:right w:val="none" w:sz="0" w:space="0" w:color="auto"/>
      </w:divBdr>
    </w:div>
    <w:div w:id="2000378455">
      <w:bodyDiv w:val="1"/>
      <w:marLeft w:val="0"/>
      <w:marRight w:val="0"/>
      <w:marTop w:val="0"/>
      <w:marBottom w:val="0"/>
      <w:divBdr>
        <w:top w:val="none" w:sz="0" w:space="0" w:color="auto"/>
        <w:left w:val="none" w:sz="0" w:space="0" w:color="auto"/>
        <w:bottom w:val="none" w:sz="0" w:space="0" w:color="auto"/>
        <w:right w:val="none" w:sz="0" w:space="0" w:color="auto"/>
      </w:divBdr>
    </w:div>
    <w:div w:id="2001762403">
      <w:bodyDiv w:val="1"/>
      <w:marLeft w:val="0"/>
      <w:marRight w:val="0"/>
      <w:marTop w:val="0"/>
      <w:marBottom w:val="0"/>
      <w:divBdr>
        <w:top w:val="none" w:sz="0" w:space="0" w:color="auto"/>
        <w:left w:val="none" w:sz="0" w:space="0" w:color="auto"/>
        <w:bottom w:val="none" w:sz="0" w:space="0" w:color="auto"/>
        <w:right w:val="none" w:sz="0" w:space="0" w:color="auto"/>
      </w:divBdr>
    </w:div>
    <w:div w:id="2002347653">
      <w:bodyDiv w:val="1"/>
      <w:marLeft w:val="0"/>
      <w:marRight w:val="0"/>
      <w:marTop w:val="0"/>
      <w:marBottom w:val="0"/>
      <w:divBdr>
        <w:top w:val="none" w:sz="0" w:space="0" w:color="auto"/>
        <w:left w:val="none" w:sz="0" w:space="0" w:color="auto"/>
        <w:bottom w:val="none" w:sz="0" w:space="0" w:color="auto"/>
        <w:right w:val="none" w:sz="0" w:space="0" w:color="auto"/>
      </w:divBdr>
    </w:div>
    <w:div w:id="2006516122">
      <w:bodyDiv w:val="1"/>
      <w:marLeft w:val="0"/>
      <w:marRight w:val="0"/>
      <w:marTop w:val="0"/>
      <w:marBottom w:val="0"/>
      <w:divBdr>
        <w:top w:val="none" w:sz="0" w:space="0" w:color="auto"/>
        <w:left w:val="none" w:sz="0" w:space="0" w:color="auto"/>
        <w:bottom w:val="none" w:sz="0" w:space="0" w:color="auto"/>
        <w:right w:val="none" w:sz="0" w:space="0" w:color="auto"/>
      </w:divBdr>
    </w:div>
    <w:div w:id="2008553946">
      <w:bodyDiv w:val="1"/>
      <w:marLeft w:val="0"/>
      <w:marRight w:val="0"/>
      <w:marTop w:val="0"/>
      <w:marBottom w:val="0"/>
      <w:divBdr>
        <w:top w:val="none" w:sz="0" w:space="0" w:color="auto"/>
        <w:left w:val="none" w:sz="0" w:space="0" w:color="auto"/>
        <w:bottom w:val="none" w:sz="0" w:space="0" w:color="auto"/>
        <w:right w:val="none" w:sz="0" w:space="0" w:color="auto"/>
      </w:divBdr>
    </w:div>
    <w:div w:id="2008748360">
      <w:bodyDiv w:val="1"/>
      <w:marLeft w:val="0"/>
      <w:marRight w:val="0"/>
      <w:marTop w:val="0"/>
      <w:marBottom w:val="0"/>
      <w:divBdr>
        <w:top w:val="none" w:sz="0" w:space="0" w:color="auto"/>
        <w:left w:val="none" w:sz="0" w:space="0" w:color="auto"/>
        <w:bottom w:val="none" w:sz="0" w:space="0" w:color="auto"/>
        <w:right w:val="none" w:sz="0" w:space="0" w:color="auto"/>
      </w:divBdr>
    </w:div>
    <w:div w:id="2010281506">
      <w:bodyDiv w:val="1"/>
      <w:marLeft w:val="0"/>
      <w:marRight w:val="0"/>
      <w:marTop w:val="0"/>
      <w:marBottom w:val="0"/>
      <w:divBdr>
        <w:top w:val="none" w:sz="0" w:space="0" w:color="auto"/>
        <w:left w:val="none" w:sz="0" w:space="0" w:color="auto"/>
        <w:bottom w:val="none" w:sz="0" w:space="0" w:color="auto"/>
        <w:right w:val="none" w:sz="0" w:space="0" w:color="auto"/>
      </w:divBdr>
    </w:div>
    <w:div w:id="2014063771">
      <w:bodyDiv w:val="1"/>
      <w:marLeft w:val="0"/>
      <w:marRight w:val="0"/>
      <w:marTop w:val="0"/>
      <w:marBottom w:val="0"/>
      <w:divBdr>
        <w:top w:val="none" w:sz="0" w:space="0" w:color="auto"/>
        <w:left w:val="none" w:sz="0" w:space="0" w:color="auto"/>
        <w:bottom w:val="none" w:sz="0" w:space="0" w:color="auto"/>
        <w:right w:val="none" w:sz="0" w:space="0" w:color="auto"/>
      </w:divBdr>
    </w:div>
    <w:div w:id="2020502816">
      <w:bodyDiv w:val="1"/>
      <w:marLeft w:val="0"/>
      <w:marRight w:val="0"/>
      <w:marTop w:val="0"/>
      <w:marBottom w:val="0"/>
      <w:divBdr>
        <w:top w:val="none" w:sz="0" w:space="0" w:color="auto"/>
        <w:left w:val="none" w:sz="0" w:space="0" w:color="auto"/>
        <w:bottom w:val="none" w:sz="0" w:space="0" w:color="auto"/>
        <w:right w:val="none" w:sz="0" w:space="0" w:color="auto"/>
      </w:divBdr>
    </w:div>
    <w:div w:id="2021007269">
      <w:bodyDiv w:val="1"/>
      <w:marLeft w:val="0"/>
      <w:marRight w:val="0"/>
      <w:marTop w:val="0"/>
      <w:marBottom w:val="0"/>
      <w:divBdr>
        <w:top w:val="none" w:sz="0" w:space="0" w:color="auto"/>
        <w:left w:val="none" w:sz="0" w:space="0" w:color="auto"/>
        <w:bottom w:val="none" w:sz="0" w:space="0" w:color="auto"/>
        <w:right w:val="none" w:sz="0" w:space="0" w:color="auto"/>
      </w:divBdr>
    </w:div>
    <w:div w:id="2027094237">
      <w:bodyDiv w:val="1"/>
      <w:marLeft w:val="0"/>
      <w:marRight w:val="0"/>
      <w:marTop w:val="0"/>
      <w:marBottom w:val="0"/>
      <w:divBdr>
        <w:top w:val="none" w:sz="0" w:space="0" w:color="auto"/>
        <w:left w:val="none" w:sz="0" w:space="0" w:color="auto"/>
        <w:bottom w:val="none" w:sz="0" w:space="0" w:color="auto"/>
        <w:right w:val="none" w:sz="0" w:space="0" w:color="auto"/>
      </w:divBdr>
    </w:div>
    <w:div w:id="2027244494">
      <w:bodyDiv w:val="1"/>
      <w:marLeft w:val="0"/>
      <w:marRight w:val="0"/>
      <w:marTop w:val="0"/>
      <w:marBottom w:val="0"/>
      <w:divBdr>
        <w:top w:val="none" w:sz="0" w:space="0" w:color="auto"/>
        <w:left w:val="none" w:sz="0" w:space="0" w:color="auto"/>
        <w:bottom w:val="none" w:sz="0" w:space="0" w:color="auto"/>
        <w:right w:val="none" w:sz="0" w:space="0" w:color="auto"/>
      </w:divBdr>
    </w:div>
    <w:div w:id="2030912986">
      <w:bodyDiv w:val="1"/>
      <w:marLeft w:val="0"/>
      <w:marRight w:val="0"/>
      <w:marTop w:val="0"/>
      <w:marBottom w:val="0"/>
      <w:divBdr>
        <w:top w:val="none" w:sz="0" w:space="0" w:color="auto"/>
        <w:left w:val="none" w:sz="0" w:space="0" w:color="auto"/>
        <w:bottom w:val="none" w:sz="0" w:space="0" w:color="auto"/>
        <w:right w:val="none" w:sz="0" w:space="0" w:color="auto"/>
      </w:divBdr>
    </w:div>
    <w:div w:id="2032877118">
      <w:bodyDiv w:val="1"/>
      <w:marLeft w:val="0"/>
      <w:marRight w:val="0"/>
      <w:marTop w:val="0"/>
      <w:marBottom w:val="0"/>
      <w:divBdr>
        <w:top w:val="none" w:sz="0" w:space="0" w:color="auto"/>
        <w:left w:val="none" w:sz="0" w:space="0" w:color="auto"/>
        <w:bottom w:val="none" w:sz="0" w:space="0" w:color="auto"/>
        <w:right w:val="none" w:sz="0" w:space="0" w:color="auto"/>
      </w:divBdr>
    </w:div>
    <w:div w:id="2033914730">
      <w:bodyDiv w:val="1"/>
      <w:marLeft w:val="0"/>
      <w:marRight w:val="0"/>
      <w:marTop w:val="0"/>
      <w:marBottom w:val="0"/>
      <w:divBdr>
        <w:top w:val="none" w:sz="0" w:space="0" w:color="auto"/>
        <w:left w:val="none" w:sz="0" w:space="0" w:color="auto"/>
        <w:bottom w:val="none" w:sz="0" w:space="0" w:color="auto"/>
        <w:right w:val="none" w:sz="0" w:space="0" w:color="auto"/>
      </w:divBdr>
    </w:div>
    <w:div w:id="2034307471">
      <w:bodyDiv w:val="1"/>
      <w:marLeft w:val="0"/>
      <w:marRight w:val="0"/>
      <w:marTop w:val="0"/>
      <w:marBottom w:val="0"/>
      <w:divBdr>
        <w:top w:val="none" w:sz="0" w:space="0" w:color="auto"/>
        <w:left w:val="none" w:sz="0" w:space="0" w:color="auto"/>
        <w:bottom w:val="none" w:sz="0" w:space="0" w:color="auto"/>
        <w:right w:val="none" w:sz="0" w:space="0" w:color="auto"/>
      </w:divBdr>
    </w:div>
    <w:div w:id="2041053763">
      <w:bodyDiv w:val="1"/>
      <w:marLeft w:val="0"/>
      <w:marRight w:val="0"/>
      <w:marTop w:val="0"/>
      <w:marBottom w:val="0"/>
      <w:divBdr>
        <w:top w:val="none" w:sz="0" w:space="0" w:color="auto"/>
        <w:left w:val="none" w:sz="0" w:space="0" w:color="auto"/>
        <w:bottom w:val="none" w:sz="0" w:space="0" w:color="auto"/>
        <w:right w:val="none" w:sz="0" w:space="0" w:color="auto"/>
      </w:divBdr>
    </w:div>
    <w:div w:id="2041316560">
      <w:bodyDiv w:val="1"/>
      <w:marLeft w:val="0"/>
      <w:marRight w:val="0"/>
      <w:marTop w:val="0"/>
      <w:marBottom w:val="0"/>
      <w:divBdr>
        <w:top w:val="none" w:sz="0" w:space="0" w:color="auto"/>
        <w:left w:val="none" w:sz="0" w:space="0" w:color="auto"/>
        <w:bottom w:val="none" w:sz="0" w:space="0" w:color="auto"/>
        <w:right w:val="none" w:sz="0" w:space="0" w:color="auto"/>
      </w:divBdr>
    </w:div>
    <w:div w:id="2045130829">
      <w:bodyDiv w:val="1"/>
      <w:marLeft w:val="0"/>
      <w:marRight w:val="0"/>
      <w:marTop w:val="0"/>
      <w:marBottom w:val="0"/>
      <w:divBdr>
        <w:top w:val="none" w:sz="0" w:space="0" w:color="auto"/>
        <w:left w:val="none" w:sz="0" w:space="0" w:color="auto"/>
        <w:bottom w:val="none" w:sz="0" w:space="0" w:color="auto"/>
        <w:right w:val="none" w:sz="0" w:space="0" w:color="auto"/>
      </w:divBdr>
    </w:div>
    <w:div w:id="2062441707">
      <w:bodyDiv w:val="1"/>
      <w:marLeft w:val="0"/>
      <w:marRight w:val="0"/>
      <w:marTop w:val="0"/>
      <w:marBottom w:val="0"/>
      <w:divBdr>
        <w:top w:val="none" w:sz="0" w:space="0" w:color="auto"/>
        <w:left w:val="none" w:sz="0" w:space="0" w:color="auto"/>
        <w:bottom w:val="none" w:sz="0" w:space="0" w:color="auto"/>
        <w:right w:val="none" w:sz="0" w:space="0" w:color="auto"/>
      </w:divBdr>
    </w:div>
    <w:div w:id="2066488632">
      <w:bodyDiv w:val="1"/>
      <w:marLeft w:val="0"/>
      <w:marRight w:val="0"/>
      <w:marTop w:val="0"/>
      <w:marBottom w:val="0"/>
      <w:divBdr>
        <w:top w:val="none" w:sz="0" w:space="0" w:color="auto"/>
        <w:left w:val="none" w:sz="0" w:space="0" w:color="auto"/>
        <w:bottom w:val="none" w:sz="0" w:space="0" w:color="auto"/>
        <w:right w:val="none" w:sz="0" w:space="0" w:color="auto"/>
      </w:divBdr>
    </w:div>
    <w:div w:id="2067877064">
      <w:bodyDiv w:val="1"/>
      <w:marLeft w:val="0"/>
      <w:marRight w:val="0"/>
      <w:marTop w:val="0"/>
      <w:marBottom w:val="0"/>
      <w:divBdr>
        <w:top w:val="none" w:sz="0" w:space="0" w:color="auto"/>
        <w:left w:val="none" w:sz="0" w:space="0" w:color="auto"/>
        <w:bottom w:val="none" w:sz="0" w:space="0" w:color="auto"/>
        <w:right w:val="none" w:sz="0" w:space="0" w:color="auto"/>
      </w:divBdr>
    </w:div>
    <w:div w:id="2070882511">
      <w:bodyDiv w:val="1"/>
      <w:marLeft w:val="0"/>
      <w:marRight w:val="0"/>
      <w:marTop w:val="0"/>
      <w:marBottom w:val="0"/>
      <w:divBdr>
        <w:top w:val="none" w:sz="0" w:space="0" w:color="auto"/>
        <w:left w:val="none" w:sz="0" w:space="0" w:color="auto"/>
        <w:bottom w:val="none" w:sz="0" w:space="0" w:color="auto"/>
        <w:right w:val="none" w:sz="0" w:space="0" w:color="auto"/>
      </w:divBdr>
    </w:div>
    <w:div w:id="2070956234">
      <w:bodyDiv w:val="1"/>
      <w:marLeft w:val="0"/>
      <w:marRight w:val="0"/>
      <w:marTop w:val="0"/>
      <w:marBottom w:val="0"/>
      <w:divBdr>
        <w:top w:val="none" w:sz="0" w:space="0" w:color="auto"/>
        <w:left w:val="none" w:sz="0" w:space="0" w:color="auto"/>
        <w:bottom w:val="none" w:sz="0" w:space="0" w:color="auto"/>
        <w:right w:val="none" w:sz="0" w:space="0" w:color="auto"/>
      </w:divBdr>
    </w:div>
    <w:div w:id="2073503128">
      <w:bodyDiv w:val="1"/>
      <w:marLeft w:val="0"/>
      <w:marRight w:val="0"/>
      <w:marTop w:val="0"/>
      <w:marBottom w:val="0"/>
      <w:divBdr>
        <w:top w:val="none" w:sz="0" w:space="0" w:color="auto"/>
        <w:left w:val="none" w:sz="0" w:space="0" w:color="auto"/>
        <w:bottom w:val="none" w:sz="0" w:space="0" w:color="auto"/>
        <w:right w:val="none" w:sz="0" w:space="0" w:color="auto"/>
      </w:divBdr>
    </w:div>
    <w:div w:id="2074548477">
      <w:bodyDiv w:val="1"/>
      <w:marLeft w:val="0"/>
      <w:marRight w:val="0"/>
      <w:marTop w:val="0"/>
      <w:marBottom w:val="0"/>
      <w:divBdr>
        <w:top w:val="none" w:sz="0" w:space="0" w:color="auto"/>
        <w:left w:val="none" w:sz="0" w:space="0" w:color="auto"/>
        <w:bottom w:val="none" w:sz="0" w:space="0" w:color="auto"/>
        <w:right w:val="none" w:sz="0" w:space="0" w:color="auto"/>
      </w:divBdr>
    </w:div>
    <w:div w:id="2076590154">
      <w:bodyDiv w:val="1"/>
      <w:marLeft w:val="0"/>
      <w:marRight w:val="0"/>
      <w:marTop w:val="0"/>
      <w:marBottom w:val="0"/>
      <w:divBdr>
        <w:top w:val="none" w:sz="0" w:space="0" w:color="auto"/>
        <w:left w:val="none" w:sz="0" w:space="0" w:color="auto"/>
        <w:bottom w:val="none" w:sz="0" w:space="0" w:color="auto"/>
        <w:right w:val="none" w:sz="0" w:space="0" w:color="auto"/>
      </w:divBdr>
    </w:div>
    <w:div w:id="2081445987">
      <w:bodyDiv w:val="1"/>
      <w:marLeft w:val="0"/>
      <w:marRight w:val="0"/>
      <w:marTop w:val="0"/>
      <w:marBottom w:val="0"/>
      <w:divBdr>
        <w:top w:val="none" w:sz="0" w:space="0" w:color="auto"/>
        <w:left w:val="none" w:sz="0" w:space="0" w:color="auto"/>
        <w:bottom w:val="none" w:sz="0" w:space="0" w:color="auto"/>
        <w:right w:val="none" w:sz="0" w:space="0" w:color="auto"/>
      </w:divBdr>
    </w:div>
    <w:div w:id="2081973854">
      <w:bodyDiv w:val="1"/>
      <w:marLeft w:val="0"/>
      <w:marRight w:val="0"/>
      <w:marTop w:val="0"/>
      <w:marBottom w:val="0"/>
      <w:divBdr>
        <w:top w:val="none" w:sz="0" w:space="0" w:color="auto"/>
        <w:left w:val="none" w:sz="0" w:space="0" w:color="auto"/>
        <w:bottom w:val="none" w:sz="0" w:space="0" w:color="auto"/>
        <w:right w:val="none" w:sz="0" w:space="0" w:color="auto"/>
      </w:divBdr>
    </w:div>
    <w:div w:id="2088913518">
      <w:bodyDiv w:val="1"/>
      <w:marLeft w:val="0"/>
      <w:marRight w:val="0"/>
      <w:marTop w:val="0"/>
      <w:marBottom w:val="0"/>
      <w:divBdr>
        <w:top w:val="none" w:sz="0" w:space="0" w:color="auto"/>
        <w:left w:val="none" w:sz="0" w:space="0" w:color="auto"/>
        <w:bottom w:val="none" w:sz="0" w:space="0" w:color="auto"/>
        <w:right w:val="none" w:sz="0" w:space="0" w:color="auto"/>
      </w:divBdr>
    </w:div>
    <w:div w:id="2089573377">
      <w:bodyDiv w:val="1"/>
      <w:marLeft w:val="0"/>
      <w:marRight w:val="0"/>
      <w:marTop w:val="0"/>
      <w:marBottom w:val="0"/>
      <w:divBdr>
        <w:top w:val="none" w:sz="0" w:space="0" w:color="auto"/>
        <w:left w:val="none" w:sz="0" w:space="0" w:color="auto"/>
        <w:bottom w:val="none" w:sz="0" w:space="0" w:color="auto"/>
        <w:right w:val="none" w:sz="0" w:space="0" w:color="auto"/>
      </w:divBdr>
    </w:div>
    <w:div w:id="2091852845">
      <w:bodyDiv w:val="1"/>
      <w:marLeft w:val="0"/>
      <w:marRight w:val="0"/>
      <w:marTop w:val="0"/>
      <w:marBottom w:val="0"/>
      <w:divBdr>
        <w:top w:val="none" w:sz="0" w:space="0" w:color="auto"/>
        <w:left w:val="none" w:sz="0" w:space="0" w:color="auto"/>
        <w:bottom w:val="none" w:sz="0" w:space="0" w:color="auto"/>
        <w:right w:val="none" w:sz="0" w:space="0" w:color="auto"/>
      </w:divBdr>
    </w:div>
    <w:div w:id="2100904720">
      <w:bodyDiv w:val="1"/>
      <w:marLeft w:val="0"/>
      <w:marRight w:val="0"/>
      <w:marTop w:val="0"/>
      <w:marBottom w:val="0"/>
      <w:divBdr>
        <w:top w:val="none" w:sz="0" w:space="0" w:color="auto"/>
        <w:left w:val="none" w:sz="0" w:space="0" w:color="auto"/>
        <w:bottom w:val="none" w:sz="0" w:space="0" w:color="auto"/>
        <w:right w:val="none" w:sz="0" w:space="0" w:color="auto"/>
      </w:divBdr>
    </w:div>
    <w:div w:id="2101293368">
      <w:bodyDiv w:val="1"/>
      <w:marLeft w:val="0"/>
      <w:marRight w:val="0"/>
      <w:marTop w:val="0"/>
      <w:marBottom w:val="0"/>
      <w:divBdr>
        <w:top w:val="none" w:sz="0" w:space="0" w:color="auto"/>
        <w:left w:val="none" w:sz="0" w:space="0" w:color="auto"/>
        <w:bottom w:val="none" w:sz="0" w:space="0" w:color="auto"/>
        <w:right w:val="none" w:sz="0" w:space="0" w:color="auto"/>
      </w:divBdr>
    </w:div>
    <w:div w:id="2101296149">
      <w:bodyDiv w:val="1"/>
      <w:marLeft w:val="0"/>
      <w:marRight w:val="0"/>
      <w:marTop w:val="0"/>
      <w:marBottom w:val="0"/>
      <w:divBdr>
        <w:top w:val="none" w:sz="0" w:space="0" w:color="auto"/>
        <w:left w:val="none" w:sz="0" w:space="0" w:color="auto"/>
        <w:bottom w:val="none" w:sz="0" w:space="0" w:color="auto"/>
        <w:right w:val="none" w:sz="0" w:space="0" w:color="auto"/>
      </w:divBdr>
    </w:div>
    <w:div w:id="2102093860">
      <w:bodyDiv w:val="1"/>
      <w:marLeft w:val="0"/>
      <w:marRight w:val="0"/>
      <w:marTop w:val="0"/>
      <w:marBottom w:val="0"/>
      <w:divBdr>
        <w:top w:val="none" w:sz="0" w:space="0" w:color="auto"/>
        <w:left w:val="none" w:sz="0" w:space="0" w:color="auto"/>
        <w:bottom w:val="none" w:sz="0" w:space="0" w:color="auto"/>
        <w:right w:val="none" w:sz="0" w:space="0" w:color="auto"/>
      </w:divBdr>
    </w:div>
    <w:div w:id="2103455832">
      <w:bodyDiv w:val="1"/>
      <w:marLeft w:val="0"/>
      <w:marRight w:val="0"/>
      <w:marTop w:val="0"/>
      <w:marBottom w:val="0"/>
      <w:divBdr>
        <w:top w:val="none" w:sz="0" w:space="0" w:color="auto"/>
        <w:left w:val="none" w:sz="0" w:space="0" w:color="auto"/>
        <w:bottom w:val="none" w:sz="0" w:space="0" w:color="auto"/>
        <w:right w:val="none" w:sz="0" w:space="0" w:color="auto"/>
      </w:divBdr>
    </w:div>
    <w:div w:id="2103642969">
      <w:bodyDiv w:val="1"/>
      <w:marLeft w:val="0"/>
      <w:marRight w:val="0"/>
      <w:marTop w:val="0"/>
      <w:marBottom w:val="0"/>
      <w:divBdr>
        <w:top w:val="none" w:sz="0" w:space="0" w:color="auto"/>
        <w:left w:val="none" w:sz="0" w:space="0" w:color="auto"/>
        <w:bottom w:val="none" w:sz="0" w:space="0" w:color="auto"/>
        <w:right w:val="none" w:sz="0" w:space="0" w:color="auto"/>
      </w:divBdr>
    </w:div>
    <w:div w:id="2104564505">
      <w:bodyDiv w:val="1"/>
      <w:marLeft w:val="0"/>
      <w:marRight w:val="0"/>
      <w:marTop w:val="0"/>
      <w:marBottom w:val="0"/>
      <w:divBdr>
        <w:top w:val="none" w:sz="0" w:space="0" w:color="auto"/>
        <w:left w:val="none" w:sz="0" w:space="0" w:color="auto"/>
        <w:bottom w:val="none" w:sz="0" w:space="0" w:color="auto"/>
        <w:right w:val="none" w:sz="0" w:space="0" w:color="auto"/>
      </w:divBdr>
    </w:div>
    <w:div w:id="2108964350">
      <w:bodyDiv w:val="1"/>
      <w:marLeft w:val="0"/>
      <w:marRight w:val="0"/>
      <w:marTop w:val="0"/>
      <w:marBottom w:val="0"/>
      <w:divBdr>
        <w:top w:val="none" w:sz="0" w:space="0" w:color="auto"/>
        <w:left w:val="none" w:sz="0" w:space="0" w:color="auto"/>
        <w:bottom w:val="none" w:sz="0" w:space="0" w:color="auto"/>
        <w:right w:val="none" w:sz="0" w:space="0" w:color="auto"/>
      </w:divBdr>
    </w:div>
    <w:div w:id="2111463846">
      <w:bodyDiv w:val="1"/>
      <w:marLeft w:val="0"/>
      <w:marRight w:val="0"/>
      <w:marTop w:val="0"/>
      <w:marBottom w:val="0"/>
      <w:divBdr>
        <w:top w:val="none" w:sz="0" w:space="0" w:color="auto"/>
        <w:left w:val="none" w:sz="0" w:space="0" w:color="auto"/>
        <w:bottom w:val="none" w:sz="0" w:space="0" w:color="auto"/>
        <w:right w:val="none" w:sz="0" w:space="0" w:color="auto"/>
      </w:divBdr>
    </w:div>
    <w:div w:id="2116554635">
      <w:bodyDiv w:val="1"/>
      <w:marLeft w:val="0"/>
      <w:marRight w:val="0"/>
      <w:marTop w:val="0"/>
      <w:marBottom w:val="0"/>
      <w:divBdr>
        <w:top w:val="none" w:sz="0" w:space="0" w:color="auto"/>
        <w:left w:val="none" w:sz="0" w:space="0" w:color="auto"/>
        <w:bottom w:val="none" w:sz="0" w:space="0" w:color="auto"/>
        <w:right w:val="none" w:sz="0" w:space="0" w:color="auto"/>
      </w:divBdr>
    </w:div>
    <w:div w:id="2127196538">
      <w:bodyDiv w:val="1"/>
      <w:marLeft w:val="0"/>
      <w:marRight w:val="0"/>
      <w:marTop w:val="0"/>
      <w:marBottom w:val="0"/>
      <w:divBdr>
        <w:top w:val="none" w:sz="0" w:space="0" w:color="auto"/>
        <w:left w:val="none" w:sz="0" w:space="0" w:color="auto"/>
        <w:bottom w:val="none" w:sz="0" w:space="0" w:color="auto"/>
        <w:right w:val="none" w:sz="0" w:space="0" w:color="auto"/>
      </w:divBdr>
    </w:div>
    <w:div w:id="2131119714">
      <w:bodyDiv w:val="1"/>
      <w:marLeft w:val="0"/>
      <w:marRight w:val="0"/>
      <w:marTop w:val="0"/>
      <w:marBottom w:val="0"/>
      <w:divBdr>
        <w:top w:val="none" w:sz="0" w:space="0" w:color="auto"/>
        <w:left w:val="none" w:sz="0" w:space="0" w:color="auto"/>
        <w:bottom w:val="none" w:sz="0" w:space="0" w:color="auto"/>
        <w:right w:val="none" w:sz="0" w:space="0" w:color="auto"/>
      </w:divBdr>
    </w:div>
    <w:div w:id="2131387559">
      <w:bodyDiv w:val="1"/>
      <w:marLeft w:val="0"/>
      <w:marRight w:val="0"/>
      <w:marTop w:val="0"/>
      <w:marBottom w:val="0"/>
      <w:divBdr>
        <w:top w:val="none" w:sz="0" w:space="0" w:color="auto"/>
        <w:left w:val="none" w:sz="0" w:space="0" w:color="auto"/>
        <w:bottom w:val="none" w:sz="0" w:space="0" w:color="auto"/>
        <w:right w:val="none" w:sz="0" w:space="0" w:color="auto"/>
      </w:divBdr>
    </w:div>
    <w:div w:id="2131700386">
      <w:bodyDiv w:val="1"/>
      <w:marLeft w:val="0"/>
      <w:marRight w:val="0"/>
      <w:marTop w:val="0"/>
      <w:marBottom w:val="0"/>
      <w:divBdr>
        <w:top w:val="none" w:sz="0" w:space="0" w:color="auto"/>
        <w:left w:val="none" w:sz="0" w:space="0" w:color="auto"/>
        <w:bottom w:val="none" w:sz="0" w:space="0" w:color="auto"/>
        <w:right w:val="none" w:sz="0" w:space="0" w:color="auto"/>
      </w:divBdr>
    </w:div>
    <w:div w:id="2136824439">
      <w:bodyDiv w:val="1"/>
      <w:marLeft w:val="0"/>
      <w:marRight w:val="0"/>
      <w:marTop w:val="0"/>
      <w:marBottom w:val="0"/>
      <w:divBdr>
        <w:top w:val="none" w:sz="0" w:space="0" w:color="auto"/>
        <w:left w:val="none" w:sz="0" w:space="0" w:color="auto"/>
        <w:bottom w:val="none" w:sz="0" w:space="0" w:color="auto"/>
        <w:right w:val="none" w:sz="0" w:space="0" w:color="auto"/>
      </w:divBdr>
    </w:div>
    <w:div w:id="2136943912">
      <w:bodyDiv w:val="1"/>
      <w:marLeft w:val="0"/>
      <w:marRight w:val="0"/>
      <w:marTop w:val="0"/>
      <w:marBottom w:val="0"/>
      <w:divBdr>
        <w:top w:val="none" w:sz="0" w:space="0" w:color="auto"/>
        <w:left w:val="none" w:sz="0" w:space="0" w:color="auto"/>
        <w:bottom w:val="none" w:sz="0" w:space="0" w:color="auto"/>
        <w:right w:val="none" w:sz="0" w:space="0" w:color="auto"/>
      </w:divBdr>
    </w:div>
    <w:div w:id="2140028005">
      <w:bodyDiv w:val="1"/>
      <w:marLeft w:val="0"/>
      <w:marRight w:val="0"/>
      <w:marTop w:val="0"/>
      <w:marBottom w:val="0"/>
      <w:divBdr>
        <w:top w:val="none" w:sz="0" w:space="0" w:color="auto"/>
        <w:left w:val="none" w:sz="0" w:space="0" w:color="auto"/>
        <w:bottom w:val="none" w:sz="0" w:space="0" w:color="auto"/>
        <w:right w:val="none" w:sz="0" w:space="0" w:color="auto"/>
      </w:divBdr>
    </w:div>
    <w:div w:id="2141340068">
      <w:bodyDiv w:val="1"/>
      <w:marLeft w:val="0"/>
      <w:marRight w:val="0"/>
      <w:marTop w:val="0"/>
      <w:marBottom w:val="0"/>
      <w:divBdr>
        <w:top w:val="none" w:sz="0" w:space="0" w:color="auto"/>
        <w:left w:val="none" w:sz="0" w:space="0" w:color="auto"/>
        <w:bottom w:val="none" w:sz="0" w:space="0" w:color="auto"/>
        <w:right w:val="none" w:sz="0" w:space="0" w:color="auto"/>
      </w:divBdr>
    </w:div>
    <w:div w:id="2142574888">
      <w:bodyDiv w:val="1"/>
      <w:marLeft w:val="0"/>
      <w:marRight w:val="0"/>
      <w:marTop w:val="0"/>
      <w:marBottom w:val="0"/>
      <w:divBdr>
        <w:top w:val="none" w:sz="0" w:space="0" w:color="auto"/>
        <w:left w:val="none" w:sz="0" w:space="0" w:color="auto"/>
        <w:bottom w:val="none" w:sz="0" w:space="0" w:color="auto"/>
        <w:right w:val="none" w:sz="0" w:space="0" w:color="auto"/>
      </w:divBdr>
    </w:div>
    <w:div w:id="2142653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xporthelp.europa.eu/thdapp/form/output?action=tarrif&amp;prodLine=&amp;languageId=ES&amp;taricCode=1008500000&amp;partnerId=ec&amp;reporterId=fr&amp;simulationDate=03%2f02%2f2016&amp;simDate=20160203&amp;nomenCmd=&amp;resultPage=importtarrifs&amp;mode=" TargetMode="External"/><Relationship Id="rId18" Type="http://schemas.openxmlformats.org/officeDocument/2006/relationships/image" Target="media/image4.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file:///C:\Users\benavidesofi\Dropbox\Universidad\TESIS\quinua\Informe%20de%20Investigaci&#243;n%20-%20Sofia%20Benavides%20-%207%20marzo%202016.docx" TargetMode="External"/><Relationship Id="rId17" Type="http://schemas.openxmlformats.org/officeDocument/2006/relationships/image" Target="media/image3.png"/><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comerciojusto.org/productor/asociacion-nacional-de-productores-de-quinua-anapqui/"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benavidesofi\Dropbox\Universidad\TESIS\quinua\Informe%20de%20Investigaci&#243;n%20-%20Sofia%20Benavides%20-%207%20marzo%202016.docx" TargetMode="Externa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hyperlink" Target="file:///C:\Users\benavidesofi\Dropbox\Universidad\TESIS\quinua\Informe%20de%20Investigaci&#243;n%20-%20Sofia%20Benavides%20-%2028%20marzo%202016.docx"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file:///C:\Users\benavidesofi\Dropbox\Universidad\TESIS\quinua\Informe%20de%20Investigaci&#243;n%20-%20Sofia%20Benavides%20-%2028%20marzo%202016.docx" TargetMode="External"/><Relationship Id="rId14" Type="http://schemas.openxmlformats.org/officeDocument/2006/relationships/hyperlink" Target="http://exporthelp.europa.eu/thdapp/form/output?action=tarrif&amp;prodLine=&amp;languageId=ES&amp;taricCode=1008500000&amp;partnerId=ec&amp;reporterId=fr&amp;simulationDate=03%2f02%2f2016&amp;simDate=20160203&amp;nomenCmd=&amp;resultPage=importtarrifs&amp;mode=" TargetMode="External"/><Relationship Id="rId22" Type="http://schemas.openxmlformats.org/officeDocument/2006/relationships/image" Target="media/image6.pn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Sor09</b:Tag>
    <b:SourceType>JournalArticle</b:SourceType>
    <b:Guid>{DD0333A6-295E-473B-8921-10F308827B52}</b:Guid>
    <b:Author>
      <b:Author>
        <b:NameList>
          <b:Person>
            <b:Last>Soraide Lozano</b:Last>
            <b:First>David</b:First>
          </b:Person>
        </b:NameList>
      </b:Author>
    </b:Author>
    <b:Title>Comercialización de la Quinua Real producida en el altiplano sur de Bolivia</b:Title>
    <b:Year>2009</b:Year>
    <b:YearAccessed>2015</b:YearAccessed>
    <b:MonthAccessed>junio</b:MonthAccessed>
    <b:DayAccessed>05</b:DayAccessed>
    <b:RefOrder>11</b:RefOrder>
  </b:Source>
  <b:Source>
    <b:Tag>Peñ07</b:Tag>
    <b:SourceType>JournalArticle</b:SourceType>
    <b:Guid>{90E80436-7F9F-4992-B78A-FB6739F7967B}</b:Guid>
    <b:Title>Perfil de Mercado de la Quinua</b:Title>
    <b:Year>2007</b:Year>
    <b:Author>
      <b:Author>
        <b:NameList>
          <b:Person>
            <b:Last>Peña</b:Last>
            <b:First>Ximena</b:First>
          </b:Person>
        </b:NameList>
      </b:Author>
    </b:Author>
    <b:JournalName>Cámara de Exportadores de La Paz</b:JournalName>
    <b:RefOrder>10</b:RefOrder>
  </b:Source>
  <b:Source>
    <b:Tag>Cua12</b:Tag>
    <b:SourceType>Book</b:SourceType>
    <b:Guid>{4FBE196B-CC96-4731-97F5-572FF3B729B5}</b:Guid>
    <b:Title>La quinua en el Ecuador: situación actual y su industrialización</b:Title>
    <b:Year>2012</b:Year>
    <b:Author>
      <b:Author>
        <b:NameList>
          <b:Person>
            <b:Last>Cuadrado Alvear</b:Last>
            <b:First>Silvana</b:First>
            <b:Middle>A.</b:Middle>
          </b:Person>
        </b:NameList>
      </b:Author>
    </b:Author>
    <b:City>Quito</b:City>
    <b:Publisher>Universidad Politécnica Salesiana</b:Publisher>
    <b:RefOrder>12</b:RefOrder>
  </b:Source>
  <b:Source>
    <b:Tag>Gon09</b:Tag>
    <b:SourceType>Book</b:SourceType>
    <b:Guid>{F12FEEC1-217E-4016-9137-5ABB41457984}</b:Guid>
    <b:Author>
      <b:Author>
        <b:NameList>
          <b:Person>
            <b:Last>González López</b:Last>
            <b:First>Isabel</b:First>
          </b:Person>
          <b:Person>
            <b:Last>Martínez Senra</b:Last>
            <b:First>Ana</b:First>
            <b:Middle>Isabel</b:Middle>
          </b:Person>
          <b:Person>
            <b:Last>Otero Neira</b:Last>
            <b:First>María</b:First>
            <b:Middle>Isabel</b:Middle>
          </b:Person>
          <b:Person>
            <b:Last>González Vásquez</b:Last>
            <b:First>Encarnación</b:First>
          </b:Person>
        </b:NameList>
      </b:Author>
    </b:Author>
    <b:Title>Gestión del comercio exterior</b:Title>
    <b:Year>2009</b:Year>
    <b:City>Madrid</b:City>
    <b:Publisher>ESIC</b:Publisher>
    <b:RefOrder>15</b:RefOrder>
  </b:Source>
  <b:Source>
    <b:Tag>Dan04</b:Tag>
    <b:SourceType>Book</b:SourceType>
    <b:Guid>{8686D65F-3584-449A-AC3E-A917ED2F374A}</b:Guid>
    <b:Author>
      <b:Author>
        <b:NameList>
          <b:Person>
            <b:Last>Daniels</b:Last>
            <b:First>John</b:First>
          </b:Person>
          <b:Person>
            <b:Last>Radebaugh</b:Last>
            <b:First>Lee</b:First>
          </b:Person>
          <b:Person>
            <b:Last>Sullivan</b:Last>
            <b:First>Daniel</b:First>
          </b:Person>
        </b:NameList>
      </b:Author>
    </b:Author>
    <b:Title>Negocios Internacionales</b:Title>
    <b:Year>2004</b:Year>
    <b:City>México</b:City>
    <b:Publisher>Pearson Education</b:Publisher>
    <b:Edition>4ta</b:Edition>
    <b:RefOrder>13</b:RefOrder>
  </b:Source>
  <b:Source>
    <b:Tag>Mar06</b:Tag>
    <b:SourceType>Book</b:SourceType>
    <b:Guid>{7DDB84B4-F1D8-426B-9D10-FF31AD27F3AD}</b:Guid>
    <b:Author>
      <b:Author>
        <b:NameList>
          <b:Person>
            <b:Last>Martínez Aldana</b:Last>
            <b:First>Clemencia</b:First>
          </b:Person>
          <b:Person>
            <b:Last>Corredor Villalba</b:Last>
            <b:First>Álvaro</b:First>
          </b:Person>
          <b:Person>
            <b:Last>Herazo Cueto</b:Last>
            <b:First>Gilberto</b:First>
          </b:Person>
        </b:NameList>
      </b:Author>
    </b:Author>
    <b:Title>Negocios Internacionales: Estrategias Globales</b:Title>
    <b:Year>2006</b:Year>
    <b:City>Bogotá</b:City>
    <b:Publisher>Universidad Santo Tomás</b:Publisher>
    <b:RefOrder>14</b:RefOrder>
  </b:Source>
  <b:Source>
    <b:Tag>Min87</b:Tag>
    <b:SourceType>Book</b:SourceType>
    <b:Guid>{A94DA54E-AF1F-4BEB-8E3A-294CFC262843}</b:Guid>
    <b:Author>
      <b:Author>
        <b:NameList>
          <b:Person>
            <b:Last>Mintzberg</b:Last>
            <b:First>Henry</b:First>
          </b:Person>
        </b:NameList>
      </b:Author>
    </b:Author>
    <b:Title>The strategy concept I: Five ps for strategy</b:Title>
    <b:Year>1987</b:Year>
    <b:City>California</b:City>
    <b:Publisher>Management Review</b:Publisher>
    <b:RefOrder>76</b:RefOrder>
  </b:Source>
  <b:Source>
    <b:Tag>Can10</b:Tag>
    <b:SourceType>JournalArticle</b:SourceType>
    <b:Guid>{A85CB4E6-B1A1-4A2B-91EB-86AC96A57206}</b:Guid>
    <b:Author>
      <b:Author>
        <b:NameList>
          <b:Person>
            <b:Last>Cano</b:Last>
            <b:First>María</b:First>
            <b:Middle>José</b:Middle>
          </b:Person>
          <b:Person>
            <b:Last>Beviá</b:Last>
            <b:First>Begoña</b:First>
          </b:Person>
        </b:NameList>
      </b:Author>
    </b:Author>
    <b:Title>Estrategias y Plan de Internacionalización</b:Title>
    <b:JournalName>Escuela de Organización Industrial</b:JournalName>
    <b:Year>2010</b:Year>
    <b:Pages>8</b:Pages>
    <b:RefOrder>77</b:RefOrder>
  </b:Source>
  <b:Source>
    <b:Tag>Por02</b:Tag>
    <b:SourceType>Book</b:SourceType>
    <b:Guid>{448E7FBC-4461-443E-A1D3-24A4DC14622D}</b:Guid>
    <b:Title>Ventaja Competitiva</b:Title>
    <b:Year>2002</b:Year>
    <b:Author>
      <b:Author>
        <b:NameList>
          <b:Person>
            <b:Last>Porter</b:Last>
            <b:First>Michael</b:First>
          </b:Person>
        </b:NameList>
      </b:Author>
    </b:Author>
    <b:City>Barcelona</b:City>
    <b:Publisher>Alay Ediciones</b:Publisher>
    <b:RefOrder>78</b:RefOrder>
  </b:Source>
  <b:Source>
    <b:Tag>Ric17</b:Tag>
    <b:SourceType>Book</b:SourceType>
    <b:Guid>{DDBE6BCF-A081-499C-B5E9-D4439748D436}</b:Guid>
    <b:Author>
      <b:Author>
        <b:NameList>
          <b:Person>
            <b:Last>Ricardo</b:Last>
            <b:First>David</b:First>
          </b:Person>
        </b:NameList>
      </b:Author>
    </b:Author>
    <b:Title>On the Principles of Political Economy, and Taxation</b:Title>
    <b:Year>1817</b:Year>
    <b:City>Londres</b:City>
    <b:Publisher>J. M'Creery</b:Publisher>
    <b:RefOrder>1</b:RefOrder>
  </b:Source>
  <b:Source>
    <b:Tag>Foo02</b:Tag>
    <b:SourceType>JournalArticle</b:SourceType>
    <b:Guid>{6F56F506-62A4-45A7-85A8-4268F063513D}</b:Guid>
    <b:Title>Dependencia de la exportación de un solo producto agrícola en los países en desarrollo: magnitud y tendencias</b:Title>
    <b:Year>2002</b:Year>
    <b:Author>
      <b:Author>
        <b:Corporate>Food and Agriculture Organization of the United Nations</b:Corporate>
      </b:Author>
    </b:Author>
    <b:JournalName>Selección de temas relacionados con las negociaciones de la OMC sobre agricultura</b:JournalName>
    <b:Pages>242-262</b:Pages>
    <b:RefOrder>2</b:RefOrder>
  </b:Source>
  <b:Source>
    <b:Tag>Ban13</b:Tag>
    <b:SourceType>Report</b:SourceType>
    <b:Guid>{390ACF3F-EA0C-4A37-B3E7-1C30CDDCCE19}</b:Guid>
    <b:Title>Bolivia: Principales productos exportados al mundo, según volumen y valor</b:Title>
    <b:Year>2013</b:Year>
    <b:City>La Paz</b:City>
    <b:Publisher>Banco Central de Bolivia</b:Publisher>
    <b:Author>
      <b:Author>
        <b:Corporate>Banco Central de Bolivia</b:Corporate>
      </b:Author>
    </b:Author>
    <b:RefOrder>3</b:RefOrder>
  </b:Source>
  <b:Source>
    <b:Tag>Amé12</b:Tag>
    <b:SourceType>ArticleInAPeriodical</b:SourceType>
    <b:Guid>{1A9EDAE7-6122-49E8-8340-45E854B09851}</b:Guid>
    <b:Title>Bolivia se convierte en el principal exportador de gas de Sudamérica</b:Title>
    <b:Year>2012</b:Year>
    <b:Author>
      <b:Author>
        <b:Corporate>América Economía</b:Corporate>
      </b:Author>
    </b:Author>
    <b:PeriodicalTitle>América Economía</b:PeriodicalTitle>
    <b:Month>Septiembre</b:Month>
    <b:Day>09</b:Day>
    <b:RefOrder>4</b:RefOrder>
  </b:Source>
  <b:Source>
    <b:Tag>ElU15</b:Tag>
    <b:SourceType>ArticleInAPeriodical</b:SourceType>
    <b:Guid>{2B2B5379-A7BA-46C1-948D-3F6ABAE0F13B}</b:Guid>
    <b:Title>$ 77.530 millones recibió Ecuador en 7 años por exportación petrolera</b:Title>
    <b:Year>2015</b:Year>
    <b:Author>
      <b:Author>
        <b:Corporate>El Universo</b:Corporate>
      </b:Author>
    </b:Author>
    <b:PeriodicalTitle>El Universo</b:PeriodicalTitle>
    <b:Month>enero</b:Month>
    <b:Day>15</b:Day>
    <b:RefOrder>6</b:RefOrder>
  </b:Source>
  <b:Source>
    <b:Tag>PRO14</b:Tag>
    <b:SourceType>JournalArticle</b:SourceType>
    <b:Guid>{4CD5E84B-AE5C-4396-A2F4-198C2A569080}</b:Guid>
    <b:Title>Boletín Mensual de Comercio Exterior</b:Title>
    <b:Year>2014</b:Year>
    <b:Pages>10</b:Pages>
    <b:Author>
      <b:Author>
        <b:Corporate>PROECUADOR</b:Corporate>
      </b:Author>
    </b:Author>
    <b:JournalName>Boletín de Comercio Exterior</b:JournalName>
    <b:RefOrder>7</b:RefOrder>
  </b:Source>
  <b:Source>
    <b:Tag>PRO141</b:Tag>
    <b:SourceType>Book</b:SourceType>
    <b:Guid>{BADD35A6-6702-4720-879D-1B2A5BA755C6}</b:Guid>
    <b:Author>
      <b:Author>
        <b:Corporate>PROECUADOR</b:Corporate>
      </b:Author>
    </b:Author>
    <b:Title>Evolución Enero-Diciembre 2013 Exportaciones Ecuatorianas</b:Title>
    <b:Year>2014</b:Year>
    <b:City>Quito</b:City>
    <b:Publisher>PROECUADOR</b:Publisher>
    <b:RefOrder>8</b:RefOrder>
  </b:Source>
  <b:Source>
    <b:Tag>Muñ98</b:Tag>
    <b:SourceType>Book</b:SourceType>
    <b:Guid>{86CC6E98-E106-4BB8-B343-DFEA65B299CF}</b:Guid>
    <b:Author>
      <b:Author>
        <b:NameList>
          <b:Person>
            <b:Last>Muñoz Razo</b:Last>
            <b:First>Carlos</b:First>
          </b:Person>
        </b:NameList>
      </b:Author>
    </b:Author>
    <b:Title>Cómo elaborar y asesorar una investigación de tesis</b:Title>
    <b:Year>1998</b:Year>
    <b:City>México DF</b:City>
    <b:Publisher>Pearson Education</b:Publisher>
    <b:RefOrder>34</b:RefOrder>
  </b:Source>
  <b:Source>
    <b:Tag>Góm06</b:Tag>
    <b:SourceType>Book</b:SourceType>
    <b:Guid>{5FB236B2-88B3-47B1-BA9F-AB8D74AA48D2}</b:Guid>
    <b:Author>
      <b:Author>
        <b:NameList>
          <b:Person>
            <b:Last>Gómez</b:Last>
            <b:First>Marcelo</b:First>
          </b:Person>
        </b:NameList>
      </b:Author>
    </b:Author>
    <b:Title>Introducción a la metodología de la investigación científica</b:Title>
    <b:Year>2006</b:Year>
    <b:City>Córdoba</b:City>
    <b:Publisher>Brujas</b:Publisher>
    <b:RefOrder>35</b:RefOrder>
  </b:Source>
  <b:Source>
    <b:Tag>Rod05</b:Tag>
    <b:SourceType>Book</b:SourceType>
    <b:Guid>{427D33E7-BAF9-4073-ADFF-4FE289F4EC8E}</b:Guid>
    <b:Author>
      <b:Author>
        <b:NameList>
          <b:Person>
            <b:Last>Rodriguez Moguel</b:Last>
            <b:First>Ernesto</b:First>
            <b:Middle>A.</b:Middle>
          </b:Person>
        </b:NameList>
      </b:Author>
    </b:Author>
    <b:Title>Metodología de la investigación</b:Title>
    <b:Year>2005</b:Year>
    <b:City>Tabasco</b:City>
    <b:Publisher>Universidad Juárez Autónoma de Tabasco</b:Publisher>
    <b:RefOrder>36</b:RefOrder>
  </b:Source>
  <b:Source>
    <b:Tag>Uni08</b:Tag>
    <b:SourceType>DocumentFromInternetSite</b:SourceType>
    <b:Guid>{726A53F0-BA68-442C-8D54-9BB7902BD0D0}</b:Guid>
    <b:Title>Análisis de datos</b:Title>
    <b:Year>2008</b:Year>
    <b:InternetSiteTitle>Metodología de la investigación</b:InternetSiteTitle>
    <b:URL>http://www.ccee.edu.uy/ensenian/catmetinvcont/material/PPT%20Parte%207%20Analisis%20de%20los%20datos-1.pdf</b:URL>
    <b:Author>
      <b:Author>
        <b:Corporate>Universidad de La República</b:Corporate>
      </b:Author>
    </b:Author>
    <b:RefOrder>37</b:RefOrder>
  </b:Source>
  <b:Source>
    <b:Tag>ALA14</b:Tag>
    <b:SourceType>Report</b:SourceType>
    <b:Guid>{F47A5AC4-9BC4-46B1-8AED-A4A88CE00A30}</b:Guid>
    <b:Author>
      <b:Author>
        <b:Corporate>ALADI- FAO</b:Corporate>
      </b:Author>
    </b:Author>
    <b:Title>Tendencias y Perspectivas del Comercio Internacional de Quinua</b:Title>
    <b:Year>2014</b:Year>
    <b:City>Santiago</b:City>
    <b:RefOrder>9</b:RefOrder>
  </b:Source>
  <b:Source>
    <b:Tag>Roj10</b:Tag>
    <b:SourceType>JournalArticle</b:SourceType>
    <b:Guid>{1B85962F-A59A-49C6-B02C-35A07C7139D4}</b:Guid>
    <b:Author>
      <b:Author>
        <b:NameList>
          <b:Person>
            <b:Last>Rojas</b:Last>
            <b:First>W.</b:First>
          </b:Person>
          <b:Person>
            <b:Last>Pinto</b:Last>
            <b:First>M.</b:First>
          </b:Person>
          <b:Person>
            <b:Last>Soto</b:Last>
            <b:First>JL.</b:First>
          </b:Person>
        </b:NameList>
      </b:Author>
    </b:Author>
    <b:Title>Distribución geográfica y variabilidad genética de los granos andinos</b:Title>
    <b:Year>2010</b:Year>
    <b:Pages>11-23</b:Pages>
    <b:JournalName>Biodiversity Internacional</b:JournalName>
    <b:RefOrder>26</b:RefOrder>
  </b:Source>
  <b:Source>
    <b:Tag>Int14</b:Tag>
    <b:SourceType>InternetSite</b:SourceType>
    <b:Guid>{212FD82B-46C8-4B35-A7BE-34CBDCBB0A87}</b:Guid>
    <b:Title>Trade Map</b:Title>
    <b:InternetSiteTitle>Centro de Comercio Internacional</b:InternetSiteTitle>
    <b:Year>2015</b:Year>
    <b:URL>http://www.trademap.org/Country_SelProduct_TS.aspx</b:URL>
    <b:Author>
      <b:Author>
        <b:Corporate>Centro de Comercio Internacional</b:Corporate>
      </b:Author>
    </b:Author>
    <b:YearAccessed>2015</b:YearAccessed>
    <b:MonthAccessed>septiembre</b:MonthAccessed>
    <b:DayAccessed>27</b:DayAccessed>
    <b:RefOrder>30</b:RefOrder>
  </b:Source>
  <b:Source>
    <b:Tag>Min13</b:Tag>
    <b:SourceType>Report</b:SourceType>
    <b:Guid>{559FE826-7240-4CC2-A280-3AC7EF135ACB}</b:Guid>
    <b:Title>Proyecto: “Fomento a la Producción de Quinua en la Sierra Ecuatoriana” </b:Title>
    <b:Year>2013</b:Year>
    <b:Author>
      <b:Author>
        <b:Corporate>Ministerio de Agricultura, Ganadería, Acuacultura y Pesca</b:Corporate>
      </b:Author>
    </b:Author>
    <b:City>Quito</b:City>
    <b:RefOrder>31</b:RefOrder>
  </b:Source>
  <b:Source>
    <b:Tag>Qui15</b:Tag>
    <b:SourceType>ArticleInAPeriodical</b:SourceType>
    <b:Guid>{086BF774-D7EB-42EB-B748-D5982619CE02}</b:Guid>
    <b:Title>Cae el volumen de venta de la quinua por la oferta de Perú </b:Title>
    <b:Year>2015</b:Year>
    <b:Author>
      <b:Author>
        <b:NameList>
          <b:Person>
            <b:Last>Quispe</b:Last>
            <b:First>Aline</b:First>
          </b:Person>
          <b:Person>
            <b:Last>Mejía</b:Last>
            <b:First>Juan</b:First>
          </b:Person>
        </b:NameList>
      </b:Author>
    </b:Author>
    <b:PeriodicalTitle>La Razón</b:PeriodicalTitle>
    <b:Month>Enero</b:Month>
    <b:Day>15</b:Day>
    <b:RefOrder>51</b:RefOrder>
  </b:Source>
  <b:Source>
    <b:Tag>Qui14</b:Tag>
    <b:SourceType>ArticleInAPeriodical</b:SourceType>
    <b:Guid>{1CCE9660-F31B-4A60-9DF7-9567A53975D0}</b:Guid>
    <b:Title>Oruro lidera la producción de quinua gracias a cuatro factores</b:Title>
    <b:Year>2014</b:Year>
    <b:Month>marzo</b:Month>
    <b:Day>30</b:Day>
    <b:Author>
      <b:Author>
        <b:NameList>
          <b:Person>
            <b:Last>Quispe</b:Last>
            <b:First>Aline</b:First>
          </b:Person>
        </b:NameList>
      </b:Author>
    </b:Author>
    <b:PeriodicalTitle>La Razón</b:PeriodicalTitle>
    <b:RefOrder>42</b:RefOrder>
  </b:Source>
  <b:Source>
    <b:Tag>Ban131</b:Tag>
    <b:SourceType>Report</b:SourceType>
    <b:Guid>{3BDC490E-2A57-480F-9B19-E82DB4BAB8ED}</b:Guid>
    <b:Title>Reporte de Balanza de Pagos y Posición de Inversión Internacional</b:Title>
    <b:Year>2013</b:Year>
    <b:Author>
      <b:Author>
        <b:Corporate>Banco Central de Bolivia</b:Corporate>
      </b:Author>
    </b:Author>
    <b:Publisher>Banco Central de Bolivia</b:Publisher>
    <b:City>La Paz</b:City>
    <b:RefOrder>54</b:RefOrder>
  </b:Source>
  <b:Source>
    <b:Tag>Ban14</b:Tag>
    <b:SourceType>Report</b:SourceType>
    <b:Guid>{05977358-0CA4-4FEB-B6FD-97015ECC9982}</b:Guid>
    <b:Author>
      <b:Author>
        <b:Corporate>Banco Central de Bolivia</b:Corporate>
      </b:Author>
    </b:Author>
    <b:Title>Reporte de Balanza de Pagos y Posición de Inversión Internacional</b:Title>
    <b:Year>2014</b:Year>
    <b:Publisher>Banco Central de Bolivia</b:Publisher>
    <b:City>La Paz</b:City>
    <b:RefOrder>55</b:RefOrder>
  </b:Source>
  <b:Source>
    <b:Tag>FAO11</b:Tag>
    <b:SourceType>Report</b:SourceType>
    <b:Guid>{9E08DD26-0FCE-46FE-8CCF-D0AE4AB76FBB}</b:Guid>
    <b:Author>
      <b:Author>
        <b:Corporate>Food and Agriculture Organization of the United Nations</b:Corporate>
      </b:Author>
    </b:Author>
    <b:Title>La Quinua: Cultivo milenario para contribuir a la seguridad alimentaria mundial</b:Title>
    <b:Year>2011</b:Year>
    <b:Publisher>FAO. Oficina regional para América Latina y el Caribe</b:Publisher>
    <b:City>La Paz</b:City>
    <b:RefOrder>25</b:RefOrder>
  </b:Source>
  <b:Source>
    <b:Tag>FAO13</b:Tag>
    <b:SourceType>InternetSite</b:SourceType>
    <b:Guid>{AB8B7112-4F77-4D40-B001-A6CE89E2265A}</b:Guid>
    <b:Title>Valor nutricional de la Quinua</b:Title>
    <b:Year>2013</b:Year>
    <b:Author>
      <b:Author>
        <b:Corporate>Food and Agriculture Organization to the United Nations</b:Corporate>
      </b:Author>
    </b:Author>
    <b:InternetSiteTitle>Quinua 2013. Año Internacional</b:InternetSiteTitle>
    <b:URL>http://www.fao.org/quinoa-2013/what-is-quinoa/nutritional-value/es/</b:URL>
    <b:RefOrder>27</b:RefOrder>
  </b:Source>
  <b:Source>
    <b:Tag>Ins13</b:Tag>
    <b:SourceType>JournalArticle</b:SourceType>
    <b:Guid>{A93958E9-D58F-472A-8D62-C3A4F34D2886}</b:Guid>
    <b:Author>
      <b:Author>
        <b:Corporate>Instituto Boliviano de Comercio Exterior</b:Corporate>
      </b:Author>
    </b:Author>
    <b:Title>La Quinua Boliviana traspasa fronteras para el consumo mundial</b:Title>
    <b:Year>2013</b:Year>
    <b:Pages>1-26</b:Pages>
    <b:JournalName>Comercio Exterior: Un mundo de oportunidades</b:JournalName>
    <b:RefOrder>17</b:RefOrder>
  </b:Source>
  <b:Source>
    <b:Tag>Age07</b:Tag>
    <b:SourceType>Report</b:SourceType>
    <b:Guid>{99F3784A-0A17-419D-B976-9A459D049C13}</b:Guid>
    <b:Title>Estudio de Mercado para la Quínoa y la Kiwicha en Francia </b:Title>
    <b:Year>2007</b:Year>
    <b:Author>
      <b:Author>
        <b:Corporate>Agencia Peruana de Cooperación Internacional</b:Corporate>
      </b:Author>
    </b:Author>
    <b:Publisher>Agencia Peruana de Cooperación Internacional</b:Publisher>
    <b:City>Lima</b:City>
    <b:RefOrder>38</b:RefOrder>
  </b:Source>
  <b:Source>
    <b:Tag>PRO13</b:Tag>
    <b:SourceType>Report</b:SourceType>
    <b:Guid>{C169D286-E328-4501-91FD-7F67502FACF0}</b:Guid>
    <b:Author>
      <b:Author>
        <b:Corporate>PROECUADOR</b:Corporate>
      </b:Author>
    </b:Author>
    <b:Title>Análisis de mercado de Quinua a Francia</b:Title>
    <b:Year>2013</b:Year>
    <b:Publisher>PROECUADOR</b:Publisher>
    <b:City>Quito</b:City>
    <b:RefOrder>39</b:RefOrder>
  </b:Source>
  <b:Source>
    <b:Tag>CEP12</b:Tag>
    <b:SourceType>InternetSite</b:SourceType>
    <b:Guid>{2DC0F981-F699-440A-90CD-067E82F7FBF4}</b:Guid>
    <b:Title>Centro para la Promoción del Comercio Exterior y la Inversión Extranjera de Cuba</b:Title>
    <b:Year>2012</b:Year>
    <b:Author>
      <b:Author>
        <b:Corporate>CEPEC</b:Corporate>
      </b:Author>
    </b:Author>
    <b:InternetSiteTitle>Estrategia de Exportación</b:InternetSiteTitle>
    <b:URL>http://www.cepec.cu/es/capitulo3</b:URL>
    <b:YearAccessed>2015</b:YearAccessed>
    <b:MonthAccessed>Julio</b:MonthAccessed>
    <b:DayAccessed>25</b:DayAccessed>
    <b:RefOrder>79</b:RefOrder>
  </b:Source>
  <b:Source>
    <b:Tag>Age14</b:Tag>
    <b:SourceType>InternetSite</b:SourceType>
    <b:Guid>{D99320C6-E6BA-4AFE-B5E5-B009FE3F409D}</b:Guid>
    <b:Title>Estados Unidos tiene apetito por la quinua de Bolivia, Perú y Ecuador</b:Title>
    <b:Year>2014</b:Year>
    <b:Month>febrero</b:Month>
    <b:Day>03</b:Day>
    <b:InternetSiteTitle>Andes</b:InternetSiteTitle>
    <b:URL>http://www.andes.info.ec/es/noticias/estados-unidos-tiene-apetito-quinua-bolivia-peru-ecuador.html</b:URL>
    <b:Author>
      <b:Author>
        <b:Corporate>Agencia Pública de Noticias del Ecuador y Suramérica</b:Corporate>
      </b:Author>
    </b:Author>
    <b:YearAccessed>2015</b:YearAccessed>
    <b:MonthAccessed>Agosto</b:MonthAccessed>
    <b:DayAccessed>28</b:DayAccessed>
    <b:RefOrder>29</b:RefOrder>
  </b:Source>
  <b:Source>
    <b:Tag>Ban15</b:Tag>
    <b:SourceType>InternetSite</b:SourceType>
    <b:Guid>{97D3E51A-BD52-4205-BBF5-38E241C92C97}</b:Guid>
    <b:Title>Fideicomiso para el Desarrollo Productivo - FDP</b:Title>
    <b:Year>2013</b:Year>
    <b:Author>
      <b:Author>
        <b:Corporate>Banco de Desarrollo Productivo</b:Corporate>
      </b:Author>
    </b:Author>
    <b:InternetSiteTitle>Banco de Desarrollo Productivo</b:InternetSiteTitle>
    <b:Month>Julio</b:Month>
    <b:Day>20</b:Day>
    <b:URL>http://www.bdp.com.bo/es/Fideicomiso_fdp.php#</b:URL>
    <b:YearAccessed>2015</b:YearAccessed>
    <b:MonthAccessed>Septiembre</b:MonthAccessed>
    <b:DayAccessed>28</b:DayAccessed>
    <b:RefOrder>65</b:RefOrder>
  </b:Source>
  <b:Source>
    <b:Tag>FAO15</b:Tag>
    <b:SourceType>InternetSite</b:SourceType>
    <b:Guid>{C0AF29D1-87C3-475A-8583-A7C63974E501}</b:Guid>
    <b:Title>Statistics Division</b:Title>
    <b:Year>2015</b:Year>
    <b:Author>
      <b:Author>
        <b:Corporate>FAOSTAT</b:Corporate>
      </b:Author>
    </b:Author>
    <b:InternetSiteTitle>FOOD AND AGRICULTURE ORGANIZATION OF THE UNITED NATIONS</b:InternetSiteTitle>
    <b:URL>http://faostat3.fao.org/download/Q/QC/E</b:URL>
    <b:YearAccessed>2015</b:YearAccessed>
    <b:MonthAccessed>Septiembre</b:MonthAccessed>
    <b:DayAccessed>25</b:DayAccessed>
    <b:RefOrder>41</b:RefOrder>
  </b:Source>
  <b:Source>
    <b:Tag>ITC15</b:Tag>
    <b:SourceType>InternetSite</b:SourceType>
    <b:Guid>{E4C0D8BA-6C91-459E-9E01-D5CBD64C28B2}</b:Guid>
    <b:Author>
      <b:Author>
        <b:Corporate>Centro de Comercio Internacional</b:Corporate>
      </b:Author>
    </b:Author>
    <b:Title>Trade Map</b:Title>
    <b:InternetSiteTitle>ITC</b:InternetSiteTitle>
    <b:Year>2015</b:Year>
    <b:URL>http://www.trademap.org/Country_SelProduct_TS.aspx</b:URL>
    <b:YearAccessed>2015</b:YearAccessed>
    <b:MonthAccessed>Septiembre</b:MonthAccessed>
    <b:DayAccessed>29</b:DayAccessed>
    <b:RefOrder>28</b:RefOrder>
  </b:Source>
  <b:Source>
    <b:Tag>LaP13</b:Tag>
    <b:SourceType>ArticleInAPeriodical</b:SourceType>
    <b:Guid>{56093617-D87E-4CAA-A92B-E493175C98E0}</b:Guid>
    <b:Title>Según FAO, Bolivia produce el 70 % de la quinua orgánica en el mundo</b:Title>
    <b:Year>2013</b:Year>
    <b:Author>
      <b:Author>
        <b:Corporate>La Patria</b:Corporate>
      </b:Author>
    </b:Author>
    <b:PeriodicalTitle>La Patria</b:PeriodicalTitle>
    <b:Month>Marzo</b:Month>
    <b:Day>25</b:Day>
    <b:RefOrder>59</b:RefOrder>
  </b:Source>
  <b:Source>
    <b:Tag>LaR15</b:Tag>
    <b:SourceType>ArticleInAPeriodical</b:SourceType>
    <b:Guid>{51146E27-D20D-4955-B6D3-7E4D4C1BAD11}</b:Guid>
    <b:Author>
      <b:Author>
        <b:Corporate>La Razón</b:Corporate>
      </b:Author>
    </b:Author>
    <b:Title>Gobierno: Bolivia no exporta tanta quinua como Perú porque su producción es ‘orgánica’ y no ‘convencional’</b:Title>
    <b:PeriodicalTitle>La Razón</b:PeriodicalTitle>
    <b:Year>2015</b:Year>
    <b:Month>agosto</b:Month>
    <b:Day>04</b:Day>
    <b:RefOrder>60</b:RefOrder>
  </b:Source>
  <b:Source>
    <b:Tag>Coo13</b:Tag>
    <b:SourceType>InternetSite</b:SourceType>
    <b:Guid>{29AEC316-8CE5-4677-BD84-0041D55B3805}</b:Guid>
    <b:Title>La quinua de Comercio Justo aporta ingresos estables a las organizaciones campesinas y consolida sus prácticas ecológicas</b:Title>
    <b:Year>2013</b:Year>
    <b:Month>Febrero</b:Month>
    <b:Day>18</b:Day>
    <b:Author>
      <b:Author>
        <b:Corporate>Coordinadora Estatal de Comercio Justo</b:Corporate>
      </b:Author>
    </b:Author>
    <b:InternetSiteTitle>Coordinadora Estatal de Comercio Justo</b:InternetSiteTitle>
    <b:URL>http://comerciojusto.org/la-quinua-de-comercio-justo-aporta-ingresos-estables-a-las-organizaciones-campesinas-y-consolida-sus-practicas-ecologicas/</b:URL>
    <b:YearAccessed>2015</b:YearAccessed>
    <b:MonthAccessed>Octubre</b:MonthAccessed>
    <b:DayAccessed>30</b:DayAccessed>
    <b:RefOrder>61</b:RefOrder>
  </b:Source>
  <b:Source>
    <b:Tag>Fai14</b:Tag>
    <b:SourceType>Report</b:SourceType>
    <b:Guid>{C9F06AF4-AF3B-4666-9CA8-2ABAB5EB5EE3}</b:Guid>
    <b:Author>
      <b:Author>
        <b:Corporate>Fairtrade International</b:Corporate>
      </b:Author>
    </b:Author>
    <b:Title>Tabla de Precios Mínimos Y Prima de Comercio Justo</b:Title>
    <b:Year>2014</b:Year>
    <b:Publisher>Fairtrade International</b:Publisher>
    <b:City>Bonn</b:City>
    <b:RefOrder>32</b:RefOrder>
  </b:Source>
  <b:Source>
    <b:Tag>Gar12</b:Tag>
    <b:SourceType>InternetSite</b:SourceType>
    <b:Guid>{8FE875BA-54F1-4281-990E-B0378C1A1F79}</b:Guid>
    <b:Title>Prima de comercio justo, un pago adicional para pequeños productores</b:Title>
    <b:Year>2012</b:Year>
    <b:Author>
      <b:Author>
        <b:NameList>
          <b:Person>
            <b:Last>García</b:Last>
            <b:First>Azucena</b:First>
          </b:Person>
        </b:NameList>
      </b:Author>
    </b:Author>
    <b:InternetSiteTitle>Fundación Eroski</b:InternetSiteTitle>
    <b:Month>Octubre</b:Month>
    <b:Day>23</b:Day>
    <b:URL>http://www.consumer.es/web/es/solidaridad/economia_solidaria/2012/10/23/213886.php</b:URL>
    <b:RefOrder>18</b:RefOrder>
  </b:Source>
  <b:Source>
    <b:Tag>CAB15</b:Tag>
    <b:SourceType>InternetSite</b:SourceType>
    <b:Guid>{1229C748-98CD-494C-B120-2DEDB4381475}</b:Guid>
    <b:Author>
      <b:Author>
        <b:Corporate>CABOLQUI</b:Corporate>
      </b:Author>
    </b:Author>
    <b:Title>Acerca de nosotros</b:Title>
    <b:Year>2015</b:Year>
    <b:InternetSiteTitle>Cámara Boliviana de Exportadores de Quinoa y Productos Orgánicos – CABOLQUI</b:InternetSiteTitle>
    <b:URL>http://www.cabolqui.org/es/cabolqui/</b:URL>
    <b:YearAccessed>2015</b:YearAccessed>
    <b:MonthAccessed>octubre</b:MonthAccessed>
    <b:DayAccessed>28</b:DayAccessed>
    <b:RefOrder>49</b:RefOrder>
  </b:Source>
  <b:Source>
    <b:Tag>FOM15</b:Tag>
    <b:SourceType>InternetSite</b:SourceType>
    <b:Guid>{C5E2292F-D9CC-4619-BC37-603B207E81F8}</b:Guid>
    <b:Author>
      <b:Author>
        <b:Corporate>FOMIN</b:Corporate>
      </b:Author>
    </b:Author>
    <b:Title>Organización, trazabilidad y tecnología ayudarán a aumentar la producción sostenible de la quinua real orgánica boliviana</b:Title>
    <b:InternetSiteTitle>Fondo Multilateral de Inversiones. MIembro del Grupo BID</b:InternetSiteTitle>
    <b:Year>2015</b:Year>
    <b:Month>junio</b:Month>
    <b:Day>25</b:Day>
    <b:URL>http://www.fomin.org/es-es/PORTADA/Noticias/Comunicadosdeprensa/ArtMID/3819/ArticleID/2433.aspx</b:URL>
    <b:YearAccessed>2015</b:YearAccessed>
    <b:MonthAccessed>Octubre</b:MonthAccessed>
    <b:DayAccessed>28</b:DayAccessed>
    <b:RefOrder>67</b:RefOrder>
  </b:Source>
  <b:Source>
    <b:Tag>Emp13</b:Tag>
    <b:SourceType>Interview</b:SourceType>
    <b:Guid>{36BF20FD-B426-4F49-A752-834ED2F4E4E3}</b:Guid>
    <b:Title>Historias de éxito de los exportadores bolivianos de quinua</b:Title>
    <b:Year>2013</b:Year>
    <b:Month>julio</b:Month>
    <b:Day>1</b:Day>
    <b:Author>
      <b:Interviewee>
        <b:NameList>
          <b:Person>
            <b:Last>CABOLQUI</b:Last>
            <b:First>Empresas</b:First>
            <b:Middle>miembros de</b:Middle>
          </b:Person>
        </b:NameList>
      </b:Interviewee>
      <b:Interviewer>
        <b:NameList>
          <b:Person>
            <b:Last>CABOLQUI</b:Last>
          </b:Person>
        </b:NameList>
      </b:Interviewer>
    </b:Author>
    <b:RefOrder>68</b:RefOrder>
  </b:Source>
  <b:Source>
    <b:Tag>Qui16</b:Tag>
    <b:SourceType>InternetSite</b:SourceType>
    <b:Guid>{A2D00F18-C2C9-45B6-8CDF-7C23D34A0A5D}</b:Guid>
    <b:Title>Acerca de Nosotros</b:Title>
    <b:Year>2015</b:Year>
    <b:Author>
      <b:Author>
        <b:Corporate>Quinoa Foods Company</b:Corporate>
      </b:Author>
    </b:Author>
    <b:InternetSiteTitle>Quinoa Foods Company</b:InternetSiteTitle>
    <b:URL>http://www.quinoafoods.com/esaboutus.php?site=aboutus</b:URL>
    <b:YearAccessed>2015</b:YearAccessed>
    <b:MonthAccessed>Noviembre</b:MonthAccessed>
    <b:DayAccessed>01</b:DayAccessed>
    <b:RefOrder>71</b:RefOrder>
  </b:Source>
  <b:Source>
    <b:Tag>ASF15</b:Tag>
    <b:SourceType>InternetSite</b:SourceType>
    <b:Guid>{2B8E61AA-9C77-4FD8-B78E-84CDB68365E3}</b:Guid>
    <b:Author>
      <b:Author>
        <b:Corporate>ASFI</b:Corporate>
      </b:Author>
    </b:Author>
    <b:Title>Mercados Regulados: Quinua Foods Company  S.R.L</b:Title>
    <b:InternetSiteTitle>Autoridad de Supervisión del Sistema Financiero</b:InternetSiteTitle>
    <b:Year>2015</b:Year>
    <b:URL>https://www.asfi.gob.bo/reportes_asp/rmi/tarjeta.asp?c=53064&amp;t=3</b:URL>
    <b:YearAccessed>2015</b:YearAccessed>
    <b:MonthAccessed>Octubre</b:MonthAccessed>
    <b:DayAccessed>30</b:DayAccessed>
    <b:RefOrder>72</b:RefOrder>
  </b:Source>
  <b:Source>
    <b:Tag>Tor14</b:Tag>
    <b:SourceType>ArticleInAPeriodical</b:SourceType>
    <b:Guid>{816332C6-30A9-4A1C-B9C5-BF09F30E3176}</b:Guid>
    <b:Author>
      <b:Author>
        <b:NameList>
          <b:Person>
            <b:Last>Toro</b:Last>
            <b:First>Edgar</b:First>
          </b:Person>
        </b:NameList>
      </b:Author>
    </b:Author>
    <b:Title>Disminuyen las ventas de Quinua a Estados Unidos</b:Title>
    <b:PeriodicalTitle>La Razón</b:PeriodicalTitle>
    <b:Year>2014</b:Year>
    <b:Month>Noviembre</b:Month>
    <b:Day>08</b:Day>
    <b:URL>http://www.la-razon.com/economia/Mercado-disminuyen-ventas-quinua-EEUU_0_2158584146.html</b:URL>
    <b:RefOrder>80</b:RefOrder>
  </b:Source>
  <b:Source>
    <b:Tag>Coo15</b:Tag>
    <b:SourceType>InternetSite</b:SourceType>
    <b:Guid>{25FC4B29-B049-47ED-8B75-27B1A38D4DF9}</b:Guid>
    <b:Title>¿Qué es?</b:Title>
    <b:Year>2015</b:Year>
    <b:Author>
      <b:Author>
        <b:Corporate>Coordinadora Ecuatoriana de Comercio Justo</b:Corporate>
      </b:Author>
    </b:Author>
    <b:InternetSiteTitle>Coordinadora Ecuatoriana de Comercio Justo</b:InternetSiteTitle>
    <b:URL>http://www.cecjecuador.org.ec/comercio-justo/que-es/</b:URL>
    <b:YearAccessed>2015</b:YearAccessed>
    <b:MonthAccessed>octubre</b:MonthAccessed>
    <b:DayAccessed>14</b:DayAccessed>
    <b:RefOrder>19</b:RefOrder>
  </b:Source>
  <b:Source>
    <b:Tag>FAO151</b:Tag>
    <b:SourceType>InternetSite</b:SourceType>
    <b:Guid>{B099A69E-1DAB-4A77-9507-802870C70373}</b:Guid>
    <b:Author>
      <b:Author>
        <b:Corporate>Organización de las Naciones Unidas para la Alimentación y la Agricultura</b:Corporate>
      </b:Author>
    </b:Author>
    <b:Title>Organic Agriculture</b:Title>
    <b:InternetSiteTitle>Organización de las Naciones Unidas para la Alimentación y la Agricultura</b:InternetSiteTitle>
    <b:Year>2015</b:Year>
    <b:URL>http://www.fao.org/organicag/oa-faq/oa-faq2/es/</b:URL>
    <b:YearAccessed>2015</b:YearAccessed>
    <b:MonthAccessed>octubre</b:MonthAccessed>
    <b:DayAccessed>31</b:DayAccessed>
    <b:RefOrder>16</b:RefOrder>
  </b:Source>
  <b:Source>
    <b:Tag>ARG15</b:Tag>
    <b:SourceType>InternetSite</b:SourceType>
    <b:Guid>{86584487-FED9-43DB-8175-E79A7CFD180F}</b:Guid>
    <b:Author>
      <b:Author>
        <b:Corporate>ARGENCERT</b:Corporate>
      </b:Author>
    </b:Author>
    <b:Title>Certificación Orgánica</b:Title>
    <b:InternetSiteTitle>ARGENCERT. Servicios internacionales de Certificación</b:InternetSiteTitle>
    <b:Year>2015</b:Year>
    <b:URL>http://argencert.com.ar/sitio/certificaciones-y-servicios/certificacion-organica/</b:URL>
    <b:YearAccessed>2015</b:YearAccessed>
    <b:MonthAccessed>octubre</b:MonthAccessed>
    <b:DayAccessed>30</b:DayAccessed>
    <b:RefOrder>81</b:RefOrder>
  </b:Source>
  <b:Source>
    <b:Tag>Rod09</b:Tag>
    <b:SourceType>Book</b:SourceType>
    <b:Guid>{30DE344E-435D-4C2D-884F-03A2A0B2CC19}</b:Guid>
    <b:Title>Metodología para realizar análisis económico </b:Title>
    <b:Year>2009</b:Year>
    <b:Author>
      <b:Author>
        <b:NameList>
          <b:Person>
            <b:Last>Rodriguez</b:Last>
            <b:First>R</b:First>
          </b:Person>
          <b:Person>
            <b:Last>Acanda</b:Last>
            <b:First>R</b:First>
          </b:Person>
        </b:NameList>
      </b:Author>
    </b:Author>
    <b:RefOrder>82</b:RefOrder>
  </b:Source>
  <b:Source>
    <b:Tag>Sim07</b:Tag>
    <b:SourceType>JournalArticle</b:SourceType>
    <b:Guid>{699C0814-E32B-47EE-8C4C-34A842936E20}</b:Guid>
    <b:Title>An Overview of financial statements analysis: The mechanics</b:Title>
    <b:Year>2007</b:Year>
    <b:Author>
      <b:Author>
        <b:NameList>
          <b:Person>
            <b:Last>Simko</b:Last>
            <b:First>Paul</b:First>
          </b:Person>
          <b:Person>
            <b:Last>Allen</b:Last>
            <b:First>Brandt</b:First>
          </b:Person>
        </b:NameList>
      </b:Author>
    </b:Author>
    <b:JournalName>DARDEN BUSINESS PUBLISHING</b:JournalName>
    <b:Pages>9-28</b:Pages>
    <b:Publisher>University of Virginia</b:Publisher>
    <b:RefOrder>83</b:RefOrder>
  </b:Source>
  <b:Source>
    <b:Tag>Qui09</b:Tag>
    <b:SourceType>Book</b:SourceType>
    <b:Guid>{BE58083A-452C-441D-BC88-39E257A01579}</b:Guid>
    <b:Author>
      <b:Author>
        <b:NameList>
          <b:Person>
            <b:Last>Quito Rodriguez</b:Last>
            <b:First>Carmen</b:First>
          </b:Person>
        </b:NameList>
      </b:Author>
    </b:Author>
    <b:Title>Análisis de Estados Financieros</b:Title>
    <b:Year>2009</b:Year>
    <b:City>Piura</b:City>
    <b:Publisher>Universidad César Vallejo</b:Publisher>
    <b:RefOrder>84</b:RefOrder>
  </b:Source>
  <b:Source>
    <b:Tag>Tan05</b:Tag>
    <b:SourceType>Book</b:SourceType>
    <b:Guid>{360242F1-C50B-4AE8-9845-6AF0254BC51E}</b:Guid>
    <b:Author>
      <b:Author>
        <b:NameList>
          <b:Person>
            <b:Last>Tanaka Nakasone</b:Last>
            <b:First>Gustavo</b:First>
          </b:Person>
        </b:NameList>
      </b:Author>
    </b:Author>
    <b:Title>Análisis de Estados Financieros para la Toma de Decisiones</b:Title>
    <b:Year>2005</b:Year>
    <b:City>Lima</b:City>
    <b:Publisher>Pontificia Universidad Católica del Perú</b:Publisher>
    <b:RefOrder>20</b:RefOrder>
  </b:Source>
  <b:Source>
    <b:Tag>Hor00</b:Tag>
    <b:SourceType>Book</b:SourceType>
    <b:Guid>{06233839-36AB-4514-8B94-7382F3E4E0B1}</b:Guid>
    <b:Author>
      <b:Author>
        <b:NameList>
          <b:Person>
            <b:Last>Horngren</b:Last>
            <b:First>Charles</b:First>
          </b:Person>
        </b:NameList>
      </b:Author>
    </b:Author>
    <b:Title>Introducción a la Contabilidad Financiera</b:Title>
    <b:Year>2000</b:Year>
    <b:City>México</b:City>
    <b:Publisher>Pearson Education</b:Publisher>
    <b:RefOrder>22</b:RefOrder>
  </b:Source>
  <b:Source>
    <b:Tag>Uni09</b:Tag>
    <b:SourceType>Book</b:SourceType>
    <b:Guid>{A229D28D-016E-4EA6-9ED3-856C944A2513}</b:Guid>
    <b:Author>
      <b:Author>
        <b:Corporate>Universidad San Nicolás de Hidalgo</b:Corporate>
      </b:Author>
    </b:Author>
    <b:Title>Principales Estados Financieros</b:Title>
    <b:Year>2009</b:Year>
    <b:City>México</b:City>
    <b:Publisher>Universidad San Nicolás de Hidalgo</b:Publisher>
    <b:YearAccessed>2015</b:YearAccessed>
    <b:MonthAccessed>Diciembre</b:MonthAccessed>
    <b:DayAccessed>18</b:DayAccessed>
    <b:URL>http://www.fcca.umich.mx/descargas/apuntes/Academia%20de%20Finanzas/Finanzas%20I%20Mauricio%20A.%20Chagolla%20Farias/6%20estados%20financieros.pdf</b:URL>
    <b:RefOrder>21</b:RefOrder>
  </b:Source>
  <b:Source>
    <b:Tag>Ins04</b:Tag>
    <b:SourceType>JournalArticle</b:SourceType>
    <b:Guid>{A4747ED6-9CF4-4CB1-9B93-F6F8EFB93075}</b:Guid>
    <b:Author>
      <b:Author>
        <b:Corporate>Instituto Boliviano de Comercio Exterior</b:Corporate>
      </b:Author>
    </b:Author>
    <b:Title>Cifras del Comercio Exterior Boliviano</b:Title>
    <b:Year>2004</b:Year>
    <b:Pages>6</b:Pages>
    <b:JournalName>Comercio Exterior</b:JournalName>
    <b:RefOrder>5</b:RefOrder>
  </b:Source>
  <b:Source>
    <b:Tag>Jor12</b:Tag>
    <b:SourceType>ArticleInAPeriodical</b:SourceType>
    <b:Guid>{005C4BFF-3D06-4226-80A5-7A4826491F02}</b:Guid>
    <b:Title>Quinoa Foods Company S.R.L. emite pagarés con margen autorizado de $us. 250 mil</b:Title>
    <b:Year>2012</b:Year>
    <b:Author>
      <b:Author>
        <b:Corporate>Jornada</b:Corporate>
      </b:Author>
    </b:Author>
    <b:PeriodicalTitle>Jornada</b:PeriodicalTitle>
    <b:Month>diciembre</b:Month>
    <b:Day>18</b:Day>
    <b:URL>http://www.jornadanet.com/n.php?a=84951-1</b:URL>
    <b:RefOrder>85</b:RefOrder>
  </b:Source>
  <b:Source>
    <b:Tag>Qui151</b:Tag>
    <b:SourceType>DocumentFromInternetSite</b:SourceType>
    <b:Guid>{C5D512C2-67D8-4728-895D-C5451DCC0E24}</b:Guid>
    <b:Author>
      <b:Author>
        <b:Corporate>Quinoa Foods Company</b:Corporate>
      </b:Author>
    </b:Author>
    <b:Title>Folleto para emisión de pagarés en Mesa de Negociación</b:Title>
    <b:InternetSiteTitle>Bolsa Boliviana de Valores S.A</b:InternetSiteTitle>
    <b:Year>2015</b:Year>
    <b:Month>Febrero</b:Month>
    <b:URL>https://www.bbv.com.bo:11113/Content/Uploads/FollQFC.pdf</b:URL>
    <b:YearAccessed>2015</b:YearAccessed>
    <b:MonthAccessed>Diciembre</b:MonthAccessed>
    <b:DayAccessed>18</b:DayAccessed>
    <b:RefOrder>73</b:RefOrder>
  </b:Source>
  <b:Source>
    <b:Tag>PRO15</b:Tag>
    <b:SourceType>DocumentFromInternetSite</b:SourceType>
    <b:Guid>{7B66901F-531E-4B90-928D-F9438A54C459}</b:Guid>
    <b:Title>Análisis Sectorial Quinua 2015</b:Title>
    <b:InternetSiteTitle>PROECUADOR</b:InternetSiteTitle>
    <b:Year>2015</b:Year>
    <b:URL>http://www.proecuador.gob.ec/wp-content/uploads/2015/10/PROEC_AS2015_QUINUA.pdf</b:URL>
    <b:Author>
      <b:Author>
        <b:Corporate>PROECUADOR</b:Corporate>
      </b:Author>
    </b:Author>
    <b:YearAccessed>2015</b:YearAccessed>
    <b:MonthAccessed>Diciembre</b:MonthAccessed>
    <b:DayAccessed>20</b:DayAccessed>
    <b:RefOrder>43</b:RefOrder>
  </b:Source>
  <b:Source>
    <b:Tag>Eur15</b:Tag>
    <b:SourceType>InternetSite</b:SourceType>
    <b:Guid>{316A1A45-E443-4501-BC79-D8EC951B0C3F}</b:Guid>
    <b:Author>
      <b:Author>
        <b:Corporate>European Commision</b:Corporate>
      </b:Author>
    </b:Author>
    <b:Title>Export Help Desk</b:Title>
    <b:InternetSiteTitle>European Commision</b:InternetSiteTitle>
    <b:Year>2015</b:Year>
    <b:Month>Diciembre</b:Month>
    <b:Day>02</b:Day>
    <b:URL>http://exporthelp.europa.eu/thdapp/form/output?action=tarrif&amp;prodLine=&amp;languageId=ES&amp;taricCode=1008500000&amp;partnerId=ec&amp;reporterId=fr&amp;simulationDate=03%2f02%2f2016&amp;simDate=20160203&amp;nomenCmd=&amp;resultPage=importtarrifs&amp;mode=</b:URL>
    <b:YearAccessed>2015</b:YearAccessed>
    <b:MonthAccessed>Febrero</b:MonthAccessed>
    <b:DayAccessed>02</b:DayAccessed>
    <b:RefOrder>40</b:RefOrder>
  </b:Source>
  <b:Source>
    <b:Tag>Min14</b:Tag>
    <b:SourceType>DocumentFromInternetSite</b:SourceType>
    <b:Guid>{34247B91-98AA-4437-B59B-6BDE36C6C8C2}</b:Guid>
    <b:Title>Boletín Situacional: Papa</b:Title>
    <b:InternetSiteTitle>Ministerio de Agricultura, Ganadería, Acuacultura y Pesca</b:InternetSiteTitle>
    <b:Year>2014</b:Year>
    <b:Month>Diciembre</b:Month>
    <b:URL>file:///C:/Users/benavidesofi/Downloads/kboletin-situacional-de-papa-2014-actualizado.pdf</b:URL>
    <b:Author>
      <b:Author>
        <b:Corporate>Ministerio de Agricultura, Ganadería, Acuacultura y Pesca</b:Corporate>
      </b:Author>
    </b:Author>
    <b:YearAccessed>2016</b:YearAccessed>
    <b:MonthAccessed>Febrero</b:MonthAccessed>
    <b:DayAccessed>03</b:DayAccessed>
    <b:RefOrder>44</b:RefOrder>
  </b:Source>
  <b:Source>
    <b:Tag>Ban152</b:Tag>
    <b:SourceType>DocumentFromInternetSite</b:SourceType>
    <b:Guid>{301E8977-5FC6-47E9-A9C3-7D28DE119852}</b:Guid>
    <b:Author>
      <b:Author>
        <b:Corporate>Banco Central del Ecuador</b:Corporate>
      </b:Author>
    </b:Author>
    <b:Title>Publicaciones de Banca Central</b:Title>
    <b:InternetSiteTitle>Banco Central del Ecuador</b:InternetSiteTitle>
    <b:Year>2015</b:Year>
    <b:Month>Marzo</b:Month>
    <b:URL>http://www.bce.fin.ec/index.php/component/k2/item/756</b:URL>
    <b:YearAccessed>2016</b:YearAccessed>
    <b:MonthAccessed>Febrero</b:MonthAccessed>
    <b:DayAccessed>01</b:DayAccessed>
    <b:RefOrder>56</b:RefOrder>
  </b:Source>
  <b:Source>
    <b:Tag>Min131</b:Tag>
    <b:SourceType>DocumentFromInternetSite</b:SourceType>
    <b:Guid>{96EEA09C-BEFC-495B-947E-EC9CF66CB837}</b:Guid>
    <b:Author>
      <b:Author>
        <b:Corporate>Ministerio de Agricultura, Ganadería, Acuacultura y Pesca</b:Corporate>
      </b:Author>
    </b:Author>
    <b:Title>Presentación del Año Internacional de la Quinua</b:Title>
    <b:InternetSiteTitle>Ministerio de Agricultura, Ganadería, Acuacultura y Pesca</b:InternetSiteTitle>
    <b:Year>2013</b:Year>
    <b:URL>http://www.agricultura.gob.ec/presentacion-del-ano-internacional-de-la-quinua/</b:URL>
    <b:YearAccessed>2015</b:YearAccessed>
    <b:MonthAccessed>Diciembre</b:MonthAccessed>
    <b:DayAccessed>16</b:DayAccessed>
    <b:RefOrder>57</b:RefOrder>
  </b:Source>
  <b:Source>
    <b:Tag>MIn13</b:Tag>
    <b:SourceType>DocumentFromInternetSite</b:SourceType>
    <b:Guid>{2CB2B82A-DF86-407F-80EA-D91ACA61FD59}</b:Guid>
    <b:Author>
      <b:Author>
        <b:Corporate>Ministerio de Agricultura, Ganadería, Acuacultura y Pesca</b:Corporate>
      </b:Author>
    </b:Author>
    <b:Title>"Año Internacional de la Quinua 2013” se presenta en Ecuador</b:Title>
    <b:InternetSiteTitle>MInisterio de Agricultura, Ganadería, Acuacultura y Pesca</b:InternetSiteTitle>
    <b:Year>2013</b:Year>
    <b:URL>http://www.agricultura.gob.ec/ano-internacional-de-la-quinua-2013-se-presenta-en-ecuador/</b:URL>
    <b:YearAccessed>2015</b:YearAccessed>
    <b:MonthAccessed>Diciembre</b:MonthAccessed>
    <b:DayAccessed>17</b:DayAccessed>
    <b:RefOrder>58</b:RefOrder>
  </b:Source>
  <b:Source>
    <b:Tag>ElU14</b:Tag>
    <b:SourceType>ArticleInAPeriodical</b:SourceType>
    <b:Guid>{5BD612B7-B2BC-4643-B1FB-B325772CCB39}</b:Guid>
    <b:Author>
      <b:Author>
        <b:Corporate>El Universo</b:Corporate>
      </b:Author>
    </b:Author>
    <b:Title>Proyecto de comercialización de quinua ecuatoriana tiene apoyo de Diputación española</b:Title>
    <b:Year>2014</b:Year>
    <b:Month>Noviembre</b:Month>
    <b:Day>02</b:Day>
    <b:PeriodicalTitle>El Universo</b:PeriodicalTitle>
    <b:RefOrder>64</b:RefOrder>
  </b:Source>
  <b:Source>
    <b:Tag>LaP15</b:Tag>
    <b:SourceType>ArticleInAPeriodical</b:SourceType>
    <b:Guid>{8A500B3B-F60B-44A4-BDD4-C5071D6FDC03}</b:Guid>
    <b:Author>
      <b:Author>
        <b:Corporate>La Prensa</b:Corporate>
      </b:Author>
    </b:Author>
    <b:Title>Empresarios indígenas de Chimborazo exportan quinua</b:Title>
    <b:PeriodicalTitle>La Prensa</b:PeriodicalTitle>
    <b:Year>2015</b:Year>
    <b:Month>Enero</b:Month>
    <b:Day>29</b:Day>
    <b:RefOrder>63</b:RefOrder>
  </b:Source>
  <b:Source>
    <b:Tag>Rev14</b:Tag>
    <b:SourceType>ArticleInAPeriodical</b:SourceType>
    <b:Guid>{AB286C86-E38C-4140-B850-1C721C21BB64}</b:Guid>
    <b:Author>
      <b:Author>
        <b:Corporate>Revista Líderes</b:Corporate>
      </b:Author>
    </b:Author>
    <b:Title>6% DE LAS VENTAS EN EL PAÍS corresponde a pequeños productores</b:Title>
    <b:PeriodicalTitle>Revista Líderes</b:PeriodicalTitle>
    <b:Year>2014</b:Year>
    <b:RefOrder>62</b:RefOrder>
  </b:Source>
  <b:Source>
    <b:Tag>Git03</b:Tag>
    <b:SourceType>Book</b:SourceType>
    <b:Guid>{40052F93-A42F-467D-BD37-114FD45872BB}</b:Guid>
    <b:Title>Principios de Administración Financiera</b:Title>
    <b:Year>2003</b:Year>
    <b:Author>
      <b:Author>
        <b:NameList>
          <b:Person>
            <b:Last>Gitman</b:Last>
            <b:First>Lawrence</b:First>
            <b:Middle>J.</b:Middle>
          </b:Person>
        </b:NameList>
      </b:Author>
    </b:Author>
    <b:City>México</b:City>
    <b:Publisher>Pearson Education</b:Publisher>
    <b:RefOrder>23</b:RefOrder>
  </b:Source>
  <b:Source>
    <b:Tag>Lir13</b:Tag>
    <b:SourceType>InternetSite</b:SourceType>
    <b:Guid>{985E4957-A2DE-4FCC-9D1D-3A26A8B733E9}</b:Guid>
    <b:Title>El Modelo Dupont</b:Title>
    <b:Year>2013</b:Year>
    <b:Author>
      <b:Author>
        <b:NameList>
          <b:Person>
            <b:Last>Lira Briceño</b:Last>
            <b:First>Paúl</b:First>
          </b:Person>
        </b:NameList>
      </b:Author>
    </b:Author>
    <b:InternetSiteTitle>Diario Gestión</b:InternetSiteTitle>
    <b:Month>Abril</b:Month>
    <b:Day>11</b:Day>
    <b:URL>http://blogs.gestion.pe/deregresoalobasico/2013/04/el-modelo-dupont-parte-1.html</b:URL>
    <b:RefOrder>24</b:RefOrder>
  </b:Source>
  <b:Source>
    <b:Tag>Laz15</b:Tag>
    <b:SourceType>ArticleInAPeriodical</b:SourceType>
    <b:Guid>{F44422A5-CAE8-46BB-96B8-8B68726451CF}</b:Guid>
    <b:Title>Consumo de quinua en el país sube a 14.600 t</b:Title>
    <b:Year>2015</b:Year>
    <b:Month>Julio</b:Month>
    <b:Day>03</b:Day>
    <b:PeriodicalTitle>La Razón</b:PeriodicalTitle>
    <b:Author>
      <b:Author>
        <b:NameList>
          <b:Person>
            <b:Last>Lazcano</b:Last>
            <b:First>Miguel</b:First>
          </b:Person>
        </b:NameList>
      </b:Author>
    </b:Author>
    <b:RefOrder>46</b:RefOrder>
  </b:Source>
  <b:Source>
    <b:Tag>LaN15</b:Tag>
    <b:SourceType>ArticleInAPeriodical</b:SourceType>
    <b:Guid>{7CCB7374-65D7-4BA4-B9E7-2E144289851F}</b:Guid>
    <b:Author>
      <b:Author>
        <b:Corporate>La Nación</b:Corporate>
      </b:Author>
    </b:Author>
    <b:Title>Productores de quinua en Chimborazo recibieron crédito por $300 mil</b:Title>
    <b:PeriodicalTitle>La Nación</b:PeriodicalTitle>
    <b:Year>2015</b:Year>
    <b:Month>Enero</b:Month>
    <b:Day>14</b:Day>
    <b:RefOrder>47</b:RefOrder>
  </b:Source>
  <b:Source>
    <b:Tag>Con13</b:Tag>
    <b:SourceType>InternetSite</b:SourceType>
    <b:Guid>{630836E8-2C40-46EB-9BE7-F6BA503F96A6}</b:Guid>
    <b:Author>
      <b:Author>
        <b:Corporate>Consorcio Ecuatoriano de Exportadores de Quinua</b:Corporate>
      </b:Author>
    </b:Author>
    <b:Title>Empresas del Consorcio</b:Title>
    <b:Year>2013</b:Year>
    <b:InternetSiteTitle>Consorcio Ecuatoriano de Exportadores de Quinua</b:InternetSiteTitle>
    <b:URL>http://quinoaecuador.com/?page_id=55</b:URL>
    <b:RefOrder>50</b:RefOrder>
  </b:Source>
  <b:Source>
    <b:Tag>Foo13</b:Tag>
    <b:SourceType>InternetSite</b:SourceType>
    <b:Guid>{805B7730-0F51-47E7-901B-03E5268FF2C4}</b:Guid>
    <b:Author>
      <b:Author>
        <b:Corporate>Food and Agriculture Organization</b:Corporate>
      </b:Author>
    </b:Author>
    <b:Title>Usos de la Quinua</b:Title>
    <b:InternetSiteTitle>Quinua 2013 Año Internacional</b:InternetSiteTitle>
    <b:Year>2013</b:Year>
    <b:URL>http://www.fao.org/quinoa-2013/what-is-quinoa/use/es/</b:URL>
    <b:RefOrder>48</b:RefOrder>
  </b:Source>
  <b:Source>
    <b:Tag>Ban153</b:Tag>
    <b:SourceType>InternetSite</b:SourceType>
    <b:Guid>{113653BD-3157-4068-A12B-13695862C46C}</b:Guid>
    <b:Author>
      <b:Author>
        <b:Corporate>Banco Nacional de Fomento</b:Corporate>
      </b:Author>
    </b:Author>
    <b:Title>Chimborazo: productores de quinua reciben crédito por 300 mil dólares</b:Title>
    <b:InternetSiteTitle>Banco Nacional de Fomento</b:InternetSiteTitle>
    <b:Year>2015</b:Year>
    <b:Month>Enero</b:Month>
    <b:Day>07</b:Day>
    <b:URL>https://www.bnf.fin.ec/index.php?option=com_content&amp;view=article&amp;id=541%3A671-productores-de-quinua-se-benefician-cpn-credito-asociativo-en-chimborazo&amp;catid=27%3Anoticias-principales&amp;lang=es</b:URL>
    <b:RefOrder>66</b:RefOrder>
  </b:Source>
  <b:Source>
    <b:Tag>Min141</b:Tag>
    <b:SourceType>InternetSite</b:SourceType>
    <b:Guid>{84F5FD3A-EA8E-4ACD-B7FB-7E0FF72BA22F}</b:Guid>
    <b:Author>
      <b:Author>
        <b:Corporate>Ministerio de Agricultura, Ganadería, Acuacultura y Pesca</b:Corporate>
      </b:Author>
    </b:Author>
    <b:Title>MAGAP entregó maquinaria agrícola a productores de Cayambe y Pedro Moncayo</b:Title>
    <b:InternetSiteTitle>Ministerio de Agricultura, Ganadería, Acuacultura y Pesca</b:InternetSiteTitle>
    <b:Year>2014</b:Year>
    <b:URL>http://www.agricultura.gob.ec/magap-entrego-maquinaria-agricola-a-productores-de-cayambe-y-pedro-moncayo/</b:URL>
    <b:RefOrder>45</b:RefOrder>
  </b:Source>
  <b:Source>
    <b:Tag>Ort13</b:Tag>
    <b:SourceType>JournalArticle</b:SourceType>
    <b:Guid>{B18D7DBE-7030-4604-83BB-7C7ACED6DCC8}</b:Guid>
    <b:Author>
      <b:Author>
        <b:NameList>
          <b:Person>
            <b:Last>Ortega</b:Last>
            <b:First>Glenda</b:First>
          </b:Person>
        </b:NameList>
      </b:Author>
    </b:Author>
    <b:Title>La quinua, el grano de oro ecuatoriano</b:Title>
    <b:Year>2013</b:Year>
    <b:JournalName>América Economía</b:JournalName>
    <b:RefOrder>70</b:RefOrder>
  </b:Source>
  <b:Source>
    <b:Tag>Baz14</b:Tag>
    <b:SourceType>Book</b:SourceType>
    <b:Guid>{32277A6A-418D-4C83-90A7-214958442377}</b:Guid>
    <b:Author>
      <b:Author>
        <b:NameList>
          <b:Person>
            <b:Last>Bazile</b:Last>
            <b:First>Didier</b:First>
          </b:Person>
          <b:Person>
            <b:Last>Bertero</b:Last>
            <b:First>Daniel</b:First>
          </b:Person>
          <b:Person>
            <b:Last>Nieto</b:Last>
            <b:First>Carlos</b:First>
          </b:Person>
        </b:NameList>
      </b:Author>
    </b:Author>
    <b:Title>Estado del Arte de la Quinua en el Mundo en 2013</b:Title>
    <b:JournalName>Estado del Arte de la Quinua en el Mundo en 2013</b:JournalName>
    <b:Year>2014</b:Year>
    <b:City>Santiago de Chile</b:City>
    <b:Publisher>FAO</b:Publisher>
    <b:RefOrder>33</b:RefOrder>
  </b:Source>
  <b:Source>
    <b:Tag>Inv16</b:Tag>
    <b:SourceType>InternetSite</b:SourceType>
    <b:Guid>{72987990-DCAA-4374-B17D-BC04002C659C}</b:Guid>
    <b:Title>EUR/USD</b:Title>
    <b:Year>2016</b:Year>
    <b:Author>
      <b:Author>
        <b:Corporate>Investing.com</b:Corporate>
      </b:Author>
    </b:Author>
    <b:InternetSiteTitle>Investing.com</b:InternetSiteTitle>
    <b:Month>Febrero</b:Month>
    <b:Day>20</b:Day>
    <b:URL>http://es.investing.com/currencies/eur-usd</b:URL>
    <b:YearAccessed>2016</b:YearAccessed>
    <b:MonthAccessed>Febrero</b:MonthAccessed>
    <b:DayAccessed>20</b:DayAccessed>
    <b:RefOrder>86</b:RefOrder>
  </b:Source>
  <b:Source>
    <b:Tag>Ban16</b:Tag>
    <b:SourceType>InternetSite</b:SourceType>
    <b:Guid>{E714348E-F8C2-4851-BCA1-D48937D38055}</b:Guid>
    <b:Author>
      <b:Author>
        <b:Corporate>Banco Central de Bolivia</b:Corporate>
      </b:Author>
    </b:Author>
    <b:Title>Información Económica</b:Title>
    <b:InternetSiteTitle>Banco Central de Bolivia</b:InternetSiteTitle>
    <b:Year>2016</b:Year>
    <b:URL>https://www.bcb.gob.bo/?q=estad-sticas-semanales</b:URL>
    <b:RefOrder>53</b:RefOrder>
  </b:Source>
  <b:Source>
    <b:Tag>Ban151</b:Tag>
    <b:SourceType>InternetSite</b:SourceType>
    <b:Guid>{F4E61B5E-4259-452A-8814-F2C83B3C538D}</b:Guid>
    <b:Title>CONSULTA DE TOTALES POR NANDINA - PAIS</b:Title>
    <b:InternetSiteTitle>Banco Central del Ecuador</b:InternetSiteTitle>
    <b:Year>2016</b:Year>
    <b:Month>Enero</b:Month>
    <b:URL>http://www.bce.fin.ec/comercioExterior/comercio/consultaTotXNandinaPaisConGrafico.jsp</b:URL>
    <b:Author>
      <b:Author>
        <b:Corporate>Banco Central del Ecuador</b:Corporate>
      </b:Author>
    </b:Author>
    <b:YearAccessed>2015</b:YearAccessed>
    <b:MonthAccessed>Diciembre</b:MonthAccessed>
    <b:DayAccessed>15</b:DayAccessed>
    <b:RefOrder>52</b:RefOrder>
  </b:Source>
  <b:Source>
    <b:Tag>Cer15</b:Tag>
    <b:SourceType>InternetSite</b:SourceType>
    <b:Guid>{03382351-5D2F-4D84-BCE6-599EE90B3BD1}</b:Guid>
    <b:Author>
      <b:Author>
        <b:Corporate>Cereales Andinos</b:Corporate>
      </b:Author>
    </b:Author>
    <b:Title>Acerca de Nosotros</b:Title>
    <b:InternetSiteTitle>Cereales Andinos</b:InternetSiteTitle>
    <b:Year>2015</b:Year>
    <b:URL>http://www.cerealesandinos.com/?page_id=21573&amp;lang=es</b:URL>
    <b:YearAccessed>2016</b:YearAccessed>
    <b:MonthAccessed>Enero</b:MonthAccessed>
    <b:DayAccessed>13</b:DayAccessed>
    <b:RefOrder>74</b:RefOrder>
  </b:Source>
  <b:Source>
    <b:Tag>Tap15</b:Tag>
    <b:SourceType>Interview</b:SourceType>
    <b:Guid>{3BA047C4-E0F5-4483-B116-17EFFB383424}</b:Guid>
    <b:Title>Acerca de Cereales Andinos</b:Title>
    <b:Year>2015</b:Year>
    <b:Month>Agosto</b:Month>
    <b:Day>19</b:Day>
    <b:Author>
      <b:Interviewee>
        <b:NameList>
          <b:Person>
            <b:Last>Tapia</b:Last>
            <b:First>Guillermo</b:First>
          </b:Person>
        </b:NameList>
      </b:Interviewee>
      <b:Interviewer>
        <b:NameList>
          <b:Person>
            <b:Last>Benavides</b:Last>
            <b:First>Sofia</b:First>
          </b:Person>
        </b:NameList>
      </b:Interviewer>
    </b:Author>
    <b:RefOrder>69</b:RefOrder>
  </b:Source>
  <b:Source>
    <b:Tag>Sup16</b:Tag>
    <b:SourceType>InternetSite</b:SourceType>
    <b:Guid>{D86CD3D9-9493-445F-9E76-954C45B9902A}</b:Guid>
    <b:Title>Portal de Documentos</b:Title>
    <b:Year>2016</b:Year>
    <b:Month>Febrero</b:Month>
    <b:Day>16</b:Day>
    <b:InternetSiteTitle>Superintendencia de Compañías, Valores y Seguros</b:InternetSiteTitle>
    <b:URL>http://appscvs.supercias.gob.ec/portaldedocumentos/consulta_cia_param.zul</b:URL>
    <b:Author>
      <b:Author>
        <b:Corporate>Superintendencia de Compañías, Valores y Seguros</b:Corporate>
      </b:Author>
    </b:Author>
    <b:RefOrder>75</b:RefOrder>
  </b:Source>
</b:Sources>
</file>

<file path=customXml/itemProps1.xml><?xml version="1.0" encoding="utf-8"?>
<ds:datastoreItem xmlns:ds="http://schemas.openxmlformats.org/officeDocument/2006/customXml" ds:itemID="{234FE8CC-86A6-4EC6-AA6C-CF940E22A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24146</Words>
  <Characters>132804</Characters>
  <Application>Microsoft Office Word</Application>
  <DocSecurity>0</DocSecurity>
  <Lines>1106</Lines>
  <Paragraphs>313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IBM Corporation</Company>
  <LinksUpToDate>false</LinksUpToDate>
  <CharactersWithSpaces>156637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Sofia Benavides</cp:lastModifiedBy>
  <cp:revision>4</cp:revision>
  <cp:lastPrinted>2016-03-31T06:42:00Z</cp:lastPrinted>
  <dcterms:created xsi:type="dcterms:W3CDTF">2016-03-31T06:41:00Z</dcterms:created>
  <dcterms:modified xsi:type="dcterms:W3CDTF">2016-03-31T06:43:00Z</dcterms:modified>
</cp:coreProperties>
</file>