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word/diagrams/quickStyle1.xml" ContentType="application/vnd.openxmlformats-officedocument.drawingml.diagramStyle+xml"/>
  <Override PartName="/word/charts/chart10.xml" ContentType="application/vnd.openxmlformats-officedocument.drawingml.chart+xml"/>
  <Override PartName="/customXml/itemProps1.xml" ContentType="application/vnd.openxmlformats-officedocument.customXmlProperties+xml"/>
  <Override PartName="/word/diagrams/data1.xml" ContentType="application/vnd.openxmlformats-officedocument.drawingml.diagramData+xml"/>
  <Default Extension="jpeg" ContentType="image/jpeg"/>
  <Override PartName="/word/diagrams/colors1.xml" ContentType="application/vnd.openxmlformats-officedocument.drawingml.diagramColor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charts/chart8.xml" ContentType="application/vnd.openxmlformats-officedocument.drawingml.chart+xml"/>
  <Override PartName="/word/charts/chart9.xml" ContentType="application/vnd.openxmlformats-officedocument.drawingml.chart+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word/charts/chart6.xml" ContentType="application/vnd.openxmlformats-officedocument.drawingml.chart+xml"/>
  <Override PartName="/word/charts/chart7.xml" ContentType="application/vnd.openxmlformats-officedocument.drawingml.chart+xml"/>
  <Override PartName="/word/drawings/drawing1.xml" ContentType="application/vnd.openxmlformats-officedocument.drawingml.chartshapes+xml"/>
  <Override PartName="/word/diagrams/drawing1.xml" ContentType="application/vnd.ms-office.drawingml.diagramDrawing+xml"/>
  <Override PartName="/word/footer1.xml" ContentType="application/vnd.openxmlformats-officedocument.wordprocessingml.footer+xml"/>
  <Override PartName="/word/charts/chart4.xml" ContentType="application/vnd.openxmlformats-officedocument.drawingml.chart+xml"/>
  <Override PartName="/word/charts/chart5.xml" ContentType="application/vnd.openxmlformats-officedocument.drawingml.chart+xml"/>
  <Override PartName="/word/theme/theme1.xml" ContentType="application/vnd.openxmlformats-officedocument.theme+xml"/>
  <Override PartName="/word/charts/chart2.xml" ContentType="application/vnd.openxmlformats-officedocument.drawingml.chart+xml"/>
  <Override PartName="/word/charts/chart3.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diagrams/layout1.xml" ContentType="application/vnd.openxmlformats-officedocument.drawingml.diagramLayout+xml"/>
  <Override PartName="/word/charts/chart1.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66191" w:rsidRPr="004D6466" w:rsidRDefault="00A66191" w:rsidP="00A66191">
      <w:pPr>
        <w:jc w:val="center"/>
        <w:rPr>
          <w:sz w:val="40"/>
          <w:szCs w:val="40"/>
        </w:rPr>
      </w:pPr>
      <w:r w:rsidRPr="004D6466">
        <w:rPr>
          <w:noProof/>
          <w:sz w:val="48"/>
          <w:szCs w:val="48"/>
        </w:rPr>
        <w:drawing>
          <wp:inline distT="0" distB="0" distL="0" distR="0">
            <wp:extent cx="2533650" cy="1781175"/>
            <wp:effectExtent l="19050" t="0" r="0" b="0"/>
            <wp:docPr id="7" name="Imagen 3" descr="hemisferio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emisferios1"/>
                    <pic:cNvPicPr>
                      <a:picLocks noChangeAspect="1" noChangeArrowheads="1"/>
                    </pic:cNvPicPr>
                  </pic:nvPicPr>
                  <pic:blipFill>
                    <a:blip r:embed="rId8" cstate="print"/>
                    <a:srcRect l="13950" r="12059" b="8858"/>
                    <a:stretch>
                      <a:fillRect/>
                    </a:stretch>
                  </pic:blipFill>
                  <pic:spPr bwMode="auto">
                    <a:xfrm>
                      <a:off x="0" y="0"/>
                      <a:ext cx="2533650" cy="1781175"/>
                    </a:xfrm>
                    <a:prstGeom prst="rect">
                      <a:avLst/>
                    </a:prstGeom>
                    <a:noFill/>
                    <a:ln w="9525">
                      <a:noFill/>
                      <a:miter lim="800000"/>
                      <a:headEnd/>
                      <a:tailEnd/>
                    </a:ln>
                  </pic:spPr>
                </pic:pic>
              </a:graphicData>
            </a:graphic>
          </wp:inline>
        </w:drawing>
      </w:r>
    </w:p>
    <w:p w:rsidR="00A66191" w:rsidRPr="004D6466" w:rsidRDefault="00A66191" w:rsidP="00A66191">
      <w:pPr>
        <w:jc w:val="center"/>
        <w:rPr>
          <w:b/>
          <w:sz w:val="36"/>
          <w:szCs w:val="36"/>
        </w:rPr>
      </w:pPr>
    </w:p>
    <w:p w:rsidR="00A66191" w:rsidRPr="004D6466" w:rsidRDefault="00A66191" w:rsidP="00A66191">
      <w:pPr>
        <w:jc w:val="center"/>
        <w:rPr>
          <w:rFonts w:ascii="Arial" w:hAnsi="Arial" w:cs="Arial"/>
          <w:b/>
          <w:sz w:val="28"/>
          <w:szCs w:val="28"/>
        </w:rPr>
      </w:pPr>
      <w:r w:rsidRPr="004D6466">
        <w:rPr>
          <w:rFonts w:ascii="Arial" w:hAnsi="Arial" w:cs="Arial"/>
          <w:b/>
          <w:sz w:val="28"/>
          <w:szCs w:val="28"/>
        </w:rPr>
        <w:t>FACULTAD DE CIENCIAS JURÍDICAS Y POLÍTICAS</w:t>
      </w:r>
    </w:p>
    <w:p w:rsidR="00A66191" w:rsidRPr="004D6466" w:rsidRDefault="00A66191" w:rsidP="00A66191">
      <w:pPr>
        <w:rPr>
          <w:rFonts w:ascii="Arial" w:hAnsi="Arial" w:cs="Arial"/>
          <w:b/>
          <w:sz w:val="28"/>
          <w:szCs w:val="28"/>
        </w:rPr>
      </w:pPr>
    </w:p>
    <w:p w:rsidR="00A66191" w:rsidRPr="004D6466" w:rsidRDefault="00A66191" w:rsidP="00A66191">
      <w:pPr>
        <w:jc w:val="center"/>
        <w:rPr>
          <w:rFonts w:ascii="Arial" w:hAnsi="Arial" w:cs="Arial"/>
          <w:b/>
          <w:sz w:val="28"/>
          <w:szCs w:val="28"/>
        </w:rPr>
      </w:pPr>
      <w:r w:rsidRPr="004D6466">
        <w:rPr>
          <w:rFonts w:ascii="Arial" w:hAnsi="Arial" w:cs="Arial"/>
          <w:b/>
          <w:sz w:val="28"/>
          <w:szCs w:val="28"/>
        </w:rPr>
        <w:t xml:space="preserve">TEMA: “MODELO DE DESARROLLO - POLÍTICAS DE ESTADO DE REDISTRIBUCIÓN DE RENTA Y RIQUEZA DE BRASIL, VENTAJAS Y DESVENTAJAS Y APLICABILIDAD AL MODELO DE DESARROLLO ECUATORIANO” </w:t>
      </w:r>
    </w:p>
    <w:p w:rsidR="00A66191" w:rsidRPr="004D6466" w:rsidRDefault="00A66191" w:rsidP="00A66191">
      <w:pPr>
        <w:jc w:val="center"/>
        <w:rPr>
          <w:rFonts w:ascii="Arial" w:hAnsi="Arial" w:cs="Arial"/>
          <w:b/>
          <w:sz w:val="28"/>
          <w:szCs w:val="28"/>
        </w:rPr>
      </w:pPr>
    </w:p>
    <w:p w:rsidR="00A66191" w:rsidRPr="004D6466" w:rsidRDefault="00A66191" w:rsidP="00A66191">
      <w:pPr>
        <w:jc w:val="center"/>
        <w:rPr>
          <w:rFonts w:ascii="Arial" w:hAnsi="Arial" w:cs="Arial"/>
          <w:b/>
          <w:sz w:val="28"/>
          <w:szCs w:val="28"/>
        </w:rPr>
      </w:pPr>
    </w:p>
    <w:p w:rsidR="00A66191" w:rsidRPr="004D6466" w:rsidRDefault="00A66191" w:rsidP="00A66191">
      <w:pPr>
        <w:jc w:val="center"/>
        <w:rPr>
          <w:rFonts w:ascii="Arial" w:hAnsi="Arial" w:cs="Arial"/>
          <w:b/>
          <w:sz w:val="28"/>
          <w:szCs w:val="28"/>
        </w:rPr>
      </w:pPr>
      <w:r w:rsidRPr="004D6466">
        <w:rPr>
          <w:rFonts w:ascii="Arial" w:hAnsi="Arial" w:cs="Arial"/>
          <w:b/>
          <w:sz w:val="28"/>
          <w:szCs w:val="28"/>
        </w:rPr>
        <w:t>TESIS PREVIA A LA OBTENCIÓN DEL TÍTULO DE LICENCIADA EN CIENCIAS POLÍTICAS</w:t>
      </w:r>
    </w:p>
    <w:p w:rsidR="00A66191" w:rsidRPr="004D6466" w:rsidRDefault="00A66191" w:rsidP="00A66191">
      <w:pPr>
        <w:rPr>
          <w:rFonts w:ascii="Arial" w:hAnsi="Arial" w:cs="Arial"/>
          <w:b/>
          <w:sz w:val="28"/>
          <w:szCs w:val="28"/>
        </w:rPr>
      </w:pPr>
    </w:p>
    <w:p w:rsidR="00A66191" w:rsidRPr="004D6466" w:rsidRDefault="00A66191" w:rsidP="00A66191">
      <w:pPr>
        <w:jc w:val="center"/>
        <w:rPr>
          <w:rFonts w:ascii="Arial" w:hAnsi="Arial" w:cs="Arial"/>
          <w:b/>
          <w:sz w:val="28"/>
          <w:szCs w:val="28"/>
        </w:rPr>
      </w:pPr>
    </w:p>
    <w:p w:rsidR="00A66191" w:rsidRPr="004D6466" w:rsidRDefault="00A66191" w:rsidP="00A66191">
      <w:pPr>
        <w:jc w:val="center"/>
        <w:rPr>
          <w:rFonts w:ascii="Arial" w:hAnsi="Arial" w:cs="Arial"/>
          <w:b/>
          <w:sz w:val="28"/>
          <w:szCs w:val="28"/>
        </w:rPr>
      </w:pPr>
      <w:r w:rsidRPr="004D6466">
        <w:rPr>
          <w:rFonts w:ascii="Arial" w:hAnsi="Arial" w:cs="Arial"/>
          <w:b/>
          <w:sz w:val="28"/>
          <w:szCs w:val="28"/>
        </w:rPr>
        <w:t>AUTORA: PONCE VARGAS MARÍA JOSÉ</w:t>
      </w:r>
    </w:p>
    <w:p w:rsidR="00A66191" w:rsidRPr="004D6466" w:rsidRDefault="00A66191" w:rsidP="00A66191">
      <w:pPr>
        <w:jc w:val="center"/>
        <w:rPr>
          <w:rFonts w:ascii="Arial" w:hAnsi="Arial" w:cs="Arial"/>
          <w:b/>
          <w:sz w:val="28"/>
          <w:szCs w:val="28"/>
        </w:rPr>
      </w:pPr>
    </w:p>
    <w:p w:rsidR="00A66191" w:rsidRPr="004D6466" w:rsidRDefault="00A66191" w:rsidP="00A66191">
      <w:pPr>
        <w:jc w:val="center"/>
        <w:rPr>
          <w:rFonts w:ascii="Arial" w:hAnsi="Arial" w:cs="Arial"/>
          <w:b/>
          <w:sz w:val="28"/>
          <w:szCs w:val="28"/>
        </w:rPr>
      </w:pPr>
      <w:r w:rsidRPr="004D6466">
        <w:rPr>
          <w:rFonts w:ascii="Arial" w:hAnsi="Arial" w:cs="Arial"/>
          <w:b/>
          <w:sz w:val="28"/>
          <w:szCs w:val="28"/>
        </w:rPr>
        <w:t>DIRECTOR:</w:t>
      </w:r>
    </w:p>
    <w:p w:rsidR="00A66191" w:rsidRPr="004D6466" w:rsidRDefault="00A66191" w:rsidP="00A66191">
      <w:pPr>
        <w:jc w:val="center"/>
        <w:rPr>
          <w:rFonts w:ascii="Arial" w:hAnsi="Arial" w:cs="Arial"/>
          <w:b/>
          <w:sz w:val="28"/>
          <w:szCs w:val="28"/>
        </w:rPr>
      </w:pPr>
      <w:r w:rsidRPr="004D6466">
        <w:rPr>
          <w:rFonts w:ascii="Arial" w:hAnsi="Arial" w:cs="Arial"/>
          <w:b/>
          <w:sz w:val="28"/>
          <w:szCs w:val="28"/>
        </w:rPr>
        <w:t>M.s.C. JOSÉ ANTONIO BAQUERO RIVADENEIRA</w:t>
      </w:r>
    </w:p>
    <w:p w:rsidR="00A66191" w:rsidRPr="004D6466" w:rsidRDefault="00A66191" w:rsidP="00A66191">
      <w:pPr>
        <w:jc w:val="center"/>
        <w:rPr>
          <w:rFonts w:ascii="Arial" w:hAnsi="Arial" w:cs="Arial"/>
          <w:b/>
          <w:sz w:val="28"/>
          <w:szCs w:val="28"/>
        </w:rPr>
      </w:pPr>
    </w:p>
    <w:p w:rsidR="00A66191" w:rsidRPr="004D6466" w:rsidRDefault="00A66191" w:rsidP="00A66191">
      <w:pPr>
        <w:jc w:val="center"/>
        <w:rPr>
          <w:rFonts w:ascii="Arial" w:hAnsi="Arial" w:cs="Arial"/>
          <w:b/>
          <w:sz w:val="28"/>
          <w:szCs w:val="28"/>
        </w:rPr>
      </w:pPr>
    </w:p>
    <w:p w:rsidR="004D6466" w:rsidRPr="004D6466" w:rsidRDefault="00A66191" w:rsidP="004D6466">
      <w:pPr>
        <w:jc w:val="center"/>
        <w:rPr>
          <w:rFonts w:ascii="Arial" w:hAnsi="Arial" w:cs="Arial"/>
          <w:b/>
          <w:sz w:val="28"/>
          <w:szCs w:val="28"/>
        </w:rPr>
      </w:pPr>
      <w:r w:rsidRPr="004D6466">
        <w:rPr>
          <w:rFonts w:ascii="Arial" w:hAnsi="Arial" w:cs="Arial"/>
          <w:b/>
          <w:sz w:val="28"/>
          <w:szCs w:val="28"/>
        </w:rPr>
        <w:t>Quito, 2012-2013</w:t>
      </w:r>
    </w:p>
    <w:p w:rsidR="00A66191" w:rsidRPr="004D6466" w:rsidRDefault="00A66191" w:rsidP="00A66191">
      <w:pPr>
        <w:jc w:val="center"/>
        <w:rPr>
          <w:rFonts w:ascii="Arial" w:hAnsi="Arial" w:cs="Arial"/>
          <w:b/>
          <w:sz w:val="24"/>
          <w:szCs w:val="24"/>
        </w:rPr>
      </w:pPr>
    </w:p>
    <w:p w:rsidR="00A66191" w:rsidRPr="004D6466" w:rsidRDefault="00A66191" w:rsidP="00A66191">
      <w:pPr>
        <w:jc w:val="right"/>
        <w:rPr>
          <w:rFonts w:ascii="Arial" w:hAnsi="Arial" w:cs="Arial"/>
          <w:b/>
          <w:sz w:val="24"/>
          <w:szCs w:val="24"/>
        </w:rPr>
      </w:pPr>
    </w:p>
    <w:p w:rsidR="00A66191" w:rsidRPr="004D6466" w:rsidRDefault="00A66191" w:rsidP="00A66191">
      <w:pPr>
        <w:jc w:val="right"/>
        <w:rPr>
          <w:rFonts w:ascii="Arial" w:hAnsi="Arial" w:cs="Arial"/>
          <w:b/>
          <w:sz w:val="24"/>
          <w:szCs w:val="24"/>
        </w:rPr>
      </w:pPr>
    </w:p>
    <w:p w:rsidR="00A66191" w:rsidRPr="004D6466" w:rsidRDefault="00A66191" w:rsidP="00A66191">
      <w:pPr>
        <w:jc w:val="right"/>
        <w:rPr>
          <w:rFonts w:ascii="Arial" w:hAnsi="Arial" w:cs="Arial"/>
          <w:b/>
          <w:sz w:val="24"/>
          <w:szCs w:val="24"/>
        </w:rPr>
      </w:pPr>
    </w:p>
    <w:p w:rsidR="00A66191" w:rsidRPr="004D6466" w:rsidRDefault="00A66191" w:rsidP="00A66191">
      <w:pPr>
        <w:jc w:val="right"/>
        <w:rPr>
          <w:rFonts w:ascii="Arial" w:hAnsi="Arial" w:cs="Arial"/>
          <w:b/>
          <w:sz w:val="24"/>
          <w:szCs w:val="24"/>
        </w:rPr>
      </w:pPr>
    </w:p>
    <w:p w:rsidR="00A66191" w:rsidRPr="004D6466" w:rsidRDefault="00A66191" w:rsidP="00A66191">
      <w:pPr>
        <w:jc w:val="right"/>
        <w:rPr>
          <w:rFonts w:ascii="Arial" w:hAnsi="Arial" w:cs="Arial"/>
          <w:b/>
          <w:sz w:val="24"/>
          <w:szCs w:val="24"/>
        </w:rPr>
      </w:pPr>
    </w:p>
    <w:p w:rsidR="00A66191" w:rsidRPr="004D6466" w:rsidRDefault="00A66191" w:rsidP="00A66191">
      <w:pPr>
        <w:jc w:val="right"/>
        <w:rPr>
          <w:rFonts w:ascii="Arial" w:hAnsi="Arial" w:cs="Arial"/>
          <w:b/>
          <w:sz w:val="24"/>
          <w:szCs w:val="24"/>
        </w:rPr>
      </w:pPr>
    </w:p>
    <w:p w:rsidR="00A66191" w:rsidRPr="004D6466" w:rsidRDefault="00A66191" w:rsidP="00A66191">
      <w:pPr>
        <w:jc w:val="right"/>
        <w:rPr>
          <w:rFonts w:ascii="Arial" w:hAnsi="Arial" w:cs="Arial"/>
          <w:b/>
          <w:sz w:val="24"/>
          <w:szCs w:val="24"/>
        </w:rPr>
      </w:pPr>
    </w:p>
    <w:p w:rsidR="00A66191" w:rsidRPr="004D6466" w:rsidRDefault="00A66191" w:rsidP="00A66191">
      <w:pPr>
        <w:jc w:val="right"/>
        <w:rPr>
          <w:rFonts w:ascii="Arial" w:hAnsi="Arial" w:cs="Arial"/>
          <w:b/>
          <w:sz w:val="24"/>
          <w:szCs w:val="24"/>
        </w:rPr>
      </w:pPr>
    </w:p>
    <w:p w:rsidR="00A66191" w:rsidRPr="004D6466" w:rsidRDefault="00A66191" w:rsidP="00A66191">
      <w:pPr>
        <w:jc w:val="right"/>
        <w:rPr>
          <w:rFonts w:ascii="Arial" w:hAnsi="Arial" w:cs="Arial"/>
          <w:b/>
          <w:sz w:val="24"/>
          <w:szCs w:val="24"/>
        </w:rPr>
      </w:pPr>
      <w:r w:rsidRPr="004D6466">
        <w:rPr>
          <w:rFonts w:ascii="Arial" w:hAnsi="Arial" w:cs="Arial"/>
          <w:b/>
          <w:sz w:val="24"/>
          <w:szCs w:val="24"/>
        </w:rPr>
        <w:t xml:space="preserve">Dedicatoria </w:t>
      </w:r>
    </w:p>
    <w:p w:rsidR="00A66191" w:rsidRPr="004D6466" w:rsidRDefault="00A66191" w:rsidP="00A66191">
      <w:pPr>
        <w:jc w:val="right"/>
        <w:rPr>
          <w:rFonts w:ascii="Arial" w:hAnsi="Arial" w:cs="Arial"/>
          <w:sz w:val="24"/>
          <w:szCs w:val="24"/>
        </w:rPr>
      </w:pPr>
    </w:p>
    <w:p w:rsidR="00A66191" w:rsidRPr="004D6466" w:rsidRDefault="00A66191" w:rsidP="00A66191">
      <w:pPr>
        <w:pStyle w:val="Sinespaciado"/>
        <w:jc w:val="both"/>
        <w:rPr>
          <w:rFonts w:ascii="Arial" w:hAnsi="Arial" w:cs="Arial"/>
          <w:i/>
          <w:sz w:val="24"/>
          <w:szCs w:val="24"/>
        </w:rPr>
      </w:pPr>
      <w:r w:rsidRPr="004D6466">
        <w:rPr>
          <w:rFonts w:ascii="Arial" w:hAnsi="Arial" w:cs="Arial"/>
          <w:i/>
          <w:sz w:val="24"/>
          <w:szCs w:val="24"/>
        </w:rPr>
        <w:t>A mi madre que no me deja vencer, a pesar de la adversidad, y me motiva a luchar por mis sueños. Infinitas gracias por no dejarme sola en los momentos más duros de mi vida.</w:t>
      </w:r>
    </w:p>
    <w:p w:rsidR="00A66191" w:rsidRPr="004D6466" w:rsidRDefault="00A66191" w:rsidP="00A66191">
      <w:pPr>
        <w:pStyle w:val="Sinespaciado"/>
        <w:jc w:val="right"/>
        <w:rPr>
          <w:rFonts w:ascii="Arial" w:hAnsi="Arial" w:cs="Arial"/>
          <w:sz w:val="24"/>
          <w:szCs w:val="24"/>
        </w:rPr>
      </w:pPr>
    </w:p>
    <w:p w:rsidR="00A66191" w:rsidRPr="004D6466" w:rsidRDefault="00A66191" w:rsidP="00A66191">
      <w:pPr>
        <w:pStyle w:val="Sinespaciado"/>
        <w:jc w:val="right"/>
        <w:rPr>
          <w:rFonts w:ascii="Arial" w:hAnsi="Arial" w:cs="Arial"/>
          <w:sz w:val="24"/>
          <w:szCs w:val="24"/>
        </w:rPr>
      </w:pPr>
    </w:p>
    <w:p w:rsidR="00A66191" w:rsidRPr="004D6466" w:rsidRDefault="00A66191" w:rsidP="00A66191">
      <w:pPr>
        <w:rPr>
          <w:rFonts w:ascii="Arial" w:hAnsi="Arial" w:cs="Arial"/>
          <w:b/>
          <w:sz w:val="24"/>
          <w:szCs w:val="24"/>
        </w:rPr>
      </w:pPr>
      <w:r w:rsidRPr="004D6466">
        <w:rPr>
          <w:rFonts w:ascii="Arial" w:hAnsi="Arial" w:cs="Arial"/>
          <w:b/>
          <w:sz w:val="24"/>
          <w:szCs w:val="24"/>
        </w:rPr>
        <w:br w:type="page"/>
      </w:r>
    </w:p>
    <w:p w:rsidR="00A66191" w:rsidRPr="004D6466" w:rsidRDefault="00A66191" w:rsidP="00A66191">
      <w:pPr>
        <w:spacing w:line="360" w:lineRule="auto"/>
        <w:ind w:firstLine="360"/>
        <w:jc w:val="right"/>
        <w:rPr>
          <w:rFonts w:ascii="Arial" w:hAnsi="Arial" w:cs="Arial"/>
          <w:b/>
          <w:sz w:val="24"/>
          <w:szCs w:val="24"/>
        </w:rPr>
      </w:pPr>
    </w:p>
    <w:p w:rsidR="00A66191" w:rsidRPr="004D6466" w:rsidRDefault="00A66191" w:rsidP="00A66191">
      <w:pPr>
        <w:spacing w:line="360" w:lineRule="auto"/>
        <w:ind w:firstLine="360"/>
        <w:jc w:val="right"/>
        <w:rPr>
          <w:rFonts w:ascii="Arial" w:hAnsi="Arial" w:cs="Arial"/>
          <w:b/>
          <w:sz w:val="24"/>
          <w:szCs w:val="24"/>
        </w:rPr>
      </w:pPr>
    </w:p>
    <w:p w:rsidR="00A66191" w:rsidRPr="004D6466" w:rsidRDefault="00A66191" w:rsidP="00A66191">
      <w:pPr>
        <w:spacing w:line="360" w:lineRule="auto"/>
        <w:ind w:firstLine="360"/>
        <w:jc w:val="right"/>
        <w:rPr>
          <w:rFonts w:ascii="Arial" w:hAnsi="Arial" w:cs="Arial"/>
          <w:b/>
          <w:sz w:val="24"/>
          <w:szCs w:val="24"/>
        </w:rPr>
      </w:pPr>
    </w:p>
    <w:p w:rsidR="00A66191" w:rsidRPr="004D6466" w:rsidRDefault="00A66191" w:rsidP="00A66191">
      <w:pPr>
        <w:spacing w:line="360" w:lineRule="auto"/>
        <w:ind w:firstLine="360"/>
        <w:jc w:val="right"/>
        <w:rPr>
          <w:rFonts w:ascii="Arial" w:hAnsi="Arial" w:cs="Arial"/>
          <w:b/>
          <w:sz w:val="24"/>
          <w:szCs w:val="24"/>
        </w:rPr>
      </w:pPr>
    </w:p>
    <w:p w:rsidR="00A66191" w:rsidRPr="004D6466" w:rsidRDefault="00A66191" w:rsidP="00A66191">
      <w:pPr>
        <w:spacing w:line="360" w:lineRule="auto"/>
        <w:ind w:firstLine="360"/>
        <w:jc w:val="right"/>
        <w:rPr>
          <w:rFonts w:ascii="Arial" w:hAnsi="Arial" w:cs="Arial"/>
          <w:b/>
          <w:sz w:val="24"/>
          <w:szCs w:val="24"/>
        </w:rPr>
      </w:pPr>
    </w:p>
    <w:p w:rsidR="00A66191" w:rsidRPr="004D6466" w:rsidRDefault="00A66191" w:rsidP="00A66191">
      <w:pPr>
        <w:spacing w:line="360" w:lineRule="auto"/>
        <w:ind w:firstLine="360"/>
        <w:jc w:val="right"/>
        <w:rPr>
          <w:rFonts w:ascii="Arial" w:hAnsi="Arial" w:cs="Arial"/>
          <w:b/>
          <w:sz w:val="24"/>
          <w:szCs w:val="24"/>
        </w:rPr>
      </w:pPr>
    </w:p>
    <w:p w:rsidR="00A66191" w:rsidRPr="004D6466" w:rsidRDefault="00A66191" w:rsidP="00A66191">
      <w:pPr>
        <w:spacing w:line="360" w:lineRule="auto"/>
        <w:ind w:firstLine="360"/>
        <w:jc w:val="right"/>
        <w:rPr>
          <w:rFonts w:ascii="Arial" w:hAnsi="Arial" w:cs="Arial"/>
          <w:b/>
          <w:sz w:val="24"/>
          <w:szCs w:val="24"/>
        </w:rPr>
      </w:pPr>
    </w:p>
    <w:p w:rsidR="00A66191" w:rsidRPr="004D6466" w:rsidRDefault="00A66191" w:rsidP="00A66191">
      <w:pPr>
        <w:spacing w:line="360" w:lineRule="auto"/>
        <w:ind w:firstLine="360"/>
        <w:jc w:val="right"/>
        <w:rPr>
          <w:rFonts w:ascii="Arial" w:hAnsi="Arial" w:cs="Arial"/>
          <w:b/>
          <w:sz w:val="24"/>
          <w:szCs w:val="24"/>
        </w:rPr>
      </w:pPr>
      <w:r w:rsidRPr="004D6466">
        <w:rPr>
          <w:rFonts w:ascii="Arial" w:hAnsi="Arial" w:cs="Arial"/>
          <w:b/>
          <w:sz w:val="24"/>
          <w:szCs w:val="24"/>
        </w:rPr>
        <w:t>Agradecimientos</w:t>
      </w:r>
    </w:p>
    <w:p w:rsidR="00A66191" w:rsidRPr="004D6466" w:rsidRDefault="00A66191" w:rsidP="00A66191">
      <w:pPr>
        <w:pStyle w:val="Sinespaciado"/>
        <w:jc w:val="both"/>
        <w:rPr>
          <w:rFonts w:ascii="Arial" w:hAnsi="Arial" w:cs="Arial"/>
          <w:sz w:val="24"/>
          <w:szCs w:val="24"/>
        </w:rPr>
      </w:pPr>
    </w:p>
    <w:p w:rsidR="00A66191" w:rsidRPr="004D6466" w:rsidRDefault="00A66191" w:rsidP="00A66191">
      <w:pPr>
        <w:pStyle w:val="Sinespaciado"/>
        <w:jc w:val="both"/>
        <w:rPr>
          <w:rFonts w:ascii="Arial" w:hAnsi="Arial" w:cs="Arial"/>
          <w:i/>
          <w:sz w:val="24"/>
          <w:szCs w:val="24"/>
        </w:rPr>
      </w:pPr>
    </w:p>
    <w:p w:rsidR="00A66191" w:rsidRPr="004D6466" w:rsidRDefault="00A66191" w:rsidP="00A66191">
      <w:pPr>
        <w:pStyle w:val="Sinespaciado"/>
        <w:jc w:val="both"/>
        <w:rPr>
          <w:rFonts w:ascii="Arial" w:hAnsi="Arial" w:cs="Arial"/>
          <w:i/>
          <w:sz w:val="24"/>
          <w:szCs w:val="24"/>
        </w:rPr>
      </w:pPr>
      <w:r w:rsidRPr="004D6466">
        <w:rPr>
          <w:rFonts w:ascii="Arial" w:hAnsi="Arial" w:cs="Arial"/>
          <w:i/>
          <w:sz w:val="24"/>
          <w:szCs w:val="24"/>
        </w:rPr>
        <w:t>Agradezco a:</w:t>
      </w:r>
    </w:p>
    <w:p w:rsidR="00A66191" w:rsidRPr="004D6466" w:rsidRDefault="00A66191" w:rsidP="00A66191">
      <w:pPr>
        <w:pStyle w:val="Sinespaciado"/>
        <w:jc w:val="both"/>
        <w:rPr>
          <w:rFonts w:ascii="Arial" w:hAnsi="Arial" w:cs="Arial"/>
          <w:i/>
          <w:sz w:val="24"/>
          <w:szCs w:val="24"/>
        </w:rPr>
      </w:pPr>
    </w:p>
    <w:p w:rsidR="00A66191" w:rsidRPr="004D6466" w:rsidRDefault="00A66191" w:rsidP="00A66191">
      <w:pPr>
        <w:pStyle w:val="Sinespaciado"/>
        <w:jc w:val="both"/>
        <w:rPr>
          <w:rFonts w:ascii="Arial" w:hAnsi="Arial" w:cs="Arial"/>
          <w:i/>
          <w:sz w:val="24"/>
          <w:szCs w:val="24"/>
        </w:rPr>
      </w:pPr>
      <w:r w:rsidRPr="004D6466">
        <w:rPr>
          <w:rFonts w:ascii="Arial" w:hAnsi="Arial" w:cs="Arial"/>
          <w:i/>
          <w:sz w:val="24"/>
          <w:szCs w:val="24"/>
        </w:rPr>
        <w:t>Mi padre, a mi tío Galo, a mis hermanas Paulina y Alejandra por su apoyo;</w:t>
      </w:r>
    </w:p>
    <w:p w:rsidR="00A66191" w:rsidRPr="004D6466" w:rsidRDefault="00A66191" w:rsidP="00A66191">
      <w:pPr>
        <w:pStyle w:val="Sinespaciado"/>
        <w:jc w:val="both"/>
        <w:rPr>
          <w:rFonts w:ascii="Arial" w:hAnsi="Arial" w:cs="Arial"/>
          <w:i/>
          <w:sz w:val="24"/>
          <w:szCs w:val="24"/>
        </w:rPr>
      </w:pPr>
      <w:r w:rsidRPr="004D6466">
        <w:rPr>
          <w:rFonts w:ascii="Arial" w:hAnsi="Arial" w:cs="Arial"/>
          <w:i/>
          <w:sz w:val="24"/>
          <w:szCs w:val="24"/>
        </w:rPr>
        <w:t>a Dios por bendecirme con mi pequeña Sofía, razón por la que lucho sin descanso; al Magister José Antonio Baquero por su guía y apoyo constante en este proyecto; y finalmente a todas aquellas personas que estuvieron ahí para darme fuerza</w:t>
      </w:r>
      <w:r w:rsidRPr="004D6466">
        <w:rPr>
          <w:i/>
        </w:rPr>
        <w:t>.</w:t>
      </w:r>
    </w:p>
    <w:p w:rsidR="00A66191" w:rsidRPr="004D6466" w:rsidRDefault="00A66191" w:rsidP="00A66191">
      <w:pPr>
        <w:jc w:val="both"/>
        <w:rPr>
          <w:rFonts w:ascii="Arial" w:hAnsi="Arial" w:cs="Arial"/>
          <w:b/>
          <w:sz w:val="24"/>
          <w:szCs w:val="24"/>
        </w:rPr>
      </w:pPr>
      <w:r w:rsidRPr="004D6466">
        <w:rPr>
          <w:rFonts w:ascii="Arial" w:hAnsi="Arial" w:cs="Arial"/>
          <w:b/>
          <w:sz w:val="24"/>
          <w:szCs w:val="24"/>
        </w:rPr>
        <w:br w:type="page"/>
      </w:r>
    </w:p>
    <w:p w:rsidR="00A66191" w:rsidRPr="004D6466" w:rsidRDefault="00A66191" w:rsidP="00A66191">
      <w:pPr>
        <w:spacing w:line="360" w:lineRule="auto"/>
        <w:ind w:firstLine="360"/>
        <w:jc w:val="both"/>
        <w:rPr>
          <w:rFonts w:ascii="Arial" w:hAnsi="Arial" w:cs="Arial"/>
          <w:b/>
          <w:sz w:val="24"/>
          <w:szCs w:val="24"/>
        </w:rPr>
      </w:pPr>
      <w:r w:rsidRPr="004D6466">
        <w:rPr>
          <w:rFonts w:ascii="Arial" w:hAnsi="Arial" w:cs="Arial"/>
          <w:b/>
          <w:sz w:val="24"/>
          <w:szCs w:val="24"/>
        </w:rPr>
        <w:lastRenderedPageBreak/>
        <w:t>ÍNDICE</w:t>
      </w:r>
    </w:p>
    <w:p w:rsidR="00A66191" w:rsidRPr="004D6466" w:rsidRDefault="00A66191" w:rsidP="00EC6FD0">
      <w:pPr>
        <w:tabs>
          <w:tab w:val="left" w:pos="0"/>
          <w:tab w:val="right" w:leader="dot" w:pos="8789"/>
        </w:tabs>
        <w:spacing w:line="360" w:lineRule="auto"/>
        <w:jc w:val="both"/>
        <w:rPr>
          <w:rFonts w:ascii="Arial" w:hAnsi="Arial" w:cs="Arial"/>
          <w:sz w:val="24"/>
          <w:szCs w:val="24"/>
        </w:rPr>
      </w:pPr>
      <w:r w:rsidRPr="004D6466">
        <w:rPr>
          <w:rFonts w:ascii="Arial" w:hAnsi="Arial" w:cs="Arial"/>
          <w:sz w:val="24"/>
          <w:szCs w:val="24"/>
        </w:rPr>
        <w:t xml:space="preserve">Resumen o Abstract </w:t>
      </w:r>
      <w:r w:rsidR="00EC6FD0">
        <w:rPr>
          <w:rFonts w:ascii="Arial" w:hAnsi="Arial" w:cs="Arial"/>
          <w:sz w:val="24"/>
          <w:szCs w:val="24"/>
        </w:rPr>
        <w:tab/>
        <w:t>1</w:t>
      </w:r>
    </w:p>
    <w:p w:rsidR="00A66191" w:rsidRPr="004D6466" w:rsidRDefault="00A66191" w:rsidP="00EC6FD0">
      <w:pPr>
        <w:pStyle w:val="Prrafodelista"/>
        <w:numPr>
          <w:ilvl w:val="0"/>
          <w:numId w:val="1"/>
        </w:numPr>
        <w:tabs>
          <w:tab w:val="right" w:leader="dot" w:pos="8789"/>
        </w:tabs>
        <w:spacing w:line="360" w:lineRule="auto"/>
        <w:jc w:val="both"/>
        <w:rPr>
          <w:rFonts w:ascii="Arial" w:hAnsi="Arial" w:cs="Arial"/>
          <w:b/>
          <w:sz w:val="24"/>
          <w:szCs w:val="24"/>
        </w:rPr>
      </w:pPr>
      <w:r w:rsidRPr="004D6466">
        <w:rPr>
          <w:rFonts w:ascii="Arial" w:hAnsi="Arial" w:cs="Arial"/>
          <w:b/>
          <w:sz w:val="24"/>
          <w:szCs w:val="24"/>
        </w:rPr>
        <w:t>CAPÍTULO I: MODELOS DE DESARROLLO</w:t>
      </w:r>
      <w:r w:rsidR="00EC6FD0" w:rsidRPr="00EC6FD0">
        <w:rPr>
          <w:rFonts w:ascii="Arial" w:hAnsi="Arial" w:cs="Arial"/>
          <w:sz w:val="24"/>
          <w:szCs w:val="24"/>
        </w:rPr>
        <w:tab/>
      </w:r>
      <w:r w:rsidR="00EC6FD0">
        <w:rPr>
          <w:rFonts w:ascii="Arial" w:hAnsi="Arial" w:cs="Arial"/>
          <w:sz w:val="24"/>
          <w:szCs w:val="24"/>
        </w:rPr>
        <w:t>2</w:t>
      </w:r>
    </w:p>
    <w:p w:rsidR="00A66191" w:rsidRPr="004D6466" w:rsidRDefault="00A66191" w:rsidP="00EC6FD0">
      <w:pPr>
        <w:tabs>
          <w:tab w:val="right" w:leader="dot" w:pos="8789"/>
        </w:tabs>
        <w:jc w:val="both"/>
        <w:rPr>
          <w:rFonts w:ascii="Arial" w:hAnsi="Arial" w:cs="Arial"/>
          <w:sz w:val="24"/>
          <w:szCs w:val="24"/>
        </w:rPr>
      </w:pPr>
      <w:r w:rsidRPr="004D6466">
        <w:rPr>
          <w:rFonts w:ascii="Arial" w:hAnsi="Arial" w:cs="Arial"/>
          <w:sz w:val="24"/>
          <w:szCs w:val="24"/>
        </w:rPr>
        <w:t xml:space="preserve">1.1 Introducción </w:t>
      </w:r>
      <w:r w:rsidR="00EC6FD0">
        <w:rPr>
          <w:rFonts w:ascii="Arial" w:hAnsi="Arial" w:cs="Arial"/>
          <w:sz w:val="24"/>
          <w:szCs w:val="24"/>
        </w:rPr>
        <w:tab/>
        <w:t>2</w:t>
      </w:r>
    </w:p>
    <w:p w:rsidR="00A66191" w:rsidRPr="004D6466" w:rsidRDefault="00A66191" w:rsidP="00EC6FD0">
      <w:pPr>
        <w:tabs>
          <w:tab w:val="right" w:leader="dot" w:pos="8789"/>
        </w:tabs>
        <w:jc w:val="both"/>
        <w:rPr>
          <w:rFonts w:ascii="Arial" w:hAnsi="Arial" w:cs="Arial"/>
          <w:sz w:val="24"/>
          <w:szCs w:val="24"/>
        </w:rPr>
      </w:pPr>
      <w:r w:rsidRPr="004D6466">
        <w:rPr>
          <w:rFonts w:ascii="Arial" w:hAnsi="Arial" w:cs="Arial"/>
          <w:sz w:val="24"/>
          <w:szCs w:val="24"/>
        </w:rPr>
        <w:t xml:space="preserve">1.2 Objetivos </w:t>
      </w:r>
      <w:r w:rsidR="00EC6FD0">
        <w:rPr>
          <w:rFonts w:ascii="Arial" w:hAnsi="Arial" w:cs="Arial"/>
          <w:sz w:val="24"/>
          <w:szCs w:val="24"/>
        </w:rPr>
        <w:tab/>
        <w:t>4</w:t>
      </w:r>
    </w:p>
    <w:p w:rsidR="00A66191" w:rsidRPr="004D6466" w:rsidRDefault="00A66191" w:rsidP="00EC6FD0">
      <w:pPr>
        <w:tabs>
          <w:tab w:val="right" w:leader="dot" w:pos="8789"/>
        </w:tabs>
        <w:jc w:val="both"/>
        <w:rPr>
          <w:rFonts w:ascii="Arial" w:hAnsi="Arial" w:cs="Arial"/>
          <w:sz w:val="24"/>
          <w:szCs w:val="24"/>
        </w:rPr>
      </w:pPr>
      <w:r w:rsidRPr="004D6466">
        <w:rPr>
          <w:rFonts w:ascii="Arial" w:hAnsi="Arial" w:cs="Arial"/>
          <w:sz w:val="24"/>
          <w:szCs w:val="24"/>
        </w:rPr>
        <w:t>1.3 Pregunta de Inves</w:t>
      </w:r>
      <w:r w:rsidR="00EC6FD0">
        <w:rPr>
          <w:rFonts w:ascii="Arial" w:hAnsi="Arial" w:cs="Arial"/>
          <w:sz w:val="24"/>
          <w:szCs w:val="24"/>
        </w:rPr>
        <w:t xml:space="preserve">tigación </w:t>
      </w:r>
      <w:r w:rsidR="00EC6FD0">
        <w:rPr>
          <w:rFonts w:ascii="Arial" w:hAnsi="Arial" w:cs="Arial"/>
          <w:sz w:val="24"/>
          <w:szCs w:val="24"/>
        </w:rPr>
        <w:tab/>
        <w:t>5</w:t>
      </w:r>
    </w:p>
    <w:p w:rsidR="00A66191" w:rsidRPr="004D6466" w:rsidRDefault="00A66191" w:rsidP="00EC6FD0">
      <w:pPr>
        <w:tabs>
          <w:tab w:val="right" w:leader="dot" w:pos="8789"/>
        </w:tabs>
        <w:jc w:val="both"/>
        <w:rPr>
          <w:rFonts w:ascii="Arial" w:hAnsi="Arial" w:cs="Arial"/>
          <w:sz w:val="24"/>
          <w:szCs w:val="24"/>
        </w:rPr>
      </w:pPr>
      <w:r w:rsidRPr="004D6466">
        <w:rPr>
          <w:rFonts w:ascii="Arial" w:hAnsi="Arial" w:cs="Arial"/>
          <w:sz w:val="24"/>
          <w:szCs w:val="24"/>
        </w:rPr>
        <w:t>1.4 Justificación ……………………………………</w:t>
      </w:r>
      <w:r w:rsidR="00EC6FD0">
        <w:rPr>
          <w:rFonts w:ascii="Arial" w:hAnsi="Arial" w:cs="Arial"/>
          <w:sz w:val="24"/>
          <w:szCs w:val="24"/>
        </w:rPr>
        <w:t>………</w:t>
      </w:r>
      <w:r w:rsidR="007A491C">
        <w:rPr>
          <w:rFonts w:ascii="Arial" w:hAnsi="Arial" w:cs="Arial"/>
          <w:sz w:val="24"/>
          <w:szCs w:val="24"/>
        </w:rPr>
        <w:tab/>
      </w:r>
      <w:r w:rsidR="00EC6FD0">
        <w:rPr>
          <w:rFonts w:ascii="Arial" w:hAnsi="Arial" w:cs="Arial"/>
          <w:sz w:val="24"/>
          <w:szCs w:val="24"/>
        </w:rPr>
        <w:t>……………………….. 5</w:t>
      </w:r>
    </w:p>
    <w:p w:rsidR="00A66191" w:rsidRPr="004D6466" w:rsidRDefault="00A66191" w:rsidP="00EC6FD0">
      <w:pPr>
        <w:tabs>
          <w:tab w:val="right" w:leader="dot" w:pos="8789"/>
        </w:tabs>
        <w:jc w:val="both"/>
        <w:rPr>
          <w:rFonts w:ascii="Arial" w:hAnsi="Arial" w:cs="Arial"/>
          <w:sz w:val="24"/>
          <w:szCs w:val="24"/>
        </w:rPr>
      </w:pPr>
      <w:r w:rsidRPr="004D6466">
        <w:rPr>
          <w:rFonts w:ascii="Arial" w:hAnsi="Arial" w:cs="Arial"/>
          <w:sz w:val="24"/>
          <w:szCs w:val="24"/>
        </w:rPr>
        <w:t>1.5 Marco teórico/ Teorías de</w:t>
      </w:r>
      <w:r w:rsidR="00EC6FD0">
        <w:rPr>
          <w:rFonts w:ascii="Arial" w:hAnsi="Arial" w:cs="Arial"/>
          <w:sz w:val="24"/>
          <w:szCs w:val="24"/>
        </w:rPr>
        <w:t>l Desarrollo …………………</w:t>
      </w:r>
      <w:r w:rsidR="007A491C">
        <w:rPr>
          <w:rFonts w:ascii="Arial" w:hAnsi="Arial" w:cs="Arial"/>
          <w:sz w:val="24"/>
          <w:szCs w:val="24"/>
        </w:rPr>
        <w:tab/>
      </w:r>
      <w:r w:rsidR="00EC6FD0">
        <w:rPr>
          <w:rFonts w:ascii="Arial" w:hAnsi="Arial" w:cs="Arial"/>
          <w:sz w:val="24"/>
          <w:szCs w:val="24"/>
        </w:rPr>
        <w:t>…………………….. 7</w:t>
      </w:r>
    </w:p>
    <w:p w:rsidR="00A66191" w:rsidRPr="004D6466" w:rsidRDefault="00A66191" w:rsidP="00EC6FD0">
      <w:pPr>
        <w:tabs>
          <w:tab w:val="right" w:leader="dot" w:pos="8789"/>
        </w:tabs>
        <w:ind w:firstLine="708"/>
        <w:jc w:val="both"/>
        <w:rPr>
          <w:rFonts w:ascii="Arial" w:hAnsi="Arial" w:cs="Arial"/>
          <w:sz w:val="24"/>
          <w:szCs w:val="24"/>
        </w:rPr>
      </w:pPr>
      <w:r w:rsidRPr="004D6466">
        <w:rPr>
          <w:rFonts w:ascii="Arial" w:hAnsi="Arial" w:cs="Arial"/>
          <w:sz w:val="24"/>
          <w:szCs w:val="24"/>
        </w:rPr>
        <w:t xml:space="preserve">1.5.1 Desarrollo </w:t>
      </w:r>
      <w:r w:rsidR="00EC6FD0">
        <w:rPr>
          <w:rFonts w:ascii="Arial" w:hAnsi="Arial" w:cs="Arial"/>
          <w:sz w:val="24"/>
          <w:szCs w:val="24"/>
        </w:rPr>
        <w:t>económico …………………………</w:t>
      </w:r>
      <w:r w:rsidR="007A491C">
        <w:rPr>
          <w:rFonts w:ascii="Arial" w:hAnsi="Arial" w:cs="Arial"/>
          <w:sz w:val="24"/>
          <w:szCs w:val="24"/>
        </w:rPr>
        <w:tab/>
      </w:r>
      <w:r w:rsidR="00EC6FD0">
        <w:rPr>
          <w:rFonts w:ascii="Arial" w:hAnsi="Arial" w:cs="Arial"/>
          <w:sz w:val="24"/>
          <w:szCs w:val="24"/>
        </w:rPr>
        <w:t>…………………….. 7</w:t>
      </w:r>
    </w:p>
    <w:p w:rsidR="00EC6FD0" w:rsidRDefault="00A66191" w:rsidP="00EC6FD0">
      <w:pPr>
        <w:tabs>
          <w:tab w:val="right" w:leader="dot" w:pos="8789"/>
        </w:tabs>
        <w:ind w:firstLine="708"/>
        <w:jc w:val="both"/>
        <w:rPr>
          <w:rFonts w:ascii="Arial" w:hAnsi="Arial" w:cs="Arial"/>
          <w:sz w:val="24"/>
          <w:szCs w:val="24"/>
        </w:rPr>
      </w:pPr>
      <w:r w:rsidRPr="004D6466">
        <w:rPr>
          <w:rFonts w:ascii="Arial" w:hAnsi="Arial" w:cs="Arial"/>
          <w:sz w:val="24"/>
          <w:szCs w:val="24"/>
        </w:rPr>
        <w:t>1.5.2 Desarr</w:t>
      </w:r>
      <w:r w:rsidR="00EC6FD0">
        <w:rPr>
          <w:rFonts w:ascii="Arial" w:hAnsi="Arial" w:cs="Arial"/>
          <w:sz w:val="24"/>
          <w:szCs w:val="24"/>
        </w:rPr>
        <w:t>ollismo …………………………………</w:t>
      </w:r>
      <w:r w:rsidR="007A491C">
        <w:rPr>
          <w:rFonts w:ascii="Arial" w:hAnsi="Arial" w:cs="Arial"/>
          <w:sz w:val="24"/>
          <w:szCs w:val="24"/>
        </w:rPr>
        <w:tab/>
      </w:r>
      <w:r w:rsidR="00EC6FD0">
        <w:rPr>
          <w:rFonts w:ascii="Arial" w:hAnsi="Arial" w:cs="Arial"/>
          <w:sz w:val="24"/>
          <w:szCs w:val="24"/>
        </w:rPr>
        <w:t>………………………  9</w:t>
      </w:r>
    </w:p>
    <w:p w:rsidR="00A66191" w:rsidRPr="004D6466" w:rsidRDefault="00A66191" w:rsidP="00EC6FD0">
      <w:pPr>
        <w:tabs>
          <w:tab w:val="right" w:leader="dot" w:pos="8789"/>
        </w:tabs>
        <w:ind w:firstLine="708"/>
        <w:jc w:val="both"/>
        <w:rPr>
          <w:rFonts w:ascii="Arial" w:hAnsi="Arial" w:cs="Arial"/>
          <w:sz w:val="24"/>
          <w:szCs w:val="24"/>
        </w:rPr>
      </w:pPr>
      <w:r w:rsidRPr="004D6466">
        <w:rPr>
          <w:rFonts w:ascii="Arial" w:hAnsi="Arial" w:cs="Arial"/>
          <w:sz w:val="24"/>
          <w:szCs w:val="24"/>
        </w:rPr>
        <w:t>1.5.3 Liberalismo y neoliberalismo …………………</w:t>
      </w:r>
      <w:r w:rsidR="007A491C">
        <w:rPr>
          <w:rFonts w:ascii="Arial" w:hAnsi="Arial" w:cs="Arial"/>
          <w:sz w:val="24"/>
          <w:szCs w:val="24"/>
        </w:rPr>
        <w:tab/>
      </w:r>
      <w:r w:rsidRPr="004D6466">
        <w:rPr>
          <w:rFonts w:ascii="Arial" w:hAnsi="Arial" w:cs="Arial"/>
          <w:sz w:val="24"/>
          <w:szCs w:val="24"/>
        </w:rPr>
        <w:t xml:space="preserve">…………………….. </w:t>
      </w:r>
      <w:r w:rsidR="00EC6FD0">
        <w:rPr>
          <w:rFonts w:ascii="Arial" w:hAnsi="Arial" w:cs="Arial"/>
          <w:sz w:val="24"/>
          <w:szCs w:val="24"/>
        </w:rPr>
        <w:t>12</w:t>
      </w:r>
    </w:p>
    <w:p w:rsidR="00A66191" w:rsidRPr="004D6466" w:rsidRDefault="00A66191" w:rsidP="00EC6FD0">
      <w:pPr>
        <w:tabs>
          <w:tab w:val="right" w:leader="dot" w:pos="8789"/>
        </w:tabs>
        <w:ind w:firstLine="708"/>
        <w:rPr>
          <w:rFonts w:ascii="Arial" w:hAnsi="Arial" w:cs="Arial"/>
          <w:sz w:val="24"/>
          <w:szCs w:val="24"/>
        </w:rPr>
      </w:pPr>
      <w:r w:rsidRPr="004D6466">
        <w:rPr>
          <w:rFonts w:ascii="Arial" w:hAnsi="Arial" w:cs="Arial"/>
          <w:sz w:val="24"/>
          <w:szCs w:val="24"/>
        </w:rPr>
        <w:t>1.5.4 Keynesianismo</w:t>
      </w:r>
      <w:r w:rsidR="00EC6FD0">
        <w:rPr>
          <w:rFonts w:ascii="Arial" w:hAnsi="Arial" w:cs="Arial"/>
          <w:sz w:val="24"/>
          <w:szCs w:val="24"/>
        </w:rPr>
        <w:t xml:space="preserve"> …………………………………</w:t>
      </w:r>
      <w:r w:rsidR="007A491C">
        <w:rPr>
          <w:rFonts w:ascii="Arial" w:hAnsi="Arial" w:cs="Arial"/>
          <w:sz w:val="24"/>
          <w:szCs w:val="24"/>
        </w:rPr>
        <w:tab/>
      </w:r>
      <w:r w:rsidR="00EC6FD0">
        <w:rPr>
          <w:rFonts w:ascii="Arial" w:hAnsi="Arial" w:cs="Arial"/>
          <w:sz w:val="24"/>
          <w:szCs w:val="24"/>
        </w:rPr>
        <w:t>……………………. 14</w:t>
      </w:r>
    </w:p>
    <w:p w:rsidR="00A66191" w:rsidRPr="004D6466" w:rsidRDefault="00A66191" w:rsidP="00EC6FD0">
      <w:pPr>
        <w:tabs>
          <w:tab w:val="right" w:leader="dot" w:pos="8789"/>
        </w:tabs>
        <w:ind w:firstLine="708"/>
        <w:rPr>
          <w:rFonts w:ascii="Arial" w:hAnsi="Arial" w:cs="Arial"/>
          <w:sz w:val="24"/>
          <w:szCs w:val="24"/>
        </w:rPr>
      </w:pPr>
      <w:r w:rsidRPr="004D6466">
        <w:rPr>
          <w:rFonts w:ascii="Arial" w:hAnsi="Arial" w:cs="Arial"/>
          <w:sz w:val="24"/>
          <w:szCs w:val="24"/>
        </w:rPr>
        <w:t>1.5.5 Marxis</w:t>
      </w:r>
      <w:r w:rsidR="00EC6FD0">
        <w:rPr>
          <w:rFonts w:ascii="Arial" w:hAnsi="Arial" w:cs="Arial"/>
          <w:sz w:val="24"/>
          <w:szCs w:val="24"/>
        </w:rPr>
        <w:t>mo ……………………………………</w:t>
      </w:r>
      <w:r w:rsidR="007A491C">
        <w:rPr>
          <w:rFonts w:ascii="Arial" w:hAnsi="Arial" w:cs="Arial"/>
          <w:sz w:val="24"/>
          <w:szCs w:val="24"/>
        </w:rPr>
        <w:tab/>
      </w:r>
      <w:r w:rsidR="00EC6FD0">
        <w:rPr>
          <w:rFonts w:ascii="Arial" w:hAnsi="Arial" w:cs="Arial"/>
          <w:sz w:val="24"/>
          <w:szCs w:val="24"/>
        </w:rPr>
        <w:t>………………………... 15</w:t>
      </w:r>
    </w:p>
    <w:p w:rsidR="00A66191" w:rsidRPr="004D6466" w:rsidRDefault="00A66191" w:rsidP="00EC6FD0">
      <w:pPr>
        <w:tabs>
          <w:tab w:val="right" w:leader="dot" w:pos="8789"/>
        </w:tabs>
        <w:ind w:firstLine="708"/>
        <w:rPr>
          <w:rFonts w:ascii="Arial" w:hAnsi="Arial" w:cs="Arial"/>
          <w:sz w:val="24"/>
          <w:szCs w:val="24"/>
        </w:rPr>
      </w:pPr>
      <w:r w:rsidRPr="004D6466">
        <w:rPr>
          <w:rFonts w:ascii="Arial" w:hAnsi="Arial" w:cs="Arial"/>
          <w:sz w:val="24"/>
          <w:szCs w:val="24"/>
        </w:rPr>
        <w:t>1.5.6 Humani</w:t>
      </w:r>
      <w:r w:rsidR="00EC6FD0">
        <w:rPr>
          <w:rFonts w:ascii="Arial" w:hAnsi="Arial" w:cs="Arial"/>
          <w:sz w:val="24"/>
          <w:szCs w:val="24"/>
        </w:rPr>
        <w:t>smo …………………………………</w:t>
      </w:r>
      <w:r w:rsidR="007A491C">
        <w:rPr>
          <w:rFonts w:ascii="Arial" w:hAnsi="Arial" w:cs="Arial"/>
          <w:sz w:val="24"/>
          <w:szCs w:val="24"/>
        </w:rPr>
        <w:tab/>
      </w:r>
      <w:r w:rsidR="00EC6FD0">
        <w:rPr>
          <w:rFonts w:ascii="Arial" w:hAnsi="Arial" w:cs="Arial"/>
          <w:sz w:val="24"/>
          <w:szCs w:val="24"/>
        </w:rPr>
        <w:t>………………………... 16</w:t>
      </w:r>
    </w:p>
    <w:p w:rsidR="00A66191" w:rsidRPr="004D6466" w:rsidRDefault="00A66191" w:rsidP="00EC6FD0">
      <w:pPr>
        <w:tabs>
          <w:tab w:val="right" w:leader="dot" w:pos="8789"/>
        </w:tabs>
        <w:jc w:val="both"/>
        <w:rPr>
          <w:rFonts w:ascii="Arial" w:hAnsi="Arial" w:cs="Arial"/>
          <w:sz w:val="24"/>
          <w:szCs w:val="24"/>
        </w:rPr>
      </w:pPr>
      <w:r w:rsidRPr="004D6466">
        <w:rPr>
          <w:rFonts w:ascii="Arial" w:hAnsi="Arial" w:cs="Arial"/>
          <w:sz w:val="24"/>
          <w:szCs w:val="24"/>
        </w:rPr>
        <w:t xml:space="preserve">           1.5.7 Modelos de d</w:t>
      </w:r>
      <w:r w:rsidR="00EC6FD0">
        <w:rPr>
          <w:rFonts w:ascii="Arial" w:hAnsi="Arial" w:cs="Arial"/>
          <w:sz w:val="24"/>
          <w:szCs w:val="24"/>
        </w:rPr>
        <w:t>esarrollo ……………………</w:t>
      </w:r>
      <w:r w:rsidR="007A491C">
        <w:rPr>
          <w:rFonts w:ascii="Arial" w:hAnsi="Arial" w:cs="Arial"/>
          <w:sz w:val="24"/>
          <w:szCs w:val="24"/>
        </w:rPr>
        <w:tab/>
      </w:r>
      <w:r w:rsidR="00EC6FD0">
        <w:rPr>
          <w:rFonts w:ascii="Arial" w:hAnsi="Arial" w:cs="Arial"/>
          <w:sz w:val="24"/>
          <w:szCs w:val="24"/>
        </w:rPr>
        <w:t>…………………………. 16</w:t>
      </w:r>
    </w:p>
    <w:p w:rsidR="00A66191" w:rsidRPr="004D6466" w:rsidRDefault="00A66191" w:rsidP="00EC6FD0">
      <w:pPr>
        <w:tabs>
          <w:tab w:val="right" w:leader="dot" w:pos="8789"/>
        </w:tabs>
        <w:ind w:left="708" w:firstLine="708"/>
        <w:jc w:val="both"/>
        <w:rPr>
          <w:rFonts w:ascii="Arial" w:hAnsi="Arial" w:cs="Arial"/>
          <w:sz w:val="24"/>
          <w:szCs w:val="24"/>
        </w:rPr>
      </w:pPr>
      <w:r w:rsidRPr="004D6466">
        <w:rPr>
          <w:rFonts w:ascii="Arial" w:hAnsi="Arial" w:cs="Arial"/>
          <w:sz w:val="24"/>
          <w:szCs w:val="24"/>
        </w:rPr>
        <w:t>a) En</w:t>
      </w:r>
      <w:r w:rsidR="00EC6FD0">
        <w:rPr>
          <w:rFonts w:ascii="Arial" w:hAnsi="Arial" w:cs="Arial"/>
          <w:sz w:val="24"/>
          <w:szCs w:val="24"/>
        </w:rPr>
        <w:t>dógeno ………………………………</w:t>
      </w:r>
      <w:r w:rsidR="007A491C">
        <w:rPr>
          <w:rFonts w:ascii="Arial" w:hAnsi="Arial" w:cs="Arial"/>
          <w:sz w:val="24"/>
          <w:szCs w:val="24"/>
        </w:rPr>
        <w:tab/>
      </w:r>
      <w:r w:rsidR="00EC6FD0">
        <w:rPr>
          <w:rFonts w:ascii="Arial" w:hAnsi="Arial" w:cs="Arial"/>
          <w:sz w:val="24"/>
          <w:szCs w:val="24"/>
        </w:rPr>
        <w:t>………………………… 16</w:t>
      </w:r>
    </w:p>
    <w:p w:rsidR="00A66191" w:rsidRPr="004D6466" w:rsidRDefault="00A66191" w:rsidP="00EC6FD0">
      <w:pPr>
        <w:tabs>
          <w:tab w:val="right" w:leader="dot" w:pos="8789"/>
        </w:tabs>
        <w:ind w:left="708" w:firstLine="708"/>
        <w:jc w:val="both"/>
        <w:rPr>
          <w:rFonts w:ascii="Arial" w:hAnsi="Arial" w:cs="Arial"/>
          <w:sz w:val="24"/>
          <w:szCs w:val="24"/>
        </w:rPr>
      </w:pPr>
      <w:r w:rsidRPr="004D6466">
        <w:rPr>
          <w:rFonts w:ascii="Arial" w:hAnsi="Arial" w:cs="Arial"/>
          <w:sz w:val="24"/>
          <w:szCs w:val="24"/>
        </w:rPr>
        <w:t>b) Industrialización por Sustituci</w:t>
      </w:r>
      <w:r w:rsidR="00EC6FD0">
        <w:rPr>
          <w:rFonts w:ascii="Arial" w:hAnsi="Arial" w:cs="Arial"/>
          <w:sz w:val="24"/>
          <w:szCs w:val="24"/>
        </w:rPr>
        <w:t>ón de Importaciones (ISI) …</w:t>
      </w:r>
      <w:r w:rsidR="007A491C">
        <w:rPr>
          <w:rFonts w:ascii="Arial" w:hAnsi="Arial" w:cs="Arial"/>
          <w:sz w:val="24"/>
          <w:szCs w:val="24"/>
        </w:rPr>
        <w:tab/>
      </w:r>
      <w:r w:rsidR="00EC6FD0">
        <w:rPr>
          <w:rFonts w:ascii="Arial" w:hAnsi="Arial" w:cs="Arial"/>
          <w:sz w:val="24"/>
          <w:szCs w:val="24"/>
        </w:rPr>
        <w:t>…. 17</w:t>
      </w:r>
    </w:p>
    <w:p w:rsidR="00A66191" w:rsidRPr="004D6466" w:rsidRDefault="00A66191" w:rsidP="00EC6FD0">
      <w:pPr>
        <w:tabs>
          <w:tab w:val="right" w:leader="dot" w:pos="8789"/>
        </w:tabs>
        <w:ind w:left="708" w:firstLine="708"/>
        <w:jc w:val="both"/>
        <w:rPr>
          <w:rFonts w:ascii="Arial" w:hAnsi="Arial" w:cs="Arial"/>
          <w:sz w:val="24"/>
          <w:szCs w:val="24"/>
        </w:rPr>
      </w:pPr>
      <w:r w:rsidRPr="004D6466">
        <w:rPr>
          <w:rFonts w:ascii="Arial" w:hAnsi="Arial" w:cs="Arial"/>
          <w:sz w:val="24"/>
          <w:szCs w:val="24"/>
        </w:rPr>
        <w:t xml:space="preserve">c) Modelo de </w:t>
      </w:r>
      <w:r w:rsidR="00EC6FD0">
        <w:rPr>
          <w:rFonts w:ascii="Arial" w:hAnsi="Arial" w:cs="Arial"/>
          <w:sz w:val="24"/>
          <w:szCs w:val="24"/>
        </w:rPr>
        <w:t>Servicios …………………………………………</w:t>
      </w:r>
      <w:r w:rsidR="007A491C">
        <w:rPr>
          <w:rFonts w:ascii="Arial" w:hAnsi="Arial" w:cs="Arial"/>
          <w:sz w:val="24"/>
          <w:szCs w:val="24"/>
        </w:rPr>
        <w:tab/>
      </w:r>
      <w:r w:rsidR="00EC6FD0">
        <w:rPr>
          <w:rFonts w:ascii="Arial" w:hAnsi="Arial" w:cs="Arial"/>
          <w:sz w:val="24"/>
          <w:szCs w:val="24"/>
        </w:rPr>
        <w:t>….. 20</w:t>
      </w:r>
    </w:p>
    <w:p w:rsidR="00A66191" w:rsidRPr="004D6466" w:rsidRDefault="00A66191" w:rsidP="00EC6FD0">
      <w:pPr>
        <w:tabs>
          <w:tab w:val="right" w:leader="dot" w:pos="8789"/>
        </w:tabs>
        <w:ind w:left="708" w:firstLine="708"/>
        <w:rPr>
          <w:rFonts w:ascii="Arial" w:hAnsi="Arial" w:cs="Arial"/>
          <w:sz w:val="24"/>
          <w:szCs w:val="24"/>
        </w:rPr>
      </w:pPr>
      <w:r w:rsidRPr="004D6466">
        <w:rPr>
          <w:rFonts w:ascii="Arial" w:hAnsi="Arial" w:cs="Arial"/>
          <w:sz w:val="24"/>
          <w:szCs w:val="24"/>
        </w:rPr>
        <w:t>d) Modelo Ag</w:t>
      </w:r>
      <w:r w:rsidR="00EC6FD0">
        <w:rPr>
          <w:rFonts w:ascii="Arial" w:hAnsi="Arial" w:cs="Arial"/>
          <w:sz w:val="24"/>
          <w:szCs w:val="24"/>
        </w:rPr>
        <w:t>roexportador …………………………………</w:t>
      </w:r>
      <w:r w:rsidR="007A491C">
        <w:rPr>
          <w:rFonts w:ascii="Arial" w:hAnsi="Arial" w:cs="Arial"/>
          <w:sz w:val="24"/>
          <w:szCs w:val="24"/>
        </w:rPr>
        <w:tab/>
      </w:r>
      <w:r w:rsidR="00EC6FD0">
        <w:rPr>
          <w:rFonts w:ascii="Arial" w:hAnsi="Arial" w:cs="Arial"/>
          <w:sz w:val="24"/>
          <w:szCs w:val="24"/>
        </w:rPr>
        <w:t>……… 22</w:t>
      </w:r>
    </w:p>
    <w:p w:rsidR="00A66191" w:rsidRPr="004D6466" w:rsidRDefault="00A66191" w:rsidP="00EC6FD0">
      <w:pPr>
        <w:pStyle w:val="Prrafodelista"/>
        <w:numPr>
          <w:ilvl w:val="0"/>
          <w:numId w:val="2"/>
        </w:numPr>
        <w:tabs>
          <w:tab w:val="right" w:leader="dot" w:pos="8789"/>
        </w:tabs>
        <w:spacing w:line="360" w:lineRule="auto"/>
        <w:jc w:val="both"/>
        <w:rPr>
          <w:rFonts w:ascii="Arial" w:hAnsi="Arial" w:cs="Arial"/>
          <w:b/>
          <w:sz w:val="24"/>
          <w:szCs w:val="24"/>
        </w:rPr>
      </w:pPr>
      <w:r w:rsidRPr="004D6466">
        <w:rPr>
          <w:rFonts w:ascii="Arial" w:hAnsi="Arial" w:cs="Arial"/>
          <w:b/>
          <w:sz w:val="24"/>
          <w:szCs w:val="24"/>
        </w:rPr>
        <w:t xml:space="preserve">CAPÍTULO II ANTECEDENTES </w:t>
      </w:r>
      <w:r w:rsidR="00EC6FD0">
        <w:rPr>
          <w:rFonts w:ascii="Arial" w:hAnsi="Arial" w:cs="Arial"/>
          <w:sz w:val="24"/>
          <w:szCs w:val="24"/>
        </w:rPr>
        <w:t>………………………………</w:t>
      </w:r>
      <w:r w:rsidR="007A491C">
        <w:rPr>
          <w:rFonts w:ascii="Arial" w:hAnsi="Arial" w:cs="Arial"/>
          <w:sz w:val="24"/>
          <w:szCs w:val="24"/>
        </w:rPr>
        <w:tab/>
      </w:r>
      <w:r w:rsidR="00EC6FD0">
        <w:rPr>
          <w:rFonts w:ascii="Arial" w:hAnsi="Arial" w:cs="Arial"/>
          <w:sz w:val="24"/>
          <w:szCs w:val="24"/>
        </w:rPr>
        <w:t>………… 24</w:t>
      </w:r>
    </w:p>
    <w:p w:rsidR="00A66191" w:rsidRPr="004D6466" w:rsidRDefault="00A66191" w:rsidP="00EC6FD0">
      <w:pPr>
        <w:tabs>
          <w:tab w:val="right" w:leader="dot" w:pos="8789"/>
        </w:tabs>
        <w:rPr>
          <w:rFonts w:ascii="Arial" w:hAnsi="Arial" w:cs="Arial"/>
          <w:sz w:val="24"/>
          <w:szCs w:val="24"/>
        </w:rPr>
      </w:pPr>
      <w:r w:rsidRPr="004D6466">
        <w:rPr>
          <w:rFonts w:ascii="Arial" w:hAnsi="Arial" w:cs="Arial"/>
          <w:sz w:val="24"/>
          <w:szCs w:val="24"/>
        </w:rPr>
        <w:t>2.1 Diagnóstico de la situación ac</w:t>
      </w:r>
      <w:r w:rsidR="00EC6FD0">
        <w:rPr>
          <w:rFonts w:ascii="Arial" w:hAnsi="Arial" w:cs="Arial"/>
          <w:sz w:val="24"/>
          <w:szCs w:val="24"/>
        </w:rPr>
        <w:t>tual del Ecuador …………………</w:t>
      </w:r>
      <w:r w:rsidR="007A491C">
        <w:rPr>
          <w:rFonts w:ascii="Arial" w:hAnsi="Arial" w:cs="Arial"/>
          <w:sz w:val="24"/>
          <w:szCs w:val="24"/>
        </w:rPr>
        <w:tab/>
      </w:r>
      <w:r w:rsidR="00EC6FD0">
        <w:rPr>
          <w:rFonts w:ascii="Arial" w:hAnsi="Arial" w:cs="Arial"/>
          <w:sz w:val="24"/>
          <w:szCs w:val="24"/>
        </w:rPr>
        <w:t>…………. 24</w:t>
      </w:r>
    </w:p>
    <w:p w:rsidR="00A66191" w:rsidRPr="004D6466" w:rsidRDefault="00A66191" w:rsidP="00EC6FD0">
      <w:pPr>
        <w:tabs>
          <w:tab w:val="right" w:leader="dot" w:pos="8789"/>
        </w:tabs>
        <w:rPr>
          <w:rFonts w:ascii="Arial" w:hAnsi="Arial" w:cs="Arial"/>
          <w:sz w:val="24"/>
          <w:szCs w:val="24"/>
        </w:rPr>
      </w:pPr>
      <w:r w:rsidRPr="004D6466">
        <w:rPr>
          <w:rFonts w:ascii="Arial" w:hAnsi="Arial" w:cs="Arial"/>
          <w:sz w:val="24"/>
          <w:szCs w:val="24"/>
        </w:rPr>
        <w:t>2.2 Características del modelo de desarrollo del Ecuador (7 pilares de desarrollo) …</w:t>
      </w:r>
      <w:r w:rsidR="00EC6FD0">
        <w:rPr>
          <w:rFonts w:ascii="Arial" w:hAnsi="Arial" w:cs="Arial"/>
          <w:sz w:val="24"/>
          <w:szCs w:val="24"/>
        </w:rPr>
        <w:t>……………………………………………………………………</w:t>
      </w:r>
      <w:r w:rsidR="007A491C">
        <w:rPr>
          <w:rFonts w:ascii="Arial" w:hAnsi="Arial" w:cs="Arial"/>
          <w:sz w:val="24"/>
          <w:szCs w:val="24"/>
        </w:rPr>
        <w:tab/>
      </w:r>
      <w:r w:rsidR="00EC6FD0">
        <w:rPr>
          <w:rFonts w:ascii="Arial" w:hAnsi="Arial" w:cs="Arial"/>
          <w:sz w:val="24"/>
          <w:szCs w:val="24"/>
        </w:rPr>
        <w:t>….. 32</w:t>
      </w:r>
    </w:p>
    <w:p w:rsidR="00A66191" w:rsidRPr="004D6466" w:rsidRDefault="00A66191" w:rsidP="00EC6FD0">
      <w:pPr>
        <w:tabs>
          <w:tab w:val="right" w:leader="dot" w:pos="8789"/>
        </w:tabs>
        <w:rPr>
          <w:rFonts w:ascii="Arial" w:hAnsi="Arial" w:cs="Arial"/>
          <w:sz w:val="24"/>
          <w:szCs w:val="24"/>
        </w:rPr>
      </w:pPr>
      <w:r w:rsidRPr="004D6466">
        <w:rPr>
          <w:rFonts w:ascii="Arial" w:hAnsi="Arial" w:cs="Arial"/>
          <w:sz w:val="24"/>
          <w:szCs w:val="24"/>
        </w:rPr>
        <w:t>2.3 Diagnóstico de la situación ac</w:t>
      </w:r>
      <w:r w:rsidR="00EC6FD0">
        <w:rPr>
          <w:rFonts w:ascii="Arial" w:hAnsi="Arial" w:cs="Arial"/>
          <w:sz w:val="24"/>
          <w:szCs w:val="24"/>
        </w:rPr>
        <w:t>tual del Brasil …………………………</w:t>
      </w:r>
      <w:r w:rsidR="007A491C">
        <w:rPr>
          <w:rFonts w:ascii="Arial" w:hAnsi="Arial" w:cs="Arial"/>
          <w:sz w:val="24"/>
          <w:szCs w:val="24"/>
        </w:rPr>
        <w:tab/>
      </w:r>
      <w:r w:rsidR="00EC6FD0">
        <w:rPr>
          <w:rFonts w:ascii="Arial" w:hAnsi="Arial" w:cs="Arial"/>
          <w:sz w:val="24"/>
          <w:szCs w:val="24"/>
        </w:rPr>
        <w:t>……. 34</w:t>
      </w:r>
    </w:p>
    <w:p w:rsidR="00A66191" w:rsidRPr="004D6466" w:rsidRDefault="00A66191" w:rsidP="00EC6FD0">
      <w:pPr>
        <w:tabs>
          <w:tab w:val="right" w:leader="dot" w:pos="8789"/>
        </w:tabs>
        <w:rPr>
          <w:rFonts w:ascii="Arial" w:hAnsi="Arial" w:cs="Arial"/>
          <w:sz w:val="24"/>
          <w:szCs w:val="24"/>
        </w:rPr>
      </w:pPr>
      <w:r w:rsidRPr="004D6466">
        <w:rPr>
          <w:rFonts w:ascii="Arial" w:hAnsi="Arial" w:cs="Arial"/>
          <w:sz w:val="24"/>
          <w:szCs w:val="24"/>
        </w:rPr>
        <w:t>2.4 Características del modelo de des</w:t>
      </w:r>
      <w:r w:rsidR="00EC6FD0">
        <w:rPr>
          <w:rFonts w:ascii="Arial" w:hAnsi="Arial" w:cs="Arial"/>
          <w:sz w:val="24"/>
          <w:szCs w:val="24"/>
        </w:rPr>
        <w:t>arrollo del Brasil ………………</w:t>
      </w:r>
      <w:r w:rsidR="007A491C">
        <w:rPr>
          <w:rFonts w:ascii="Arial" w:hAnsi="Arial" w:cs="Arial"/>
          <w:sz w:val="24"/>
          <w:szCs w:val="24"/>
        </w:rPr>
        <w:tab/>
      </w:r>
      <w:r w:rsidR="00EC6FD0">
        <w:rPr>
          <w:rFonts w:ascii="Arial" w:hAnsi="Arial" w:cs="Arial"/>
          <w:sz w:val="24"/>
          <w:szCs w:val="24"/>
        </w:rPr>
        <w:t>………. 39</w:t>
      </w:r>
    </w:p>
    <w:p w:rsidR="00A66191" w:rsidRPr="004D6466" w:rsidRDefault="00A66191" w:rsidP="00EC6FD0">
      <w:pPr>
        <w:tabs>
          <w:tab w:val="right" w:leader="dot" w:pos="8789"/>
        </w:tabs>
        <w:rPr>
          <w:rFonts w:ascii="Arial" w:hAnsi="Arial" w:cs="Arial"/>
          <w:sz w:val="24"/>
          <w:szCs w:val="24"/>
        </w:rPr>
      </w:pPr>
      <w:r w:rsidRPr="004D6466">
        <w:rPr>
          <w:rFonts w:ascii="Arial" w:hAnsi="Arial" w:cs="Arial"/>
          <w:sz w:val="24"/>
          <w:szCs w:val="24"/>
        </w:rPr>
        <w:t>2.5 Cuadro comparativo de los a</w:t>
      </w:r>
      <w:r w:rsidR="00EC6FD0">
        <w:rPr>
          <w:rFonts w:ascii="Arial" w:hAnsi="Arial" w:cs="Arial"/>
          <w:sz w:val="24"/>
          <w:szCs w:val="24"/>
        </w:rPr>
        <w:t>s</w:t>
      </w:r>
      <w:bookmarkStart w:id="0" w:name="_GoBack"/>
      <w:bookmarkEnd w:id="0"/>
      <w:r w:rsidR="00EC6FD0">
        <w:rPr>
          <w:rFonts w:ascii="Arial" w:hAnsi="Arial" w:cs="Arial"/>
          <w:sz w:val="24"/>
          <w:szCs w:val="24"/>
        </w:rPr>
        <w:t>pectos generales ……………………</w:t>
      </w:r>
      <w:r w:rsidR="007A491C">
        <w:rPr>
          <w:rFonts w:ascii="Arial" w:hAnsi="Arial" w:cs="Arial"/>
          <w:sz w:val="24"/>
          <w:szCs w:val="24"/>
        </w:rPr>
        <w:tab/>
      </w:r>
      <w:r w:rsidR="00EC6FD0">
        <w:rPr>
          <w:rFonts w:ascii="Arial" w:hAnsi="Arial" w:cs="Arial"/>
          <w:sz w:val="24"/>
          <w:szCs w:val="24"/>
        </w:rPr>
        <w:t>……… 42</w:t>
      </w:r>
    </w:p>
    <w:p w:rsidR="00A66191" w:rsidRPr="004D6466" w:rsidRDefault="00A66191" w:rsidP="00EC6FD0">
      <w:pPr>
        <w:pStyle w:val="Prrafodelista"/>
        <w:numPr>
          <w:ilvl w:val="0"/>
          <w:numId w:val="2"/>
        </w:numPr>
        <w:tabs>
          <w:tab w:val="right" w:leader="dot" w:pos="8789"/>
        </w:tabs>
        <w:spacing w:line="360" w:lineRule="auto"/>
      </w:pPr>
      <w:r w:rsidRPr="004D6466">
        <w:rPr>
          <w:rFonts w:ascii="Arial" w:hAnsi="Arial" w:cs="Arial"/>
          <w:b/>
          <w:sz w:val="24"/>
          <w:szCs w:val="24"/>
        </w:rPr>
        <w:lastRenderedPageBreak/>
        <w:t xml:space="preserve">CAPÍTULO III DEFINICIÓN DEL MODELO DE DESARROLLO DE LULA </w:t>
      </w:r>
      <w:r w:rsidRPr="004D6466">
        <w:rPr>
          <w:rFonts w:ascii="Arial" w:hAnsi="Arial" w:cs="Arial"/>
          <w:sz w:val="24"/>
          <w:szCs w:val="24"/>
        </w:rPr>
        <w:t>........................................................................</w:t>
      </w:r>
      <w:r w:rsidR="00EC6FD0">
        <w:rPr>
          <w:rFonts w:ascii="Arial" w:hAnsi="Arial" w:cs="Arial"/>
          <w:sz w:val="24"/>
          <w:szCs w:val="24"/>
        </w:rPr>
        <w:t>............</w:t>
      </w:r>
      <w:r w:rsidR="007A491C">
        <w:rPr>
          <w:rFonts w:ascii="Arial" w:hAnsi="Arial" w:cs="Arial"/>
          <w:sz w:val="24"/>
          <w:szCs w:val="24"/>
        </w:rPr>
        <w:tab/>
      </w:r>
      <w:r w:rsidR="00EC6FD0">
        <w:rPr>
          <w:rFonts w:ascii="Arial" w:hAnsi="Arial" w:cs="Arial"/>
          <w:sz w:val="24"/>
          <w:szCs w:val="24"/>
        </w:rPr>
        <w:t>................  43</w:t>
      </w:r>
    </w:p>
    <w:p w:rsidR="00A66191" w:rsidRPr="004D6466" w:rsidRDefault="00A66191" w:rsidP="00EC6FD0">
      <w:pPr>
        <w:tabs>
          <w:tab w:val="right" w:leader="dot" w:pos="8789"/>
        </w:tabs>
        <w:rPr>
          <w:rFonts w:ascii="Arial" w:hAnsi="Arial" w:cs="Arial"/>
          <w:sz w:val="24"/>
          <w:szCs w:val="24"/>
        </w:rPr>
      </w:pPr>
      <w:r w:rsidRPr="004D6466">
        <w:rPr>
          <w:rFonts w:ascii="Arial" w:hAnsi="Arial" w:cs="Arial"/>
          <w:sz w:val="24"/>
          <w:szCs w:val="24"/>
        </w:rPr>
        <w:t>3.1 Principales medidas del modelo de des</w:t>
      </w:r>
      <w:r w:rsidR="00EC6FD0">
        <w:rPr>
          <w:rFonts w:ascii="Arial" w:hAnsi="Arial" w:cs="Arial"/>
          <w:sz w:val="24"/>
          <w:szCs w:val="24"/>
        </w:rPr>
        <w:t>arrollo ……………………</w:t>
      </w:r>
      <w:r w:rsidR="007A491C">
        <w:rPr>
          <w:rFonts w:ascii="Arial" w:hAnsi="Arial" w:cs="Arial"/>
          <w:sz w:val="24"/>
          <w:szCs w:val="24"/>
        </w:rPr>
        <w:tab/>
      </w:r>
      <w:r w:rsidR="00EC6FD0">
        <w:rPr>
          <w:rFonts w:ascii="Arial" w:hAnsi="Arial" w:cs="Arial"/>
          <w:sz w:val="24"/>
          <w:szCs w:val="24"/>
        </w:rPr>
        <w:t>………... 43</w:t>
      </w:r>
    </w:p>
    <w:p w:rsidR="00A66191" w:rsidRPr="004D6466" w:rsidRDefault="00A66191" w:rsidP="00EC6FD0">
      <w:pPr>
        <w:tabs>
          <w:tab w:val="right" w:leader="dot" w:pos="8789"/>
        </w:tabs>
        <w:rPr>
          <w:rFonts w:ascii="Arial" w:hAnsi="Arial" w:cs="Arial"/>
          <w:sz w:val="24"/>
          <w:szCs w:val="24"/>
        </w:rPr>
      </w:pPr>
      <w:r w:rsidRPr="004D6466">
        <w:rPr>
          <w:rFonts w:ascii="Arial" w:hAnsi="Arial" w:cs="Arial"/>
          <w:sz w:val="24"/>
          <w:szCs w:val="24"/>
        </w:rPr>
        <w:t xml:space="preserve">3.2 Ámbito Bienestar </w:t>
      </w:r>
      <w:r w:rsidR="00EC6FD0">
        <w:rPr>
          <w:rFonts w:ascii="Arial" w:hAnsi="Arial" w:cs="Arial"/>
          <w:sz w:val="24"/>
          <w:szCs w:val="24"/>
        </w:rPr>
        <w:t>Social .………………………………………………</w:t>
      </w:r>
      <w:r w:rsidR="007A491C">
        <w:rPr>
          <w:rFonts w:ascii="Arial" w:hAnsi="Arial" w:cs="Arial"/>
          <w:sz w:val="24"/>
          <w:szCs w:val="24"/>
        </w:rPr>
        <w:tab/>
      </w:r>
      <w:r w:rsidR="00EC6FD0">
        <w:rPr>
          <w:rFonts w:ascii="Arial" w:hAnsi="Arial" w:cs="Arial"/>
          <w:sz w:val="24"/>
          <w:szCs w:val="24"/>
        </w:rPr>
        <w:t>……… 43</w:t>
      </w:r>
    </w:p>
    <w:p w:rsidR="00A66191" w:rsidRPr="004D6466" w:rsidRDefault="00A66191" w:rsidP="00EC6FD0">
      <w:pPr>
        <w:tabs>
          <w:tab w:val="right" w:leader="dot" w:pos="8789"/>
        </w:tabs>
        <w:ind w:firstLine="708"/>
        <w:rPr>
          <w:rFonts w:ascii="Arial" w:hAnsi="Arial" w:cs="Arial"/>
          <w:sz w:val="24"/>
          <w:szCs w:val="24"/>
        </w:rPr>
      </w:pPr>
      <w:r w:rsidRPr="004D6466">
        <w:rPr>
          <w:rFonts w:ascii="Arial" w:hAnsi="Arial" w:cs="Arial"/>
          <w:sz w:val="24"/>
          <w:szCs w:val="24"/>
        </w:rPr>
        <w:t xml:space="preserve">3.2.1 ”Hambre </w:t>
      </w:r>
      <w:r w:rsidR="00EC6FD0">
        <w:rPr>
          <w:rFonts w:ascii="Arial" w:hAnsi="Arial" w:cs="Arial"/>
          <w:sz w:val="24"/>
          <w:szCs w:val="24"/>
        </w:rPr>
        <w:t>Cero” …………………………………………………</w:t>
      </w:r>
      <w:r w:rsidR="007A491C">
        <w:rPr>
          <w:rFonts w:ascii="Arial" w:hAnsi="Arial" w:cs="Arial"/>
          <w:sz w:val="24"/>
          <w:szCs w:val="24"/>
        </w:rPr>
        <w:tab/>
      </w:r>
      <w:r w:rsidR="00EC6FD0">
        <w:rPr>
          <w:rFonts w:ascii="Arial" w:hAnsi="Arial" w:cs="Arial"/>
          <w:sz w:val="24"/>
          <w:szCs w:val="24"/>
        </w:rPr>
        <w:t>…….. 44</w:t>
      </w:r>
    </w:p>
    <w:p w:rsidR="00A66191" w:rsidRPr="004D6466" w:rsidRDefault="00A66191" w:rsidP="00EC6FD0">
      <w:pPr>
        <w:tabs>
          <w:tab w:val="right" w:leader="dot" w:pos="8789"/>
        </w:tabs>
        <w:ind w:firstLine="708"/>
        <w:rPr>
          <w:rFonts w:ascii="Arial" w:hAnsi="Arial" w:cs="Arial"/>
          <w:sz w:val="24"/>
          <w:szCs w:val="24"/>
        </w:rPr>
      </w:pPr>
      <w:r w:rsidRPr="004D6466">
        <w:rPr>
          <w:rFonts w:ascii="Arial" w:hAnsi="Arial" w:cs="Arial"/>
          <w:sz w:val="24"/>
          <w:szCs w:val="24"/>
        </w:rPr>
        <w:t>3.2.2 “Bolsa Fam</w:t>
      </w:r>
      <w:r w:rsidR="00EC6FD0">
        <w:rPr>
          <w:rFonts w:ascii="Arial" w:hAnsi="Arial" w:cs="Arial"/>
          <w:sz w:val="24"/>
          <w:szCs w:val="24"/>
        </w:rPr>
        <w:t>ilia” ……………………………………………</w:t>
      </w:r>
      <w:r w:rsidR="007A491C">
        <w:rPr>
          <w:rFonts w:ascii="Arial" w:hAnsi="Arial" w:cs="Arial"/>
          <w:sz w:val="24"/>
          <w:szCs w:val="24"/>
        </w:rPr>
        <w:tab/>
      </w:r>
      <w:r w:rsidR="00EC6FD0">
        <w:rPr>
          <w:rFonts w:ascii="Arial" w:hAnsi="Arial" w:cs="Arial"/>
          <w:sz w:val="24"/>
          <w:szCs w:val="24"/>
        </w:rPr>
        <w:t>………….. 47</w:t>
      </w:r>
    </w:p>
    <w:p w:rsidR="00A66191" w:rsidRPr="004D6466" w:rsidRDefault="00A66191" w:rsidP="00EC6FD0">
      <w:pPr>
        <w:tabs>
          <w:tab w:val="right" w:leader="dot" w:pos="8789"/>
        </w:tabs>
        <w:ind w:left="708"/>
        <w:rPr>
          <w:rFonts w:ascii="Arial" w:hAnsi="Arial" w:cs="Arial"/>
          <w:sz w:val="24"/>
          <w:szCs w:val="24"/>
        </w:rPr>
      </w:pPr>
      <w:r w:rsidRPr="004D6466">
        <w:rPr>
          <w:rFonts w:ascii="Arial" w:hAnsi="Arial" w:cs="Arial"/>
          <w:sz w:val="24"/>
          <w:szCs w:val="24"/>
        </w:rPr>
        <w:t>3.2.3“Programa Nacional de Fortalecimiento de la Agricultura Familiar- PRONA</w:t>
      </w:r>
      <w:r w:rsidR="00EC6FD0">
        <w:rPr>
          <w:rFonts w:ascii="Arial" w:hAnsi="Arial" w:cs="Arial"/>
          <w:sz w:val="24"/>
          <w:szCs w:val="24"/>
        </w:rPr>
        <w:t>F” ……………………………………………………</w:t>
      </w:r>
      <w:r w:rsidR="007A491C">
        <w:rPr>
          <w:rFonts w:ascii="Arial" w:hAnsi="Arial" w:cs="Arial"/>
          <w:sz w:val="24"/>
          <w:szCs w:val="24"/>
        </w:rPr>
        <w:tab/>
      </w:r>
      <w:r w:rsidR="00EC6FD0">
        <w:rPr>
          <w:rFonts w:ascii="Arial" w:hAnsi="Arial" w:cs="Arial"/>
          <w:sz w:val="24"/>
          <w:szCs w:val="24"/>
        </w:rPr>
        <w:t>………………. 50</w:t>
      </w:r>
    </w:p>
    <w:p w:rsidR="00A66191" w:rsidRPr="004D6466" w:rsidRDefault="00A66191" w:rsidP="00EC6FD0">
      <w:pPr>
        <w:tabs>
          <w:tab w:val="right" w:leader="dot" w:pos="8789"/>
        </w:tabs>
        <w:rPr>
          <w:rFonts w:ascii="Arial" w:hAnsi="Arial" w:cs="Arial"/>
          <w:sz w:val="24"/>
          <w:szCs w:val="24"/>
        </w:rPr>
      </w:pPr>
      <w:r w:rsidRPr="004D6466">
        <w:rPr>
          <w:rFonts w:ascii="Arial" w:hAnsi="Arial" w:cs="Arial"/>
          <w:sz w:val="24"/>
          <w:szCs w:val="24"/>
        </w:rPr>
        <w:t>3.3 Ámbito Sal</w:t>
      </w:r>
      <w:r w:rsidR="00EC6FD0">
        <w:rPr>
          <w:rFonts w:ascii="Arial" w:hAnsi="Arial" w:cs="Arial"/>
          <w:sz w:val="24"/>
          <w:szCs w:val="24"/>
        </w:rPr>
        <w:t>ud ……………………………………………………</w:t>
      </w:r>
      <w:r w:rsidR="007A491C">
        <w:rPr>
          <w:rFonts w:ascii="Arial" w:hAnsi="Arial" w:cs="Arial"/>
          <w:sz w:val="24"/>
          <w:szCs w:val="24"/>
        </w:rPr>
        <w:tab/>
      </w:r>
      <w:r w:rsidR="00EC6FD0">
        <w:rPr>
          <w:rFonts w:ascii="Arial" w:hAnsi="Arial" w:cs="Arial"/>
          <w:sz w:val="24"/>
          <w:szCs w:val="24"/>
        </w:rPr>
        <w:t>……………… 53</w:t>
      </w:r>
    </w:p>
    <w:p w:rsidR="00A66191" w:rsidRPr="004D6466" w:rsidRDefault="00A66191" w:rsidP="00EC6FD0">
      <w:pPr>
        <w:tabs>
          <w:tab w:val="right" w:leader="dot" w:pos="8789"/>
        </w:tabs>
        <w:ind w:firstLine="708"/>
        <w:rPr>
          <w:rFonts w:ascii="Arial" w:hAnsi="Arial" w:cs="Arial"/>
          <w:sz w:val="24"/>
          <w:szCs w:val="24"/>
        </w:rPr>
      </w:pPr>
      <w:r w:rsidRPr="004D6466">
        <w:rPr>
          <w:rFonts w:ascii="Arial" w:hAnsi="Arial" w:cs="Arial"/>
          <w:sz w:val="24"/>
          <w:szCs w:val="24"/>
        </w:rPr>
        <w:t>3.3.1 Programa Nacional De Al</w:t>
      </w:r>
      <w:r w:rsidR="00EC6FD0">
        <w:rPr>
          <w:rFonts w:ascii="Arial" w:hAnsi="Arial" w:cs="Arial"/>
          <w:sz w:val="24"/>
          <w:szCs w:val="24"/>
        </w:rPr>
        <w:t>imentación Escolar ………</w:t>
      </w:r>
      <w:r w:rsidR="007A491C">
        <w:rPr>
          <w:rFonts w:ascii="Arial" w:hAnsi="Arial" w:cs="Arial"/>
          <w:sz w:val="24"/>
          <w:szCs w:val="24"/>
        </w:rPr>
        <w:tab/>
      </w:r>
      <w:r w:rsidR="00EC6FD0">
        <w:rPr>
          <w:rFonts w:ascii="Arial" w:hAnsi="Arial" w:cs="Arial"/>
          <w:sz w:val="24"/>
          <w:szCs w:val="24"/>
        </w:rPr>
        <w:t>…………….. 53</w:t>
      </w:r>
    </w:p>
    <w:p w:rsidR="00A66191" w:rsidRPr="004D6466" w:rsidRDefault="00A66191" w:rsidP="00EC6FD0">
      <w:pPr>
        <w:tabs>
          <w:tab w:val="right" w:leader="dot" w:pos="8789"/>
        </w:tabs>
        <w:ind w:left="708"/>
        <w:rPr>
          <w:rFonts w:ascii="Arial" w:hAnsi="Arial" w:cs="Arial"/>
          <w:sz w:val="24"/>
          <w:szCs w:val="24"/>
        </w:rPr>
      </w:pPr>
      <w:r w:rsidRPr="004D6466">
        <w:rPr>
          <w:rFonts w:ascii="Arial" w:hAnsi="Arial" w:cs="Arial"/>
          <w:sz w:val="24"/>
          <w:szCs w:val="24"/>
        </w:rPr>
        <w:t>3.3.2 “Proyecto de Expansión y Consolidación de la Salud de la Familia- PROESF” ……………………………………………………</w:t>
      </w:r>
      <w:r w:rsidR="00EC6FD0">
        <w:rPr>
          <w:rFonts w:ascii="Arial" w:hAnsi="Arial" w:cs="Arial"/>
          <w:sz w:val="24"/>
          <w:szCs w:val="24"/>
        </w:rPr>
        <w:t>……</w:t>
      </w:r>
      <w:r w:rsidR="007A491C">
        <w:rPr>
          <w:rFonts w:ascii="Arial" w:hAnsi="Arial" w:cs="Arial"/>
          <w:sz w:val="24"/>
          <w:szCs w:val="24"/>
        </w:rPr>
        <w:tab/>
      </w:r>
      <w:r w:rsidR="00EC6FD0">
        <w:rPr>
          <w:rFonts w:ascii="Arial" w:hAnsi="Arial" w:cs="Arial"/>
          <w:sz w:val="24"/>
          <w:szCs w:val="24"/>
        </w:rPr>
        <w:t>…………. 54</w:t>
      </w:r>
    </w:p>
    <w:p w:rsidR="00A66191" w:rsidRPr="004D6466" w:rsidRDefault="00A66191" w:rsidP="00EC6FD0">
      <w:pPr>
        <w:tabs>
          <w:tab w:val="right" w:leader="dot" w:pos="8789"/>
        </w:tabs>
        <w:ind w:firstLine="708"/>
        <w:rPr>
          <w:rFonts w:ascii="Arial" w:hAnsi="Arial" w:cs="Arial"/>
          <w:sz w:val="24"/>
          <w:szCs w:val="24"/>
        </w:rPr>
      </w:pPr>
      <w:r w:rsidRPr="004D6466">
        <w:rPr>
          <w:rFonts w:ascii="Arial" w:hAnsi="Arial" w:cs="Arial"/>
          <w:sz w:val="24"/>
          <w:szCs w:val="24"/>
        </w:rPr>
        <w:t>3.3.3 Sistema Único</w:t>
      </w:r>
      <w:r w:rsidR="00EC6FD0">
        <w:rPr>
          <w:rFonts w:ascii="Arial" w:hAnsi="Arial" w:cs="Arial"/>
          <w:sz w:val="24"/>
          <w:szCs w:val="24"/>
        </w:rPr>
        <w:t xml:space="preserve"> de Salud ……………………………………</w:t>
      </w:r>
      <w:r w:rsidR="007A491C">
        <w:rPr>
          <w:rFonts w:ascii="Arial" w:hAnsi="Arial" w:cs="Arial"/>
          <w:sz w:val="24"/>
          <w:szCs w:val="24"/>
        </w:rPr>
        <w:tab/>
      </w:r>
      <w:r w:rsidR="00EC6FD0">
        <w:rPr>
          <w:rFonts w:ascii="Arial" w:hAnsi="Arial" w:cs="Arial"/>
          <w:sz w:val="24"/>
          <w:szCs w:val="24"/>
        </w:rPr>
        <w:t>……….. 56</w:t>
      </w:r>
    </w:p>
    <w:p w:rsidR="00A66191" w:rsidRPr="00C2070E" w:rsidRDefault="00A66191" w:rsidP="00EC6FD0">
      <w:pPr>
        <w:tabs>
          <w:tab w:val="right" w:leader="dot" w:pos="8789"/>
        </w:tabs>
        <w:rPr>
          <w:rFonts w:ascii="Arial" w:hAnsi="Arial" w:cs="Arial"/>
          <w:sz w:val="24"/>
          <w:szCs w:val="24"/>
        </w:rPr>
      </w:pPr>
      <w:r w:rsidRPr="004D6466">
        <w:rPr>
          <w:rFonts w:ascii="Arial" w:hAnsi="Arial" w:cs="Arial"/>
          <w:sz w:val="24"/>
          <w:szCs w:val="24"/>
        </w:rPr>
        <w:t>3.4 Ámbito de Educación …………………………………………………</w:t>
      </w:r>
      <w:r w:rsidR="007A491C">
        <w:rPr>
          <w:rFonts w:ascii="Arial" w:hAnsi="Arial" w:cs="Arial"/>
          <w:sz w:val="24"/>
          <w:szCs w:val="24"/>
        </w:rPr>
        <w:tab/>
      </w:r>
      <w:r w:rsidRPr="004D6466">
        <w:rPr>
          <w:rFonts w:ascii="Arial" w:hAnsi="Arial" w:cs="Arial"/>
          <w:sz w:val="24"/>
          <w:szCs w:val="24"/>
        </w:rPr>
        <w:t xml:space="preserve">……….. </w:t>
      </w:r>
      <w:r w:rsidR="00EC6FD0" w:rsidRPr="00C2070E">
        <w:rPr>
          <w:rFonts w:ascii="Arial" w:hAnsi="Arial" w:cs="Arial"/>
          <w:sz w:val="24"/>
          <w:szCs w:val="24"/>
        </w:rPr>
        <w:t>57</w:t>
      </w:r>
    </w:p>
    <w:p w:rsidR="00A66191" w:rsidRPr="00C2070E" w:rsidRDefault="00A66191" w:rsidP="00EC6FD0">
      <w:pPr>
        <w:tabs>
          <w:tab w:val="right" w:leader="dot" w:pos="8789"/>
        </w:tabs>
        <w:ind w:firstLine="708"/>
        <w:rPr>
          <w:rFonts w:ascii="Arial" w:hAnsi="Arial" w:cs="Arial"/>
          <w:sz w:val="24"/>
          <w:szCs w:val="24"/>
        </w:rPr>
      </w:pPr>
      <w:r w:rsidRPr="00C2070E">
        <w:rPr>
          <w:rFonts w:ascii="Arial" w:hAnsi="Arial" w:cs="Arial"/>
          <w:sz w:val="24"/>
          <w:szCs w:val="24"/>
        </w:rPr>
        <w:t>3.4.1 “Brasil Alfab</w:t>
      </w:r>
      <w:r w:rsidR="00EC6FD0" w:rsidRPr="00C2070E">
        <w:rPr>
          <w:rFonts w:ascii="Arial" w:hAnsi="Arial" w:cs="Arial"/>
          <w:sz w:val="24"/>
          <w:szCs w:val="24"/>
        </w:rPr>
        <w:t>etizado</w:t>
      </w:r>
      <w:proofErr w:type="gramStart"/>
      <w:r w:rsidR="00EC6FD0" w:rsidRPr="00C2070E">
        <w:rPr>
          <w:rFonts w:ascii="Arial" w:hAnsi="Arial" w:cs="Arial"/>
          <w:sz w:val="24"/>
          <w:szCs w:val="24"/>
        </w:rPr>
        <w:t>” …</w:t>
      </w:r>
      <w:proofErr w:type="gramEnd"/>
      <w:r w:rsidR="00EC6FD0" w:rsidRPr="00C2070E">
        <w:rPr>
          <w:rFonts w:ascii="Arial" w:hAnsi="Arial" w:cs="Arial"/>
          <w:sz w:val="24"/>
          <w:szCs w:val="24"/>
        </w:rPr>
        <w:t>……………………………………</w:t>
      </w:r>
      <w:r w:rsidR="007A491C" w:rsidRPr="00C2070E">
        <w:rPr>
          <w:rFonts w:ascii="Arial" w:hAnsi="Arial" w:cs="Arial"/>
          <w:sz w:val="24"/>
          <w:szCs w:val="24"/>
        </w:rPr>
        <w:tab/>
      </w:r>
      <w:r w:rsidR="00EC6FD0" w:rsidRPr="00C2070E">
        <w:rPr>
          <w:rFonts w:ascii="Arial" w:hAnsi="Arial" w:cs="Arial"/>
          <w:sz w:val="24"/>
          <w:szCs w:val="24"/>
        </w:rPr>
        <w:t>………. 57</w:t>
      </w:r>
    </w:p>
    <w:p w:rsidR="00A66191" w:rsidRPr="00C2070E" w:rsidRDefault="00A66191" w:rsidP="00EC6FD0">
      <w:pPr>
        <w:tabs>
          <w:tab w:val="right" w:leader="dot" w:pos="8789"/>
        </w:tabs>
        <w:ind w:firstLine="708"/>
        <w:rPr>
          <w:rFonts w:ascii="Arial" w:hAnsi="Arial" w:cs="Arial"/>
          <w:sz w:val="24"/>
          <w:szCs w:val="24"/>
        </w:rPr>
      </w:pPr>
      <w:r w:rsidRPr="00C2070E">
        <w:rPr>
          <w:rFonts w:ascii="Arial" w:hAnsi="Arial" w:cs="Arial"/>
          <w:sz w:val="24"/>
          <w:szCs w:val="24"/>
        </w:rPr>
        <w:t>3.4.2 “PRO</w:t>
      </w:r>
      <w:r w:rsidR="00EC6FD0" w:rsidRPr="00C2070E">
        <w:rPr>
          <w:rFonts w:ascii="Arial" w:hAnsi="Arial" w:cs="Arial"/>
          <w:sz w:val="24"/>
          <w:szCs w:val="24"/>
        </w:rPr>
        <w:t>JOVEM</w:t>
      </w:r>
      <w:proofErr w:type="gramStart"/>
      <w:r w:rsidR="00EC6FD0" w:rsidRPr="00C2070E">
        <w:rPr>
          <w:rFonts w:ascii="Arial" w:hAnsi="Arial" w:cs="Arial"/>
          <w:sz w:val="24"/>
          <w:szCs w:val="24"/>
        </w:rPr>
        <w:t>” …</w:t>
      </w:r>
      <w:proofErr w:type="gramEnd"/>
      <w:r w:rsidR="00EC6FD0" w:rsidRPr="00C2070E">
        <w:rPr>
          <w:rFonts w:ascii="Arial" w:hAnsi="Arial" w:cs="Arial"/>
          <w:sz w:val="24"/>
          <w:szCs w:val="24"/>
        </w:rPr>
        <w:t>………………………………………………</w:t>
      </w:r>
      <w:r w:rsidR="007A491C" w:rsidRPr="00C2070E">
        <w:rPr>
          <w:rFonts w:ascii="Arial" w:hAnsi="Arial" w:cs="Arial"/>
          <w:sz w:val="24"/>
          <w:szCs w:val="24"/>
        </w:rPr>
        <w:tab/>
      </w:r>
      <w:r w:rsidR="00EC6FD0" w:rsidRPr="00C2070E">
        <w:rPr>
          <w:rFonts w:ascii="Arial" w:hAnsi="Arial" w:cs="Arial"/>
          <w:sz w:val="24"/>
          <w:szCs w:val="24"/>
        </w:rPr>
        <w:t>……… 59</w:t>
      </w:r>
    </w:p>
    <w:p w:rsidR="00A66191" w:rsidRPr="00C2070E" w:rsidRDefault="00A66191" w:rsidP="00EC6FD0">
      <w:pPr>
        <w:tabs>
          <w:tab w:val="right" w:leader="dot" w:pos="8789"/>
        </w:tabs>
        <w:ind w:firstLine="708"/>
        <w:rPr>
          <w:rFonts w:ascii="Arial" w:hAnsi="Arial" w:cs="Arial"/>
          <w:sz w:val="24"/>
          <w:szCs w:val="24"/>
        </w:rPr>
      </w:pPr>
      <w:r w:rsidRPr="00C2070E">
        <w:rPr>
          <w:rFonts w:ascii="Arial" w:hAnsi="Arial" w:cs="Arial"/>
          <w:sz w:val="24"/>
          <w:szCs w:val="24"/>
        </w:rPr>
        <w:t>3.4.3 “Programa Más Educación” …………………………………</w:t>
      </w:r>
      <w:r w:rsidR="007A491C" w:rsidRPr="00C2070E">
        <w:rPr>
          <w:rFonts w:ascii="Arial" w:hAnsi="Arial" w:cs="Arial"/>
          <w:sz w:val="24"/>
          <w:szCs w:val="24"/>
        </w:rPr>
        <w:tab/>
      </w:r>
      <w:r w:rsidR="00EC6FD0" w:rsidRPr="00C2070E">
        <w:rPr>
          <w:rFonts w:ascii="Arial" w:hAnsi="Arial" w:cs="Arial"/>
          <w:sz w:val="24"/>
          <w:szCs w:val="24"/>
        </w:rPr>
        <w:t>……… 60</w:t>
      </w:r>
    </w:p>
    <w:p w:rsidR="00A66191" w:rsidRPr="004D6466" w:rsidRDefault="00A66191" w:rsidP="00EC6FD0">
      <w:pPr>
        <w:tabs>
          <w:tab w:val="right" w:leader="dot" w:pos="8789"/>
        </w:tabs>
        <w:rPr>
          <w:rFonts w:ascii="Arial" w:hAnsi="Arial" w:cs="Arial"/>
          <w:sz w:val="24"/>
          <w:szCs w:val="24"/>
        </w:rPr>
      </w:pPr>
      <w:r w:rsidRPr="004D6466">
        <w:rPr>
          <w:rFonts w:ascii="Arial" w:hAnsi="Arial" w:cs="Arial"/>
          <w:sz w:val="24"/>
          <w:szCs w:val="24"/>
        </w:rPr>
        <w:t xml:space="preserve">3.5 Ámbito </w:t>
      </w:r>
      <w:proofErr w:type="gramStart"/>
      <w:r w:rsidRPr="004D6466">
        <w:rPr>
          <w:rFonts w:ascii="Arial" w:hAnsi="Arial" w:cs="Arial"/>
          <w:sz w:val="24"/>
          <w:szCs w:val="24"/>
        </w:rPr>
        <w:t>Económ</w:t>
      </w:r>
      <w:r w:rsidR="00EC6FD0">
        <w:rPr>
          <w:rFonts w:ascii="Arial" w:hAnsi="Arial" w:cs="Arial"/>
          <w:sz w:val="24"/>
          <w:szCs w:val="24"/>
        </w:rPr>
        <w:t>ico …</w:t>
      </w:r>
      <w:proofErr w:type="gramEnd"/>
      <w:r w:rsidR="00EC6FD0">
        <w:rPr>
          <w:rFonts w:ascii="Arial" w:hAnsi="Arial" w:cs="Arial"/>
          <w:sz w:val="24"/>
          <w:szCs w:val="24"/>
        </w:rPr>
        <w:t>………………………………………………………</w:t>
      </w:r>
      <w:r w:rsidR="007A491C">
        <w:rPr>
          <w:rFonts w:ascii="Arial" w:hAnsi="Arial" w:cs="Arial"/>
          <w:sz w:val="24"/>
          <w:szCs w:val="24"/>
        </w:rPr>
        <w:tab/>
      </w:r>
      <w:r w:rsidR="00EC6FD0">
        <w:rPr>
          <w:rFonts w:ascii="Arial" w:hAnsi="Arial" w:cs="Arial"/>
          <w:sz w:val="24"/>
          <w:szCs w:val="24"/>
        </w:rPr>
        <w:t>….. 62</w:t>
      </w:r>
    </w:p>
    <w:p w:rsidR="00A66191" w:rsidRPr="004D6466" w:rsidRDefault="00A66191" w:rsidP="00EC6FD0">
      <w:pPr>
        <w:tabs>
          <w:tab w:val="right" w:leader="dot" w:pos="8789"/>
        </w:tabs>
        <w:ind w:firstLine="708"/>
        <w:rPr>
          <w:rFonts w:ascii="Arial" w:hAnsi="Arial" w:cs="Arial"/>
          <w:sz w:val="24"/>
          <w:szCs w:val="24"/>
        </w:rPr>
      </w:pPr>
      <w:r w:rsidRPr="004D6466">
        <w:rPr>
          <w:rFonts w:ascii="Arial" w:hAnsi="Arial" w:cs="Arial"/>
          <w:sz w:val="24"/>
          <w:szCs w:val="24"/>
        </w:rPr>
        <w:t>3.5.1 Reforma de Previ</w:t>
      </w:r>
      <w:r w:rsidR="00EC6FD0">
        <w:rPr>
          <w:rFonts w:ascii="Arial" w:hAnsi="Arial" w:cs="Arial"/>
          <w:sz w:val="24"/>
          <w:szCs w:val="24"/>
        </w:rPr>
        <w:t>sión Social ………………………………</w:t>
      </w:r>
      <w:r w:rsidR="007A491C">
        <w:rPr>
          <w:rFonts w:ascii="Arial" w:hAnsi="Arial" w:cs="Arial"/>
          <w:sz w:val="24"/>
          <w:szCs w:val="24"/>
        </w:rPr>
        <w:tab/>
      </w:r>
      <w:r w:rsidR="00EC6FD0">
        <w:rPr>
          <w:rFonts w:ascii="Arial" w:hAnsi="Arial" w:cs="Arial"/>
          <w:sz w:val="24"/>
          <w:szCs w:val="24"/>
        </w:rPr>
        <w:t>……….. 63</w:t>
      </w:r>
    </w:p>
    <w:p w:rsidR="00A66191" w:rsidRPr="004D6466" w:rsidRDefault="00A66191" w:rsidP="00EC6FD0">
      <w:pPr>
        <w:tabs>
          <w:tab w:val="right" w:leader="dot" w:pos="8789"/>
        </w:tabs>
        <w:ind w:firstLine="708"/>
        <w:rPr>
          <w:rFonts w:ascii="Arial" w:hAnsi="Arial" w:cs="Arial"/>
          <w:sz w:val="24"/>
          <w:szCs w:val="24"/>
        </w:rPr>
      </w:pPr>
      <w:r w:rsidRPr="004D6466">
        <w:rPr>
          <w:rFonts w:ascii="Arial" w:hAnsi="Arial" w:cs="Arial"/>
          <w:sz w:val="24"/>
          <w:szCs w:val="24"/>
        </w:rPr>
        <w:t>3.5.2  Reforma del Sistema T</w:t>
      </w:r>
      <w:r w:rsidR="00EC6FD0">
        <w:rPr>
          <w:rFonts w:ascii="Arial" w:hAnsi="Arial" w:cs="Arial"/>
          <w:sz w:val="24"/>
          <w:szCs w:val="24"/>
        </w:rPr>
        <w:t>ributario Nacional …………………</w:t>
      </w:r>
      <w:r w:rsidR="007A491C">
        <w:rPr>
          <w:rFonts w:ascii="Arial" w:hAnsi="Arial" w:cs="Arial"/>
          <w:sz w:val="24"/>
          <w:szCs w:val="24"/>
        </w:rPr>
        <w:tab/>
      </w:r>
      <w:r w:rsidR="00EC6FD0">
        <w:rPr>
          <w:rFonts w:ascii="Arial" w:hAnsi="Arial" w:cs="Arial"/>
          <w:sz w:val="24"/>
          <w:szCs w:val="24"/>
        </w:rPr>
        <w:t>……… 65</w:t>
      </w:r>
    </w:p>
    <w:p w:rsidR="00A66191" w:rsidRPr="004D6466" w:rsidRDefault="00A66191" w:rsidP="00EC6FD0">
      <w:pPr>
        <w:tabs>
          <w:tab w:val="right" w:leader="dot" w:pos="8789"/>
        </w:tabs>
        <w:ind w:firstLine="708"/>
        <w:rPr>
          <w:rFonts w:ascii="Arial" w:hAnsi="Arial" w:cs="Arial"/>
          <w:sz w:val="24"/>
          <w:szCs w:val="24"/>
        </w:rPr>
      </w:pPr>
      <w:r w:rsidRPr="004D6466">
        <w:rPr>
          <w:rFonts w:ascii="Arial" w:hAnsi="Arial" w:cs="Arial"/>
          <w:sz w:val="24"/>
          <w:szCs w:val="24"/>
        </w:rPr>
        <w:t>3.5.3 “Plan de Aceleración del</w:t>
      </w:r>
      <w:r w:rsidR="00EC6FD0">
        <w:rPr>
          <w:rFonts w:ascii="Arial" w:hAnsi="Arial" w:cs="Arial"/>
          <w:sz w:val="24"/>
          <w:szCs w:val="24"/>
        </w:rPr>
        <w:t xml:space="preserve"> Crecimiento (PAC)” …………………</w:t>
      </w:r>
      <w:r w:rsidR="007A491C">
        <w:rPr>
          <w:rFonts w:ascii="Arial" w:hAnsi="Arial" w:cs="Arial"/>
          <w:sz w:val="24"/>
          <w:szCs w:val="24"/>
        </w:rPr>
        <w:tab/>
      </w:r>
      <w:r w:rsidR="00EC6FD0">
        <w:rPr>
          <w:rFonts w:ascii="Arial" w:hAnsi="Arial" w:cs="Arial"/>
          <w:sz w:val="24"/>
          <w:szCs w:val="24"/>
        </w:rPr>
        <w:t>…. 67</w:t>
      </w:r>
    </w:p>
    <w:p w:rsidR="00A66191" w:rsidRPr="004D6466" w:rsidRDefault="00A66191" w:rsidP="00EC6FD0">
      <w:pPr>
        <w:numPr>
          <w:ilvl w:val="0"/>
          <w:numId w:val="2"/>
        </w:numPr>
        <w:tabs>
          <w:tab w:val="right" w:leader="dot" w:pos="8789"/>
        </w:tabs>
        <w:spacing w:line="360" w:lineRule="auto"/>
        <w:jc w:val="both"/>
        <w:rPr>
          <w:rFonts w:ascii="Arial" w:hAnsi="Arial" w:cs="Arial"/>
          <w:sz w:val="24"/>
          <w:szCs w:val="24"/>
        </w:rPr>
      </w:pPr>
      <w:r w:rsidRPr="004D6466">
        <w:rPr>
          <w:rFonts w:ascii="Arial" w:hAnsi="Arial" w:cs="Arial"/>
          <w:b/>
          <w:sz w:val="24"/>
          <w:szCs w:val="24"/>
        </w:rPr>
        <w:t xml:space="preserve">CAPÍTULO IV DEFINICIÓN DEL MODELO DE DESARROLLO ECUATORIANO </w:t>
      </w:r>
      <w:r w:rsidR="00EC6FD0">
        <w:rPr>
          <w:rFonts w:ascii="Arial" w:hAnsi="Arial" w:cs="Arial"/>
          <w:sz w:val="24"/>
          <w:szCs w:val="24"/>
        </w:rPr>
        <w:t>…………………………………………………………</w:t>
      </w:r>
      <w:r w:rsidR="007A491C">
        <w:rPr>
          <w:rFonts w:ascii="Arial" w:hAnsi="Arial" w:cs="Arial"/>
          <w:sz w:val="24"/>
          <w:szCs w:val="24"/>
        </w:rPr>
        <w:tab/>
      </w:r>
      <w:r w:rsidR="00EC6FD0">
        <w:rPr>
          <w:rFonts w:ascii="Arial" w:hAnsi="Arial" w:cs="Arial"/>
          <w:sz w:val="24"/>
          <w:szCs w:val="24"/>
        </w:rPr>
        <w:t>…. 70</w:t>
      </w:r>
    </w:p>
    <w:p w:rsidR="00A66191" w:rsidRPr="004D6466" w:rsidRDefault="00A66191" w:rsidP="00EC6FD0">
      <w:pPr>
        <w:tabs>
          <w:tab w:val="right" w:leader="dot" w:pos="8789"/>
        </w:tabs>
        <w:rPr>
          <w:rFonts w:ascii="Arial" w:hAnsi="Arial" w:cs="Arial"/>
          <w:sz w:val="24"/>
          <w:szCs w:val="24"/>
        </w:rPr>
      </w:pPr>
      <w:r w:rsidRPr="004D6466">
        <w:rPr>
          <w:rFonts w:ascii="Arial" w:hAnsi="Arial" w:cs="Arial"/>
          <w:sz w:val="24"/>
          <w:szCs w:val="24"/>
        </w:rPr>
        <w:t>4.1 Principales Medidas del Model</w:t>
      </w:r>
      <w:r w:rsidR="00EC6FD0">
        <w:rPr>
          <w:rFonts w:ascii="Arial" w:hAnsi="Arial" w:cs="Arial"/>
          <w:sz w:val="24"/>
          <w:szCs w:val="24"/>
        </w:rPr>
        <w:t>o de Desarrollo ………………………</w:t>
      </w:r>
      <w:r w:rsidR="007A491C">
        <w:rPr>
          <w:rFonts w:ascii="Arial" w:hAnsi="Arial" w:cs="Arial"/>
          <w:sz w:val="24"/>
          <w:szCs w:val="24"/>
        </w:rPr>
        <w:tab/>
      </w:r>
      <w:r w:rsidR="00EC6FD0">
        <w:rPr>
          <w:rFonts w:ascii="Arial" w:hAnsi="Arial" w:cs="Arial"/>
          <w:sz w:val="24"/>
          <w:szCs w:val="24"/>
        </w:rPr>
        <w:t>…….. 70</w:t>
      </w:r>
    </w:p>
    <w:p w:rsidR="00A66191" w:rsidRPr="004D6466" w:rsidRDefault="00A66191" w:rsidP="00EC6FD0">
      <w:pPr>
        <w:tabs>
          <w:tab w:val="right" w:leader="dot" w:pos="8789"/>
        </w:tabs>
        <w:rPr>
          <w:rFonts w:ascii="Arial" w:hAnsi="Arial" w:cs="Arial"/>
          <w:sz w:val="24"/>
          <w:szCs w:val="24"/>
        </w:rPr>
      </w:pPr>
      <w:r w:rsidRPr="004D6466">
        <w:rPr>
          <w:rFonts w:ascii="Arial" w:hAnsi="Arial" w:cs="Arial"/>
          <w:sz w:val="24"/>
          <w:szCs w:val="24"/>
        </w:rPr>
        <w:t>4.2 Ámbito Bienestar Soc</w:t>
      </w:r>
      <w:r w:rsidR="00EC6FD0">
        <w:rPr>
          <w:rFonts w:ascii="Arial" w:hAnsi="Arial" w:cs="Arial"/>
          <w:sz w:val="24"/>
          <w:szCs w:val="24"/>
        </w:rPr>
        <w:t>ial …..……………………………………………</w:t>
      </w:r>
      <w:r w:rsidR="007A491C">
        <w:rPr>
          <w:rFonts w:ascii="Arial" w:hAnsi="Arial" w:cs="Arial"/>
          <w:sz w:val="24"/>
          <w:szCs w:val="24"/>
        </w:rPr>
        <w:tab/>
      </w:r>
      <w:r w:rsidR="00EC6FD0">
        <w:rPr>
          <w:rFonts w:ascii="Arial" w:hAnsi="Arial" w:cs="Arial"/>
          <w:sz w:val="24"/>
          <w:szCs w:val="24"/>
        </w:rPr>
        <w:t>……... 71</w:t>
      </w:r>
    </w:p>
    <w:p w:rsidR="00A66191" w:rsidRPr="004D6466" w:rsidRDefault="00A66191" w:rsidP="00EC6FD0">
      <w:pPr>
        <w:tabs>
          <w:tab w:val="right" w:leader="dot" w:pos="8789"/>
        </w:tabs>
        <w:ind w:firstLine="708"/>
        <w:rPr>
          <w:rFonts w:ascii="Arial" w:hAnsi="Arial" w:cs="Arial"/>
          <w:sz w:val="24"/>
          <w:szCs w:val="24"/>
        </w:rPr>
      </w:pPr>
      <w:r w:rsidRPr="004D6466">
        <w:rPr>
          <w:rFonts w:ascii="Arial" w:hAnsi="Arial" w:cs="Arial"/>
          <w:sz w:val="24"/>
          <w:szCs w:val="24"/>
        </w:rPr>
        <w:t>4.2.1 Bono de Desarr</w:t>
      </w:r>
      <w:r w:rsidR="00EC6FD0">
        <w:rPr>
          <w:rFonts w:ascii="Arial" w:hAnsi="Arial" w:cs="Arial"/>
          <w:sz w:val="24"/>
          <w:szCs w:val="24"/>
        </w:rPr>
        <w:t>ollo Humano …………………………………</w:t>
      </w:r>
      <w:r w:rsidR="007A491C">
        <w:rPr>
          <w:rFonts w:ascii="Arial" w:hAnsi="Arial" w:cs="Arial"/>
          <w:sz w:val="24"/>
          <w:szCs w:val="24"/>
        </w:rPr>
        <w:tab/>
      </w:r>
      <w:r w:rsidR="00EC6FD0">
        <w:rPr>
          <w:rFonts w:ascii="Arial" w:hAnsi="Arial" w:cs="Arial"/>
          <w:sz w:val="24"/>
          <w:szCs w:val="24"/>
        </w:rPr>
        <w:t>…….. 71</w:t>
      </w:r>
    </w:p>
    <w:p w:rsidR="00A66191" w:rsidRPr="004D6466" w:rsidRDefault="00A66191" w:rsidP="00EC6FD0">
      <w:pPr>
        <w:tabs>
          <w:tab w:val="right" w:leader="dot" w:pos="8789"/>
        </w:tabs>
        <w:ind w:firstLine="708"/>
        <w:rPr>
          <w:rFonts w:ascii="Arial" w:hAnsi="Arial" w:cs="Arial"/>
          <w:sz w:val="24"/>
          <w:szCs w:val="24"/>
        </w:rPr>
      </w:pPr>
      <w:r w:rsidRPr="004D6466">
        <w:rPr>
          <w:rFonts w:ascii="Arial" w:hAnsi="Arial" w:cs="Arial"/>
          <w:sz w:val="24"/>
          <w:szCs w:val="24"/>
        </w:rPr>
        <w:t>4.2.2 Crédito de Desar</w:t>
      </w:r>
      <w:r w:rsidR="00EC6FD0">
        <w:rPr>
          <w:rFonts w:ascii="Arial" w:hAnsi="Arial" w:cs="Arial"/>
          <w:sz w:val="24"/>
          <w:szCs w:val="24"/>
        </w:rPr>
        <w:t>rollo Humano ………………………………</w:t>
      </w:r>
      <w:r w:rsidR="007A491C">
        <w:rPr>
          <w:rFonts w:ascii="Arial" w:hAnsi="Arial" w:cs="Arial"/>
          <w:sz w:val="24"/>
          <w:szCs w:val="24"/>
        </w:rPr>
        <w:tab/>
      </w:r>
      <w:r w:rsidR="00EC6FD0">
        <w:rPr>
          <w:rFonts w:ascii="Arial" w:hAnsi="Arial" w:cs="Arial"/>
          <w:sz w:val="24"/>
          <w:szCs w:val="24"/>
        </w:rPr>
        <w:t>…….. 73</w:t>
      </w:r>
    </w:p>
    <w:p w:rsidR="00A66191" w:rsidRPr="004D6466" w:rsidRDefault="00A66191" w:rsidP="00EC6FD0">
      <w:pPr>
        <w:tabs>
          <w:tab w:val="right" w:leader="dot" w:pos="8789"/>
        </w:tabs>
        <w:ind w:left="708"/>
        <w:rPr>
          <w:rFonts w:ascii="Arial" w:hAnsi="Arial" w:cs="Arial"/>
          <w:sz w:val="24"/>
          <w:szCs w:val="24"/>
        </w:rPr>
      </w:pPr>
      <w:r w:rsidRPr="004D6466">
        <w:rPr>
          <w:rFonts w:ascii="Arial" w:hAnsi="Arial" w:cs="Arial"/>
          <w:sz w:val="24"/>
          <w:szCs w:val="24"/>
        </w:rPr>
        <w:lastRenderedPageBreak/>
        <w:t>4.2.3 Bono de la Vivienda, Bono de Titulación y Programa de Agua Potable y Saneamiento …………………………………………</w:t>
      </w:r>
      <w:r w:rsidR="007A491C">
        <w:rPr>
          <w:rFonts w:ascii="Arial" w:hAnsi="Arial" w:cs="Arial"/>
          <w:sz w:val="24"/>
          <w:szCs w:val="24"/>
        </w:rPr>
        <w:tab/>
      </w:r>
      <w:r w:rsidRPr="004D6466">
        <w:rPr>
          <w:rFonts w:ascii="Arial" w:hAnsi="Arial" w:cs="Arial"/>
          <w:sz w:val="24"/>
          <w:szCs w:val="24"/>
        </w:rPr>
        <w:t xml:space="preserve">…………. </w:t>
      </w:r>
      <w:r w:rsidR="00EC6FD0">
        <w:rPr>
          <w:rFonts w:ascii="Arial" w:hAnsi="Arial" w:cs="Arial"/>
          <w:sz w:val="24"/>
          <w:szCs w:val="24"/>
        </w:rPr>
        <w:t>76</w:t>
      </w:r>
    </w:p>
    <w:p w:rsidR="00A66191" w:rsidRPr="004D6466" w:rsidRDefault="00A66191" w:rsidP="00EC6FD0">
      <w:pPr>
        <w:tabs>
          <w:tab w:val="right" w:leader="dot" w:pos="8789"/>
        </w:tabs>
        <w:rPr>
          <w:rFonts w:ascii="Arial" w:hAnsi="Arial" w:cs="Arial"/>
          <w:sz w:val="24"/>
          <w:szCs w:val="24"/>
        </w:rPr>
      </w:pPr>
      <w:r w:rsidRPr="004D6466">
        <w:rPr>
          <w:rFonts w:ascii="Arial" w:hAnsi="Arial" w:cs="Arial"/>
          <w:sz w:val="24"/>
          <w:szCs w:val="24"/>
        </w:rPr>
        <w:t>4.3 Ámbito Salud ……</w:t>
      </w:r>
      <w:r w:rsidR="00EC6FD0">
        <w:rPr>
          <w:rFonts w:ascii="Arial" w:hAnsi="Arial" w:cs="Arial"/>
          <w:sz w:val="24"/>
          <w:szCs w:val="24"/>
        </w:rPr>
        <w:t>…………………………………………………</w:t>
      </w:r>
      <w:r w:rsidR="007A491C">
        <w:rPr>
          <w:rFonts w:ascii="Arial" w:hAnsi="Arial" w:cs="Arial"/>
          <w:sz w:val="24"/>
          <w:szCs w:val="24"/>
        </w:rPr>
        <w:tab/>
      </w:r>
      <w:r w:rsidR="00EC6FD0">
        <w:rPr>
          <w:rFonts w:ascii="Arial" w:hAnsi="Arial" w:cs="Arial"/>
          <w:sz w:val="24"/>
          <w:szCs w:val="24"/>
        </w:rPr>
        <w:t>………....... 78</w:t>
      </w:r>
    </w:p>
    <w:p w:rsidR="00A66191" w:rsidRPr="004D6466" w:rsidRDefault="00A66191" w:rsidP="00EC6FD0">
      <w:pPr>
        <w:tabs>
          <w:tab w:val="right" w:leader="dot" w:pos="8789"/>
        </w:tabs>
        <w:ind w:firstLine="708"/>
        <w:rPr>
          <w:rFonts w:ascii="Arial" w:hAnsi="Arial" w:cs="Arial"/>
          <w:sz w:val="24"/>
          <w:szCs w:val="24"/>
        </w:rPr>
      </w:pPr>
      <w:r w:rsidRPr="004D6466">
        <w:rPr>
          <w:rFonts w:ascii="Arial" w:hAnsi="Arial" w:cs="Arial"/>
          <w:sz w:val="24"/>
          <w:szCs w:val="24"/>
        </w:rPr>
        <w:t>4.3.1“Acción Nutrición” ………………………………………</w:t>
      </w:r>
      <w:r w:rsidR="007A491C">
        <w:rPr>
          <w:rFonts w:ascii="Arial" w:hAnsi="Arial" w:cs="Arial"/>
          <w:sz w:val="24"/>
          <w:szCs w:val="24"/>
        </w:rPr>
        <w:tab/>
      </w:r>
      <w:r w:rsidRPr="004D6466">
        <w:rPr>
          <w:rFonts w:ascii="Arial" w:hAnsi="Arial" w:cs="Arial"/>
          <w:sz w:val="24"/>
          <w:szCs w:val="24"/>
        </w:rPr>
        <w:t xml:space="preserve">…………….. </w:t>
      </w:r>
      <w:r w:rsidR="00EC6FD0">
        <w:rPr>
          <w:rFonts w:ascii="Arial" w:hAnsi="Arial" w:cs="Arial"/>
          <w:sz w:val="24"/>
          <w:szCs w:val="24"/>
        </w:rPr>
        <w:t>78</w:t>
      </w:r>
    </w:p>
    <w:p w:rsidR="00A66191" w:rsidRPr="004D6466" w:rsidRDefault="00A66191" w:rsidP="00EC6FD0">
      <w:pPr>
        <w:tabs>
          <w:tab w:val="right" w:leader="dot" w:pos="8789"/>
        </w:tabs>
        <w:ind w:left="708"/>
        <w:rPr>
          <w:rFonts w:ascii="Arial" w:eastAsia="Times New Roman" w:hAnsi="Arial" w:cs="Arial"/>
          <w:sz w:val="24"/>
          <w:szCs w:val="24"/>
          <w:lang w:val="es-MX"/>
        </w:rPr>
      </w:pPr>
      <w:r w:rsidRPr="004D6466">
        <w:rPr>
          <w:rFonts w:ascii="Arial" w:hAnsi="Arial" w:cs="Arial"/>
          <w:sz w:val="24"/>
          <w:szCs w:val="24"/>
        </w:rPr>
        <w:t xml:space="preserve">4.3.2 </w:t>
      </w:r>
      <w:r w:rsidRPr="004D6466">
        <w:rPr>
          <w:rFonts w:ascii="Arial" w:eastAsia="Times New Roman" w:hAnsi="Arial" w:cs="Arial"/>
          <w:sz w:val="24"/>
          <w:szCs w:val="24"/>
          <w:lang w:val="es-MX"/>
        </w:rPr>
        <w:t>“Programa de Enfermedades Catastróficas”,  “Proyecto Manuela Espejo” y “Joaquín Gal</w:t>
      </w:r>
      <w:r w:rsidR="00EC6FD0">
        <w:rPr>
          <w:rFonts w:ascii="Arial" w:eastAsia="Times New Roman" w:hAnsi="Arial" w:cs="Arial"/>
          <w:sz w:val="24"/>
          <w:szCs w:val="24"/>
          <w:lang w:val="es-MX"/>
        </w:rPr>
        <w:t>legos Lara” …………………………</w:t>
      </w:r>
      <w:r w:rsidR="007A491C">
        <w:rPr>
          <w:rFonts w:ascii="Arial" w:eastAsia="Times New Roman" w:hAnsi="Arial" w:cs="Arial"/>
          <w:sz w:val="24"/>
          <w:szCs w:val="24"/>
          <w:lang w:val="es-MX"/>
        </w:rPr>
        <w:tab/>
      </w:r>
      <w:r w:rsidR="00EC6FD0">
        <w:rPr>
          <w:rFonts w:ascii="Arial" w:eastAsia="Times New Roman" w:hAnsi="Arial" w:cs="Arial"/>
          <w:sz w:val="24"/>
          <w:szCs w:val="24"/>
          <w:lang w:val="es-MX"/>
        </w:rPr>
        <w:t>…………….. 79</w:t>
      </w:r>
    </w:p>
    <w:p w:rsidR="00A66191" w:rsidRPr="004D6466" w:rsidRDefault="00A66191" w:rsidP="00EC6FD0">
      <w:pPr>
        <w:tabs>
          <w:tab w:val="right" w:leader="dot" w:pos="8789"/>
        </w:tabs>
        <w:ind w:left="708"/>
        <w:rPr>
          <w:rFonts w:ascii="Arial" w:hAnsi="Arial" w:cs="Arial"/>
          <w:sz w:val="24"/>
          <w:szCs w:val="24"/>
        </w:rPr>
      </w:pPr>
      <w:r w:rsidRPr="004D6466">
        <w:rPr>
          <w:rFonts w:ascii="Arial" w:hAnsi="Arial" w:cs="Arial"/>
          <w:sz w:val="24"/>
          <w:szCs w:val="24"/>
        </w:rPr>
        <w:t>4.3.3 “Aliméntate Ecuador: Proyecto Alimentario Nutricional Integral (PANI)” ……</w:t>
      </w:r>
      <w:r w:rsidR="00EC6FD0">
        <w:rPr>
          <w:rFonts w:ascii="Arial" w:hAnsi="Arial" w:cs="Arial"/>
          <w:sz w:val="24"/>
          <w:szCs w:val="24"/>
        </w:rPr>
        <w:t>………………………………………………………</w:t>
      </w:r>
      <w:r w:rsidR="007A491C">
        <w:rPr>
          <w:rFonts w:ascii="Arial" w:hAnsi="Arial" w:cs="Arial"/>
          <w:sz w:val="24"/>
          <w:szCs w:val="24"/>
        </w:rPr>
        <w:tab/>
      </w:r>
      <w:r w:rsidR="00EC6FD0">
        <w:rPr>
          <w:rFonts w:ascii="Arial" w:hAnsi="Arial" w:cs="Arial"/>
          <w:sz w:val="24"/>
          <w:szCs w:val="24"/>
        </w:rPr>
        <w:t>………..... 84</w:t>
      </w:r>
    </w:p>
    <w:p w:rsidR="00A66191" w:rsidRPr="004D6466" w:rsidRDefault="00A66191" w:rsidP="00EC6FD0">
      <w:pPr>
        <w:tabs>
          <w:tab w:val="right" w:leader="dot" w:pos="8789"/>
        </w:tabs>
        <w:rPr>
          <w:rFonts w:ascii="Arial" w:eastAsia="Times New Roman" w:hAnsi="Arial" w:cs="Arial"/>
          <w:sz w:val="24"/>
          <w:szCs w:val="24"/>
          <w:lang w:val="es-MX"/>
        </w:rPr>
      </w:pPr>
      <w:r w:rsidRPr="004D6466">
        <w:rPr>
          <w:rFonts w:ascii="Arial" w:hAnsi="Arial" w:cs="Arial"/>
          <w:sz w:val="24"/>
          <w:szCs w:val="24"/>
        </w:rPr>
        <w:t>4.4 Ámbito de Educa</w:t>
      </w:r>
      <w:r w:rsidR="00EC6FD0">
        <w:rPr>
          <w:rFonts w:ascii="Arial" w:hAnsi="Arial" w:cs="Arial"/>
          <w:sz w:val="24"/>
          <w:szCs w:val="24"/>
        </w:rPr>
        <w:t>ción …………………………………………………</w:t>
      </w:r>
      <w:r w:rsidR="007A491C">
        <w:rPr>
          <w:rFonts w:ascii="Arial" w:hAnsi="Arial" w:cs="Arial"/>
          <w:sz w:val="24"/>
          <w:szCs w:val="24"/>
        </w:rPr>
        <w:tab/>
      </w:r>
      <w:r w:rsidR="00EC6FD0">
        <w:rPr>
          <w:rFonts w:ascii="Arial" w:hAnsi="Arial" w:cs="Arial"/>
          <w:sz w:val="24"/>
          <w:szCs w:val="24"/>
        </w:rPr>
        <w:t>……….. 85</w:t>
      </w:r>
    </w:p>
    <w:p w:rsidR="00A66191" w:rsidRPr="004D6466" w:rsidRDefault="00A66191" w:rsidP="00EC6FD0">
      <w:pPr>
        <w:tabs>
          <w:tab w:val="right" w:leader="dot" w:pos="8789"/>
        </w:tabs>
        <w:ind w:firstLine="708"/>
        <w:rPr>
          <w:rFonts w:ascii="Arial" w:hAnsi="Arial" w:cs="Arial"/>
          <w:sz w:val="24"/>
          <w:szCs w:val="24"/>
        </w:rPr>
      </w:pPr>
      <w:r w:rsidRPr="004D6466">
        <w:rPr>
          <w:rFonts w:ascii="Arial" w:hAnsi="Arial" w:cs="Arial"/>
          <w:sz w:val="24"/>
          <w:szCs w:val="24"/>
        </w:rPr>
        <w:t>4.4.1 “Proyecto de Educación Básica p</w:t>
      </w:r>
      <w:r w:rsidR="00EC6FD0">
        <w:rPr>
          <w:rFonts w:ascii="Arial" w:hAnsi="Arial" w:cs="Arial"/>
          <w:sz w:val="24"/>
          <w:szCs w:val="24"/>
        </w:rPr>
        <w:t>ara Jóvenes y Adultos (EBJA)”</w:t>
      </w:r>
      <w:r w:rsidR="007A491C">
        <w:rPr>
          <w:rFonts w:ascii="Arial" w:hAnsi="Arial" w:cs="Arial"/>
          <w:sz w:val="24"/>
          <w:szCs w:val="24"/>
        </w:rPr>
        <w:tab/>
      </w:r>
      <w:r w:rsidR="00EC6FD0">
        <w:rPr>
          <w:rFonts w:ascii="Arial" w:hAnsi="Arial" w:cs="Arial"/>
          <w:sz w:val="24"/>
          <w:szCs w:val="24"/>
        </w:rPr>
        <w:t xml:space="preserve"> 86</w:t>
      </w:r>
    </w:p>
    <w:p w:rsidR="00A66191" w:rsidRPr="004D6466" w:rsidRDefault="00A66191" w:rsidP="00EC6FD0">
      <w:pPr>
        <w:tabs>
          <w:tab w:val="right" w:leader="dot" w:pos="8789"/>
        </w:tabs>
        <w:ind w:firstLine="708"/>
        <w:rPr>
          <w:rFonts w:ascii="Arial" w:hAnsi="Arial" w:cs="Arial"/>
          <w:sz w:val="24"/>
          <w:szCs w:val="24"/>
        </w:rPr>
      </w:pPr>
      <w:r w:rsidRPr="004D6466">
        <w:rPr>
          <w:rFonts w:ascii="Arial" w:hAnsi="Arial" w:cs="Arial"/>
          <w:sz w:val="24"/>
          <w:szCs w:val="24"/>
        </w:rPr>
        <w:t>4.4.2 “Unidades Educativ</w:t>
      </w:r>
      <w:r w:rsidR="00EC6FD0">
        <w:rPr>
          <w:rFonts w:ascii="Arial" w:hAnsi="Arial" w:cs="Arial"/>
          <w:sz w:val="24"/>
          <w:szCs w:val="24"/>
        </w:rPr>
        <w:t>as del Milenio” ……………………</w:t>
      </w:r>
      <w:r w:rsidR="007A491C">
        <w:rPr>
          <w:rFonts w:ascii="Arial" w:hAnsi="Arial" w:cs="Arial"/>
          <w:sz w:val="24"/>
          <w:szCs w:val="24"/>
        </w:rPr>
        <w:tab/>
      </w:r>
      <w:r w:rsidR="00EC6FD0">
        <w:rPr>
          <w:rFonts w:ascii="Arial" w:hAnsi="Arial" w:cs="Arial"/>
          <w:sz w:val="24"/>
          <w:szCs w:val="24"/>
        </w:rPr>
        <w:t>…………… 87</w:t>
      </w:r>
    </w:p>
    <w:p w:rsidR="00A66191" w:rsidRPr="004D6466" w:rsidRDefault="00A66191" w:rsidP="00EC6FD0">
      <w:pPr>
        <w:tabs>
          <w:tab w:val="right" w:leader="dot" w:pos="8789"/>
        </w:tabs>
        <w:ind w:firstLine="708"/>
        <w:rPr>
          <w:rFonts w:ascii="Arial" w:hAnsi="Arial" w:cs="Arial"/>
          <w:sz w:val="24"/>
          <w:szCs w:val="24"/>
        </w:rPr>
      </w:pPr>
      <w:r w:rsidRPr="004D6466">
        <w:rPr>
          <w:rFonts w:ascii="Arial" w:hAnsi="Arial" w:cs="Arial"/>
          <w:sz w:val="24"/>
          <w:szCs w:val="24"/>
        </w:rPr>
        <w:t>4.4.3 Ley Orgánica de Edu</w:t>
      </w:r>
      <w:r w:rsidR="00EC6FD0">
        <w:rPr>
          <w:rFonts w:ascii="Arial" w:hAnsi="Arial" w:cs="Arial"/>
          <w:sz w:val="24"/>
          <w:szCs w:val="24"/>
        </w:rPr>
        <w:t>cación Superior …………………</w:t>
      </w:r>
      <w:r w:rsidR="007A491C">
        <w:rPr>
          <w:rFonts w:ascii="Arial" w:hAnsi="Arial" w:cs="Arial"/>
          <w:sz w:val="24"/>
          <w:szCs w:val="24"/>
        </w:rPr>
        <w:tab/>
      </w:r>
      <w:r w:rsidR="00EC6FD0">
        <w:rPr>
          <w:rFonts w:ascii="Arial" w:hAnsi="Arial" w:cs="Arial"/>
          <w:sz w:val="24"/>
          <w:szCs w:val="24"/>
        </w:rPr>
        <w:t>…………. 89</w:t>
      </w:r>
    </w:p>
    <w:p w:rsidR="00A66191" w:rsidRPr="004D6466" w:rsidRDefault="00A66191" w:rsidP="00EC6FD0">
      <w:pPr>
        <w:tabs>
          <w:tab w:val="right" w:leader="dot" w:pos="8789"/>
        </w:tabs>
        <w:rPr>
          <w:rFonts w:ascii="Arial" w:hAnsi="Arial" w:cs="Arial"/>
          <w:sz w:val="24"/>
          <w:szCs w:val="24"/>
        </w:rPr>
      </w:pPr>
      <w:r w:rsidRPr="004D6466">
        <w:rPr>
          <w:rFonts w:ascii="Arial" w:hAnsi="Arial" w:cs="Arial"/>
          <w:sz w:val="24"/>
          <w:szCs w:val="24"/>
        </w:rPr>
        <w:t>4.5 Ámbito Económico ……………………………………………………</w:t>
      </w:r>
      <w:r w:rsidR="007A491C">
        <w:rPr>
          <w:rFonts w:ascii="Arial" w:hAnsi="Arial" w:cs="Arial"/>
          <w:sz w:val="24"/>
          <w:szCs w:val="24"/>
        </w:rPr>
        <w:tab/>
      </w:r>
      <w:r w:rsidRPr="004D6466">
        <w:rPr>
          <w:rFonts w:ascii="Arial" w:hAnsi="Arial" w:cs="Arial"/>
          <w:sz w:val="24"/>
          <w:szCs w:val="24"/>
        </w:rPr>
        <w:t xml:space="preserve">……… </w:t>
      </w:r>
      <w:r w:rsidR="00EC6FD0">
        <w:rPr>
          <w:rFonts w:ascii="Arial" w:hAnsi="Arial" w:cs="Arial"/>
          <w:sz w:val="24"/>
          <w:szCs w:val="24"/>
        </w:rPr>
        <w:t>94</w:t>
      </w:r>
    </w:p>
    <w:p w:rsidR="00A66191" w:rsidRPr="004D6466" w:rsidRDefault="00A66191" w:rsidP="00EC6FD0">
      <w:pPr>
        <w:tabs>
          <w:tab w:val="right" w:leader="dot" w:pos="8789"/>
        </w:tabs>
        <w:ind w:firstLine="708"/>
        <w:rPr>
          <w:rFonts w:ascii="Arial" w:hAnsi="Arial" w:cs="Arial"/>
          <w:sz w:val="24"/>
          <w:szCs w:val="24"/>
        </w:rPr>
      </w:pPr>
      <w:r w:rsidRPr="004D6466">
        <w:rPr>
          <w:rFonts w:ascii="Arial" w:hAnsi="Arial" w:cs="Arial"/>
          <w:sz w:val="24"/>
          <w:szCs w:val="24"/>
        </w:rPr>
        <w:t>4.5.1 Economía Popula</w:t>
      </w:r>
      <w:r w:rsidR="00EC6FD0">
        <w:rPr>
          <w:rFonts w:ascii="Arial" w:hAnsi="Arial" w:cs="Arial"/>
          <w:sz w:val="24"/>
          <w:szCs w:val="24"/>
        </w:rPr>
        <w:t>r y Solidaria ……………………………</w:t>
      </w:r>
      <w:r w:rsidR="007A491C">
        <w:rPr>
          <w:rFonts w:ascii="Arial" w:hAnsi="Arial" w:cs="Arial"/>
          <w:sz w:val="24"/>
          <w:szCs w:val="24"/>
        </w:rPr>
        <w:tab/>
      </w:r>
      <w:r w:rsidR="00EC6FD0">
        <w:rPr>
          <w:rFonts w:ascii="Arial" w:hAnsi="Arial" w:cs="Arial"/>
          <w:sz w:val="24"/>
          <w:szCs w:val="24"/>
        </w:rPr>
        <w:t>………. 94</w:t>
      </w:r>
    </w:p>
    <w:p w:rsidR="00EC6FD0" w:rsidRDefault="00A66191" w:rsidP="00EC6FD0">
      <w:pPr>
        <w:tabs>
          <w:tab w:val="right" w:leader="dot" w:pos="8789"/>
        </w:tabs>
        <w:ind w:firstLine="708"/>
        <w:rPr>
          <w:rFonts w:ascii="Arial" w:hAnsi="Arial" w:cs="Arial"/>
          <w:sz w:val="24"/>
          <w:szCs w:val="24"/>
        </w:rPr>
      </w:pPr>
      <w:r w:rsidRPr="004D6466">
        <w:rPr>
          <w:rFonts w:ascii="Arial" w:hAnsi="Arial" w:cs="Arial"/>
          <w:sz w:val="24"/>
          <w:szCs w:val="24"/>
        </w:rPr>
        <w:t>4.5.2 Cambio en la Mat</w:t>
      </w:r>
      <w:r w:rsidR="00EC6FD0">
        <w:rPr>
          <w:rFonts w:ascii="Arial" w:hAnsi="Arial" w:cs="Arial"/>
          <w:sz w:val="24"/>
          <w:szCs w:val="24"/>
        </w:rPr>
        <w:t>riz Económica …………………………</w:t>
      </w:r>
      <w:r w:rsidR="007A491C">
        <w:rPr>
          <w:rFonts w:ascii="Arial" w:hAnsi="Arial" w:cs="Arial"/>
          <w:sz w:val="24"/>
          <w:szCs w:val="24"/>
        </w:rPr>
        <w:tab/>
      </w:r>
      <w:r w:rsidR="00EC6FD0">
        <w:rPr>
          <w:rFonts w:ascii="Arial" w:hAnsi="Arial" w:cs="Arial"/>
          <w:sz w:val="24"/>
          <w:szCs w:val="24"/>
        </w:rPr>
        <w:t>……….. 98</w:t>
      </w:r>
    </w:p>
    <w:p w:rsidR="00A66191" w:rsidRPr="004D6466" w:rsidRDefault="00A66191" w:rsidP="00EC6FD0">
      <w:pPr>
        <w:tabs>
          <w:tab w:val="right" w:leader="dot" w:pos="8789"/>
        </w:tabs>
        <w:ind w:firstLine="708"/>
        <w:rPr>
          <w:rFonts w:ascii="Arial" w:hAnsi="Arial" w:cs="Arial"/>
          <w:sz w:val="24"/>
          <w:szCs w:val="24"/>
        </w:rPr>
      </w:pPr>
      <w:r w:rsidRPr="004D6466">
        <w:rPr>
          <w:rFonts w:ascii="Arial" w:hAnsi="Arial" w:cs="Arial"/>
          <w:sz w:val="24"/>
          <w:szCs w:val="24"/>
        </w:rPr>
        <w:t>4.5.3 Renegociación de los Co</w:t>
      </w:r>
      <w:r w:rsidR="00EC6FD0">
        <w:rPr>
          <w:rFonts w:ascii="Arial" w:hAnsi="Arial" w:cs="Arial"/>
          <w:sz w:val="24"/>
          <w:szCs w:val="24"/>
        </w:rPr>
        <w:t>ntratos Petroleros ……………</w:t>
      </w:r>
      <w:r w:rsidR="007A491C">
        <w:rPr>
          <w:rFonts w:ascii="Arial" w:hAnsi="Arial" w:cs="Arial"/>
          <w:sz w:val="24"/>
          <w:szCs w:val="24"/>
        </w:rPr>
        <w:tab/>
      </w:r>
      <w:r w:rsidR="00EC6FD0">
        <w:rPr>
          <w:rFonts w:ascii="Arial" w:hAnsi="Arial" w:cs="Arial"/>
          <w:sz w:val="24"/>
          <w:szCs w:val="24"/>
        </w:rPr>
        <w:t>……….. 104</w:t>
      </w:r>
    </w:p>
    <w:p w:rsidR="00A66191" w:rsidRPr="004D6466" w:rsidRDefault="00A66191" w:rsidP="00EC6FD0">
      <w:pPr>
        <w:tabs>
          <w:tab w:val="right" w:leader="dot" w:pos="8789"/>
        </w:tabs>
        <w:spacing w:line="360" w:lineRule="auto"/>
        <w:jc w:val="both"/>
        <w:rPr>
          <w:rFonts w:ascii="Arial" w:hAnsi="Arial" w:cs="Arial"/>
          <w:sz w:val="24"/>
          <w:szCs w:val="24"/>
        </w:rPr>
      </w:pPr>
      <w:r w:rsidRPr="004D6466">
        <w:rPr>
          <w:rFonts w:ascii="Arial" w:hAnsi="Arial" w:cs="Arial"/>
          <w:b/>
          <w:sz w:val="24"/>
          <w:szCs w:val="24"/>
        </w:rPr>
        <w:t xml:space="preserve">      5. CAPÍTULO V ANÁLISIS COMPARATIVO DE LOS DOS MODELOS Y  APLICABILIDAD DE LAS MEDIDAS EXITOSAS DEL BRASIL EN EL ECUADOR </w:t>
      </w:r>
      <w:r w:rsidR="00EC6FD0">
        <w:rPr>
          <w:rFonts w:ascii="Arial" w:hAnsi="Arial" w:cs="Arial"/>
          <w:sz w:val="24"/>
          <w:szCs w:val="24"/>
        </w:rPr>
        <w:t>……………………………………………………………………</w:t>
      </w:r>
      <w:r w:rsidR="007A491C">
        <w:rPr>
          <w:rFonts w:ascii="Arial" w:hAnsi="Arial" w:cs="Arial"/>
          <w:sz w:val="24"/>
          <w:szCs w:val="24"/>
        </w:rPr>
        <w:tab/>
      </w:r>
      <w:r w:rsidR="00EC6FD0">
        <w:rPr>
          <w:rFonts w:ascii="Arial" w:hAnsi="Arial" w:cs="Arial"/>
          <w:sz w:val="24"/>
          <w:szCs w:val="24"/>
        </w:rPr>
        <w:t>…… 107</w:t>
      </w:r>
    </w:p>
    <w:p w:rsidR="00A66191" w:rsidRPr="004D6466" w:rsidRDefault="00A66191" w:rsidP="00EC6FD0">
      <w:pPr>
        <w:tabs>
          <w:tab w:val="right" w:leader="dot" w:pos="8789"/>
        </w:tabs>
        <w:rPr>
          <w:rFonts w:ascii="Arial" w:hAnsi="Arial" w:cs="Arial"/>
          <w:sz w:val="24"/>
          <w:szCs w:val="24"/>
        </w:rPr>
      </w:pPr>
      <w:r w:rsidRPr="004D6466">
        <w:rPr>
          <w:rFonts w:ascii="Arial" w:hAnsi="Arial" w:cs="Arial"/>
          <w:sz w:val="24"/>
          <w:szCs w:val="24"/>
        </w:rPr>
        <w:t xml:space="preserve">5.1 Análisis Comparativo de los </w:t>
      </w:r>
      <w:r w:rsidR="00EC6FD0">
        <w:rPr>
          <w:rFonts w:ascii="Arial" w:hAnsi="Arial" w:cs="Arial"/>
          <w:sz w:val="24"/>
          <w:szCs w:val="24"/>
        </w:rPr>
        <w:t>dos Modelos. ………………………</w:t>
      </w:r>
      <w:r w:rsidR="007A491C">
        <w:rPr>
          <w:rFonts w:ascii="Arial" w:hAnsi="Arial" w:cs="Arial"/>
          <w:sz w:val="24"/>
          <w:szCs w:val="24"/>
        </w:rPr>
        <w:tab/>
      </w:r>
      <w:r w:rsidR="00EC6FD0">
        <w:rPr>
          <w:rFonts w:ascii="Arial" w:hAnsi="Arial" w:cs="Arial"/>
          <w:sz w:val="24"/>
          <w:szCs w:val="24"/>
        </w:rPr>
        <w:t>………... 110</w:t>
      </w:r>
    </w:p>
    <w:p w:rsidR="00A66191" w:rsidRPr="004D6466" w:rsidRDefault="00A66191" w:rsidP="00EC6FD0">
      <w:pPr>
        <w:tabs>
          <w:tab w:val="right" w:leader="dot" w:pos="8789"/>
        </w:tabs>
        <w:rPr>
          <w:rFonts w:ascii="Arial" w:hAnsi="Arial" w:cs="Arial"/>
          <w:sz w:val="24"/>
          <w:szCs w:val="24"/>
        </w:rPr>
      </w:pPr>
      <w:r w:rsidRPr="004D6466">
        <w:rPr>
          <w:rFonts w:ascii="Arial" w:hAnsi="Arial" w:cs="Arial"/>
          <w:sz w:val="24"/>
          <w:szCs w:val="24"/>
        </w:rPr>
        <w:t>5.2 Medidas aplicadas en el Brasil que podrían incorporarse al modelo de Ecuador. …………………………………………</w:t>
      </w:r>
      <w:r w:rsidR="00EC6FD0">
        <w:rPr>
          <w:rFonts w:ascii="Arial" w:hAnsi="Arial" w:cs="Arial"/>
          <w:sz w:val="24"/>
          <w:szCs w:val="24"/>
        </w:rPr>
        <w:t>…………………………</w:t>
      </w:r>
      <w:r w:rsidR="007A491C">
        <w:rPr>
          <w:rFonts w:ascii="Arial" w:hAnsi="Arial" w:cs="Arial"/>
          <w:sz w:val="24"/>
          <w:szCs w:val="24"/>
        </w:rPr>
        <w:tab/>
      </w:r>
      <w:r w:rsidR="00EC6FD0">
        <w:rPr>
          <w:rFonts w:ascii="Arial" w:hAnsi="Arial" w:cs="Arial"/>
          <w:sz w:val="24"/>
          <w:szCs w:val="24"/>
        </w:rPr>
        <w:t>……… 114</w:t>
      </w:r>
    </w:p>
    <w:p w:rsidR="00A66191" w:rsidRPr="004D6466" w:rsidRDefault="00A66191" w:rsidP="00EC6FD0">
      <w:pPr>
        <w:pStyle w:val="Sinespaciado"/>
        <w:tabs>
          <w:tab w:val="right" w:leader="dot" w:pos="8789"/>
        </w:tabs>
        <w:jc w:val="both"/>
        <w:rPr>
          <w:rFonts w:ascii="Arial" w:hAnsi="Arial" w:cs="Arial"/>
          <w:sz w:val="24"/>
          <w:szCs w:val="24"/>
        </w:rPr>
      </w:pPr>
      <w:r w:rsidRPr="004D6466">
        <w:rPr>
          <w:rFonts w:ascii="Arial" w:hAnsi="Arial" w:cs="Arial"/>
          <w:sz w:val="24"/>
          <w:szCs w:val="24"/>
        </w:rPr>
        <w:t xml:space="preserve">5.3 Propuesta de incorporación de las medidas al Plan Nacional del Buen </w:t>
      </w:r>
    </w:p>
    <w:p w:rsidR="00A66191" w:rsidRPr="004D6466" w:rsidRDefault="00A66191" w:rsidP="00EC6FD0">
      <w:pPr>
        <w:pStyle w:val="Sinespaciado"/>
        <w:tabs>
          <w:tab w:val="right" w:leader="dot" w:pos="8789"/>
        </w:tabs>
        <w:jc w:val="both"/>
        <w:rPr>
          <w:rFonts w:ascii="Arial" w:hAnsi="Arial" w:cs="Arial"/>
          <w:sz w:val="24"/>
          <w:szCs w:val="24"/>
        </w:rPr>
      </w:pPr>
      <w:r w:rsidRPr="004D6466">
        <w:rPr>
          <w:rFonts w:ascii="Arial" w:hAnsi="Arial" w:cs="Arial"/>
          <w:sz w:val="24"/>
          <w:szCs w:val="24"/>
        </w:rPr>
        <w:t>Vivir. ……………</w:t>
      </w:r>
      <w:r w:rsidR="00EC6FD0">
        <w:rPr>
          <w:rFonts w:ascii="Arial" w:hAnsi="Arial" w:cs="Arial"/>
          <w:sz w:val="24"/>
          <w:szCs w:val="24"/>
        </w:rPr>
        <w:t>……………………………………………………………</w:t>
      </w:r>
      <w:r w:rsidR="007A491C">
        <w:rPr>
          <w:rFonts w:ascii="Arial" w:hAnsi="Arial" w:cs="Arial"/>
          <w:sz w:val="24"/>
          <w:szCs w:val="24"/>
        </w:rPr>
        <w:tab/>
      </w:r>
      <w:r w:rsidR="00EC6FD0">
        <w:rPr>
          <w:rFonts w:ascii="Arial" w:hAnsi="Arial" w:cs="Arial"/>
          <w:sz w:val="24"/>
          <w:szCs w:val="24"/>
        </w:rPr>
        <w:t>……... 115</w:t>
      </w:r>
    </w:p>
    <w:p w:rsidR="00A66191" w:rsidRPr="004D6466" w:rsidRDefault="00A66191" w:rsidP="00EC6FD0">
      <w:pPr>
        <w:pStyle w:val="Sinespaciado"/>
        <w:tabs>
          <w:tab w:val="right" w:leader="dot" w:pos="8789"/>
        </w:tabs>
      </w:pPr>
    </w:p>
    <w:p w:rsidR="00A66191" w:rsidRPr="004D6466" w:rsidRDefault="00A66191" w:rsidP="00EC6FD0">
      <w:pPr>
        <w:tabs>
          <w:tab w:val="right" w:leader="dot" w:pos="8789"/>
        </w:tabs>
        <w:rPr>
          <w:rFonts w:ascii="Arial" w:hAnsi="Arial" w:cs="Arial"/>
          <w:sz w:val="24"/>
          <w:szCs w:val="24"/>
        </w:rPr>
      </w:pPr>
      <w:r w:rsidRPr="004D6466">
        <w:rPr>
          <w:rFonts w:ascii="Arial" w:hAnsi="Arial" w:cs="Arial"/>
          <w:sz w:val="24"/>
          <w:szCs w:val="24"/>
        </w:rPr>
        <w:t>5.4 Conclusiones y Reco</w:t>
      </w:r>
      <w:r w:rsidR="00EC6FD0">
        <w:rPr>
          <w:rFonts w:ascii="Arial" w:hAnsi="Arial" w:cs="Arial"/>
          <w:sz w:val="24"/>
          <w:szCs w:val="24"/>
        </w:rPr>
        <w:t>mendaciones ……………………………………</w:t>
      </w:r>
      <w:r w:rsidR="007A491C">
        <w:rPr>
          <w:rFonts w:ascii="Arial" w:hAnsi="Arial" w:cs="Arial"/>
          <w:sz w:val="24"/>
          <w:szCs w:val="24"/>
        </w:rPr>
        <w:tab/>
      </w:r>
      <w:r w:rsidR="00EC6FD0">
        <w:rPr>
          <w:rFonts w:ascii="Arial" w:hAnsi="Arial" w:cs="Arial"/>
          <w:sz w:val="24"/>
          <w:szCs w:val="24"/>
        </w:rPr>
        <w:t>…… 126</w:t>
      </w:r>
    </w:p>
    <w:p w:rsidR="00EC6FD0" w:rsidRPr="004D6466" w:rsidRDefault="00A66191" w:rsidP="00EC6FD0">
      <w:pPr>
        <w:tabs>
          <w:tab w:val="right" w:leader="dot" w:pos="8789"/>
        </w:tabs>
        <w:rPr>
          <w:rFonts w:ascii="Arial" w:hAnsi="Arial" w:cs="Arial"/>
          <w:sz w:val="24"/>
          <w:szCs w:val="24"/>
        </w:rPr>
      </w:pPr>
      <w:r w:rsidRPr="004D6466">
        <w:rPr>
          <w:rFonts w:ascii="Arial" w:hAnsi="Arial" w:cs="Arial"/>
          <w:sz w:val="24"/>
          <w:szCs w:val="24"/>
        </w:rPr>
        <w:t>5.5 Bibliografía</w:t>
      </w:r>
      <w:r w:rsidR="00EC6FD0">
        <w:rPr>
          <w:rFonts w:ascii="Arial" w:hAnsi="Arial" w:cs="Arial"/>
          <w:sz w:val="24"/>
          <w:szCs w:val="24"/>
        </w:rPr>
        <w:t xml:space="preserve"> ………………………………………………………………</w:t>
      </w:r>
      <w:r w:rsidR="007A491C">
        <w:rPr>
          <w:rFonts w:ascii="Arial" w:hAnsi="Arial" w:cs="Arial"/>
          <w:sz w:val="24"/>
          <w:szCs w:val="24"/>
        </w:rPr>
        <w:tab/>
      </w:r>
      <w:r w:rsidR="00EC6FD0">
        <w:rPr>
          <w:rFonts w:ascii="Arial" w:hAnsi="Arial" w:cs="Arial"/>
          <w:sz w:val="24"/>
          <w:szCs w:val="24"/>
        </w:rPr>
        <w:t>……. 132</w:t>
      </w:r>
    </w:p>
    <w:p w:rsidR="00A66191" w:rsidRPr="004D6466" w:rsidRDefault="00A66191" w:rsidP="00EC6FD0">
      <w:pPr>
        <w:tabs>
          <w:tab w:val="right" w:leader="dot" w:pos="8789"/>
        </w:tabs>
        <w:rPr>
          <w:rFonts w:ascii="Arial" w:hAnsi="Arial" w:cs="Arial"/>
          <w:sz w:val="24"/>
          <w:szCs w:val="24"/>
        </w:rPr>
      </w:pPr>
      <w:r w:rsidRPr="004D6466">
        <w:rPr>
          <w:rFonts w:ascii="Arial" w:hAnsi="Arial" w:cs="Arial"/>
          <w:sz w:val="24"/>
          <w:szCs w:val="24"/>
        </w:rPr>
        <w:t>5.6 Anexos …………</w:t>
      </w:r>
      <w:r w:rsidR="00EC6FD0">
        <w:rPr>
          <w:rFonts w:ascii="Arial" w:hAnsi="Arial" w:cs="Arial"/>
          <w:sz w:val="24"/>
          <w:szCs w:val="24"/>
        </w:rPr>
        <w:t>…………………………………………………………</w:t>
      </w:r>
      <w:r w:rsidR="007A491C">
        <w:rPr>
          <w:rFonts w:ascii="Arial" w:hAnsi="Arial" w:cs="Arial"/>
          <w:sz w:val="24"/>
          <w:szCs w:val="24"/>
        </w:rPr>
        <w:tab/>
      </w:r>
      <w:r w:rsidR="00EC6FD0">
        <w:rPr>
          <w:rFonts w:ascii="Arial" w:hAnsi="Arial" w:cs="Arial"/>
          <w:sz w:val="24"/>
          <w:szCs w:val="24"/>
        </w:rPr>
        <w:t>…… 136</w:t>
      </w:r>
    </w:p>
    <w:p w:rsidR="003E4A55" w:rsidRDefault="003E4A55" w:rsidP="00A66191">
      <w:pPr>
        <w:tabs>
          <w:tab w:val="left" w:pos="2130"/>
        </w:tabs>
        <w:jc w:val="center"/>
        <w:rPr>
          <w:rFonts w:ascii="Arial" w:hAnsi="Arial" w:cs="Arial"/>
          <w:sz w:val="24"/>
          <w:szCs w:val="24"/>
        </w:rPr>
        <w:sectPr w:rsidR="003E4A55" w:rsidSect="004D6466">
          <w:footerReference w:type="default" r:id="rId9"/>
          <w:pgSz w:w="11906" w:h="16838"/>
          <w:pgMar w:top="1417" w:right="1701" w:bottom="1417" w:left="1701" w:header="708" w:footer="708" w:gutter="0"/>
          <w:pgNumType w:start="1"/>
          <w:cols w:space="708"/>
          <w:docGrid w:linePitch="360"/>
        </w:sectPr>
      </w:pPr>
    </w:p>
    <w:p w:rsidR="00A66191" w:rsidRPr="004D6466" w:rsidRDefault="00A66191" w:rsidP="00A66191">
      <w:pPr>
        <w:jc w:val="center"/>
        <w:rPr>
          <w:rFonts w:ascii="Arial" w:hAnsi="Arial" w:cs="Arial"/>
          <w:b/>
          <w:sz w:val="28"/>
          <w:szCs w:val="28"/>
        </w:rPr>
      </w:pPr>
    </w:p>
    <w:p w:rsidR="00A66191" w:rsidRPr="004D6466" w:rsidRDefault="00A66191" w:rsidP="00A66191">
      <w:pPr>
        <w:jc w:val="center"/>
        <w:rPr>
          <w:rFonts w:ascii="Arial" w:hAnsi="Arial" w:cs="Arial"/>
          <w:b/>
          <w:sz w:val="28"/>
          <w:szCs w:val="28"/>
        </w:rPr>
      </w:pPr>
    </w:p>
    <w:p w:rsidR="00A66191" w:rsidRPr="004D6466" w:rsidRDefault="00A66191" w:rsidP="00A66191">
      <w:pPr>
        <w:jc w:val="center"/>
        <w:rPr>
          <w:rFonts w:ascii="Arial" w:hAnsi="Arial" w:cs="Arial"/>
          <w:sz w:val="28"/>
          <w:szCs w:val="28"/>
        </w:rPr>
      </w:pPr>
      <w:r w:rsidRPr="004D6466">
        <w:rPr>
          <w:rFonts w:ascii="Arial" w:hAnsi="Arial" w:cs="Arial"/>
          <w:b/>
          <w:sz w:val="28"/>
          <w:szCs w:val="28"/>
        </w:rPr>
        <w:t>Resumen o Abstract</w:t>
      </w:r>
    </w:p>
    <w:p w:rsidR="00A66191" w:rsidRPr="004D6466" w:rsidRDefault="00A66191" w:rsidP="00A66191">
      <w:pPr>
        <w:jc w:val="center"/>
        <w:rPr>
          <w:rFonts w:ascii="Arial" w:hAnsi="Arial" w:cs="Arial"/>
          <w:sz w:val="28"/>
          <w:szCs w:val="28"/>
        </w:rPr>
      </w:pPr>
    </w:p>
    <w:p w:rsidR="00A66191" w:rsidRPr="004D6466" w:rsidRDefault="00A66191" w:rsidP="00A66191">
      <w:pPr>
        <w:spacing w:line="360" w:lineRule="auto"/>
        <w:jc w:val="both"/>
        <w:rPr>
          <w:rFonts w:ascii="Arial" w:hAnsi="Arial" w:cs="Arial"/>
          <w:sz w:val="24"/>
          <w:szCs w:val="24"/>
        </w:rPr>
      </w:pPr>
      <w:r w:rsidRPr="004D6466">
        <w:rPr>
          <w:rFonts w:ascii="Arial" w:hAnsi="Arial" w:cs="Arial"/>
          <w:sz w:val="24"/>
          <w:szCs w:val="24"/>
        </w:rPr>
        <w:t xml:space="preserve">El presente proyecto de fin de carrera se plantea la aplicabilidad de las medidas exitosas de Brasil, bajo el mandato de Luis Ignacio Lula da Silva, en el Ecuador actual bajo el mandato del Presidente Rafael Correa. </w:t>
      </w:r>
    </w:p>
    <w:p w:rsidR="00A66191" w:rsidRPr="004D6466" w:rsidRDefault="00A66191" w:rsidP="00A66191">
      <w:pPr>
        <w:spacing w:line="360" w:lineRule="auto"/>
        <w:jc w:val="both"/>
        <w:rPr>
          <w:rFonts w:ascii="Arial" w:hAnsi="Arial" w:cs="Arial"/>
          <w:sz w:val="24"/>
          <w:szCs w:val="24"/>
        </w:rPr>
      </w:pPr>
      <w:r w:rsidRPr="004D6466">
        <w:rPr>
          <w:rFonts w:ascii="Arial" w:hAnsi="Arial" w:cs="Arial"/>
          <w:sz w:val="24"/>
          <w:szCs w:val="24"/>
        </w:rPr>
        <w:t>Para ello realiza el diagnóstico de los dos países e identifica las principales características (Capítulo 2); luego define los modelos de cada país y las principales medidas adoptadas, identifica los resultados de la aplicación de los modelos en los ámbitos de: bienestar social,  salud, educación y economía (Capítulos 3 y 4 respectivamente).</w:t>
      </w:r>
    </w:p>
    <w:p w:rsidR="00A66191" w:rsidRPr="004D6466" w:rsidRDefault="00A66191" w:rsidP="00A66191">
      <w:pPr>
        <w:spacing w:line="360" w:lineRule="auto"/>
        <w:jc w:val="both"/>
        <w:rPr>
          <w:rFonts w:ascii="Arial" w:hAnsi="Arial" w:cs="Arial"/>
          <w:sz w:val="24"/>
          <w:szCs w:val="24"/>
        </w:rPr>
      </w:pPr>
      <w:r w:rsidRPr="004D6466">
        <w:rPr>
          <w:rFonts w:ascii="Arial" w:hAnsi="Arial" w:cs="Arial"/>
          <w:sz w:val="24"/>
          <w:szCs w:val="24"/>
        </w:rPr>
        <w:t>Realiza un análisis comparativo de los modelos, identifica las principales medidas exitosas del Brasil que pueden aplicarse en el Ecuador y plantea una propuesta de incorporación de dichas medidas en el Plan Nacional del Buen Vivir (Capítulo 5).</w:t>
      </w:r>
    </w:p>
    <w:p w:rsidR="00A66191" w:rsidRDefault="00A66191" w:rsidP="00A66191">
      <w:pPr>
        <w:spacing w:line="360" w:lineRule="auto"/>
        <w:jc w:val="both"/>
        <w:rPr>
          <w:rFonts w:ascii="Arial" w:hAnsi="Arial" w:cs="Arial"/>
          <w:sz w:val="24"/>
          <w:szCs w:val="24"/>
        </w:rPr>
      </w:pPr>
      <w:r w:rsidRPr="004D6466">
        <w:rPr>
          <w:rFonts w:ascii="Arial" w:hAnsi="Arial" w:cs="Arial"/>
          <w:sz w:val="24"/>
          <w:szCs w:val="24"/>
        </w:rPr>
        <w:t>Concluye que, si bien la realidad, política, social, geográfica, de tamaño y de inserción de los dos países en el contexto mundial, son muy diferentes, existen medidas exitosas que se aplicaron en el Brasil que pueden implementarse en el Ecuador en el marco del Plan Nacional del Buen Vivir.</w:t>
      </w:r>
    </w:p>
    <w:p w:rsidR="00AF53C2" w:rsidRPr="004D6466" w:rsidRDefault="00AF53C2" w:rsidP="00A66191">
      <w:pPr>
        <w:spacing w:line="360" w:lineRule="auto"/>
        <w:jc w:val="both"/>
        <w:rPr>
          <w:rFonts w:ascii="Arial" w:hAnsi="Arial" w:cs="Arial"/>
          <w:sz w:val="24"/>
          <w:szCs w:val="24"/>
        </w:rPr>
        <w:sectPr w:rsidR="00AF53C2" w:rsidRPr="004D6466" w:rsidSect="003E4A55">
          <w:footerReference w:type="default" r:id="rId10"/>
          <w:pgSz w:w="11906" w:h="16838"/>
          <w:pgMar w:top="1417" w:right="1701" w:bottom="1417" w:left="1701" w:header="708" w:footer="708" w:gutter="0"/>
          <w:pgNumType w:start="1"/>
          <w:cols w:space="708"/>
          <w:docGrid w:linePitch="360"/>
        </w:sectPr>
      </w:pPr>
    </w:p>
    <w:p w:rsidR="00A66191" w:rsidRPr="004D6466" w:rsidRDefault="00A66191" w:rsidP="00A66191">
      <w:pPr>
        <w:jc w:val="center"/>
        <w:rPr>
          <w:rFonts w:ascii="Arial" w:hAnsi="Arial" w:cs="Arial"/>
          <w:b/>
          <w:sz w:val="28"/>
          <w:szCs w:val="28"/>
        </w:rPr>
      </w:pPr>
      <w:r w:rsidRPr="004D6466">
        <w:rPr>
          <w:rFonts w:ascii="Arial" w:hAnsi="Arial" w:cs="Arial"/>
          <w:b/>
          <w:sz w:val="28"/>
          <w:szCs w:val="28"/>
        </w:rPr>
        <w:lastRenderedPageBreak/>
        <w:t>1. CAPÍTULO I: MODELOS DE DESARROLLO</w:t>
      </w:r>
    </w:p>
    <w:p w:rsidR="00A66191" w:rsidRPr="004D6466" w:rsidRDefault="00A66191" w:rsidP="00A66191">
      <w:pPr>
        <w:rPr>
          <w:rFonts w:ascii="Arial" w:hAnsi="Arial" w:cs="Arial"/>
          <w:b/>
          <w:sz w:val="24"/>
          <w:szCs w:val="24"/>
        </w:rPr>
      </w:pPr>
      <w:r w:rsidRPr="004D6466">
        <w:rPr>
          <w:rFonts w:ascii="Arial" w:hAnsi="Arial" w:cs="Arial"/>
          <w:b/>
          <w:sz w:val="24"/>
          <w:szCs w:val="24"/>
        </w:rPr>
        <w:t>1. 1 Introducción</w:t>
      </w:r>
    </w:p>
    <w:p w:rsidR="00A66191" w:rsidRPr="004D6466" w:rsidRDefault="00A66191" w:rsidP="00A66191">
      <w:pPr>
        <w:pStyle w:val="NormalWeb"/>
        <w:spacing w:line="360" w:lineRule="auto"/>
        <w:jc w:val="both"/>
        <w:rPr>
          <w:rFonts w:ascii="Arial" w:hAnsi="Arial" w:cs="Arial"/>
        </w:rPr>
      </w:pPr>
      <w:r w:rsidRPr="004D6466">
        <w:rPr>
          <w:rFonts w:ascii="Arial" w:hAnsi="Arial" w:cs="Arial"/>
        </w:rPr>
        <w:t xml:space="preserve">El continente americano es un continente con una gran riqueza natural pero de unas desigualdades sociales muy profundas. Los países latinoamericanos están aquejados por grandes males como la pobreza, miseria, mala distribución de la riqueza, entre otros. Problemas que tienen que ser erradicados de manera urgente. </w:t>
      </w:r>
    </w:p>
    <w:p w:rsidR="00A66191" w:rsidRPr="004D6466" w:rsidRDefault="00A66191" w:rsidP="00A66191">
      <w:pPr>
        <w:pStyle w:val="NormalWeb"/>
        <w:spacing w:line="360" w:lineRule="auto"/>
        <w:jc w:val="both"/>
        <w:rPr>
          <w:rFonts w:ascii="Arial" w:hAnsi="Arial" w:cs="Arial"/>
        </w:rPr>
      </w:pPr>
      <w:r w:rsidRPr="004D6466">
        <w:rPr>
          <w:rFonts w:ascii="Arial" w:hAnsi="Arial" w:cs="Arial"/>
        </w:rPr>
        <w:t>Algunos países en vías de desarrollo han implementado planes para sacar a su población de la pobreza, un ejemplo de ello es Brasil con sus programas sociales, que han logrado beneficiar a un total de 45 millones de habitantes que salieron de la pobreza.</w:t>
      </w:r>
    </w:p>
    <w:p w:rsidR="00A66191" w:rsidRPr="004D6466" w:rsidRDefault="00A66191" w:rsidP="00A66191">
      <w:pPr>
        <w:pStyle w:val="NormalWeb"/>
        <w:spacing w:line="360" w:lineRule="auto"/>
        <w:jc w:val="both"/>
        <w:rPr>
          <w:rFonts w:ascii="Arial" w:hAnsi="Arial" w:cs="Arial"/>
        </w:rPr>
      </w:pPr>
      <w:r w:rsidRPr="004D6466">
        <w:rPr>
          <w:rFonts w:ascii="Arial" w:hAnsi="Arial" w:cs="Arial"/>
        </w:rPr>
        <w:t>Para enfrentar estos grandes problemas la Organización de Naciones Unidas definió los objetivos del Milenio, entre los cuales está la erradicación de la pobreza, como una política de Estado, que debe ser aplicada por los países miembros y se monitorea su puesta en marcha con indicadores sociales como calidad de vida, necesidades básicas insatisfechas, entre otros.</w:t>
      </w:r>
    </w:p>
    <w:p w:rsidR="00A66191" w:rsidRPr="004D6466" w:rsidRDefault="00A66191" w:rsidP="00A66191">
      <w:pPr>
        <w:pStyle w:val="NormalWeb"/>
        <w:spacing w:line="360" w:lineRule="auto"/>
        <w:jc w:val="both"/>
        <w:rPr>
          <w:rFonts w:ascii="Arial" w:hAnsi="Arial" w:cs="Arial"/>
        </w:rPr>
      </w:pPr>
      <w:r w:rsidRPr="004D6466">
        <w:rPr>
          <w:rFonts w:ascii="Arial" w:hAnsi="Arial" w:cs="Arial"/>
        </w:rPr>
        <w:t>En el presente proyecto de fin de carrera se considera dos objetos de estudio respecto a estos temas, el primero Brasil, uno de los países más grandes del mundo con una población con grandes diferencias entre ricos y pobres, y por otro lado Ecuador, uno de los países más chicos del continente, pero que también presenta características de pobreza similares.</w:t>
      </w:r>
    </w:p>
    <w:p w:rsidR="00A66191" w:rsidRPr="004D6466" w:rsidRDefault="00A66191" w:rsidP="00A66191">
      <w:pPr>
        <w:pStyle w:val="Default"/>
        <w:spacing w:line="360" w:lineRule="auto"/>
        <w:jc w:val="both"/>
        <w:rPr>
          <w:rFonts w:ascii="Arial" w:hAnsi="Arial" w:cs="Arial"/>
          <w:color w:val="auto"/>
          <w:lang w:val="es-EC"/>
        </w:rPr>
      </w:pPr>
      <w:r w:rsidRPr="004D6466">
        <w:rPr>
          <w:rFonts w:ascii="Arial" w:hAnsi="Arial" w:cs="Arial"/>
          <w:color w:val="auto"/>
          <w:lang w:val="es-EC"/>
        </w:rPr>
        <w:t>Brasil es un país altamente polarizado conforme señala el Instituto Brasileño de Geografía y Estadísticas que dice “de acuerdo con estadísticas oficiales del 2003 se estima que, de una población total de 174 millones de habitantes de Brasil, hay 54 millones (31%) pobres. 1% de los ricos ocupan 12.71% de los ingresos del país, mientras 20% de los pobres solo ocupan 2.62% de los ingresos del país”</w:t>
      </w:r>
      <w:r w:rsidRPr="004D6466">
        <w:rPr>
          <w:rStyle w:val="Refdenotaalpie"/>
          <w:rFonts w:ascii="Arial" w:hAnsi="Arial" w:cs="Arial"/>
          <w:color w:val="auto"/>
          <w:lang w:val="es-EC"/>
        </w:rPr>
        <w:footnoteReference w:id="2"/>
      </w:r>
      <w:r w:rsidRPr="004D6466">
        <w:rPr>
          <w:rFonts w:ascii="Arial" w:hAnsi="Arial" w:cs="Arial"/>
          <w:color w:val="auto"/>
          <w:lang w:val="es-EC"/>
        </w:rPr>
        <w:t>.</w:t>
      </w:r>
    </w:p>
    <w:p w:rsidR="00A66191" w:rsidRPr="004D6466" w:rsidRDefault="00A66191" w:rsidP="00A66191">
      <w:pPr>
        <w:pStyle w:val="Default"/>
        <w:spacing w:line="360" w:lineRule="auto"/>
        <w:jc w:val="both"/>
        <w:rPr>
          <w:rFonts w:ascii="Arial" w:hAnsi="Arial" w:cs="Arial"/>
          <w:color w:val="auto"/>
          <w:lang w:val="es-EC"/>
        </w:rPr>
      </w:pPr>
    </w:p>
    <w:p w:rsidR="00A66191" w:rsidRPr="004D6466" w:rsidRDefault="00A66191" w:rsidP="00A66191">
      <w:pPr>
        <w:pStyle w:val="Default"/>
        <w:spacing w:line="360" w:lineRule="auto"/>
        <w:jc w:val="both"/>
        <w:rPr>
          <w:rFonts w:ascii="Arial" w:hAnsi="Arial" w:cs="Arial"/>
          <w:color w:val="auto"/>
          <w:lang w:val="es-EC"/>
        </w:rPr>
      </w:pPr>
      <w:r w:rsidRPr="004D6466">
        <w:rPr>
          <w:rFonts w:ascii="Arial" w:hAnsi="Arial" w:cs="Arial"/>
          <w:color w:val="auto"/>
          <w:lang w:val="es-EC"/>
        </w:rPr>
        <w:lastRenderedPageBreak/>
        <w:t>Por otro lado se encuentra el Ecuador que para el 2011 tenía una población aproximada de 14 millones y medio de habitantes, de los cuales el 28.6% son pobres, el 2.1% son ricos y el 49% de la población es considerada clase media</w:t>
      </w:r>
      <w:r w:rsidRPr="004D6466">
        <w:rPr>
          <w:rStyle w:val="Refdenotaalpie"/>
          <w:rFonts w:ascii="Arial" w:hAnsi="Arial" w:cs="Arial"/>
          <w:color w:val="auto"/>
          <w:lang w:val="es-EC"/>
        </w:rPr>
        <w:footnoteReference w:id="3"/>
      </w:r>
      <w:r w:rsidRPr="004D6466">
        <w:rPr>
          <w:rFonts w:ascii="Arial" w:hAnsi="Arial" w:cs="Arial"/>
          <w:color w:val="auto"/>
          <w:lang w:val="es-EC"/>
        </w:rPr>
        <w:t xml:space="preserve">. </w:t>
      </w:r>
    </w:p>
    <w:p w:rsidR="00A66191" w:rsidRPr="004D6466" w:rsidRDefault="00A66191" w:rsidP="00A66191">
      <w:pPr>
        <w:pStyle w:val="Default"/>
        <w:spacing w:line="360" w:lineRule="auto"/>
        <w:jc w:val="both"/>
        <w:rPr>
          <w:rFonts w:ascii="Arial" w:hAnsi="Arial" w:cs="Arial"/>
          <w:color w:val="auto"/>
          <w:lang w:val="es-EC"/>
        </w:rPr>
      </w:pPr>
    </w:p>
    <w:p w:rsidR="00A66191" w:rsidRPr="004D6466" w:rsidRDefault="00A66191" w:rsidP="00A66191">
      <w:pPr>
        <w:pStyle w:val="Default"/>
        <w:spacing w:line="360" w:lineRule="auto"/>
        <w:jc w:val="both"/>
        <w:rPr>
          <w:rFonts w:ascii="Arial" w:hAnsi="Arial" w:cs="Arial"/>
          <w:color w:val="auto"/>
          <w:lang w:val="es-EC"/>
        </w:rPr>
      </w:pPr>
      <w:r w:rsidRPr="004D6466">
        <w:rPr>
          <w:rFonts w:ascii="Arial" w:hAnsi="Arial" w:cs="Arial"/>
          <w:color w:val="auto"/>
          <w:lang w:val="es-EC"/>
        </w:rPr>
        <w:t>Frei Betto, asesor especial del ex presidente Luis Ignacio Lula da Silva, dice que en Brasil “</w:t>
      </w:r>
      <w:r w:rsidRPr="004D6466">
        <w:rPr>
          <w:rFonts w:ascii="Arial" w:eastAsia="Times New Roman" w:hAnsi="Arial" w:cs="Arial"/>
          <w:color w:val="auto"/>
          <w:lang w:val="es-EC"/>
        </w:rPr>
        <w:t>El 2% de la riqueza del país está en manos del 10% de la población más rica y el 10% de la población más pobre, comparte entre sí, el 0,9% de la riqueza. Lo que significa que los ricos son más ricos y los pobres más pobres</w:t>
      </w:r>
      <w:r w:rsidRPr="004D6466">
        <w:rPr>
          <w:rFonts w:ascii="Arial" w:hAnsi="Arial" w:cs="Arial"/>
          <w:color w:val="auto"/>
          <w:lang w:val="es-EC"/>
        </w:rPr>
        <w:t>”</w:t>
      </w:r>
      <w:r w:rsidRPr="004D6466">
        <w:rPr>
          <w:rStyle w:val="Refdenotaalpie"/>
          <w:rFonts w:ascii="Arial" w:hAnsi="Arial" w:cs="Arial"/>
          <w:color w:val="auto"/>
          <w:lang w:val="es-EC"/>
        </w:rPr>
        <w:footnoteReference w:id="4"/>
      </w:r>
      <w:r w:rsidRPr="004D6466">
        <w:rPr>
          <w:rFonts w:ascii="Arial" w:hAnsi="Arial" w:cs="Arial"/>
          <w:color w:val="auto"/>
          <w:lang w:val="es-EC"/>
        </w:rPr>
        <w:t xml:space="preserve">.  </w:t>
      </w:r>
    </w:p>
    <w:p w:rsidR="00A66191" w:rsidRPr="004D6466" w:rsidRDefault="00A66191" w:rsidP="00A66191">
      <w:pPr>
        <w:pStyle w:val="Default"/>
        <w:spacing w:line="360" w:lineRule="auto"/>
        <w:jc w:val="both"/>
        <w:rPr>
          <w:rFonts w:ascii="Arial" w:hAnsi="Arial" w:cs="Arial"/>
          <w:color w:val="auto"/>
          <w:lang w:val="es-EC"/>
        </w:rPr>
      </w:pPr>
    </w:p>
    <w:p w:rsidR="00A66191" w:rsidRPr="004D6466" w:rsidRDefault="00A66191" w:rsidP="00A66191">
      <w:pPr>
        <w:pStyle w:val="Default"/>
        <w:spacing w:line="360" w:lineRule="auto"/>
        <w:jc w:val="both"/>
        <w:rPr>
          <w:rFonts w:ascii="Arial" w:hAnsi="Arial" w:cs="Arial"/>
          <w:color w:val="auto"/>
          <w:lang w:val="es-EC"/>
        </w:rPr>
      </w:pPr>
      <w:r w:rsidRPr="004D6466">
        <w:rPr>
          <w:rFonts w:ascii="Arial" w:hAnsi="Arial" w:cs="Arial"/>
          <w:color w:val="auto"/>
          <w:lang w:val="es-EC"/>
        </w:rPr>
        <w:t xml:space="preserve">Tanto Brasil como Ecuador tienen gran cantidad de agua pero el acceso de la población a ella tiene dificultades, en el Ecuador el acceso a fuentes de agua potable y saneamiento tiene bajos niveles de cobertura, especialmente en áreas rurales; pobre calidad y eficiencia del servicio; y una limitada recuperación de costos y un alto nivel de dependencia en las transferencias financieras del gobierno nacional y los gobiernos seccionales. En el Brasil existen grandes zonas desérticas en las que no existe agua, también tiene mega ciudades como Sao Paulo y Rio de Janeiro con más de 10 millones de habitantes a los que se debe garantizar el acceso al agua. </w:t>
      </w:r>
    </w:p>
    <w:p w:rsidR="00A66191" w:rsidRPr="004D6466" w:rsidRDefault="00A66191" w:rsidP="00A66191">
      <w:pPr>
        <w:pStyle w:val="Default"/>
        <w:spacing w:line="360" w:lineRule="auto"/>
        <w:jc w:val="both"/>
        <w:rPr>
          <w:rFonts w:ascii="Arial" w:hAnsi="Arial" w:cs="Arial"/>
          <w:color w:val="auto"/>
          <w:lang w:val="es-EC"/>
        </w:rPr>
      </w:pPr>
    </w:p>
    <w:p w:rsidR="00A66191" w:rsidRPr="004D6466" w:rsidRDefault="00A66191" w:rsidP="00A66191">
      <w:pPr>
        <w:pStyle w:val="Default"/>
        <w:spacing w:line="360" w:lineRule="auto"/>
        <w:jc w:val="both"/>
        <w:rPr>
          <w:rFonts w:ascii="Arial" w:hAnsi="Arial" w:cs="Arial"/>
          <w:color w:val="auto"/>
          <w:lang w:val="es-ES"/>
        </w:rPr>
      </w:pPr>
      <w:r w:rsidRPr="004D6466">
        <w:rPr>
          <w:rFonts w:ascii="Arial" w:hAnsi="Arial" w:cs="Arial"/>
          <w:color w:val="auto"/>
          <w:lang w:val="es-EC"/>
        </w:rPr>
        <w:t xml:space="preserve">Adicionalmente otro dato interesante es que </w:t>
      </w:r>
      <w:r w:rsidRPr="004D6466">
        <w:rPr>
          <w:rFonts w:ascii="Arial" w:hAnsi="Arial" w:cs="Arial"/>
          <w:color w:val="auto"/>
          <w:lang w:val="es-ES"/>
        </w:rPr>
        <w:t>algunos países han concedido la propiedad legal de los bosques a las comunidades indígenas,</w:t>
      </w:r>
      <w:r w:rsidRPr="004D6466">
        <w:rPr>
          <w:rFonts w:ascii="Arial" w:hAnsi="Arial" w:cs="Arial"/>
          <w:color w:val="auto"/>
          <w:lang w:val="es-EC"/>
        </w:rPr>
        <w:t xml:space="preserve"> así pues Brasil concedió </w:t>
      </w:r>
      <w:r w:rsidRPr="004D6466">
        <w:rPr>
          <w:rFonts w:ascii="Arial" w:hAnsi="Arial" w:cs="Arial"/>
          <w:color w:val="auto"/>
          <w:lang w:val="es-ES"/>
        </w:rPr>
        <w:t>103 millones de hectáreas y el Ecuador concedió 4,5 millones de hectáreas.</w:t>
      </w:r>
    </w:p>
    <w:p w:rsidR="00A66191" w:rsidRPr="004D6466" w:rsidRDefault="00A66191" w:rsidP="00A66191">
      <w:pPr>
        <w:pStyle w:val="Default"/>
        <w:spacing w:line="360" w:lineRule="auto"/>
        <w:jc w:val="both"/>
        <w:rPr>
          <w:rFonts w:ascii="Arial" w:hAnsi="Arial" w:cs="Arial"/>
          <w:color w:val="auto"/>
          <w:lang w:val="es-ES"/>
        </w:rPr>
      </w:pPr>
    </w:p>
    <w:p w:rsidR="00A66191" w:rsidRPr="004D6466" w:rsidRDefault="00A66191" w:rsidP="00A66191">
      <w:pPr>
        <w:pStyle w:val="Default"/>
        <w:spacing w:line="360" w:lineRule="auto"/>
        <w:jc w:val="both"/>
        <w:rPr>
          <w:rFonts w:ascii="Arial" w:hAnsi="Arial" w:cs="Arial"/>
          <w:color w:val="auto"/>
          <w:lang w:val="es-ES"/>
        </w:rPr>
      </w:pPr>
      <w:r w:rsidRPr="004D6466">
        <w:rPr>
          <w:rFonts w:ascii="Arial" w:hAnsi="Arial" w:cs="Arial"/>
          <w:color w:val="auto"/>
          <w:lang w:val="es-ES"/>
        </w:rPr>
        <w:t>En Ecuador, según datos proporcionados por el Ministerio del Ambiente, el país pierde 70 mil hectáreas de bosque cada año. Esto a pesar de que la ley prohíbe la tala, lo cual indica que el alto índice de áreas deforestadas es producto del irrespeto a la ley y la poca regulación.</w:t>
      </w:r>
    </w:p>
    <w:p w:rsidR="00A66191" w:rsidRPr="004D6466" w:rsidRDefault="00A66191" w:rsidP="00A66191">
      <w:pPr>
        <w:spacing w:line="360" w:lineRule="auto"/>
        <w:jc w:val="both"/>
        <w:rPr>
          <w:rFonts w:ascii="Arial" w:eastAsia="Calibri" w:hAnsi="Arial" w:cs="Arial"/>
          <w:sz w:val="24"/>
          <w:szCs w:val="24"/>
        </w:rPr>
      </w:pPr>
    </w:p>
    <w:p w:rsidR="00A66191" w:rsidRPr="004D6466" w:rsidRDefault="00A66191" w:rsidP="00A66191">
      <w:pPr>
        <w:spacing w:line="360" w:lineRule="auto"/>
        <w:jc w:val="both"/>
        <w:rPr>
          <w:rFonts w:ascii="Arial" w:hAnsi="Arial" w:cs="Arial"/>
          <w:sz w:val="24"/>
          <w:szCs w:val="24"/>
          <w:lang w:val="es-EC"/>
        </w:rPr>
      </w:pPr>
      <w:r w:rsidRPr="004D6466">
        <w:rPr>
          <w:rFonts w:ascii="Arial" w:hAnsi="Arial" w:cs="Arial"/>
          <w:sz w:val="24"/>
          <w:szCs w:val="24"/>
        </w:rPr>
        <w:lastRenderedPageBreak/>
        <w:t xml:space="preserve">En Brasil, se estima que la vegetación original previa a los procesos de deforestación estaba compuesta por alrededor de  4,2 km2 (420.000 hectáreas) de bosque. En el año 2000 casi el 15% del bosque amazónico había desaparecidos, es decir, 551.000 km2  (55.100 hectáreas).   </w:t>
      </w:r>
    </w:p>
    <w:p w:rsidR="00A66191" w:rsidRPr="004D6466" w:rsidRDefault="00A66191" w:rsidP="00A66191">
      <w:pPr>
        <w:spacing w:line="360" w:lineRule="auto"/>
        <w:jc w:val="both"/>
        <w:rPr>
          <w:rFonts w:ascii="Arial" w:hAnsi="Arial" w:cs="Arial"/>
          <w:sz w:val="24"/>
          <w:szCs w:val="24"/>
        </w:rPr>
      </w:pPr>
      <w:r w:rsidRPr="004D6466">
        <w:rPr>
          <w:rFonts w:ascii="Arial" w:hAnsi="Arial" w:cs="Arial"/>
          <w:sz w:val="24"/>
          <w:szCs w:val="24"/>
        </w:rPr>
        <w:t>Dos países con realidades diferentes que sin embargo comparten, la riqueza de su suelo, la gran cantidad de recursos hídricos y lo que la mayoría de los países del continente tienen en común, la desigual distribución de la riqueza, el alto índice de deforestación de los bosques y el alto número de pobres, entendiendo por pobres las personas que sobreviven con un dólar diario, que en el caso ecuatoriano representan 19,27 % de la población total según datos del Instituto Nacional de Estadísticas y Censos (INEC).</w:t>
      </w:r>
    </w:p>
    <w:p w:rsidR="00A66191" w:rsidRPr="004D6466" w:rsidRDefault="00A66191" w:rsidP="00A66191">
      <w:pPr>
        <w:spacing w:line="360" w:lineRule="auto"/>
        <w:jc w:val="both"/>
        <w:rPr>
          <w:rFonts w:ascii="Arial" w:eastAsia="Calibri" w:hAnsi="Arial" w:cs="Arial"/>
          <w:b/>
          <w:sz w:val="24"/>
          <w:szCs w:val="24"/>
        </w:rPr>
      </w:pPr>
      <w:r w:rsidRPr="004D6466">
        <w:rPr>
          <w:rFonts w:ascii="Arial" w:eastAsia="Calibri" w:hAnsi="Arial" w:cs="Arial"/>
          <w:b/>
          <w:sz w:val="24"/>
          <w:szCs w:val="24"/>
        </w:rPr>
        <w:t xml:space="preserve">1.2 Objetivos </w:t>
      </w:r>
    </w:p>
    <w:p w:rsidR="00A66191" w:rsidRPr="004D6466" w:rsidRDefault="00A66191" w:rsidP="00A66191">
      <w:pPr>
        <w:spacing w:line="360" w:lineRule="auto"/>
        <w:jc w:val="both"/>
        <w:rPr>
          <w:rFonts w:ascii="Arial" w:eastAsia="Calibri" w:hAnsi="Arial" w:cs="Arial"/>
          <w:b/>
          <w:sz w:val="24"/>
          <w:szCs w:val="24"/>
        </w:rPr>
      </w:pPr>
      <w:r w:rsidRPr="004D6466">
        <w:rPr>
          <w:rFonts w:ascii="Arial" w:eastAsia="Calibri" w:hAnsi="Arial" w:cs="Arial"/>
          <w:b/>
          <w:sz w:val="24"/>
          <w:szCs w:val="24"/>
        </w:rPr>
        <w:t>O</w:t>
      </w:r>
      <w:r w:rsidRPr="004D6466">
        <w:rPr>
          <w:rFonts w:ascii="Arial" w:hAnsi="Arial" w:cs="Arial"/>
          <w:b/>
          <w:sz w:val="24"/>
          <w:szCs w:val="24"/>
        </w:rPr>
        <w:t>bjetivo General:</w:t>
      </w:r>
    </w:p>
    <w:p w:rsidR="00A66191" w:rsidRPr="004D6466" w:rsidRDefault="00A66191" w:rsidP="00A66191">
      <w:pPr>
        <w:pStyle w:val="Prrafodelista"/>
        <w:spacing w:line="360" w:lineRule="auto"/>
        <w:ind w:left="0"/>
        <w:jc w:val="both"/>
        <w:rPr>
          <w:rFonts w:ascii="Arial" w:hAnsi="Arial" w:cs="Arial"/>
          <w:sz w:val="24"/>
          <w:szCs w:val="24"/>
        </w:rPr>
      </w:pPr>
      <w:r w:rsidRPr="004D6466">
        <w:rPr>
          <w:rFonts w:ascii="Arial" w:hAnsi="Arial" w:cs="Arial"/>
          <w:sz w:val="24"/>
          <w:szCs w:val="24"/>
        </w:rPr>
        <w:t xml:space="preserve">Identificar las principales medidas que se adoptaron en el Brasil, en el campo de bienestar social, salud, educación y de la economía y determinar si serían aplicables al Ecuador. </w:t>
      </w:r>
    </w:p>
    <w:p w:rsidR="00A66191" w:rsidRPr="004D6466" w:rsidRDefault="00A66191" w:rsidP="00A66191">
      <w:pPr>
        <w:spacing w:line="360" w:lineRule="auto"/>
        <w:jc w:val="both"/>
        <w:rPr>
          <w:rFonts w:ascii="Arial" w:hAnsi="Arial" w:cs="Arial"/>
          <w:b/>
          <w:sz w:val="24"/>
          <w:szCs w:val="24"/>
        </w:rPr>
      </w:pPr>
      <w:r w:rsidRPr="004D6466">
        <w:rPr>
          <w:rFonts w:ascii="Arial" w:hAnsi="Arial" w:cs="Arial"/>
          <w:b/>
          <w:sz w:val="24"/>
          <w:szCs w:val="24"/>
        </w:rPr>
        <w:t>Objetivos Específicos:</w:t>
      </w:r>
    </w:p>
    <w:p w:rsidR="00A66191" w:rsidRPr="004D6466" w:rsidRDefault="00A66191" w:rsidP="00A66191">
      <w:pPr>
        <w:pStyle w:val="Prrafodelista"/>
        <w:numPr>
          <w:ilvl w:val="0"/>
          <w:numId w:val="5"/>
        </w:numPr>
        <w:spacing w:line="360" w:lineRule="auto"/>
        <w:jc w:val="both"/>
        <w:rPr>
          <w:rFonts w:ascii="Arial" w:hAnsi="Arial" w:cs="Arial"/>
          <w:b/>
          <w:sz w:val="24"/>
          <w:szCs w:val="24"/>
        </w:rPr>
      </w:pPr>
      <w:r w:rsidRPr="004D6466">
        <w:rPr>
          <w:rFonts w:ascii="Arial" w:hAnsi="Arial" w:cs="Arial"/>
          <w:sz w:val="24"/>
          <w:szCs w:val="24"/>
        </w:rPr>
        <w:t xml:space="preserve">Realizar un diagnóstico con indicadores de desarrollo de Brasil antes y después del gobierno del presidente Lula da Silva, y del Ecuador antes del gobierno de Rafael Correa. </w:t>
      </w:r>
    </w:p>
    <w:p w:rsidR="00A66191" w:rsidRPr="004D6466" w:rsidRDefault="00A66191" w:rsidP="00A66191">
      <w:pPr>
        <w:pStyle w:val="Prrafodelista"/>
        <w:numPr>
          <w:ilvl w:val="0"/>
          <w:numId w:val="5"/>
        </w:numPr>
        <w:spacing w:line="360" w:lineRule="auto"/>
        <w:jc w:val="both"/>
        <w:rPr>
          <w:rFonts w:ascii="Arial" w:hAnsi="Arial" w:cs="Arial"/>
          <w:sz w:val="24"/>
          <w:szCs w:val="24"/>
        </w:rPr>
      </w:pPr>
      <w:r w:rsidRPr="004D6466">
        <w:rPr>
          <w:rFonts w:ascii="Arial" w:hAnsi="Arial" w:cs="Arial"/>
          <w:sz w:val="24"/>
          <w:szCs w:val="24"/>
        </w:rPr>
        <w:t>Analizar y sistematizar las medidas implementadas en el gobierno del presidente Lula da Silva, en los ámbitos de bienestar social, salud, educación y en lo económico; a la vez que se analiza las medidas tomadas por el presidente Correa en los mismos ámbitos que en el Brasil, e identificar los mejores resultados obtenidos de acuerdo al estilo de cada presidente.</w:t>
      </w:r>
    </w:p>
    <w:p w:rsidR="00A66191" w:rsidRPr="004D6466" w:rsidRDefault="00A66191" w:rsidP="00A66191">
      <w:pPr>
        <w:pStyle w:val="Prrafodelista"/>
        <w:numPr>
          <w:ilvl w:val="0"/>
          <w:numId w:val="5"/>
        </w:numPr>
        <w:spacing w:line="360" w:lineRule="auto"/>
        <w:jc w:val="both"/>
        <w:rPr>
          <w:rFonts w:ascii="Arial" w:hAnsi="Arial" w:cs="Arial"/>
          <w:sz w:val="24"/>
          <w:szCs w:val="24"/>
        </w:rPr>
      </w:pPr>
      <w:r w:rsidRPr="004D6466">
        <w:rPr>
          <w:rFonts w:ascii="Arial" w:hAnsi="Arial" w:cs="Arial"/>
          <w:sz w:val="24"/>
          <w:szCs w:val="24"/>
        </w:rPr>
        <w:t>Hacer un análisis comparativo de Brasil tras la presidencia de Lula da Silva y del Ecuador en la presidencia de Rafael Correa hasta el 2012.</w:t>
      </w:r>
    </w:p>
    <w:p w:rsidR="00A66191" w:rsidRPr="004D6466" w:rsidRDefault="00A66191" w:rsidP="00A66191">
      <w:pPr>
        <w:pStyle w:val="Prrafodelista"/>
        <w:numPr>
          <w:ilvl w:val="0"/>
          <w:numId w:val="5"/>
        </w:numPr>
        <w:spacing w:line="360" w:lineRule="auto"/>
        <w:jc w:val="both"/>
        <w:rPr>
          <w:rFonts w:ascii="Arial" w:hAnsi="Arial" w:cs="Arial"/>
          <w:sz w:val="24"/>
          <w:szCs w:val="24"/>
        </w:rPr>
      </w:pPr>
      <w:r w:rsidRPr="004D6466">
        <w:rPr>
          <w:rFonts w:ascii="Arial" w:hAnsi="Arial" w:cs="Arial"/>
          <w:sz w:val="24"/>
          <w:szCs w:val="24"/>
        </w:rPr>
        <w:t xml:space="preserve">Plantear las principales medidas que se adoptaron en el Brasil con Lula da Silva y que podrían implementarse en el Ecuador a través del modelo de Planificación de la Secretaría Nacional de Planificación y Desarrollo </w:t>
      </w:r>
      <w:r w:rsidRPr="004D6466">
        <w:rPr>
          <w:rFonts w:ascii="Arial" w:hAnsi="Arial" w:cs="Arial"/>
          <w:sz w:val="24"/>
          <w:szCs w:val="24"/>
        </w:rPr>
        <w:lastRenderedPageBreak/>
        <w:t>(SENPLADES). Para esto se partirá desde el objetivo 1 del Plan Nacional de Desarrollo o Plan Nacional del Buen Vivir que pretende “auspiciar la igualdad, cohesión, integración social y territorial en la diversidad” y del objetivo 11 que define “establecer un sistema económico social, solidario y sostenible”.</w:t>
      </w:r>
    </w:p>
    <w:p w:rsidR="00A66191" w:rsidRPr="004D6466" w:rsidRDefault="00A66191" w:rsidP="00A66191">
      <w:pPr>
        <w:rPr>
          <w:rFonts w:ascii="Arial" w:hAnsi="Arial" w:cs="Arial"/>
          <w:b/>
          <w:sz w:val="24"/>
          <w:szCs w:val="24"/>
        </w:rPr>
      </w:pPr>
      <w:r w:rsidRPr="004D6466">
        <w:rPr>
          <w:rFonts w:ascii="Arial" w:hAnsi="Arial" w:cs="Arial"/>
          <w:b/>
          <w:sz w:val="24"/>
          <w:szCs w:val="24"/>
        </w:rPr>
        <w:t>1.3 Pregunta de investigación:</w:t>
      </w:r>
    </w:p>
    <w:p w:rsidR="00A66191" w:rsidRPr="004D6466" w:rsidRDefault="00A66191" w:rsidP="00A66191">
      <w:pPr>
        <w:pStyle w:val="Prrafodelista"/>
        <w:numPr>
          <w:ilvl w:val="0"/>
          <w:numId w:val="5"/>
        </w:numPr>
        <w:spacing w:line="360" w:lineRule="auto"/>
        <w:jc w:val="both"/>
        <w:rPr>
          <w:rFonts w:ascii="Arial" w:hAnsi="Arial" w:cs="Arial"/>
          <w:sz w:val="24"/>
          <w:szCs w:val="24"/>
        </w:rPr>
      </w:pPr>
      <w:r w:rsidRPr="004D6466">
        <w:rPr>
          <w:rFonts w:ascii="Arial" w:hAnsi="Arial" w:cs="Arial"/>
          <w:sz w:val="24"/>
          <w:szCs w:val="24"/>
        </w:rPr>
        <w:t>¿Bajo qué condiciones y por medio de que políticas el ex presidente Ignacio Lula da Silva, logró una mejor distribución de la renta y riqueza?</w:t>
      </w:r>
    </w:p>
    <w:p w:rsidR="00A66191" w:rsidRPr="004D6466" w:rsidRDefault="00A66191" w:rsidP="00A66191">
      <w:pPr>
        <w:pStyle w:val="Prrafodelista"/>
        <w:numPr>
          <w:ilvl w:val="0"/>
          <w:numId w:val="5"/>
        </w:numPr>
        <w:spacing w:line="360" w:lineRule="auto"/>
      </w:pPr>
      <w:r w:rsidRPr="004D6466">
        <w:t>¿</w:t>
      </w:r>
      <w:r w:rsidRPr="004D6466">
        <w:rPr>
          <w:rFonts w:ascii="Arial" w:hAnsi="Arial" w:cs="Arial"/>
          <w:sz w:val="24"/>
          <w:szCs w:val="24"/>
        </w:rPr>
        <w:t>Bajo qué condiciones las medidas sociales aplicadas por el gobierno de Lula da Silva son aplicables al Ecuador en el proceso actual</w:t>
      </w:r>
      <w:r w:rsidRPr="004D6466">
        <w:t>?</w:t>
      </w:r>
    </w:p>
    <w:p w:rsidR="00A66191" w:rsidRPr="004D6466" w:rsidRDefault="00A66191" w:rsidP="00A66191">
      <w:pPr>
        <w:rPr>
          <w:rFonts w:ascii="Arial" w:hAnsi="Arial" w:cs="Arial"/>
          <w:b/>
          <w:sz w:val="24"/>
          <w:szCs w:val="24"/>
        </w:rPr>
      </w:pPr>
      <w:r w:rsidRPr="004D6466">
        <w:rPr>
          <w:rFonts w:ascii="Arial" w:hAnsi="Arial" w:cs="Arial"/>
          <w:b/>
          <w:sz w:val="24"/>
          <w:szCs w:val="24"/>
        </w:rPr>
        <w:t>1.4 Justificación:</w:t>
      </w:r>
    </w:p>
    <w:p w:rsidR="00A66191" w:rsidRPr="004D6466" w:rsidRDefault="00A66191" w:rsidP="00A66191">
      <w:pPr>
        <w:spacing w:line="360" w:lineRule="auto"/>
        <w:jc w:val="both"/>
        <w:rPr>
          <w:rFonts w:ascii="Arial" w:hAnsi="Arial" w:cs="Arial"/>
          <w:b/>
          <w:sz w:val="24"/>
          <w:szCs w:val="24"/>
        </w:rPr>
      </w:pPr>
      <w:r w:rsidRPr="004D6466">
        <w:rPr>
          <w:rFonts w:ascii="Arial" w:hAnsi="Arial" w:cs="Arial"/>
          <w:b/>
          <w:sz w:val="24"/>
          <w:szCs w:val="24"/>
        </w:rPr>
        <w:t>Justificación y enfoque responsabilidad social:</w:t>
      </w:r>
    </w:p>
    <w:p w:rsidR="00A66191" w:rsidRPr="004D6466" w:rsidRDefault="00A66191" w:rsidP="00A66191">
      <w:pPr>
        <w:pStyle w:val="Prrafodelista"/>
        <w:spacing w:line="360" w:lineRule="auto"/>
        <w:ind w:left="0"/>
        <w:jc w:val="both"/>
        <w:rPr>
          <w:rFonts w:ascii="Arial" w:hAnsi="Arial" w:cs="Arial"/>
          <w:b/>
          <w:sz w:val="24"/>
          <w:szCs w:val="24"/>
        </w:rPr>
      </w:pPr>
      <w:r w:rsidRPr="004D6466">
        <w:rPr>
          <w:rFonts w:ascii="Arial" w:hAnsi="Arial" w:cs="Arial"/>
          <w:sz w:val="24"/>
          <w:szCs w:val="24"/>
        </w:rPr>
        <w:t>Para el presente proyecto de fin de carrera es un desafío plantear que los estudiantes ecuatorianos tengan las herramientas para contribuir al progreso del país y alcanzar una mejor re distribución de la riqueza, la eliminación de la pobreza, y cobertura de servicios básicos en todo el territorio ecuatoriano; cuestión que solo se puede lograr identificando los aciertos del proceso de desarrollo actual, contrastando y proporcionando políticas que aún no son aplicadas en el Ecuador.</w:t>
      </w:r>
    </w:p>
    <w:p w:rsidR="00A66191" w:rsidRPr="004D6466" w:rsidRDefault="00A66191" w:rsidP="00A66191">
      <w:pPr>
        <w:pStyle w:val="NormalWeb"/>
        <w:spacing w:line="360" w:lineRule="auto"/>
        <w:jc w:val="both"/>
        <w:rPr>
          <w:rFonts w:ascii="Arial" w:hAnsi="Arial" w:cs="Arial"/>
        </w:rPr>
      </w:pPr>
      <w:r w:rsidRPr="004D6466">
        <w:rPr>
          <w:rFonts w:ascii="Arial" w:hAnsi="Arial" w:cs="Arial"/>
        </w:rPr>
        <w:t xml:space="preserve">El modelo de desarrollo de Brasil es objeto de este proyecto por ser un ejemplo para Latinoamérica, la lucha contra la mala distribución de la renta y riqueza que el ex presidente Luis Ignacio Lula da Silva enfrentó desde su gobierno, desde el año 2003, sin descuidar el fortalecimiento de las relaciones internacionales mejorando así su intercambio económico, con excelentes resultados para ese país. Considero un aporte estudiar la posibilidad del traslado de esas experiencias al Ecuador. </w:t>
      </w:r>
    </w:p>
    <w:p w:rsidR="00A66191" w:rsidRPr="004D6466" w:rsidRDefault="00A66191" w:rsidP="00A66191">
      <w:pPr>
        <w:spacing w:line="360" w:lineRule="auto"/>
        <w:jc w:val="both"/>
        <w:rPr>
          <w:rFonts w:ascii="Arial" w:hAnsi="Arial" w:cs="Arial"/>
          <w:b/>
          <w:sz w:val="24"/>
          <w:szCs w:val="24"/>
        </w:rPr>
      </w:pPr>
      <w:r w:rsidRPr="004D6466">
        <w:rPr>
          <w:rFonts w:ascii="Arial" w:hAnsi="Arial" w:cs="Arial"/>
          <w:b/>
          <w:sz w:val="24"/>
          <w:szCs w:val="24"/>
        </w:rPr>
        <w:t>Justificación y enfoque de acuerdo a la carrera:</w:t>
      </w:r>
    </w:p>
    <w:p w:rsidR="00A66191" w:rsidRPr="004D6466" w:rsidRDefault="00A66191" w:rsidP="00A66191">
      <w:pPr>
        <w:pStyle w:val="Prrafodelista"/>
        <w:spacing w:line="360" w:lineRule="auto"/>
        <w:ind w:left="0"/>
        <w:jc w:val="both"/>
        <w:rPr>
          <w:rFonts w:ascii="Arial" w:hAnsi="Arial" w:cs="Arial"/>
          <w:sz w:val="24"/>
          <w:szCs w:val="24"/>
        </w:rPr>
      </w:pPr>
      <w:r w:rsidRPr="004D6466">
        <w:rPr>
          <w:rFonts w:ascii="Arial" w:hAnsi="Arial" w:cs="Arial"/>
          <w:sz w:val="24"/>
          <w:szCs w:val="24"/>
        </w:rPr>
        <w:t xml:space="preserve">Este proyecto de fin de carrera pretende ser un aporte a las ciencias políticas y relaciones internacionales porque plantea un estudio del modelo aplicado en Brasil y sus respectivas medidas, y si podrían o no ser insertadas en el </w:t>
      </w:r>
      <w:r w:rsidRPr="004D6466">
        <w:rPr>
          <w:rFonts w:ascii="Arial" w:hAnsi="Arial" w:cs="Arial"/>
          <w:sz w:val="24"/>
          <w:szCs w:val="24"/>
        </w:rPr>
        <w:lastRenderedPageBreak/>
        <w:t xml:space="preserve">Ecuador. Pretende además ser una contribución a la búsqueda de soluciones que las universidades deben proporcionar para ser actores proactivos en el desarrollo del país y de un modelo eficaz y capaz de proporcionar servicios básicos para la población, eliminación gradual de la pobreza, sin colapsar y afectar el sistema productivo del país. Objetivos que solo pueden lograrse con universidades comprometidas al cambio. </w:t>
      </w:r>
    </w:p>
    <w:p w:rsidR="00A66191" w:rsidRPr="004D6466" w:rsidRDefault="00A66191" w:rsidP="00A66191">
      <w:pPr>
        <w:pStyle w:val="Prrafodelista"/>
        <w:spacing w:line="360" w:lineRule="auto"/>
        <w:ind w:left="0"/>
        <w:jc w:val="both"/>
        <w:rPr>
          <w:rFonts w:ascii="Arial" w:hAnsi="Arial" w:cs="Arial"/>
          <w:sz w:val="24"/>
          <w:szCs w:val="24"/>
        </w:rPr>
      </w:pPr>
    </w:p>
    <w:p w:rsidR="00A66191" w:rsidRPr="004D6466" w:rsidRDefault="00A66191" w:rsidP="00A66191">
      <w:pPr>
        <w:jc w:val="center"/>
        <w:rPr>
          <w:rFonts w:ascii="Arial" w:hAnsi="Arial" w:cs="Arial"/>
          <w:b/>
          <w:sz w:val="32"/>
          <w:szCs w:val="32"/>
        </w:rPr>
      </w:pPr>
      <w:r w:rsidRPr="004D6466">
        <w:rPr>
          <w:rFonts w:ascii="Arial" w:hAnsi="Arial" w:cs="Arial"/>
          <w:b/>
          <w:sz w:val="32"/>
          <w:szCs w:val="32"/>
        </w:rPr>
        <w:br w:type="page"/>
      </w:r>
      <w:r w:rsidRPr="004D6466">
        <w:rPr>
          <w:rFonts w:ascii="Arial" w:hAnsi="Arial" w:cs="Arial"/>
          <w:b/>
          <w:sz w:val="32"/>
          <w:szCs w:val="32"/>
        </w:rPr>
        <w:lastRenderedPageBreak/>
        <w:t xml:space="preserve">1.5 MARCO TEÓRICO/ TEORIAS DEL DESARROLLO </w:t>
      </w:r>
    </w:p>
    <w:p w:rsidR="00A66191" w:rsidRPr="004D6466" w:rsidRDefault="00A66191" w:rsidP="00A66191">
      <w:pPr>
        <w:spacing w:line="360" w:lineRule="auto"/>
        <w:jc w:val="both"/>
        <w:rPr>
          <w:rFonts w:ascii="Arial" w:eastAsia="Calibri" w:hAnsi="Arial" w:cs="Arial"/>
          <w:b/>
          <w:sz w:val="24"/>
          <w:szCs w:val="24"/>
        </w:rPr>
      </w:pPr>
      <w:r w:rsidRPr="004D6466">
        <w:rPr>
          <w:rFonts w:ascii="Arial" w:eastAsia="Calibri" w:hAnsi="Arial" w:cs="Arial"/>
          <w:b/>
          <w:sz w:val="24"/>
          <w:szCs w:val="24"/>
        </w:rPr>
        <w:t xml:space="preserve">1.5.1 Desarrollo económico </w:t>
      </w:r>
    </w:p>
    <w:p w:rsidR="00A66191" w:rsidRPr="004D6466" w:rsidRDefault="00A66191" w:rsidP="00A66191">
      <w:pPr>
        <w:spacing w:line="360" w:lineRule="auto"/>
        <w:jc w:val="both"/>
        <w:rPr>
          <w:rFonts w:ascii="Arial" w:hAnsi="Arial" w:cs="Arial"/>
          <w:sz w:val="24"/>
          <w:szCs w:val="24"/>
        </w:rPr>
      </w:pPr>
      <w:r w:rsidRPr="004D6466">
        <w:rPr>
          <w:rFonts w:ascii="Arial" w:eastAsia="Calibri" w:hAnsi="Arial" w:cs="Arial"/>
          <w:sz w:val="24"/>
          <w:szCs w:val="24"/>
        </w:rPr>
        <w:t xml:space="preserve">El desarrollo económico de un país se puede definir como la capacidad </w:t>
      </w:r>
      <w:r w:rsidRPr="004D6466">
        <w:rPr>
          <w:rFonts w:ascii="Arial" w:hAnsi="Arial" w:cs="Arial"/>
          <w:sz w:val="24"/>
          <w:szCs w:val="24"/>
        </w:rPr>
        <w:t>para crear riqueza con el fin de promover y mantener la prosperidad o bienestar económico y social de sus habitantes.</w:t>
      </w:r>
    </w:p>
    <w:p w:rsidR="00A66191" w:rsidRPr="004D6466" w:rsidRDefault="00A66191" w:rsidP="00A66191">
      <w:pPr>
        <w:spacing w:line="360" w:lineRule="auto"/>
        <w:jc w:val="both"/>
        <w:rPr>
          <w:rFonts w:ascii="Arial" w:hAnsi="Arial" w:cs="Arial"/>
          <w:sz w:val="24"/>
          <w:szCs w:val="24"/>
        </w:rPr>
      </w:pPr>
      <w:r w:rsidRPr="004D6466">
        <w:rPr>
          <w:rFonts w:ascii="Arial" w:hAnsi="Arial" w:cs="Arial"/>
          <w:sz w:val="24"/>
          <w:szCs w:val="24"/>
        </w:rPr>
        <w:t>El proceso de desarrollo económico supone ajustes legales e institucionales realizados para fomentar innovaciones e inversiones con el propósito de crear un eficiente sistema de producción y un sistema de distribución para los bienes y servicios.</w:t>
      </w:r>
    </w:p>
    <w:p w:rsidR="00A66191" w:rsidRPr="004D6466" w:rsidRDefault="00A66191" w:rsidP="00A66191">
      <w:pPr>
        <w:spacing w:line="360" w:lineRule="auto"/>
        <w:jc w:val="both"/>
        <w:rPr>
          <w:rFonts w:ascii="Arial" w:hAnsi="Arial" w:cs="Arial"/>
          <w:sz w:val="24"/>
          <w:szCs w:val="24"/>
        </w:rPr>
      </w:pPr>
      <w:r w:rsidRPr="004D6466">
        <w:rPr>
          <w:rFonts w:ascii="Arial" w:hAnsi="Arial" w:cs="Arial"/>
          <w:sz w:val="24"/>
          <w:szCs w:val="24"/>
        </w:rPr>
        <w:t>Dentro del desarrollo económico hay unas variables a tener en cuenta en relación a la población: la igualdad de oportunidades, niveles de vida, que incluyen bienes y servicios, igualdad en la distribución de la renta y  riqueza, democracia y participación política; participación de la mujer en la vida social y política, disponibilidad de alimentos básicos, agua, servicios de salud, educación y redes de seguridad. Variables que se pueden medir con indicadores económicos como: el Producto Interno Bruto, Población Económicamente Activa, Índice de Desarrollo Humano, Índice de Pobreza Humana, entre otros.</w:t>
      </w:r>
    </w:p>
    <w:p w:rsidR="00A66191" w:rsidRPr="004D6466" w:rsidRDefault="00A66191" w:rsidP="00A66191">
      <w:pPr>
        <w:spacing w:line="360" w:lineRule="auto"/>
        <w:jc w:val="both"/>
        <w:rPr>
          <w:rFonts w:ascii="Arial" w:hAnsi="Arial" w:cs="Arial"/>
          <w:sz w:val="24"/>
          <w:szCs w:val="24"/>
        </w:rPr>
      </w:pPr>
      <w:r w:rsidRPr="004D6466">
        <w:rPr>
          <w:rFonts w:ascii="Arial" w:hAnsi="Arial" w:cs="Arial"/>
          <w:sz w:val="24"/>
          <w:szCs w:val="24"/>
        </w:rPr>
        <w:t>Para entender el desarrollo económico hay que tener en cuenta, si un país distribuye adecuadamente su renta y riqueza, y para determinarlo existen indicadores como la curva de Lorenz y el Coeficiente de Gini.</w:t>
      </w:r>
    </w:p>
    <w:p w:rsidR="00A66191" w:rsidRPr="004D6466" w:rsidRDefault="00A66191" w:rsidP="00A66191">
      <w:pPr>
        <w:spacing w:line="360" w:lineRule="auto"/>
        <w:jc w:val="both"/>
        <w:rPr>
          <w:rFonts w:ascii="Arial" w:hAnsi="Arial" w:cs="Arial"/>
          <w:sz w:val="24"/>
          <w:szCs w:val="24"/>
        </w:rPr>
      </w:pPr>
      <w:r w:rsidRPr="004D6466">
        <w:rPr>
          <w:rFonts w:ascii="Arial" w:hAnsi="Arial" w:cs="Arial"/>
          <w:sz w:val="24"/>
          <w:szCs w:val="24"/>
        </w:rPr>
        <w:t>Para que el Estado logre una mejor distribución de la renta hay instrumentos reguladores que lo facilitan como los cambios en el gasto público y las variaciones en los impuestos. Hay que tener en cuenta que la finalidad de la política de redistribución de renta es llegar a la igualdad de oportunidades, disminución del nivel de concentración de la renta y permitir la integración social de los sectores tradicionalmente excluidos.</w:t>
      </w:r>
    </w:p>
    <w:p w:rsidR="00A66191" w:rsidRPr="004D6466" w:rsidRDefault="00A66191" w:rsidP="00A66191">
      <w:pPr>
        <w:spacing w:line="360" w:lineRule="auto"/>
        <w:jc w:val="both"/>
        <w:rPr>
          <w:rFonts w:ascii="Arial" w:hAnsi="Arial" w:cs="Arial"/>
          <w:sz w:val="24"/>
          <w:szCs w:val="24"/>
        </w:rPr>
      </w:pPr>
      <w:r w:rsidRPr="004D6466">
        <w:rPr>
          <w:rFonts w:ascii="Arial" w:hAnsi="Arial" w:cs="Arial"/>
          <w:sz w:val="24"/>
          <w:szCs w:val="24"/>
        </w:rPr>
        <w:t xml:space="preserve">Es de suma importancia que el desarrollo económico no afecte a los limitados recursos naturales que tiene un país por lo que se ha desarrollado un concepto amigable con el medio ambiente que se llama desarrollo sostenible y que  </w:t>
      </w:r>
      <w:r w:rsidRPr="004D6466">
        <w:rPr>
          <w:rFonts w:ascii="Arial" w:hAnsi="Arial" w:cs="Arial"/>
          <w:iCs/>
          <w:sz w:val="24"/>
          <w:szCs w:val="24"/>
        </w:rPr>
        <w:lastRenderedPageBreak/>
        <w:t>satisface las necesidades del presente sin comprometer las necesidades de las futuras generaciones</w:t>
      </w:r>
      <w:r w:rsidRPr="004D6466">
        <w:rPr>
          <w:b/>
          <w:bCs/>
        </w:rPr>
        <w:t xml:space="preserve">. </w:t>
      </w:r>
    </w:p>
    <w:p w:rsidR="00A66191" w:rsidRPr="004D6466" w:rsidRDefault="00A66191" w:rsidP="00A66191">
      <w:pPr>
        <w:pStyle w:val="Ttulo4"/>
        <w:spacing w:line="360" w:lineRule="auto"/>
        <w:jc w:val="both"/>
        <w:rPr>
          <w:rFonts w:ascii="Arial" w:hAnsi="Arial" w:cs="Arial"/>
          <w:b w:val="0"/>
        </w:rPr>
      </w:pPr>
      <w:r w:rsidRPr="004D6466">
        <w:rPr>
          <w:rFonts w:ascii="Arial" w:hAnsi="Arial" w:cs="Arial"/>
          <w:b w:val="0"/>
          <w:bCs w:val="0"/>
        </w:rPr>
        <w:t xml:space="preserve">En el siguiente gráfico se muestra que el desarrollo sostenible </w:t>
      </w:r>
      <w:r w:rsidRPr="004D6466">
        <w:rPr>
          <w:rFonts w:ascii="Arial" w:hAnsi="Arial" w:cs="Arial"/>
          <w:b w:val="0"/>
        </w:rPr>
        <w:t>integra las esferas de lo económico, lo ambiental y lo social, las cuales guardan una estrecha relación entre sí</w:t>
      </w:r>
    </w:p>
    <w:p w:rsidR="00A66191" w:rsidRPr="004D6466" w:rsidRDefault="00A66191" w:rsidP="00A66191">
      <w:pPr>
        <w:pStyle w:val="Sinespaciado"/>
        <w:jc w:val="center"/>
        <w:rPr>
          <w:rFonts w:ascii="Arial" w:hAnsi="Arial" w:cs="Arial"/>
        </w:rPr>
      </w:pPr>
      <w:r w:rsidRPr="004D6466">
        <w:rPr>
          <w:noProof/>
        </w:rPr>
        <w:drawing>
          <wp:inline distT="0" distB="0" distL="0" distR="0">
            <wp:extent cx="3019425" cy="2752883"/>
            <wp:effectExtent l="19050" t="0" r="9525" b="0"/>
            <wp:docPr id="5" name="Imagen 4" descr="El concepto de desarrollo sostenible integra las esferas de lo económico, lo ambiental y lo social, las cuales guardan una estrecha relación entre sí"/>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El concepto de desarrollo sostenible integra las esferas de lo económico, lo ambiental y lo social, las cuales guardan una estrecha relación entre sí"/>
                    <pic:cNvPicPr>
                      <a:picLocks noChangeAspect="1" noChangeArrowheads="1"/>
                    </pic:cNvPicPr>
                  </pic:nvPicPr>
                  <pic:blipFill>
                    <a:blip r:embed="rId11" cstate="print"/>
                    <a:srcRect/>
                    <a:stretch>
                      <a:fillRect/>
                    </a:stretch>
                  </pic:blipFill>
                  <pic:spPr bwMode="auto">
                    <a:xfrm>
                      <a:off x="0" y="0"/>
                      <a:ext cx="3023439" cy="2756543"/>
                    </a:xfrm>
                    <a:prstGeom prst="rect">
                      <a:avLst/>
                    </a:prstGeom>
                    <a:noFill/>
                    <a:ln w="9525">
                      <a:noFill/>
                      <a:miter lim="800000"/>
                      <a:headEnd/>
                      <a:tailEnd/>
                    </a:ln>
                  </pic:spPr>
                </pic:pic>
              </a:graphicData>
            </a:graphic>
          </wp:inline>
        </w:drawing>
      </w:r>
    </w:p>
    <w:p w:rsidR="00A66191" w:rsidRPr="004D6466" w:rsidRDefault="00A66191" w:rsidP="00A66191">
      <w:pPr>
        <w:pStyle w:val="Sinespaciado"/>
        <w:rPr>
          <w:rFonts w:ascii="Arial" w:hAnsi="Arial" w:cs="Arial"/>
          <w:sz w:val="16"/>
          <w:szCs w:val="16"/>
        </w:rPr>
      </w:pPr>
      <w:r w:rsidRPr="004D6466">
        <w:rPr>
          <w:rFonts w:ascii="Arial" w:hAnsi="Arial" w:cs="Arial"/>
          <w:sz w:val="16"/>
          <w:szCs w:val="16"/>
        </w:rPr>
        <w:t>Gráfico nº 1                                                   fuente: Kalipedia.                                                       Elaborado por Kalipedia</w:t>
      </w:r>
    </w:p>
    <w:p w:rsidR="00A66191" w:rsidRPr="004D6466" w:rsidRDefault="00A66191" w:rsidP="00A66191">
      <w:pPr>
        <w:spacing w:line="360" w:lineRule="auto"/>
        <w:jc w:val="both"/>
        <w:rPr>
          <w:rFonts w:ascii="Arial" w:hAnsi="Arial" w:cs="Arial"/>
          <w:sz w:val="24"/>
          <w:szCs w:val="24"/>
        </w:rPr>
      </w:pPr>
    </w:p>
    <w:p w:rsidR="00A66191" w:rsidRPr="004D6466" w:rsidRDefault="00A66191" w:rsidP="00A66191">
      <w:pPr>
        <w:spacing w:line="360" w:lineRule="auto"/>
        <w:jc w:val="both"/>
        <w:rPr>
          <w:rFonts w:ascii="Arial" w:hAnsi="Arial" w:cs="Arial"/>
          <w:sz w:val="24"/>
          <w:szCs w:val="24"/>
        </w:rPr>
      </w:pPr>
      <w:r w:rsidRPr="004D6466">
        <w:rPr>
          <w:rFonts w:ascii="Arial" w:hAnsi="Arial" w:cs="Arial"/>
          <w:sz w:val="24"/>
          <w:szCs w:val="24"/>
        </w:rPr>
        <w:t>El desarrollo sostenible tiene 3 ámbitos de acción: el ecológico, económico y social, que deben estar en equilibrio así pues: deben satisfacerse las necesidades de la sociedad como alimentación, ropa, vivienda y trabajo, pues de lo contrario la pobreza seria frecuente, y el mundo estaría encaminado a catástrofes de varios tipos, incluidas las ecológicas. Así mismo, el desarrollo y el bienestar social, están limitados por el nivel tecnológico, los recursos y la capacidad del medio ambiente para absorber los efectos de la actividad humana.</w:t>
      </w:r>
    </w:p>
    <w:p w:rsidR="00A66191" w:rsidRPr="004D6466" w:rsidRDefault="00A66191" w:rsidP="00A66191">
      <w:pPr>
        <w:spacing w:line="360" w:lineRule="auto"/>
        <w:jc w:val="both"/>
        <w:rPr>
          <w:rFonts w:ascii="Arial" w:hAnsi="Arial" w:cs="Arial"/>
          <w:sz w:val="24"/>
          <w:szCs w:val="24"/>
        </w:rPr>
      </w:pPr>
      <w:r w:rsidRPr="004D6466">
        <w:rPr>
          <w:rFonts w:ascii="Arial" w:hAnsi="Arial" w:cs="Arial"/>
          <w:sz w:val="24"/>
          <w:szCs w:val="24"/>
        </w:rPr>
        <w:t xml:space="preserve">La idea de que un crecimiento económico descontrolado, en el que todo puede sacrificarse, ha ido transformándose de a poco hasta obtener conciencia de que hay límites en el desarrollo económico, y que es de suma importancia crear condiciones a largo plazo que hagan posible el bienestar para los seres humanos y que no afecten ni constituyan una amenaza para las condiciones de vida de las futuras generaciones.  </w:t>
      </w:r>
    </w:p>
    <w:p w:rsidR="00A66191" w:rsidRPr="004D6466" w:rsidRDefault="00A66191" w:rsidP="00A66191">
      <w:pPr>
        <w:pStyle w:val="NormalWeb"/>
        <w:spacing w:line="360" w:lineRule="auto"/>
        <w:jc w:val="both"/>
        <w:rPr>
          <w:rFonts w:ascii="Arial" w:hAnsi="Arial" w:cs="Arial"/>
        </w:rPr>
      </w:pPr>
      <w:r w:rsidRPr="004D6466">
        <w:rPr>
          <w:rFonts w:ascii="Arial" w:hAnsi="Arial" w:cs="Arial"/>
        </w:rPr>
        <w:lastRenderedPageBreak/>
        <w:t xml:space="preserve">El objetivo del desarrollo sostenible entonces es definir proyectos viables y lograr que los aspectos </w:t>
      </w:r>
      <w:hyperlink r:id="rId12" w:tooltip="Economía" w:history="1">
        <w:r w:rsidRPr="004D6466">
          <w:rPr>
            <w:rStyle w:val="Hipervnculo"/>
            <w:rFonts w:ascii="Arial" w:hAnsi="Arial" w:cs="Arial"/>
            <w:color w:val="auto"/>
            <w:u w:val="none"/>
          </w:rPr>
          <w:t>económico</w:t>
        </w:r>
      </w:hyperlink>
      <w:r w:rsidRPr="004D6466">
        <w:rPr>
          <w:rFonts w:ascii="Arial" w:hAnsi="Arial" w:cs="Arial"/>
        </w:rPr>
        <w:t xml:space="preserve">, </w:t>
      </w:r>
      <w:hyperlink r:id="rId13" w:tooltip="Sociedad" w:history="1">
        <w:r w:rsidRPr="004D6466">
          <w:rPr>
            <w:rStyle w:val="Hipervnculo"/>
            <w:rFonts w:ascii="Arial" w:hAnsi="Arial" w:cs="Arial"/>
            <w:color w:val="auto"/>
            <w:u w:val="none"/>
          </w:rPr>
          <w:t>social</w:t>
        </w:r>
      </w:hyperlink>
      <w:r w:rsidRPr="004D6466">
        <w:rPr>
          <w:rFonts w:ascii="Arial" w:hAnsi="Arial" w:cs="Arial"/>
        </w:rPr>
        <w:t xml:space="preserve">, y </w:t>
      </w:r>
      <w:hyperlink r:id="rId14" w:tooltip="Medio ambiente" w:history="1">
        <w:r w:rsidRPr="004D6466">
          <w:rPr>
            <w:rStyle w:val="Hipervnculo"/>
            <w:rFonts w:ascii="Arial" w:hAnsi="Arial" w:cs="Arial"/>
            <w:color w:val="auto"/>
            <w:u w:val="none"/>
          </w:rPr>
          <w:t>ambiental</w:t>
        </w:r>
      </w:hyperlink>
      <w:r w:rsidRPr="004D6466">
        <w:rPr>
          <w:rFonts w:ascii="Arial" w:hAnsi="Arial" w:cs="Arial"/>
        </w:rPr>
        <w:t xml:space="preserve"> estén en equilibrio. </w:t>
      </w:r>
    </w:p>
    <w:p w:rsidR="00A66191" w:rsidRPr="004D6466" w:rsidRDefault="00A66191" w:rsidP="00A66191">
      <w:pPr>
        <w:pStyle w:val="NormalWeb"/>
        <w:spacing w:line="360" w:lineRule="auto"/>
        <w:jc w:val="both"/>
        <w:rPr>
          <w:rFonts w:ascii="Arial" w:hAnsi="Arial" w:cs="Arial"/>
        </w:rPr>
      </w:pPr>
      <w:r w:rsidRPr="004D6466">
        <w:rPr>
          <w:rFonts w:ascii="Arial" w:hAnsi="Arial" w:cs="Arial"/>
        </w:rPr>
        <w:t>En contraparte al desarrollo sostenible se encuentra el desarrollismo que se expone a continuación.</w:t>
      </w:r>
    </w:p>
    <w:p w:rsidR="00A66191" w:rsidRPr="004D6466" w:rsidRDefault="00A66191" w:rsidP="00A66191">
      <w:pPr>
        <w:spacing w:line="360" w:lineRule="auto"/>
        <w:jc w:val="both"/>
        <w:rPr>
          <w:rFonts w:ascii="Arial" w:eastAsia="Calibri" w:hAnsi="Arial" w:cs="Arial"/>
          <w:b/>
          <w:sz w:val="24"/>
          <w:szCs w:val="24"/>
        </w:rPr>
      </w:pPr>
      <w:r w:rsidRPr="004D6466">
        <w:rPr>
          <w:rFonts w:ascii="Arial" w:eastAsia="Calibri" w:hAnsi="Arial" w:cs="Arial"/>
          <w:b/>
          <w:sz w:val="24"/>
          <w:szCs w:val="24"/>
        </w:rPr>
        <w:t>1.5.2 Desarrollismo</w:t>
      </w:r>
    </w:p>
    <w:p w:rsidR="00A66191" w:rsidRPr="004D6466" w:rsidRDefault="00A66191" w:rsidP="00A66191">
      <w:pPr>
        <w:pStyle w:val="NormalWeb"/>
        <w:spacing w:line="360" w:lineRule="auto"/>
        <w:jc w:val="both"/>
        <w:rPr>
          <w:rFonts w:ascii="Arial" w:hAnsi="Arial" w:cs="Arial"/>
        </w:rPr>
      </w:pPr>
      <w:r w:rsidRPr="004D6466">
        <w:rPr>
          <w:rFonts w:ascii="Arial" w:hAnsi="Arial" w:cs="Arial"/>
        </w:rPr>
        <w:t xml:space="preserve">El </w:t>
      </w:r>
      <w:r w:rsidRPr="004D6466">
        <w:rPr>
          <w:rFonts w:ascii="Arial" w:hAnsi="Arial" w:cs="Arial"/>
          <w:bCs/>
        </w:rPr>
        <w:t>desarrollismo</w:t>
      </w:r>
      <w:r w:rsidRPr="004D6466">
        <w:rPr>
          <w:rFonts w:ascii="Arial" w:hAnsi="Arial" w:cs="Arial"/>
        </w:rPr>
        <w:t xml:space="preserve"> es una teoría que sostiene que el deterioro de los términos de intercambio en el comercio internacional, con un esquema denominado “centro industrial-periferia agrícola”, reproduce el subdesarrollo y amplía la brecha entre países desarrollados y países subdesarrollados.</w:t>
      </w:r>
    </w:p>
    <w:p w:rsidR="00A66191" w:rsidRPr="004D6466" w:rsidRDefault="00A66191" w:rsidP="00A66191">
      <w:pPr>
        <w:pStyle w:val="NormalWeb"/>
        <w:spacing w:line="360" w:lineRule="auto"/>
        <w:jc w:val="both"/>
        <w:rPr>
          <w:rFonts w:ascii="Arial" w:hAnsi="Arial" w:cs="Arial"/>
        </w:rPr>
      </w:pPr>
      <w:r w:rsidRPr="004D6466">
        <w:rPr>
          <w:rFonts w:ascii="Arial" w:hAnsi="Arial" w:cs="Arial"/>
        </w:rPr>
        <w:t>Como consecuencia de ese diagnóstico, el desarrollismo sostiene que los países no desarrollados deberían tener estados activos, con políticas económicas que impulsen la industrialización, para alcanzar una situación de desarrollo autónomo.</w:t>
      </w:r>
    </w:p>
    <w:p w:rsidR="00A66191" w:rsidRPr="004D6466" w:rsidRDefault="00A66191" w:rsidP="00A66191">
      <w:pPr>
        <w:pStyle w:val="NormalWeb"/>
        <w:spacing w:line="360" w:lineRule="auto"/>
        <w:jc w:val="both"/>
        <w:rPr>
          <w:rFonts w:ascii="Arial" w:hAnsi="Arial" w:cs="Arial"/>
        </w:rPr>
      </w:pPr>
      <w:r w:rsidRPr="004D6466">
        <w:rPr>
          <w:rFonts w:ascii="Arial" w:hAnsi="Arial" w:cs="Arial"/>
        </w:rPr>
        <w:t>En otro aspecto de esta teoría se observa que el comercio internacional es fuente de divisas y de acceso a una base tecnológica, que implica importar maquinarias y equipos desde los países desarrollados.</w:t>
      </w:r>
    </w:p>
    <w:p w:rsidR="00A66191" w:rsidRPr="004D6466" w:rsidRDefault="00A66191" w:rsidP="00A66191">
      <w:pPr>
        <w:pStyle w:val="NormalWeb"/>
        <w:spacing w:line="360" w:lineRule="auto"/>
        <w:jc w:val="both"/>
        <w:rPr>
          <w:rFonts w:ascii="Arial" w:hAnsi="Arial" w:cs="Arial"/>
        </w:rPr>
      </w:pPr>
      <w:r w:rsidRPr="004D6466">
        <w:rPr>
          <w:rFonts w:ascii="Arial" w:hAnsi="Arial" w:cs="Arial"/>
        </w:rPr>
        <w:t>“La teoría desarrollista presenta un modelo en el cual el crecimiento depende directamente de la cuantía de la inversión y de la productividad marginal del capital. El capital extranjero aparece como factor básicamente positivo al crear posibilidades de financiar el desarrollo económico mediante el aumento de la tasa de crecimiento. No obstante, habría que anotar que en este pensamiento, está presente la idea de que el capital también puede llegar a convertirse en un elemento desequilibrador que puede limitar el esperado “desarrollo autónomo”.</w:t>
      </w:r>
      <w:r w:rsidRPr="004D6466">
        <w:rPr>
          <w:rStyle w:val="Refdenotaalpie"/>
          <w:rFonts w:ascii="Arial" w:eastAsiaTheme="majorEastAsia" w:hAnsi="Arial" w:cs="Arial"/>
        </w:rPr>
        <w:footnoteReference w:id="5"/>
      </w:r>
    </w:p>
    <w:p w:rsidR="00A66191" w:rsidRPr="004D6466" w:rsidRDefault="00A66191" w:rsidP="00A66191">
      <w:pPr>
        <w:pStyle w:val="NormalWeb"/>
        <w:spacing w:line="360" w:lineRule="auto"/>
        <w:jc w:val="both"/>
        <w:rPr>
          <w:rFonts w:ascii="Arial" w:hAnsi="Arial" w:cs="Arial"/>
        </w:rPr>
      </w:pPr>
      <w:r w:rsidRPr="004D6466">
        <w:rPr>
          <w:rFonts w:ascii="Arial" w:hAnsi="Arial" w:cs="Arial"/>
        </w:rPr>
        <w:t xml:space="preserve">Cuando el capital se convierte en un elemento desequilibrador aparecen los capitales golondrinas que por su estancia corta en la economía de un país pueden generar burbujas especulativas, sobrevalorar una moneda y perjudicar a su sector exportador. </w:t>
      </w:r>
    </w:p>
    <w:p w:rsidR="00A66191" w:rsidRPr="004D6466" w:rsidRDefault="00A66191" w:rsidP="00A66191">
      <w:pPr>
        <w:pStyle w:val="NormalWeb"/>
        <w:spacing w:line="360" w:lineRule="auto"/>
        <w:jc w:val="both"/>
        <w:rPr>
          <w:rFonts w:ascii="Arial" w:hAnsi="Arial" w:cs="Arial"/>
        </w:rPr>
      </w:pPr>
      <w:r w:rsidRPr="004D6466">
        <w:rPr>
          <w:rFonts w:ascii="Arial" w:hAnsi="Arial" w:cs="Arial"/>
          <w:b/>
          <w:i/>
        </w:rPr>
        <w:lastRenderedPageBreak/>
        <w:t>Desarrollismo económico</w:t>
      </w:r>
    </w:p>
    <w:p w:rsidR="00A66191" w:rsidRPr="004D6466" w:rsidRDefault="00A66191" w:rsidP="00A66191">
      <w:pPr>
        <w:autoSpaceDE w:val="0"/>
        <w:autoSpaceDN w:val="0"/>
        <w:adjustRightInd w:val="0"/>
        <w:spacing w:after="0" w:line="360" w:lineRule="auto"/>
        <w:jc w:val="both"/>
        <w:rPr>
          <w:rFonts w:ascii="Arial" w:hAnsi="Arial" w:cs="Arial"/>
          <w:sz w:val="24"/>
          <w:szCs w:val="24"/>
        </w:rPr>
      </w:pPr>
      <w:r w:rsidRPr="004D6466">
        <w:rPr>
          <w:rFonts w:ascii="Arial" w:hAnsi="Arial" w:cs="Arial"/>
          <w:sz w:val="24"/>
          <w:szCs w:val="24"/>
        </w:rPr>
        <w:t>“La CEPAL postula que cada país debe especializarse en la producción de bienes, en los que pueda lograr mayor productividad, la cual se encuentra por lo general determinada por la fertilidad del suelo, la disponibilidad de recursos minerales, etc. En la medida en que lo haga, esto asegura al país condiciones privilegiadas de competencia en el mercado mundial, llevando a que las transacciones que allí se realicen resulten beneficiosas para todas las partes.”</w:t>
      </w:r>
      <w:r w:rsidRPr="004D6466">
        <w:rPr>
          <w:rStyle w:val="Refdenotaalpie"/>
          <w:rFonts w:ascii="Arial" w:hAnsi="Arial" w:cs="Arial"/>
          <w:sz w:val="24"/>
          <w:szCs w:val="24"/>
        </w:rPr>
        <w:footnoteReference w:id="6"/>
      </w:r>
    </w:p>
    <w:p w:rsidR="00A66191" w:rsidRPr="004D6466" w:rsidRDefault="00A66191" w:rsidP="00A66191">
      <w:pPr>
        <w:pStyle w:val="NormalWeb"/>
        <w:spacing w:line="360" w:lineRule="auto"/>
        <w:jc w:val="both"/>
        <w:rPr>
          <w:rFonts w:ascii="Arial" w:hAnsi="Arial" w:cs="Arial"/>
        </w:rPr>
      </w:pPr>
      <w:r w:rsidRPr="004D6466">
        <w:rPr>
          <w:rFonts w:ascii="Arial" w:hAnsi="Arial" w:cs="Arial"/>
        </w:rPr>
        <w:t>Pero posteriormente la misma CEPAL se dará cuenta que esto no pasa de esa manera, al contrario el desarrollismo económico postula que debido al comercio internacional se inicia un proceso de deterioro de los términos de intercambio y las transferencias de valor entre países, lo que genera un beneficio a los países industrializados y perjudica a los países con economías primario-exportadoras.</w:t>
      </w:r>
    </w:p>
    <w:p w:rsidR="00A66191" w:rsidRPr="004D6466" w:rsidRDefault="00A66191" w:rsidP="00A66191">
      <w:pPr>
        <w:pStyle w:val="NormalWeb"/>
        <w:spacing w:line="360" w:lineRule="auto"/>
        <w:jc w:val="both"/>
        <w:rPr>
          <w:rFonts w:ascii="Arial" w:hAnsi="Arial" w:cs="Arial"/>
        </w:rPr>
      </w:pPr>
      <w:r w:rsidRPr="004D6466">
        <w:rPr>
          <w:rFonts w:ascii="Arial" w:hAnsi="Arial" w:cs="Arial"/>
        </w:rPr>
        <w:t>Por otra parte el desarrollismo considera que el desarrollo solo se mide mediante herramientas cuantitativas como son el Producto Interno Bruto, balanza comercial, entre otros. Sin observar que las cifras no siempre consideran la verdadera realidad del país.</w:t>
      </w:r>
    </w:p>
    <w:p w:rsidR="00A66191" w:rsidRPr="004D6466" w:rsidRDefault="00A66191" w:rsidP="00A66191">
      <w:pPr>
        <w:pStyle w:val="NormalWeb"/>
        <w:spacing w:line="360" w:lineRule="auto"/>
        <w:jc w:val="both"/>
        <w:rPr>
          <w:rFonts w:ascii="Arial" w:hAnsi="Arial" w:cs="Arial"/>
        </w:rPr>
      </w:pPr>
      <w:r w:rsidRPr="004D6466">
        <w:rPr>
          <w:rFonts w:ascii="Arial" w:hAnsi="Arial" w:cs="Arial"/>
        </w:rPr>
        <w:t xml:space="preserve">El estructuralismo o desarrollismo económico se relaciona estrechamente con la Teoría de la Dependencia. </w:t>
      </w:r>
    </w:p>
    <w:p w:rsidR="00A66191" w:rsidRPr="004D6466" w:rsidRDefault="00A66191" w:rsidP="00A66191">
      <w:pPr>
        <w:pStyle w:val="NormalWeb"/>
        <w:spacing w:line="360" w:lineRule="auto"/>
        <w:jc w:val="both"/>
        <w:rPr>
          <w:rFonts w:ascii="Arial" w:hAnsi="Arial" w:cs="Arial"/>
          <w:b/>
          <w:i/>
        </w:rPr>
      </w:pPr>
      <w:r w:rsidRPr="004D6466">
        <w:rPr>
          <w:rFonts w:ascii="Arial" w:hAnsi="Arial" w:cs="Arial"/>
          <w:b/>
          <w:i/>
        </w:rPr>
        <w:t>Teoría de la Dependencia</w:t>
      </w:r>
    </w:p>
    <w:p w:rsidR="00A66191" w:rsidRPr="004D6466" w:rsidRDefault="00A66191" w:rsidP="00A66191">
      <w:pPr>
        <w:pStyle w:val="NormalWeb"/>
        <w:spacing w:line="360" w:lineRule="auto"/>
        <w:jc w:val="both"/>
        <w:rPr>
          <w:rFonts w:ascii="Arial" w:hAnsi="Arial" w:cs="Arial"/>
        </w:rPr>
      </w:pPr>
      <w:r w:rsidRPr="004D6466">
        <w:rPr>
          <w:rFonts w:ascii="Arial" w:hAnsi="Arial" w:cs="Arial"/>
        </w:rPr>
        <w:t xml:space="preserve">La </w:t>
      </w:r>
      <w:r w:rsidRPr="004D6466">
        <w:rPr>
          <w:rFonts w:ascii="Arial" w:hAnsi="Arial" w:cs="Arial"/>
          <w:iCs/>
        </w:rPr>
        <w:t>Teoría de la Dependencia</w:t>
      </w:r>
      <w:r w:rsidRPr="004D6466">
        <w:rPr>
          <w:rFonts w:ascii="Arial" w:hAnsi="Arial" w:cs="Arial"/>
        </w:rPr>
        <w:t xml:space="preserve"> utiliza la dualidad centro-periferia para sostener que la economía mundial posee un diseño desigual y perjudicial para los países no desarrollados, que tienen un rol </w:t>
      </w:r>
      <w:r w:rsidRPr="004D6466">
        <w:rPr>
          <w:rFonts w:ascii="Arial" w:hAnsi="Arial" w:cs="Arial"/>
          <w:iCs/>
        </w:rPr>
        <w:t>periférico</w:t>
      </w:r>
      <w:r w:rsidRPr="004D6466">
        <w:rPr>
          <w:rFonts w:ascii="Arial" w:hAnsi="Arial" w:cs="Arial"/>
        </w:rPr>
        <w:t xml:space="preserve"> de producción de materias primas con bajo valor agregado, en tanto que las decisiones fundamentales se adoptan en los países </w:t>
      </w:r>
      <w:r w:rsidRPr="004D6466">
        <w:rPr>
          <w:rFonts w:ascii="Arial" w:hAnsi="Arial" w:cs="Arial"/>
          <w:iCs/>
        </w:rPr>
        <w:t>desarrollados</w:t>
      </w:r>
      <w:r w:rsidRPr="004D6466">
        <w:rPr>
          <w:rFonts w:ascii="Arial" w:hAnsi="Arial" w:cs="Arial"/>
        </w:rPr>
        <w:t>, que poseen una producción industrial de alto valor agregado.</w:t>
      </w:r>
    </w:p>
    <w:p w:rsidR="00A66191" w:rsidRPr="004D6466" w:rsidRDefault="00A66191" w:rsidP="00A66191">
      <w:pPr>
        <w:autoSpaceDE w:val="0"/>
        <w:autoSpaceDN w:val="0"/>
        <w:adjustRightInd w:val="0"/>
        <w:spacing w:after="0" w:line="360" w:lineRule="auto"/>
        <w:jc w:val="both"/>
        <w:rPr>
          <w:rFonts w:ascii="Arial" w:hAnsi="Arial" w:cs="Arial"/>
          <w:sz w:val="24"/>
          <w:szCs w:val="24"/>
        </w:rPr>
      </w:pPr>
      <w:r w:rsidRPr="004D6466">
        <w:rPr>
          <w:rFonts w:ascii="Arial" w:hAnsi="Arial" w:cs="Arial"/>
          <w:sz w:val="24"/>
          <w:szCs w:val="24"/>
        </w:rPr>
        <w:t>La Teoría de la Dependencia surgió en América Latina en los años sesenta y setenta y  sostiene los siguientes postulados:</w:t>
      </w:r>
    </w:p>
    <w:p w:rsidR="00A66191" w:rsidRPr="004D6466" w:rsidRDefault="00A66191" w:rsidP="00A66191">
      <w:pPr>
        <w:pStyle w:val="Prrafodelista"/>
        <w:numPr>
          <w:ilvl w:val="0"/>
          <w:numId w:val="25"/>
        </w:numPr>
        <w:autoSpaceDE w:val="0"/>
        <w:autoSpaceDN w:val="0"/>
        <w:adjustRightInd w:val="0"/>
        <w:spacing w:after="0" w:line="360" w:lineRule="auto"/>
        <w:jc w:val="both"/>
        <w:rPr>
          <w:rFonts w:ascii="Arial" w:hAnsi="Arial" w:cs="Arial"/>
          <w:sz w:val="24"/>
          <w:szCs w:val="24"/>
        </w:rPr>
      </w:pPr>
      <w:r w:rsidRPr="004D6466">
        <w:rPr>
          <w:rFonts w:ascii="Arial" w:hAnsi="Arial" w:cs="Arial"/>
          <w:sz w:val="24"/>
          <w:szCs w:val="24"/>
        </w:rPr>
        <w:lastRenderedPageBreak/>
        <w:t>“El subdesarrollo está directamente ligado a la expansión de los países industrializados.</w:t>
      </w:r>
    </w:p>
    <w:p w:rsidR="00A66191" w:rsidRPr="004D6466" w:rsidRDefault="00A66191" w:rsidP="00A66191">
      <w:pPr>
        <w:pStyle w:val="Prrafodelista"/>
        <w:numPr>
          <w:ilvl w:val="0"/>
          <w:numId w:val="25"/>
        </w:numPr>
        <w:autoSpaceDE w:val="0"/>
        <w:autoSpaceDN w:val="0"/>
        <w:adjustRightInd w:val="0"/>
        <w:spacing w:after="0" w:line="360" w:lineRule="auto"/>
        <w:jc w:val="both"/>
        <w:rPr>
          <w:rFonts w:ascii="Arial" w:hAnsi="Arial" w:cs="Arial"/>
          <w:sz w:val="24"/>
          <w:szCs w:val="24"/>
        </w:rPr>
      </w:pPr>
      <w:r w:rsidRPr="004D6466">
        <w:rPr>
          <w:rFonts w:ascii="Arial" w:hAnsi="Arial" w:cs="Arial"/>
          <w:sz w:val="24"/>
          <w:szCs w:val="24"/>
        </w:rPr>
        <w:t>El desarrollo y subdesarrollo son dos aspectos diferentes del mismo proceso.</w:t>
      </w:r>
    </w:p>
    <w:p w:rsidR="00A66191" w:rsidRPr="004D6466" w:rsidRDefault="00A66191" w:rsidP="00A66191">
      <w:pPr>
        <w:pStyle w:val="Prrafodelista"/>
        <w:numPr>
          <w:ilvl w:val="0"/>
          <w:numId w:val="25"/>
        </w:numPr>
        <w:spacing w:line="360" w:lineRule="auto"/>
        <w:jc w:val="both"/>
        <w:rPr>
          <w:rFonts w:ascii="Arial" w:hAnsi="Arial" w:cs="Arial"/>
          <w:sz w:val="24"/>
          <w:szCs w:val="24"/>
        </w:rPr>
      </w:pPr>
      <w:r w:rsidRPr="004D6466">
        <w:rPr>
          <w:rFonts w:ascii="Arial" w:hAnsi="Arial" w:cs="Arial"/>
          <w:sz w:val="24"/>
          <w:szCs w:val="24"/>
        </w:rPr>
        <w:t>La dependencia no se limita a relaciones entre países, sino que también crea estructuras internas en las sociedades”</w:t>
      </w:r>
      <w:r w:rsidRPr="004D6466">
        <w:rPr>
          <w:rStyle w:val="Refdenotaalpie"/>
          <w:rFonts w:ascii="Arial" w:hAnsi="Arial" w:cs="Arial"/>
          <w:sz w:val="24"/>
          <w:szCs w:val="24"/>
        </w:rPr>
        <w:footnoteReference w:id="7"/>
      </w:r>
      <w:r w:rsidRPr="004D6466">
        <w:rPr>
          <w:rFonts w:ascii="Arial" w:hAnsi="Arial" w:cs="Arial"/>
          <w:sz w:val="24"/>
          <w:szCs w:val="24"/>
        </w:rPr>
        <w:t xml:space="preserve"> (Blomström y Ente, 1990).</w:t>
      </w:r>
    </w:p>
    <w:p w:rsidR="00A66191" w:rsidRPr="004D6466" w:rsidRDefault="00A66191" w:rsidP="00A66191">
      <w:pPr>
        <w:spacing w:line="360" w:lineRule="auto"/>
        <w:jc w:val="both"/>
        <w:rPr>
          <w:rFonts w:ascii="Arial" w:hAnsi="Arial" w:cs="Arial"/>
          <w:sz w:val="24"/>
          <w:szCs w:val="24"/>
        </w:rPr>
      </w:pPr>
      <w:r w:rsidRPr="004D6466">
        <w:rPr>
          <w:rFonts w:ascii="Arial" w:hAnsi="Arial" w:cs="Arial"/>
          <w:sz w:val="24"/>
          <w:szCs w:val="24"/>
        </w:rPr>
        <w:t xml:space="preserve">Las bases de la teoría de la dependencia surgieron  como resultado, entre otros, de las investigaciones de la Comisión Económica para América Latina y el Caribe (CEPAL). Uno de los autores más representativos fue Raúl Prebisch. </w:t>
      </w:r>
    </w:p>
    <w:p w:rsidR="00A66191" w:rsidRPr="004D6466" w:rsidRDefault="00A66191" w:rsidP="00A66191">
      <w:pPr>
        <w:spacing w:line="360" w:lineRule="auto"/>
        <w:jc w:val="both"/>
        <w:rPr>
          <w:rFonts w:ascii="Arial" w:hAnsi="Arial" w:cs="Arial"/>
          <w:sz w:val="24"/>
          <w:szCs w:val="24"/>
        </w:rPr>
      </w:pPr>
      <w:r w:rsidRPr="004D6466">
        <w:rPr>
          <w:rFonts w:ascii="Arial" w:hAnsi="Arial" w:cs="Arial"/>
          <w:sz w:val="24"/>
          <w:szCs w:val="24"/>
        </w:rPr>
        <w:t>“El punto principal del modelo Prebisch se centra en que para crear condiciones de desarrollo dentro de un país es necesario:</w:t>
      </w:r>
    </w:p>
    <w:p w:rsidR="00A66191" w:rsidRPr="004D6466" w:rsidRDefault="00A66191" w:rsidP="00A66191">
      <w:pPr>
        <w:numPr>
          <w:ilvl w:val="0"/>
          <w:numId w:val="3"/>
        </w:numPr>
        <w:spacing w:before="100" w:beforeAutospacing="1" w:after="100" w:afterAutospacing="1" w:line="360" w:lineRule="auto"/>
        <w:jc w:val="both"/>
        <w:rPr>
          <w:rFonts w:ascii="Arial" w:eastAsia="Times New Roman" w:hAnsi="Arial" w:cs="Arial"/>
          <w:sz w:val="24"/>
          <w:szCs w:val="24"/>
        </w:rPr>
      </w:pPr>
      <w:r w:rsidRPr="004D6466">
        <w:rPr>
          <w:rFonts w:ascii="Arial" w:eastAsia="Times New Roman" w:hAnsi="Arial" w:cs="Arial"/>
          <w:sz w:val="24"/>
          <w:szCs w:val="24"/>
        </w:rPr>
        <w:t xml:space="preserve">Controlar la tasa de cambio monetario, poniendo mayor énfasis en políticas fiscales que en políticas monetarias; </w:t>
      </w:r>
    </w:p>
    <w:p w:rsidR="00A66191" w:rsidRPr="004D6466" w:rsidRDefault="00A66191" w:rsidP="00A66191">
      <w:pPr>
        <w:numPr>
          <w:ilvl w:val="0"/>
          <w:numId w:val="3"/>
        </w:numPr>
        <w:spacing w:before="100" w:beforeAutospacing="1" w:after="100" w:afterAutospacing="1" w:line="360" w:lineRule="auto"/>
        <w:jc w:val="both"/>
        <w:rPr>
          <w:rFonts w:ascii="Arial" w:eastAsia="Times New Roman" w:hAnsi="Arial" w:cs="Arial"/>
          <w:sz w:val="24"/>
          <w:szCs w:val="24"/>
        </w:rPr>
      </w:pPr>
      <w:r w:rsidRPr="004D6466">
        <w:rPr>
          <w:rFonts w:ascii="Arial" w:eastAsia="Times New Roman" w:hAnsi="Arial" w:cs="Arial"/>
          <w:sz w:val="24"/>
          <w:szCs w:val="24"/>
        </w:rPr>
        <w:t xml:space="preserve">Promover un papel gubernamental más eficiente en términos de desarrollo nacional; </w:t>
      </w:r>
    </w:p>
    <w:p w:rsidR="00A66191" w:rsidRPr="004D6466" w:rsidRDefault="00A66191" w:rsidP="00A66191">
      <w:pPr>
        <w:numPr>
          <w:ilvl w:val="0"/>
          <w:numId w:val="3"/>
        </w:numPr>
        <w:spacing w:before="100" w:beforeAutospacing="1" w:after="100" w:afterAutospacing="1" w:line="360" w:lineRule="auto"/>
        <w:jc w:val="both"/>
        <w:rPr>
          <w:rFonts w:ascii="Arial" w:eastAsia="Times New Roman" w:hAnsi="Arial" w:cs="Arial"/>
          <w:sz w:val="24"/>
          <w:szCs w:val="24"/>
        </w:rPr>
      </w:pPr>
      <w:r w:rsidRPr="004D6466">
        <w:rPr>
          <w:rFonts w:ascii="Arial" w:eastAsia="Times New Roman" w:hAnsi="Arial" w:cs="Arial"/>
          <w:sz w:val="24"/>
          <w:szCs w:val="24"/>
        </w:rPr>
        <w:t xml:space="preserve">Crear una plataforma de inversiones, dando prioridad al capital nacional; </w:t>
      </w:r>
    </w:p>
    <w:p w:rsidR="00A66191" w:rsidRPr="004D6466" w:rsidRDefault="00A66191" w:rsidP="00A66191">
      <w:pPr>
        <w:numPr>
          <w:ilvl w:val="0"/>
          <w:numId w:val="3"/>
        </w:numPr>
        <w:spacing w:before="100" w:beforeAutospacing="1" w:after="100" w:afterAutospacing="1" w:line="360" w:lineRule="auto"/>
        <w:jc w:val="both"/>
        <w:rPr>
          <w:rFonts w:ascii="Arial" w:eastAsia="Times New Roman" w:hAnsi="Arial" w:cs="Arial"/>
          <w:sz w:val="24"/>
          <w:szCs w:val="24"/>
        </w:rPr>
      </w:pPr>
      <w:r w:rsidRPr="004D6466">
        <w:rPr>
          <w:rFonts w:ascii="Arial" w:eastAsia="Times New Roman" w:hAnsi="Arial" w:cs="Arial"/>
          <w:sz w:val="24"/>
          <w:szCs w:val="24"/>
        </w:rPr>
        <w:t xml:space="preserve">Permitir la entrada de capitales externos siguiendo prioridades ya establecidas en planes de desarrollo nacionales; </w:t>
      </w:r>
    </w:p>
    <w:p w:rsidR="00A66191" w:rsidRPr="004D6466" w:rsidRDefault="00A66191" w:rsidP="00A66191">
      <w:pPr>
        <w:numPr>
          <w:ilvl w:val="0"/>
          <w:numId w:val="3"/>
        </w:numPr>
        <w:spacing w:before="100" w:beforeAutospacing="1" w:after="100" w:afterAutospacing="1" w:line="360" w:lineRule="auto"/>
        <w:jc w:val="both"/>
        <w:rPr>
          <w:rFonts w:ascii="Arial" w:eastAsia="Times New Roman" w:hAnsi="Arial" w:cs="Arial"/>
          <w:sz w:val="24"/>
          <w:szCs w:val="24"/>
        </w:rPr>
      </w:pPr>
      <w:r w:rsidRPr="004D6466">
        <w:rPr>
          <w:rFonts w:ascii="Arial" w:eastAsia="Times New Roman" w:hAnsi="Arial" w:cs="Arial"/>
          <w:sz w:val="24"/>
          <w:szCs w:val="24"/>
        </w:rPr>
        <w:t xml:space="preserve">Promover una demanda interna más efectiva en término de mercados internos como base para consolidar el esfuerzo de industrialización en Latinoamérica en particular y en naciones en desarrollo en general; </w:t>
      </w:r>
    </w:p>
    <w:p w:rsidR="00A66191" w:rsidRPr="004D6466" w:rsidRDefault="00A66191" w:rsidP="00A66191">
      <w:pPr>
        <w:numPr>
          <w:ilvl w:val="0"/>
          <w:numId w:val="3"/>
        </w:numPr>
        <w:spacing w:before="100" w:beforeAutospacing="1" w:after="100" w:afterAutospacing="1" w:line="360" w:lineRule="auto"/>
        <w:jc w:val="both"/>
        <w:rPr>
          <w:rFonts w:ascii="Arial" w:eastAsia="Times New Roman" w:hAnsi="Arial" w:cs="Arial"/>
          <w:sz w:val="24"/>
          <w:szCs w:val="24"/>
        </w:rPr>
      </w:pPr>
      <w:r w:rsidRPr="004D6466">
        <w:rPr>
          <w:rFonts w:ascii="Arial" w:eastAsia="Times New Roman" w:hAnsi="Arial" w:cs="Arial"/>
          <w:sz w:val="24"/>
          <w:szCs w:val="24"/>
        </w:rPr>
        <w:t xml:space="preserve">Generar una mayor demanda interna incrementando los sueldos y salarios de los trabajadores; </w:t>
      </w:r>
    </w:p>
    <w:p w:rsidR="00A66191" w:rsidRPr="004D6466" w:rsidRDefault="00A66191" w:rsidP="00A66191">
      <w:pPr>
        <w:numPr>
          <w:ilvl w:val="0"/>
          <w:numId w:val="3"/>
        </w:numPr>
        <w:spacing w:before="100" w:beforeAutospacing="1" w:after="100" w:afterAutospacing="1" w:line="360" w:lineRule="auto"/>
        <w:jc w:val="both"/>
        <w:rPr>
          <w:rFonts w:ascii="Arial" w:eastAsia="Times New Roman" w:hAnsi="Arial" w:cs="Arial"/>
          <w:sz w:val="24"/>
          <w:szCs w:val="24"/>
        </w:rPr>
      </w:pPr>
      <w:r w:rsidRPr="004D6466">
        <w:rPr>
          <w:rFonts w:ascii="Arial" w:eastAsia="Times New Roman" w:hAnsi="Arial" w:cs="Arial"/>
          <w:sz w:val="24"/>
          <w:szCs w:val="24"/>
        </w:rPr>
        <w:t xml:space="preserve">Desarrollar un sistema de seguro social más eficiente por parte del gobierno, especialmente para sectores pobres a fin de generar condiciones para que estos sectores puedan llegar a ser más competitivos; </w:t>
      </w:r>
    </w:p>
    <w:p w:rsidR="00A66191" w:rsidRPr="004D6466" w:rsidRDefault="00A66191" w:rsidP="00A66191">
      <w:pPr>
        <w:numPr>
          <w:ilvl w:val="0"/>
          <w:numId w:val="3"/>
        </w:numPr>
        <w:spacing w:before="100" w:beforeAutospacing="1" w:after="100" w:afterAutospacing="1" w:line="360" w:lineRule="auto"/>
        <w:jc w:val="both"/>
        <w:rPr>
          <w:rFonts w:ascii="Arial" w:eastAsia="Times New Roman" w:hAnsi="Arial" w:cs="Arial"/>
          <w:sz w:val="24"/>
          <w:szCs w:val="24"/>
        </w:rPr>
      </w:pPr>
      <w:r w:rsidRPr="004D6466">
        <w:rPr>
          <w:rFonts w:ascii="Arial" w:eastAsia="Times New Roman" w:hAnsi="Arial" w:cs="Arial"/>
          <w:sz w:val="24"/>
          <w:szCs w:val="24"/>
        </w:rPr>
        <w:t>Desarrollar estrategias nacionales que sean coherentes con el modelo de sustitución de importaciones, protegiendo la producción nacional al imponer cuotas y tarifas a los mercados externos”</w:t>
      </w:r>
      <w:r w:rsidRPr="004D6466">
        <w:rPr>
          <w:rStyle w:val="Refdenotaalpie"/>
          <w:rFonts w:ascii="Arial" w:eastAsia="Times New Roman" w:hAnsi="Arial" w:cs="Arial"/>
          <w:sz w:val="24"/>
          <w:szCs w:val="24"/>
        </w:rPr>
        <w:footnoteReference w:id="8"/>
      </w:r>
      <w:r w:rsidRPr="004D6466">
        <w:rPr>
          <w:rFonts w:ascii="Arial" w:eastAsia="Times New Roman" w:hAnsi="Arial" w:cs="Arial"/>
          <w:sz w:val="24"/>
          <w:szCs w:val="24"/>
        </w:rPr>
        <w:t>.</w:t>
      </w:r>
    </w:p>
    <w:p w:rsidR="00A66191" w:rsidRPr="004D6466" w:rsidRDefault="00A66191" w:rsidP="00A66191">
      <w:pPr>
        <w:pStyle w:val="NormalWeb"/>
        <w:spacing w:line="360" w:lineRule="auto"/>
        <w:jc w:val="both"/>
        <w:rPr>
          <w:rFonts w:ascii="Arial" w:hAnsi="Arial" w:cs="Arial"/>
        </w:rPr>
      </w:pPr>
      <w:r w:rsidRPr="004D6466">
        <w:rPr>
          <w:rFonts w:ascii="Arial" w:hAnsi="Arial" w:cs="Arial"/>
        </w:rPr>
        <w:lastRenderedPageBreak/>
        <w:t xml:space="preserve">La teoría de la dependencia tiene que ver con la teoría keynesiana a partir de la cual está compuesta por 4 puntos fundamentales: </w:t>
      </w:r>
    </w:p>
    <w:p w:rsidR="00A66191" w:rsidRPr="004D6466" w:rsidRDefault="00A66191" w:rsidP="00A66191">
      <w:pPr>
        <w:pStyle w:val="Sinespaciado"/>
        <w:spacing w:line="360" w:lineRule="auto"/>
        <w:jc w:val="both"/>
        <w:rPr>
          <w:rFonts w:ascii="Arial" w:hAnsi="Arial" w:cs="Arial"/>
          <w:sz w:val="24"/>
          <w:szCs w:val="24"/>
        </w:rPr>
      </w:pPr>
      <w:r w:rsidRPr="004D6466">
        <w:rPr>
          <w:rFonts w:ascii="Arial" w:hAnsi="Arial" w:cs="Arial"/>
          <w:sz w:val="24"/>
          <w:szCs w:val="24"/>
        </w:rPr>
        <w:t xml:space="preserve">“1. Desarrollar una considerable demanda interna efectiva en términos de mercados nacionales; </w:t>
      </w:r>
    </w:p>
    <w:p w:rsidR="00A66191" w:rsidRPr="004D6466" w:rsidRDefault="00A66191" w:rsidP="00A66191">
      <w:pPr>
        <w:pStyle w:val="Sinespaciado"/>
        <w:spacing w:line="360" w:lineRule="auto"/>
        <w:jc w:val="both"/>
        <w:rPr>
          <w:rFonts w:ascii="Arial" w:hAnsi="Arial" w:cs="Arial"/>
          <w:sz w:val="24"/>
          <w:szCs w:val="24"/>
        </w:rPr>
      </w:pPr>
      <w:r w:rsidRPr="004D6466">
        <w:rPr>
          <w:rFonts w:ascii="Arial" w:hAnsi="Arial" w:cs="Arial"/>
          <w:sz w:val="24"/>
          <w:szCs w:val="24"/>
        </w:rPr>
        <w:t xml:space="preserve">2. Reconocer que el sector industrial es importante para alcanzar mejores niveles de desarrollo nacional, especialmente porque este sector genera mayor valor agregado a los productos en comparación con el sector agrícola; </w:t>
      </w:r>
    </w:p>
    <w:p w:rsidR="00A66191" w:rsidRPr="004D6466" w:rsidRDefault="00A66191" w:rsidP="00A66191">
      <w:pPr>
        <w:pStyle w:val="Sinespaciado"/>
        <w:spacing w:line="360" w:lineRule="auto"/>
        <w:jc w:val="both"/>
        <w:rPr>
          <w:rFonts w:ascii="Arial" w:hAnsi="Arial" w:cs="Arial"/>
          <w:sz w:val="24"/>
          <w:szCs w:val="24"/>
        </w:rPr>
      </w:pPr>
      <w:r w:rsidRPr="004D6466">
        <w:rPr>
          <w:rFonts w:ascii="Arial" w:hAnsi="Arial" w:cs="Arial"/>
          <w:sz w:val="24"/>
          <w:szCs w:val="24"/>
        </w:rPr>
        <w:t xml:space="preserve">3. Incrementar los ingresos de los trabajadores como medio para generar mayor demanda agregada dentro de las condiciones del mercado nacional; </w:t>
      </w:r>
    </w:p>
    <w:p w:rsidR="00A66191" w:rsidRPr="004D6466" w:rsidRDefault="00A66191" w:rsidP="00A66191">
      <w:pPr>
        <w:pStyle w:val="Sinespaciado"/>
        <w:spacing w:line="360" w:lineRule="auto"/>
        <w:jc w:val="both"/>
        <w:rPr>
          <w:rFonts w:ascii="Arial" w:hAnsi="Arial" w:cs="Arial"/>
          <w:sz w:val="24"/>
          <w:szCs w:val="24"/>
        </w:rPr>
      </w:pPr>
      <w:r w:rsidRPr="004D6466">
        <w:rPr>
          <w:rFonts w:ascii="Arial" w:hAnsi="Arial" w:cs="Arial"/>
          <w:sz w:val="24"/>
          <w:szCs w:val="24"/>
        </w:rPr>
        <w:t>4. Promover un papel gubernamental más efectivo para reforzar las condiciones de desarrollo nacional y aumentar los estándares de vida del país.”</w:t>
      </w:r>
      <w:r w:rsidRPr="004D6466">
        <w:rPr>
          <w:rStyle w:val="Refdenotaalpie"/>
          <w:rFonts w:ascii="Arial" w:hAnsi="Arial" w:cs="Arial"/>
          <w:sz w:val="24"/>
          <w:szCs w:val="24"/>
        </w:rPr>
        <w:footnoteReference w:id="9"/>
      </w:r>
    </w:p>
    <w:p w:rsidR="00A66191" w:rsidRPr="004D6466" w:rsidRDefault="00A66191" w:rsidP="00A66191">
      <w:pPr>
        <w:pStyle w:val="NormalWeb"/>
        <w:spacing w:line="360" w:lineRule="auto"/>
        <w:jc w:val="both"/>
        <w:rPr>
          <w:rFonts w:ascii="Arial" w:hAnsi="Arial" w:cs="Arial"/>
        </w:rPr>
      </w:pPr>
      <w:r w:rsidRPr="004D6466">
        <w:rPr>
          <w:rFonts w:ascii="Arial" w:hAnsi="Arial" w:cs="Arial"/>
        </w:rPr>
        <w:t xml:space="preserve">De acuerdo con la escuela de la dependencia, la principal hipótesis referente al desarrollo en los países del Tercer Mundo es que el desarrollo de éstos países necesita tener un grado de subordinación al centro, en contraste del desarrollo de las naciones centrales cuyo desarrollo fue históricamente y es hoy día, independiente. </w:t>
      </w:r>
    </w:p>
    <w:p w:rsidR="00A66191" w:rsidRPr="004D6466" w:rsidRDefault="00A66191" w:rsidP="00A66191">
      <w:pPr>
        <w:pStyle w:val="NormalWeb"/>
        <w:spacing w:line="360" w:lineRule="auto"/>
        <w:jc w:val="both"/>
        <w:rPr>
          <w:rFonts w:ascii="Arial" w:hAnsi="Arial" w:cs="Arial"/>
          <w:b/>
        </w:rPr>
      </w:pPr>
      <w:r w:rsidRPr="004D6466">
        <w:rPr>
          <w:rFonts w:ascii="Arial" w:hAnsi="Arial" w:cs="Arial"/>
          <w:b/>
        </w:rPr>
        <w:t>1.5.4 Liberalismo y neoliberalismo</w:t>
      </w:r>
    </w:p>
    <w:p w:rsidR="00A66191" w:rsidRPr="004D6466" w:rsidRDefault="00A66191" w:rsidP="00A66191">
      <w:pPr>
        <w:pStyle w:val="NormalWeb"/>
        <w:spacing w:line="360" w:lineRule="auto"/>
        <w:jc w:val="both"/>
        <w:rPr>
          <w:rFonts w:ascii="Arial" w:hAnsi="Arial" w:cs="Arial"/>
        </w:rPr>
      </w:pPr>
      <w:r w:rsidRPr="004D6466">
        <w:rPr>
          <w:rFonts w:ascii="Arial" w:hAnsi="Arial" w:cs="Arial"/>
        </w:rPr>
        <w:t xml:space="preserve">Según el </w:t>
      </w:r>
      <w:r w:rsidRPr="004D6466">
        <w:rPr>
          <w:rFonts w:ascii="Arial" w:hAnsi="Arial" w:cs="Arial"/>
          <w:b/>
        </w:rPr>
        <w:t>liberalismo</w:t>
      </w:r>
      <w:r w:rsidRPr="004D6466">
        <w:rPr>
          <w:rFonts w:ascii="Arial" w:hAnsi="Arial" w:cs="Arial"/>
        </w:rPr>
        <w:t>, para llegar al desarrollo, los países ricos deben acumular riquezas, aumentar su producción e implementar la mayor cantidad de innovación tecnológica.</w:t>
      </w:r>
    </w:p>
    <w:p w:rsidR="00A66191" w:rsidRPr="004D6466" w:rsidRDefault="00A66191" w:rsidP="00A66191">
      <w:pPr>
        <w:pStyle w:val="NormalWeb"/>
        <w:spacing w:line="360" w:lineRule="auto"/>
        <w:jc w:val="both"/>
        <w:rPr>
          <w:rFonts w:ascii="Arial" w:hAnsi="Arial" w:cs="Arial"/>
        </w:rPr>
      </w:pPr>
      <w:r w:rsidRPr="004D6466">
        <w:rPr>
          <w:rFonts w:ascii="Arial" w:hAnsi="Arial" w:cs="Arial"/>
        </w:rPr>
        <w:t xml:space="preserve">Tras la II Guerra Mundial algunos autores liberales pronosticaron que los países del tercer mundo o subdesarrollados seguirían el camino al desarrollo a través del capitalismo, mediante diferentes etapas. </w:t>
      </w:r>
    </w:p>
    <w:p w:rsidR="00A66191" w:rsidRPr="004D6466" w:rsidRDefault="00A66191" w:rsidP="00A66191">
      <w:pPr>
        <w:pStyle w:val="NormalWeb"/>
        <w:spacing w:line="360" w:lineRule="auto"/>
        <w:jc w:val="both"/>
        <w:rPr>
          <w:rFonts w:ascii="Arial" w:hAnsi="Arial" w:cs="Arial"/>
        </w:rPr>
      </w:pPr>
      <w:r w:rsidRPr="004D6466">
        <w:rPr>
          <w:rFonts w:ascii="Arial" w:hAnsi="Arial" w:cs="Arial"/>
        </w:rPr>
        <w:t xml:space="preserve">Según estas posturas, es de suma importancia para el desarrollo el aumento de la producción para satisfacer las necesidades de la población. Por ello se considera que la renta o el producto per cápita indican el grado de desarrollo. </w:t>
      </w:r>
      <w:r w:rsidRPr="004D6466">
        <w:rPr>
          <w:rFonts w:ascii="Arial" w:hAnsi="Arial" w:cs="Arial"/>
        </w:rPr>
        <w:lastRenderedPageBreak/>
        <w:t>Sin embargo, con el aumento de la desigualdad entre países ricos y pobres estas ideas no abarcan todas las condiciones que ocasionan el subdesarrollo.</w:t>
      </w:r>
    </w:p>
    <w:p w:rsidR="00A66191" w:rsidRPr="004D6466" w:rsidRDefault="00A66191" w:rsidP="00A66191">
      <w:pPr>
        <w:pStyle w:val="NormalWeb"/>
        <w:spacing w:line="360" w:lineRule="auto"/>
        <w:jc w:val="both"/>
        <w:rPr>
          <w:rFonts w:ascii="Arial" w:hAnsi="Arial" w:cs="Arial"/>
        </w:rPr>
      </w:pPr>
      <w:r w:rsidRPr="004D6466">
        <w:rPr>
          <w:rFonts w:ascii="Arial" w:hAnsi="Arial" w:cs="Arial"/>
        </w:rPr>
        <w:t xml:space="preserve">“Hay dos elementos íntimamente relacionados dentro del liberalismo el uno es el liberalismo social y el otro el liberalismo económico. El </w:t>
      </w:r>
      <w:hyperlink r:id="rId15" w:tooltip="Liberalismo social" w:history="1">
        <w:r w:rsidRPr="004D6466">
          <w:rPr>
            <w:rStyle w:val="Hipervnculo"/>
            <w:rFonts w:ascii="Arial" w:hAnsi="Arial" w:cs="Arial"/>
            <w:color w:val="auto"/>
            <w:u w:val="none"/>
          </w:rPr>
          <w:t>liberalismo social</w:t>
        </w:r>
      </w:hyperlink>
      <w:r w:rsidRPr="004D6466">
        <w:rPr>
          <w:rFonts w:ascii="Arial" w:hAnsi="Arial" w:cs="Arial"/>
        </w:rPr>
        <w:t xml:space="preserve"> es la aplicación de los principios liberales en la vida política de los individuos, como por ejemplo la no intromisión del Estado o de los colectivos en la conducta privada de los ciudadanos y en sus relaciones sociales, existiendo plena libertad de expresión y religiosa.</w:t>
      </w:r>
    </w:p>
    <w:p w:rsidR="00A66191" w:rsidRPr="004D6466" w:rsidRDefault="00A66191" w:rsidP="00A66191">
      <w:pPr>
        <w:pStyle w:val="NormalWeb"/>
        <w:spacing w:line="360" w:lineRule="auto"/>
        <w:jc w:val="both"/>
        <w:rPr>
          <w:rFonts w:ascii="Arial" w:hAnsi="Arial" w:cs="Arial"/>
        </w:rPr>
      </w:pPr>
      <w:r w:rsidRPr="004D6466">
        <w:rPr>
          <w:rFonts w:ascii="Arial" w:hAnsi="Arial" w:cs="Arial"/>
        </w:rPr>
        <w:t xml:space="preserve">El </w:t>
      </w:r>
      <w:hyperlink r:id="rId16" w:tooltip="Liberalismo económico" w:history="1">
        <w:r w:rsidRPr="004D6466">
          <w:rPr>
            <w:rStyle w:val="Hipervnculo"/>
            <w:rFonts w:ascii="Arial" w:hAnsi="Arial" w:cs="Arial"/>
            <w:color w:val="auto"/>
            <w:u w:val="none"/>
          </w:rPr>
          <w:t>liberalismo económico</w:t>
        </w:r>
      </w:hyperlink>
      <w:r w:rsidRPr="004D6466">
        <w:rPr>
          <w:rFonts w:ascii="Arial" w:hAnsi="Arial" w:cs="Arial"/>
        </w:rPr>
        <w:t xml:space="preserve"> es la aplicación de los principios liberales en el desarrollo material de los individuos, como por ejemplo la no intromisión del </w:t>
      </w:r>
      <w:hyperlink r:id="rId17" w:tooltip="Estado" w:history="1">
        <w:r w:rsidRPr="004D6466">
          <w:rPr>
            <w:rStyle w:val="Hipervnculo"/>
            <w:rFonts w:ascii="Arial" w:hAnsi="Arial" w:cs="Arial"/>
            <w:color w:val="auto"/>
            <w:u w:val="none"/>
          </w:rPr>
          <w:t>Estado</w:t>
        </w:r>
      </w:hyperlink>
      <w:r w:rsidRPr="004D6466">
        <w:rPr>
          <w:rFonts w:ascii="Arial" w:hAnsi="Arial" w:cs="Arial"/>
        </w:rPr>
        <w:t xml:space="preserve"> en las relaciones mercantiles entre los ciudadanos, impulsando la reducción de impuestos a su mínima expresión y reducción de la regulación sobre comercio, producción, entre otros.”</w:t>
      </w:r>
      <w:r w:rsidRPr="004D6466">
        <w:rPr>
          <w:rStyle w:val="Refdenotaalpie"/>
          <w:rFonts w:ascii="Arial" w:eastAsiaTheme="majorEastAsia" w:hAnsi="Arial" w:cs="Arial"/>
        </w:rPr>
        <w:footnoteReference w:id="10"/>
      </w:r>
    </w:p>
    <w:p w:rsidR="00A66191" w:rsidRPr="004D6466" w:rsidRDefault="00A66191" w:rsidP="00A66191">
      <w:pPr>
        <w:pStyle w:val="NormalWeb"/>
        <w:spacing w:line="360" w:lineRule="auto"/>
        <w:jc w:val="both"/>
        <w:rPr>
          <w:rFonts w:ascii="Arial" w:hAnsi="Arial" w:cs="Arial"/>
        </w:rPr>
      </w:pPr>
      <w:r w:rsidRPr="004D6466">
        <w:rPr>
          <w:rFonts w:ascii="Arial" w:hAnsi="Arial" w:cs="Arial"/>
        </w:rPr>
        <w:t xml:space="preserve">El </w:t>
      </w:r>
      <w:r w:rsidRPr="004D6466">
        <w:rPr>
          <w:rFonts w:ascii="Arial" w:hAnsi="Arial" w:cs="Arial"/>
          <w:b/>
        </w:rPr>
        <w:t>neoliberalismo</w:t>
      </w:r>
      <w:r w:rsidRPr="004D6466">
        <w:rPr>
          <w:rFonts w:ascii="Arial" w:hAnsi="Arial" w:cs="Arial"/>
        </w:rPr>
        <w:t xml:space="preserve"> es una ideología económica y política que postula que se debe reducir al mínimo la intervención del Estado, tanto en materia económica como social, defendiendo al mercado que en resolución de conflictos es más eficiente.</w:t>
      </w:r>
    </w:p>
    <w:p w:rsidR="00A66191" w:rsidRPr="004D6466" w:rsidRDefault="00A66191" w:rsidP="00A66191">
      <w:pPr>
        <w:pStyle w:val="NormalWeb"/>
        <w:spacing w:line="360" w:lineRule="auto"/>
        <w:jc w:val="both"/>
        <w:rPr>
          <w:rFonts w:ascii="Arial" w:hAnsi="Arial" w:cs="Arial"/>
        </w:rPr>
      </w:pPr>
      <w:r w:rsidRPr="004D6466">
        <w:rPr>
          <w:rFonts w:ascii="Arial" w:hAnsi="Arial" w:cs="Arial"/>
        </w:rPr>
        <w:t xml:space="preserve">El neoliberalismo propone que se deje en manos particulares actividades que antes realizaba el </w:t>
      </w:r>
      <w:hyperlink r:id="rId18" w:tooltip="Estado" w:history="1">
        <w:r w:rsidRPr="004D6466">
          <w:rPr>
            <w:rStyle w:val="Hipervnculo"/>
            <w:rFonts w:ascii="Arial" w:hAnsi="Arial" w:cs="Arial"/>
            <w:color w:val="auto"/>
            <w:u w:val="none"/>
          </w:rPr>
          <w:t>estado</w:t>
        </w:r>
      </w:hyperlink>
      <w:r w:rsidRPr="004D6466">
        <w:rPr>
          <w:rFonts w:ascii="Arial" w:hAnsi="Arial" w:cs="Arial"/>
        </w:rPr>
        <w:t xml:space="preserve">; dentro de lo cual se privatizan </w:t>
      </w:r>
      <w:hyperlink r:id="rId19" w:tooltip="Empresas" w:history="1">
        <w:r w:rsidRPr="004D6466">
          <w:rPr>
            <w:rStyle w:val="Hipervnculo"/>
            <w:rFonts w:ascii="Arial" w:hAnsi="Arial" w:cs="Arial"/>
            <w:color w:val="auto"/>
            <w:u w:val="none"/>
          </w:rPr>
          <w:t>empresas</w:t>
        </w:r>
      </w:hyperlink>
      <w:r w:rsidRPr="004D6466">
        <w:rPr>
          <w:rFonts w:ascii="Arial" w:hAnsi="Arial" w:cs="Arial"/>
        </w:rPr>
        <w:t xml:space="preserve"> públicas, se abren las fronteras para mercancías, capitales y flujos financieros y se reduce el tamaño del </w:t>
      </w:r>
      <w:hyperlink r:id="rId20" w:tooltip="Estado" w:history="1">
        <w:r w:rsidRPr="004D6466">
          <w:rPr>
            <w:rStyle w:val="Hipervnculo"/>
            <w:rFonts w:ascii="Arial" w:hAnsi="Arial" w:cs="Arial"/>
            <w:color w:val="auto"/>
            <w:u w:val="none"/>
          </w:rPr>
          <w:t>Estado</w:t>
        </w:r>
      </w:hyperlink>
      <w:r w:rsidRPr="004D6466">
        <w:rPr>
          <w:rFonts w:ascii="Arial" w:hAnsi="Arial" w:cs="Arial"/>
        </w:rPr>
        <w:t>.</w:t>
      </w:r>
    </w:p>
    <w:p w:rsidR="00A66191" w:rsidRPr="004D6466" w:rsidRDefault="00A66191" w:rsidP="00A66191">
      <w:pPr>
        <w:pStyle w:val="NormalWeb"/>
        <w:spacing w:line="360" w:lineRule="auto"/>
        <w:jc w:val="both"/>
        <w:rPr>
          <w:rFonts w:ascii="Arial" w:hAnsi="Arial" w:cs="Arial"/>
        </w:rPr>
      </w:pPr>
      <w:r w:rsidRPr="004D6466">
        <w:rPr>
          <w:rFonts w:ascii="Arial" w:hAnsi="Arial" w:cs="Arial"/>
        </w:rPr>
        <w:t xml:space="preserve">Dentro de este marco, en la década de los 90 aparece el Consenso de </w:t>
      </w:r>
      <w:r w:rsidR="00830DFF" w:rsidRPr="004D6466">
        <w:rPr>
          <w:rFonts w:ascii="Arial" w:hAnsi="Arial" w:cs="Arial"/>
        </w:rPr>
        <w:t>Washington que</w:t>
      </w:r>
      <w:r w:rsidRPr="004D6466">
        <w:rPr>
          <w:rFonts w:ascii="Arial" w:hAnsi="Arial" w:cs="Arial"/>
        </w:rPr>
        <w:t xml:space="preserve"> es un conjunto de políticas económicas impartidas por los organismos financieros internacionales (Fondo Monetario internacional y Banco Mundial) estas medidas son las siguientes:</w:t>
      </w:r>
    </w:p>
    <w:p w:rsidR="00A66191" w:rsidRPr="004D6466" w:rsidRDefault="00A66191" w:rsidP="00A66191">
      <w:pPr>
        <w:numPr>
          <w:ilvl w:val="0"/>
          <w:numId w:val="22"/>
        </w:numPr>
        <w:spacing w:before="100" w:beforeAutospacing="1" w:after="100" w:afterAutospacing="1" w:line="360" w:lineRule="auto"/>
        <w:jc w:val="both"/>
        <w:rPr>
          <w:rFonts w:ascii="Arial" w:hAnsi="Arial" w:cs="Arial"/>
          <w:sz w:val="24"/>
          <w:szCs w:val="24"/>
        </w:rPr>
      </w:pPr>
      <w:r w:rsidRPr="004D6466">
        <w:rPr>
          <w:rFonts w:ascii="Arial" w:hAnsi="Arial" w:cs="Arial"/>
          <w:sz w:val="24"/>
          <w:szCs w:val="24"/>
        </w:rPr>
        <w:t>Disciplina presupuestaria (los presupuestos públicos no pueden tener déficit)</w:t>
      </w:r>
    </w:p>
    <w:p w:rsidR="00A66191" w:rsidRPr="004D6466" w:rsidRDefault="00A66191" w:rsidP="00A66191">
      <w:pPr>
        <w:numPr>
          <w:ilvl w:val="0"/>
          <w:numId w:val="22"/>
        </w:numPr>
        <w:spacing w:before="100" w:beforeAutospacing="1" w:after="100" w:afterAutospacing="1" w:line="360" w:lineRule="auto"/>
        <w:jc w:val="both"/>
        <w:rPr>
          <w:rFonts w:ascii="Arial" w:hAnsi="Arial" w:cs="Arial"/>
          <w:sz w:val="24"/>
          <w:szCs w:val="24"/>
        </w:rPr>
      </w:pPr>
      <w:r w:rsidRPr="004D6466">
        <w:rPr>
          <w:rFonts w:ascii="Arial" w:hAnsi="Arial" w:cs="Arial"/>
          <w:sz w:val="24"/>
          <w:szCs w:val="24"/>
        </w:rPr>
        <w:lastRenderedPageBreak/>
        <w:t xml:space="preserve">Reordenamiento de las prioridades del </w:t>
      </w:r>
      <w:hyperlink r:id="rId21" w:tooltip="Gasto público" w:history="1">
        <w:r w:rsidRPr="004D6466">
          <w:rPr>
            <w:rStyle w:val="Hipervnculo"/>
            <w:rFonts w:ascii="Arial" w:hAnsi="Arial" w:cs="Arial"/>
            <w:color w:val="auto"/>
            <w:sz w:val="24"/>
            <w:szCs w:val="24"/>
            <w:u w:val="none"/>
          </w:rPr>
          <w:t>gasto público</w:t>
        </w:r>
      </w:hyperlink>
      <w:r w:rsidRPr="004D6466">
        <w:rPr>
          <w:rFonts w:ascii="Arial" w:hAnsi="Arial" w:cs="Arial"/>
          <w:sz w:val="24"/>
          <w:szCs w:val="24"/>
        </w:rPr>
        <w:t xml:space="preserve"> (de áreas como educación, salud pública, investigación e infraestructuras)</w:t>
      </w:r>
    </w:p>
    <w:p w:rsidR="00A66191" w:rsidRPr="004D6466" w:rsidRDefault="00F613AF" w:rsidP="00A66191">
      <w:pPr>
        <w:numPr>
          <w:ilvl w:val="0"/>
          <w:numId w:val="22"/>
        </w:numPr>
        <w:spacing w:before="100" w:beforeAutospacing="1" w:after="100" w:afterAutospacing="1" w:line="360" w:lineRule="auto"/>
        <w:jc w:val="both"/>
        <w:rPr>
          <w:rFonts w:ascii="Arial" w:hAnsi="Arial" w:cs="Arial"/>
          <w:sz w:val="24"/>
          <w:szCs w:val="24"/>
        </w:rPr>
      </w:pPr>
      <w:hyperlink r:id="rId22" w:tooltip="Reforma" w:history="1">
        <w:r w:rsidR="00A66191" w:rsidRPr="004D6466">
          <w:rPr>
            <w:rStyle w:val="Hipervnculo"/>
            <w:rFonts w:ascii="Arial" w:hAnsi="Arial" w:cs="Arial"/>
            <w:color w:val="auto"/>
            <w:sz w:val="24"/>
            <w:szCs w:val="24"/>
            <w:u w:val="none"/>
          </w:rPr>
          <w:t>Reforma</w:t>
        </w:r>
      </w:hyperlink>
      <w:r w:rsidR="00A66191" w:rsidRPr="004D6466">
        <w:rPr>
          <w:rFonts w:ascii="Arial" w:hAnsi="Arial" w:cs="Arial"/>
          <w:sz w:val="24"/>
          <w:szCs w:val="24"/>
        </w:rPr>
        <w:t xml:space="preserve"> impositiva (aumentar los impuestos sobre el </w:t>
      </w:r>
      <w:hyperlink r:id="rId23" w:tooltip="Consumo" w:history="1">
        <w:r w:rsidR="00A66191" w:rsidRPr="004D6466">
          <w:rPr>
            <w:rStyle w:val="Hipervnculo"/>
            <w:rFonts w:ascii="Arial" w:hAnsi="Arial" w:cs="Arial"/>
            <w:color w:val="auto"/>
            <w:sz w:val="24"/>
            <w:szCs w:val="24"/>
            <w:u w:val="none"/>
          </w:rPr>
          <w:t>consumo</w:t>
        </w:r>
      </w:hyperlink>
      <w:r w:rsidR="00A66191" w:rsidRPr="004D6466">
        <w:rPr>
          <w:rFonts w:ascii="Arial" w:hAnsi="Arial" w:cs="Arial"/>
          <w:sz w:val="24"/>
          <w:szCs w:val="24"/>
        </w:rPr>
        <w:t xml:space="preserve"> y reducir los impuestos sobre la </w:t>
      </w:r>
      <w:hyperlink r:id="rId24" w:tooltip="Producción (economía)" w:history="1">
        <w:r w:rsidR="00A66191" w:rsidRPr="004D6466">
          <w:rPr>
            <w:rStyle w:val="Hipervnculo"/>
            <w:rFonts w:ascii="Arial" w:hAnsi="Arial" w:cs="Arial"/>
            <w:color w:val="auto"/>
            <w:sz w:val="24"/>
            <w:szCs w:val="24"/>
            <w:u w:val="none"/>
          </w:rPr>
          <w:t>producción</w:t>
        </w:r>
      </w:hyperlink>
      <w:r w:rsidR="00A66191" w:rsidRPr="004D6466">
        <w:rPr>
          <w:rFonts w:ascii="Arial" w:hAnsi="Arial" w:cs="Arial"/>
          <w:sz w:val="24"/>
          <w:szCs w:val="24"/>
        </w:rPr>
        <w:t xml:space="preserve"> y la </w:t>
      </w:r>
      <w:hyperlink r:id="rId25" w:tooltip="Renta financiera" w:history="1">
        <w:r w:rsidR="00A66191" w:rsidRPr="004D6466">
          <w:rPr>
            <w:rStyle w:val="Hipervnculo"/>
            <w:rFonts w:ascii="Arial" w:hAnsi="Arial" w:cs="Arial"/>
            <w:color w:val="auto"/>
            <w:sz w:val="24"/>
            <w:szCs w:val="24"/>
            <w:u w:val="none"/>
          </w:rPr>
          <w:t>renta</w:t>
        </w:r>
      </w:hyperlink>
      <w:r w:rsidR="00A66191" w:rsidRPr="004D6466">
        <w:rPr>
          <w:rFonts w:ascii="Arial" w:hAnsi="Arial" w:cs="Arial"/>
          <w:sz w:val="24"/>
          <w:szCs w:val="24"/>
        </w:rPr>
        <w:t>)</w:t>
      </w:r>
    </w:p>
    <w:p w:rsidR="00A66191" w:rsidRPr="004D6466" w:rsidRDefault="00F613AF" w:rsidP="00A66191">
      <w:pPr>
        <w:numPr>
          <w:ilvl w:val="0"/>
          <w:numId w:val="22"/>
        </w:numPr>
        <w:spacing w:before="100" w:beforeAutospacing="1" w:after="100" w:afterAutospacing="1" w:line="360" w:lineRule="auto"/>
        <w:jc w:val="both"/>
        <w:rPr>
          <w:rFonts w:ascii="Arial" w:hAnsi="Arial" w:cs="Arial"/>
          <w:sz w:val="24"/>
          <w:szCs w:val="24"/>
        </w:rPr>
      </w:pPr>
      <w:hyperlink r:id="rId26" w:tooltip="Liberalización" w:history="1">
        <w:r w:rsidR="00A66191" w:rsidRPr="004D6466">
          <w:rPr>
            <w:rStyle w:val="Hipervnculo"/>
            <w:rFonts w:ascii="Arial" w:hAnsi="Arial" w:cs="Arial"/>
            <w:color w:val="auto"/>
            <w:sz w:val="24"/>
            <w:szCs w:val="24"/>
            <w:u w:val="none"/>
          </w:rPr>
          <w:t>Liberalización</w:t>
        </w:r>
      </w:hyperlink>
      <w:r w:rsidR="00A66191" w:rsidRPr="004D6466">
        <w:rPr>
          <w:rFonts w:ascii="Arial" w:hAnsi="Arial" w:cs="Arial"/>
          <w:sz w:val="24"/>
          <w:szCs w:val="24"/>
        </w:rPr>
        <w:t xml:space="preserve"> financiera, especialmente de los tipos de interés</w:t>
      </w:r>
    </w:p>
    <w:p w:rsidR="00A66191" w:rsidRPr="004D6466" w:rsidRDefault="00A66191" w:rsidP="00A66191">
      <w:pPr>
        <w:numPr>
          <w:ilvl w:val="0"/>
          <w:numId w:val="22"/>
        </w:numPr>
        <w:spacing w:before="100" w:beforeAutospacing="1" w:after="100" w:afterAutospacing="1" w:line="360" w:lineRule="auto"/>
        <w:jc w:val="both"/>
        <w:rPr>
          <w:rFonts w:ascii="Arial" w:hAnsi="Arial" w:cs="Arial"/>
          <w:sz w:val="24"/>
          <w:szCs w:val="24"/>
        </w:rPr>
      </w:pPr>
      <w:r w:rsidRPr="004D6466">
        <w:rPr>
          <w:rFonts w:ascii="Arial" w:hAnsi="Arial" w:cs="Arial"/>
          <w:sz w:val="24"/>
          <w:szCs w:val="24"/>
        </w:rPr>
        <w:t xml:space="preserve">Un </w:t>
      </w:r>
      <w:hyperlink r:id="rId27" w:tooltip="Tipo de cambio" w:history="1">
        <w:r w:rsidRPr="004D6466">
          <w:rPr>
            <w:rStyle w:val="Hipervnculo"/>
            <w:rFonts w:ascii="Arial" w:hAnsi="Arial" w:cs="Arial"/>
            <w:color w:val="auto"/>
            <w:sz w:val="24"/>
            <w:szCs w:val="24"/>
            <w:u w:val="none"/>
          </w:rPr>
          <w:t>tipo de cambio</w:t>
        </w:r>
      </w:hyperlink>
      <w:r w:rsidRPr="004D6466">
        <w:rPr>
          <w:rFonts w:ascii="Arial" w:hAnsi="Arial" w:cs="Arial"/>
          <w:sz w:val="24"/>
          <w:szCs w:val="24"/>
        </w:rPr>
        <w:t xml:space="preserve"> de la moneda competitivo</w:t>
      </w:r>
    </w:p>
    <w:p w:rsidR="00A66191" w:rsidRPr="004D6466" w:rsidRDefault="00A66191" w:rsidP="00A66191">
      <w:pPr>
        <w:numPr>
          <w:ilvl w:val="0"/>
          <w:numId w:val="22"/>
        </w:numPr>
        <w:spacing w:before="100" w:beforeAutospacing="1" w:after="100" w:afterAutospacing="1" w:line="360" w:lineRule="auto"/>
        <w:jc w:val="both"/>
        <w:rPr>
          <w:rFonts w:ascii="Arial" w:hAnsi="Arial" w:cs="Arial"/>
          <w:sz w:val="24"/>
          <w:szCs w:val="24"/>
        </w:rPr>
      </w:pPr>
      <w:r w:rsidRPr="004D6466">
        <w:rPr>
          <w:rFonts w:ascii="Arial" w:hAnsi="Arial" w:cs="Arial"/>
          <w:sz w:val="24"/>
          <w:szCs w:val="24"/>
        </w:rPr>
        <w:t>Liberalización del comercio internacional (disminución de barreras aduaneras)</w:t>
      </w:r>
    </w:p>
    <w:p w:rsidR="00A66191" w:rsidRPr="004D6466" w:rsidRDefault="00A66191" w:rsidP="00A66191">
      <w:pPr>
        <w:numPr>
          <w:ilvl w:val="0"/>
          <w:numId w:val="22"/>
        </w:numPr>
        <w:spacing w:before="100" w:beforeAutospacing="1" w:after="100" w:afterAutospacing="1" w:line="360" w:lineRule="auto"/>
        <w:jc w:val="both"/>
        <w:rPr>
          <w:rFonts w:ascii="Arial" w:hAnsi="Arial" w:cs="Arial"/>
          <w:sz w:val="24"/>
          <w:szCs w:val="24"/>
        </w:rPr>
      </w:pPr>
      <w:r w:rsidRPr="004D6466">
        <w:rPr>
          <w:rFonts w:ascii="Arial" w:hAnsi="Arial" w:cs="Arial"/>
          <w:sz w:val="24"/>
          <w:szCs w:val="24"/>
        </w:rPr>
        <w:t>Eliminación de las barreras a las inversiones extranjeras directas</w:t>
      </w:r>
    </w:p>
    <w:p w:rsidR="00A66191" w:rsidRPr="004D6466" w:rsidRDefault="00F613AF" w:rsidP="00A66191">
      <w:pPr>
        <w:numPr>
          <w:ilvl w:val="0"/>
          <w:numId w:val="22"/>
        </w:numPr>
        <w:spacing w:before="100" w:beforeAutospacing="1" w:after="100" w:afterAutospacing="1" w:line="360" w:lineRule="auto"/>
        <w:jc w:val="both"/>
        <w:rPr>
          <w:rFonts w:ascii="Arial" w:hAnsi="Arial" w:cs="Arial"/>
          <w:sz w:val="24"/>
          <w:szCs w:val="24"/>
        </w:rPr>
      </w:pPr>
      <w:hyperlink r:id="rId28" w:tooltip="Privatización" w:history="1">
        <w:r w:rsidR="00A66191" w:rsidRPr="004D6466">
          <w:rPr>
            <w:rStyle w:val="Hipervnculo"/>
            <w:rFonts w:ascii="Arial" w:hAnsi="Arial" w:cs="Arial"/>
            <w:color w:val="auto"/>
            <w:sz w:val="24"/>
            <w:szCs w:val="24"/>
            <w:u w:val="none"/>
          </w:rPr>
          <w:t>Privatización</w:t>
        </w:r>
      </w:hyperlink>
      <w:r w:rsidR="00A66191" w:rsidRPr="004D6466">
        <w:rPr>
          <w:rFonts w:ascii="Arial" w:hAnsi="Arial" w:cs="Arial"/>
          <w:sz w:val="24"/>
          <w:szCs w:val="24"/>
        </w:rPr>
        <w:t xml:space="preserve"> (venta de las empresas públicas y de los monopolios estatales)</w:t>
      </w:r>
    </w:p>
    <w:p w:rsidR="00A66191" w:rsidRPr="004D6466" w:rsidRDefault="00F613AF" w:rsidP="00A66191">
      <w:pPr>
        <w:numPr>
          <w:ilvl w:val="0"/>
          <w:numId w:val="22"/>
        </w:numPr>
        <w:spacing w:before="100" w:beforeAutospacing="1" w:after="100" w:afterAutospacing="1" w:line="360" w:lineRule="auto"/>
        <w:jc w:val="both"/>
        <w:rPr>
          <w:rFonts w:ascii="Arial" w:hAnsi="Arial" w:cs="Arial"/>
          <w:sz w:val="24"/>
          <w:szCs w:val="24"/>
        </w:rPr>
      </w:pPr>
      <w:hyperlink r:id="rId29" w:tooltip="Desregulación" w:history="1">
        <w:r w:rsidR="00A66191" w:rsidRPr="004D6466">
          <w:rPr>
            <w:rStyle w:val="Hipervnculo"/>
            <w:rFonts w:ascii="Arial" w:hAnsi="Arial" w:cs="Arial"/>
            <w:color w:val="auto"/>
            <w:sz w:val="24"/>
            <w:szCs w:val="24"/>
            <w:u w:val="none"/>
          </w:rPr>
          <w:t>Desregulación</w:t>
        </w:r>
      </w:hyperlink>
      <w:r w:rsidR="00A66191" w:rsidRPr="004D6466">
        <w:rPr>
          <w:rFonts w:ascii="Arial" w:hAnsi="Arial" w:cs="Arial"/>
          <w:sz w:val="24"/>
          <w:szCs w:val="24"/>
        </w:rPr>
        <w:t xml:space="preserve"> de los mercados</w:t>
      </w:r>
    </w:p>
    <w:p w:rsidR="00A66191" w:rsidRPr="004D6466" w:rsidRDefault="00A66191" w:rsidP="00A66191">
      <w:pPr>
        <w:numPr>
          <w:ilvl w:val="0"/>
          <w:numId w:val="22"/>
        </w:numPr>
        <w:spacing w:before="100" w:beforeAutospacing="1" w:after="100" w:afterAutospacing="1" w:line="360" w:lineRule="auto"/>
        <w:jc w:val="both"/>
        <w:rPr>
          <w:rFonts w:ascii="Arial" w:hAnsi="Arial" w:cs="Arial"/>
          <w:sz w:val="24"/>
          <w:szCs w:val="24"/>
        </w:rPr>
      </w:pPr>
      <w:r w:rsidRPr="004D6466">
        <w:rPr>
          <w:rFonts w:ascii="Arial" w:hAnsi="Arial" w:cs="Arial"/>
          <w:sz w:val="24"/>
          <w:szCs w:val="24"/>
        </w:rPr>
        <w:t>Protección de la propiedad privada.</w:t>
      </w:r>
    </w:p>
    <w:p w:rsidR="00A66191" w:rsidRPr="004D6466" w:rsidRDefault="00A66191" w:rsidP="00A66191">
      <w:pPr>
        <w:numPr>
          <w:ilvl w:val="0"/>
          <w:numId w:val="22"/>
        </w:numPr>
        <w:spacing w:before="100" w:beforeAutospacing="1" w:after="100" w:afterAutospacing="1" w:line="360" w:lineRule="auto"/>
        <w:jc w:val="both"/>
        <w:rPr>
          <w:rFonts w:ascii="Arial" w:hAnsi="Arial" w:cs="Arial"/>
          <w:sz w:val="24"/>
          <w:szCs w:val="24"/>
        </w:rPr>
      </w:pPr>
      <w:r w:rsidRPr="004D6466">
        <w:rPr>
          <w:rFonts w:ascii="Arial" w:hAnsi="Arial" w:cs="Arial"/>
          <w:sz w:val="24"/>
          <w:szCs w:val="24"/>
        </w:rPr>
        <w:t>Privatización de la educación pública y la salud pública.</w:t>
      </w:r>
    </w:p>
    <w:p w:rsidR="00A66191" w:rsidRPr="004D6466" w:rsidRDefault="00A66191" w:rsidP="00A66191">
      <w:pPr>
        <w:pStyle w:val="NormalWeb"/>
        <w:spacing w:line="360" w:lineRule="auto"/>
        <w:jc w:val="both"/>
        <w:rPr>
          <w:rFonts w:ascii="Arial" w:hAnsi="Arial" w:cs="Arial"/>
          <w:b/>
        </w:rPr>
      </w:pPr>
      <w:r w:rsidRPr="004D6466">
        <w:rPr>
          <w:rFonts w:ascii="Arial" w:hAnsi="Arial" w:cs="Arial"/>
          <w:b/>
        </w:rPr>
        <w:t>1.5.5 Keynesianismo</w:t>
      </w:r>
    </w:p>
    <w:p w:rsidR="00A66191" w:rsidRPr="004D6466" w:rsidRDefault="00A66191" w:rsidP="00A66191">
      <w:pPr>
        <w:pStyle w:val="NormalWeb"/>
        <w:spacing w:line="360" w:lineRule="auto"/>
        <w:jc w:val="both"/>
        <w:rPr>
          <w:rFonts w:ascii="Arial" w:hAnsi="Arial" w:cs="Arial"/>
        </w:rPr>
      </w:pPr>
      <w:r w:rsidRPr="004D6466">
        <w:rPr>
          <w:rFonts w:ascii="Arial" w:hAnsi="Arial" w:cs="Arial"/>
        </w:rPr>
        <w:t>“Según la teoría del keynesianismo el desarrollo se logra con un capitalismo  caracterizado por: tener un mercado interno poderoso y depurado, considerar los sectores primario, secundario y terciario de manera equilibrada, un flujo económico estable y poca dependencia del exterior. En consecuencia según esta teoría el aumento productivo es el factor obligatorio para el desarrollo”</w:t>
      </w:r>
      <w:r w:rsidRPr="004D6466">
        <w:rPr>
          <w:rStyle w:val="Refdenotaalpie"/>
          <w:rFonts w:ascii="Arial" w:eastAsiaTheme="majorEastAsia" w:hAnsi="Arial" w:cs="Arial"/>
        </w:rPr>
        <w:footnoteReference w:id="11"/>
      </w:r>
      <w:r w:rsidRPr="004D6466">
        <w:rPr>
          <w:rFonts w:ascii="Arial" w:hAnsi="Arial" w:cs="Arial"/>
        </w:rPr>
        <w:t>.</w:t>
      </w:r>
    </w:p>
    <w:p w:rsidR="00A66191" w:rsidRPr="004D6466" w:rsidRDefault="00A66191" w:rsidP="00A66191">
      <w:pPr>
        <w:pStyle w:val="NormalWeb"/>
        <w:spacing w:line="360" w:lineRule="auto"/>
        <w:jc w:val="both"/>
        <w:rPr>
          <w:rStyle w:val="haupttext"/>
          <w:rFonts w:ascii="Arial" w:hAnsi="Arial" w:cs="Arial"/>
        </w:rPr>
      </w:pPr>
      <w:r w:rsidRPr="004D6466">
        <w:rPr>
          <w:rStyle w:val="haupttext"/>
          <w:rFonts w:ascii="Arial" w:hAnsi="Arial" w:cs="Arial"/>
        </w:rPr>
        <w:t xml:space="preserve">Una las </w:t>
      </w:r>
      <w:hyperlink r:id="rId30" w:history="1">
        <w:r w:rsidRPr="004D6466">
          <w:rPr>
            <w:rStyle w:val="Hipervnculo"/>
            <w:rFonts w:ascii="Arial" w:hAnsi="Arial" w:cs="Arial"/>
            <w:color w:val="auto"/>
            <w:u w:val="none"/>
          </w:rPr>
          <w:t>principal</w:t>
        </w:r>
      </w:hyperlink>
      <w:r w:rsidRPr="004D6466">
        <w:rPr>
          <w:rStyle w:val="haupttext"/>
          <w:rFonts w:ascii="Arial" w:hAnsi="Arial" w:cs="Arial"/>
        </w:rPr>
        <w:t xml:space="preserve">es aportaciones del Keynesianismo es “el </w:t>
      </w:r>
      <w:hyperlink r:id="rId31" w:history="1">
        <w:r w:rsidRPr="004D6466">
          <w:rPr>
            <w:rStyle w:val="Hipervnculo"/>
            <w:rFonts w:ascii="Arial" w:hAnsi="Arial" w:cs="Arial"/>
            <w:color w:val="auto"/>
            <w:u w:val="none"/>
          </w:rPr>
          <w:t>análisis</w:t>
        </w:r>
      </w:hyperlink>
      <w:r w:rsidRPr="004D6466">
        <w:rPr>
          <w:rStyle w:val="haupttext"/>
          <w:rFonts w:ascii="Arial" w:hAnsi="Arial" w:cs="Arial"/>
        </w:rPr>
        <w:t xml:space="preserve"> de la </w:t>
      </w:r>
      <w:hyperlink r:id="rId32" w:history="1">
        <w:r w:rsidRPr="004D6466">
          <w:rPr>
            <w:rStyle w:val="Hipervnculo"/>
            <w:rFonts w:ascii="Arial" w:hAnsi="Arial" w:cs="Arial"/>
            <w:color w:val="auto"/>
            <w:u w:val="none"/>
          </w:rPr>
          <w:t>demanda efectiva</w:t>
        </w:r>
      </w:hyperlink>
      <w:r w:rsidRPr="004D6466">
        <w:rPr>
          <w:rStyle w:val="haupttext"/>
          <w:rFonts w:ascii="Arial" w:hAnsi="Arial" w:cs="Arial"/>
        </w:rPr>
        <w:t xml:space="preserve"> y su </w:t>
      </w:r>
      <w:hyperlink r:id="rId33" w:history="1">
        <w:r w:rsidRPr="004D6466">
          <w:rPr>
            <w:rStyle w:val="Hipervnculo"/>
            <w:rFonts w:ascii="Arial" w:hAnsi="Arial" w:cs="Arial"/>
            <w:color w:val="auto"/>
            <w:u w:val="none"/>
          </w:rPr>
          <w:t>incidencia</w:t>
        </w:r>
      </w:hyperlink>
      <w:r w:rsidRPr="004D6466">
        <w:rPr>
          <w:rStyle w:val="haupttext"/>
          <w:rFonts w:ascii="Arial" w:hAnsi="Arial" w:cs="Arial"/>
        </w:rPr>
        <w:t xml:space="preserve"> en las variaciones del nivel de </w:t>
      </w:r>
      <w:hyperlink r:id="rId34" w:history="1">
        <w:r w:rsidRPr="004D6466">
          <w:rPr>
            <w:rStyle w:val="Hipervnculo"/>
            <w:rFonts w:ascii="Arial" w:hAnsi="Arial" w:cs="Arial"/>
            <w:color w:val="auto"/>
            <w:u w:val="none"/>
          </w:rPr>
          <w:t>producción</w:t>
        </w:r>
      </w:hyperlink>
      <w:r w:rsidRPr="004D6466">
        <w:rPr>
          <w:rStyle w:val="haupttext"/>
          <w:rFonts w:ascii="Arial" w:hAnsi="Arial" w:cs="Arial"/>
        </w:rPr>
        <w:t xml:space="preserve"> y </w:t>
      </w:r>
      <w:hyperlink r:id="rId35" w:history="1">
        <w:r w:rsidRPr="004D6466">
          <w:rPr>
            <w:rStyle w:val="Hipervnculo"/>
            <w:rFonts w:ascii="Arial" w:hAnsi="Arial" w:cs="Arial"/>
            <w:color w:val="auto"/>
            <w:u w:val="none"/>
          </w:rPr>
          <w:t>empleo</w:t>
        </w:r>
      </w:hyperlink>
      <w:r w:rsidRPr="004D6466">
        <w:rPr>
          <w:rStyle w:val="haupttext"/>
          <w:rFonts w:ascii="Arial" w:hAnsi="Arial" w:cs="Arial"/>
        </w:rPr>
        <w:t xml:space="preserve">. Keynes dudaba de la </w:t>
      </w:r>
      <w:hyperlink r:id="rId36" w:history="1">
        <w:r w:rsidRPr="004D6466">
          <w:rPr>
            <w:rStyle w:val="Hipervnculo"/>
            <w:rFonts w:ascii="Arial" w:hAnsi="Arial" w:cs="Arial"/>
            <w:color w:val="auto"/>
            <w:u w:val="none"/>
          </w:rPr>
          <w:t>eficacia</w:t>
        </w:r>
      </w:hyperlink>
      <w:r w:rsidRPr="004D6466">
        <w:rPr>
          <w:rStyle w:val="haupttext"/>
          <w:rFonts w:ascii="Arial" w:hAnsi="Arial" w:cs="Arial"/>
        </w:rPr>
        <w:t xml:space="preserve"> de la </w:t>
      </w:r>
      <w:hyperlink r:id="rId37" w:history="1">
        <w:r w:rsidRPr="004D6466">
          <w:rPr>
            <w:rStyle w:val="Hipervnculo"/>
            <w:rFonts w:ascii="Arial" w:hAnsi="Arial" w:cs="Arial"/>
            <w:color w:val="auto"/>
            <w:u w:val="none"/>
          </w:rPr>
          <w:t>política monetaria</w:t>
        </w:r>
      </w:hyperlink>
      <w:r w:rsidRPr="004D6466">
        <w:rPr>
          <w:rStyle w:val="haupttext"/>
          <w:rFonts w:ascii="Arial" w:hAnsi="Arial" w:cs="Arial"/>
        </w:rPr>
        <w:t xml:space="preserve"> como instrumento adecuado para incidir sobre el nivel de </w:t>
      </w:r>
      <w:hyperlink r:id="rId38" w:history="1">
        <w:r w:rsidRPr="004D6466">
          <w:rPr>
            <w:rStyle w:val="Hipervnculo"/>
            <w:rFonts w:ascii="Arial" w:hAnsi="Arial" w:cs="Arial"/>
            <w:color w:val="auto"/>
            <w:u w:val="none"/>
          </w:rPr>
          <w:t>renta</w:t>
        </w:r>
      </w:hyperlink>
      <w:r w:rsidRPr="004D6466">
        <w:rPr>
          <w:rStyle w:val="haupttext"/>
          <w:rFonts w:ascii="Arial" w:hAnsi="Arial" w:cs="Arial"/>
        </w:rPr>
        <w:t xml:space="preserve">, a </w:t>
      </w:r>
      <w:hyperlink r:id="rId39" w:history="1">
        <w:r w:rsidRPr="004D6466">
          <w:rPr>
            <w:rStyle w:val="Hipervnculo"/>
            <w:rFonts w:ascii="Arial" w:hAnsi="Arial" w:cs="Arial"/>
            <w:color w:val="auto"/>
            <w:u w:val="none"/>
          </w:rPr>
          <w:t>causa</w:t>
        </w:r>
      </w:hyperlink>
      <w:r w:rsidRPr="004D6466">
        <w:rPr>
          <w:rStyle w:val="haupttext"/>
          <w:rFonts w:ascii="Arial" w:hAnsi="Arial" w:cs="Arial"/>
        </w:rPr>
        <w:t xml:space="preserve"> de la llamada </w:t>
      </w:r>
      <w:hyperlink r:id="rId40" w:history="1">
        <w:r w:rsidRPr="004D6466">
          <w:rPr>
            <w:rStyle w:val="Hipervnculo"/>
            <w:rFonts w:ascii="Arial" w:hAnsi="Arial" w:cs="Arial"/>
            <w:color w:val="auto"/>
            <w:u w:val="none"/>
          </w:rPr>
          <w:t>trampa de la liquidez</w:t>
        </w:r>
      </w:hyperlink>
      <w:r w:rsidRPr="004D6466">
        <w:rPr>
          <w:rStyle w:val="haupttext"/>
          <w:rFonts w:ascii="Arial" w:hAnsi="Arial" w:cs="Arial"/>
        </w:rPr>
        <w:t xml:space="preserve">; es decir, cuando a partir de un determinado </w:t>
      </w:r>
      <w:hyperlink r:id="rId41" w:history="1">
        <w:r w:rsidRPr="004D6466">
          <w:rPr>
            <w:rStyle w:val="Hipervnculo"/>
            <w:rFonts w:ascii="Arial" w:hAnsi="Arial" w:cs="Arial"/>
            <w:color w:val="auto"/>
            <w:u w:val="none"/>
          </w:rPr>
          <w:t>tipo de interés</w:t>
        </w:r>
      </w:hyperlink>
      <w:r w:rsidRPr="004D6466">
        <w:rPr>
          <w:rStyle w:val="haupttext"/>
          <w:rFonts w:ascii="Arial" w:hAnsi="Arial" w:cs="Arial"/>
        </w:rPr>
        <w:t xml:space="preserve">, que la gente cree que es muy bajo, la </w:t>
      </w:r>
      <w:hyperlink r:id="rId42" w:history="1">
        <w:r w:rsidRPr="004D6466">
          <w:rPr>
            <w:rStyle w:val="Hipervnculo"/>
            <w:rFonts w:ascii="Arial" w:hAnsi="Arial" w:cs="Arial"/>
            <w:color w:val="auto"/>
            <w:u w:val="none"/>
          </w:rPr>
          <w:t>curva</w:t>
        </w:r>
      </w:hyperlink>
      <w:r w:rsidRPr="004D6466">
        <w:rPr>
          <w:rStyle w:val="haupttext"/>
          <w:rFonts w:ascii="Arial" w:hAnsi="Arial" w:cs="Arial"/>
        </w:rPr>
        <w:t xml:space="preserve"> de </w:t>
      </w:r>
      <w:hyperlink r:id="rId43" w:history="1">
        <w:r w:rsidRPr="004D6466">
          <w:rPr>
            <w:rStyle w:val="Hipervnculo"/>
            <w:rFonts w:ascii="Arial" w:hAnsi="Arial" w:cs="Arial"/>
            <w:color w:val="auto"/>
            <w:u w:val="none"/>
          </w:rPr>
          <w:t>demanda de dinero</w:t>
        </w:r>
      </w:hyperlink>
      <w:r w:rsidRPr="004D6466">
        <w:rPr>
          <w:rStyle w:val="haupttext"/>
          <w:rFonts w:ascii="Arial" w:hAnsi="Arial" w:cs="Arial"/>
        </w:rPr>
        <w:t xml:space="preserve"> se hace infinitamente elástica y los sucesivos </w:t>
      </w:r>
      <w:hyperlink r:id="rId44" w:history="1">
        <w:r w:rsidRPr="004D6466">
          <w:rPr>
            <w:rStyle w:val="Hipervnculo"/>
            <w:rFonts w:ascii="Arial" w:hAnsi="Arial" w:cs="Arial"/>
            <w:color w:val="auto"/>
            <w:u w:val="none"/>
          </w:rPr>
          <w:t>incremento</w:t>
        </w:r>
      </w:hyperlink>
      <w:r w:rsidRPr="004D6466">
        <w:rPr>
          <w:rStyle w:val="haupttext"/>
          <w:rFonts w:ascii="Arial" w:hAnsi="Arial" w:cs="Arial"/>
        </w:rPr>
        <w:t xml:space="preserve">s de </w:t>
      </w:r>
      <w:hyperlink r:id="rId45" w:history="1">
        <w:r w:rsidRPr="004D6466">
          <w:rPr>
            <w:rStyle w:val="Hipervnculo"/>
            <w:rFonts w:ascii="Arial" w:hAnsi="Arial" w:cs="Arial"/>
            <w:color w:val="auto"/>
            <w:u w:val="none"/>
          </w:rPr>
          <w:t>oferta monetaria</w:t>
        </w:r>
      </w:hyperlink>
      <w:r w:rsidRPr="004D6466">
        <w:rPr>
          <w:rStyle w:val="haupttext"/>
          <w:rFonts w:ascii="Arial" w:hAnsi="Arial" w:cs="Arial"/>
        </w:rPr>
        <w:t xml:space="preserve"> no pueden conseguir hacerlo bajar más. En estas situaciones la </w:t>
      </w:r>
      <w:hyperlink r:id="rId46" w:history="1">
        <w:r w:rsidRPr="004D6466">
          <w:rPr>
            <w:rStyle w:val="Hipervnculo"/>
            <w:rFonts w:ascii="Arial" w:hAnsi="Arial" w:cs="Arial"/>
            <w:color w:val="auto"/>
            <w:u w:val="none"/>
          </w:rPr>
          <w:t xml:space="preserve">política </w:t>
        </w:r>
        <w:r w:rsidRPr="004D6466">
          <w:rPr>
            <w:rStyle w:val="Hipervnculo"/>
            <w:rFonts w:ascii="Arial" w:hAnsi="Arial" w:cs="Arial"/>
            <w:color w:val="auto"/>
            <w:u w:val="none"/>
          </w:rPr>
          <w:lastRenderedPageBreak/>
          <w:t>monetaria</w:t>
        </w:r>
      </w:hyperlink>
      <w:r w:rsidRPr="004D6466">
        <w:rPr>
          <w:rStyle w:val="haupttext"/>
          <w:rFonts w:ascii="Arial" w:hAnsi="Arial" w:cs="Arial"/>
        </w:rPr>
        <w:t xml:space="preserve"> tiene que ser complementada con el adecuado manejo de los </w:t>
      </w:r>
      <w:hyperlink r:id="rId47" w:history="1">
        <w:r w:rsidRPr="004D6466">
          <w:rPr>
            <w:rStyle w:val="Hipervnculo"/>
            <w:rFonts w:ascii="Arial" w:hAnsi="Arial" w:cs="Arial"/>
            <w:color w:val="auto"/>
            <w:u w:val="none"/>
          </w:rPr>
          <w:t>ingresos</w:t>
        </w:r>
      </w:hyperlink>
      <w:r w:rsidRPr="004D6466">
        <w:rPr>
          <w:rStyle w:val="haupttext"/>
          <w:rFonts w:ascii="Arial" w:hAnsi="Arial" w:cs="Arial"/>
        </w:rPr>
        <w:t xml:space="preserve"> y </w:t>
      </w:r>
      <w:hyperlink r:id="rId48" w:history="1">
        <w:r w:rsidRPr="004D6466">
          <w:rPr>
            <w:rStyle w:val="Hipervnculo"/>
            <w:rFonts w:ascii="Arial" w:hAnsi="Arial" w:cs="Arial"/>
            <w:color w:val="auto"/>
            <w:u w:val="none"/>
          </w:rPr>
          <w:t>gasto</w:t>
        </w:r>
      </w:hyperlink>
      <w:r w:rsidRPr="004D6466">
        <w:rPr>
          <w:rStyle w:val="haupttext"/>
          <w:rFonts w:ascii="Arial" w:hAnsi="Arial" w:cs="Arial"/>
        </w:rPr>
        <w:t>s públicos”</w:t>
      </w:r>
      <w:r w:rsidRPr="004D6466">
        <w:rPr>
          <w:rStyle w:val="Refdenotaalpie"/>
          <w:rFonts w:ascii="Arial" w:eastAsiaTheme="majorEastAsia" w:hAnsi="Arial" w:cs="Arial"/>
        </w:rPr>
        <w:footnoteReference w:id="12"/>
      </w:r>
      <w:r w:rsidRPr="004D6466">
        <w:rPr>
          <w:rStyle w:val="haupttext"/>
          <w:rFonts w:ascii="Arial" w:hAnsi="Arial" w:cs="Arial"/>
        </w:rPr>
        <w:t xml:space="preserve"> .</w:t>
      </w:r>
    </w:p>
    <w:p w:rsidR="00A66191" w:rsidRPr="004D6466" w:rsidRDefault="00A66191" w:rsidP="00A66191">
      <w:pPr>
        <w:pStyle w:val="NormalWeb"/>
        <w:spacing w:line="360" w:lineRule="auto"/>
        <w:jc w:val="both"/>
        <w:rPr>
          <w:rFonts w:ascii="Arial" w:hAnsi="Arial" w:cs="Arial"/>
        </w:rPr>
      </w:pPr>
      <w:r w:rsidRPr="004D6466">
        <w:rPr>
          <w:rFonts w:ascii="Arial" w:hAnsi="Arial" w:cs="Arial"/>
        </w:rPr>
        <w:t>Cuando la demanda de capital y la oferta de capital están ambos a la baja, el mercado como un todo vuelve a un nuevo equilibrio. Pero en éste, la cantidad de capital aplicado será menor que antes, por lo cual la nueva proporción resultante entre los demás factores de producción trabajo, recursos y el capital, se alterará. Al reducirse o retenerse parte del capital o ahorro, una parte de los otros dos factores resultará excedente y no podrá más, que quedar fuera del mercado; se realiza como un creciente stock involuntario de estos otros dos factores.</w:t>
      </w:r>
    </w:p>
    <w:p w:rsidR="00A66191" w:rsidRPr="004D6466" w:rsidRDefault="00A66191" w:rsidP="00A66191">
      <w:pPr>
        <w:pStyle w:val="NormalWeb"/>
        <w:spacing w:line="360" w:lineRule="auto"/>
        <w:jc w:val="both"/>
        <w:rPr>
          <w:rFonts w:ascii="Arial" w:hAnsi="Arial" w:cs="Arial"/>
        </w:rPr>
      </w:pPr>
      <w:r w:rsidRPr="004D6466">
        <w:rPr>
          <w:rFonts w:ascii="Arial" w:hAnsi="Arial" w:cs="Arial"/>
        </w:rPr>
        <w:t>Hay que tener en cuenta que el keynesianismo fue parte de uno de los planes más perversos del siglo XX, el Plan Marshall, que fue concebido para asegurar la correcta distribución de las ayudas económicas procedentes de los Estados Unidos a los distintos países europeos después de la destrucción de la II guerra mundial. Se considera perverso porque en realidad las ayudas económicas sirvieron para fortalecer las relaciones de dependencia que EE.UU. tuvo y tiene con países en vías de desarrollo, estas ayudas eran otorgadas a quien se someta a la influencia estadounidense, con lo cual dicho país logró posicionarse como hegemón y empezó un ciclo  de centro-periferia.</w:t>
      </w:r>
    </w:p>
    <w:p w:rsidR="00A66191" w:rsidRPr="004D6466" w:rsidRDefault="00A66191" w:rsidP="00A66191">
      <w:pPr>
        <w:pStyle w:val="NormalWeb"/>
        <w:spacing w:line="360" w:lineRule="auto"/>
        <w:jc w:val="both"/>
        <w:rPr>
          <w:rFonts w:ascii="Arial" w:hAnsi="Arial" w:cs="Arial"/>
          <w:b/>
        </w:rPr>
      </w:pPr>
      <w:r w:rsidRPr="004D6466">
        <w:rPr>
          <w:rFonts w:ascii="Arial" w:hAnsi="Arial" w:cs="Arial"/>
          <w:b/>
        </w:rPr>
        <w:t>1.5.6 Marxismo</w:t>
      </w:r>
    </w:p>
    <w:p w:rsidR="00A66191" w:rsidRPr="004D6466" w:rsidRDefault="00A66191" w:rsidP="00A66191">
      <w:pPr>
        <w:pStyle w:val="NormalWeb"/>
        <w:spacing w:line="360" w:lineRule="auto"/>
        <w:jc w:val="both"/>
        <w:rPr>
          <w:rFonts w:ascii="Arial" w:hAnsi="Arial" w:cs="Arial"/>
        </w:rPr>
      </w:pPr>
      <w:r w:rsidRPr="004D6466">
        <w:rPr>
          <w:rFonts w:ascii="Arial" w:hAnsi="Arial" w:cs="Arial"/>
        </w:rPr>
        <w:t>Según esta postura los países capitalistas del Norte o Primer Mundo, se desarrollaron marginando y sub desarrollando a los del Sur o Tercer Mundo, debido a la explotación para la extracción de recursos naturales y el uso de mano de obra barata. Por ello, este neo-imperialismo impide de forma deliberada el desarrollo del Tercer Mundo, para mantener su bienestar y niveles de consumo a costa de éste.</w:t>
      </w:r>
    </w:p>
    <w:p w:rsidR="00A66191" w:rsidRPr="004D6466" w:rsidRDefault="00A66191" w:rsidP="00A66191">
      <w:pPr>
        <w:pStyle w:val="NormalWeb"/>
        <w:spacing w:line="360" w:lineRule="auto"/>
        <w:jc w:val="both"/>
        <w:rPr>
          <w:rFonts w:ascii="Arial" w:hAnsi="Arial" w:cs="Arial"/>
        </w:rPr>
      </w:pPr>
      <w:r w:rsidRPr="004D6466">
        <w:rPr>
          <w:rFonts w:ascii="Arial" w:hAnsi="Arial" w:cs="Arial"/>
        </w:rPr>
        <w:t xml:space="preserve">Los marxistas asumen que hay estructuras internacionales que llevan a esa desigualdad entre países desarrollados y subdesarrollados. Según esta teoría, existe un </w:t>
      </w:r>
      <w:r w:rsidRPr="004D6466">
        <w:rPr>
          <w:rFonts w:ascii="Arial" w:hAnsi="Arial" w:cs="Arial"/>
          <w:iCs/>
        </w:rPr>
        <w:t>norte</w:t>
      </w:r>
      <w:r w:rsidRPr="004D6466">
        <w:rPr>
          <w:rFonts w:ascii="Arial" w:hAnsi="Arial" w:cs="Arial"/>
        </w:rPr>
        <w:t xml:space="preserve"> o </w:t>
      </w:r>
      <w:r w:rsidRPr="004D6466">
        <w:rPr>
          <w:rFonts w:ascii="Arial" w:hAnsi="Arial" w:cs="Arial"/>
          <w:iCs/>
        </w:rPr>
        <w:t>centro</w:t>
      </w:r>
      <w:r w:rsidRPr="004D6466">
        <w:rPr>
          <w:rFonts w:ascii="Arial" w:hAnsi="Arial" w:cs="Arial"/>
        </w:rPr>
        <w:t xml:space="preserve"> que acumula riquezas e innova en tecnología, pero a </w:t>
      </w:r>
      <w:r w:rsidRPr="004D6466">
        <w:rPr>
          <w:rFonts w:ascii="Arial" w:hAnsi="Arial" w:cs="Arial"/>
        </w:rPr>
        <w:lastRenderedPageBreak/>
        <w:t xml:space="preserve">costa de explotar al </w:t>
      </w:r>
      <w:r w:rsidRPr="004D6466">
        <w:rPr>
          <w:rFonts w:ascii="Arial" w:hAnsi="Arial" w:cs="Arial"/>
          <w:iCs/>
        </w:rPr>
        <w:t>sur</w:t>
      </w:r>
      <w:r w:rsidRPr="004D6466">
        <w:rPr>
          <w:rFonts w:ascii="Arial" w:hAnsi="Arial" w:cs="Arial"/>
        </w:rPr>
        <w:t xml:space="preserve"> o </w:t>
      </w:r>
      <w:r w:rsidRPr="004D6466">
        <w:rPr>
          <w:rFonts w:ascii="Arial" w:hAnsi="Arial" w:cs="Arial"/>
          <w:iCs/>
        </w:rPr>
        <w:t>periferia</w:t>
      </w:r>
      <w:r w:rsidRPr="004D6466">
        <w:rPr>
          <w:rFonts w:ascii="Arial" w:hAnsi="Arial" w:cs="Arial"/>
        </w:rPr>
        <w:t xml:space="preserve"> que carece de industria y formas de acumular riquezas por imposición de los países ricos, perpetuando un desarrollo desigual. </w:t>
      </w:r>
    </w:p>
    <w:p w:rsidR="00A66191" w:rsidRPr="004D6466" w:rsidRDefault="00A66191" w:rsidP="00A66191">
      <w:pPr>
        <w:pStyle w:val="NormalWeb"/>
        <w:spacing w:line="360" w:lineRule="auto"/>
        <w:jc w:val="both"/>
        <w:rPr>
          <w:rFonts w:ascii="Arial" w:hAnsi="Arial" w:cs="Arial"/>
          <w:b/>
        </w:rPr>
      </w:pPr>
      <w:r w:rsidRPr="004D6466">
        <w:rPr>
          <w:rFonts w:ascii="Arial" w:hAnsi="Arial" w:cs="Arial"/>
          <w:b/>
        </w:rPr>
        <w:t>1.5.7 Humanismo</w:t>
      </w:r>
    </w:p>
    <w:p w:rsidR="00A66191" w:rsidRPr="004D6466" w:rsidRDefault="00A66191" w:rsidP="00A66191">
      <w:pPr>
        <w:pStyle w:val="NormalWeb"/>
        <w:spacing w:line="360" w:lineRule="auto"/>
        <w:jc w:val="both"/>
        <w:rPr>
          <w:rFonts w:ascii="Arial" w:hAnsi="Arial" w:cs="Arial"/>
        </w:rPr>
      </w:pPr>
      <w:r w:rsidRPr="004D6466">
        <w:rPr>
          <w:rFonts w:ascii="Arial" w:hAnsi="Arial" w:cs="Arial"/>
        </w:rPr>
        <w:t>Esta postura señala que el desarrollo económico no es suficiente, ya que si no existe una mejora social y humana nada tiene sentido.</w:t>
      </w:r>
    </w:p>
    <w:p w:rsidR="00A66191" w:rsidRPr="004D6466" w:rsidRDefault="00A66191" w:rsidP="00A66191">
      <w:pPr>
        <w:pStyle w:val="NormalWeb"/>
        <w:spacing w:line="360" w:lineRule="auto"/>
        <w:jc w:val="both"/>
        <w:rPr>
          <w:rFonts w:ascii="Arial" w:hAnsi="Arial" w:cs="Arial"/>
        </w:rPr>
      </w:pPr>
      <w:r w:rsidRPr="004D6466">
        <w:rPr>
          <w:rFonts w:ascii="Arial" w:hAnsi="Arial" w:cs="Arial"/>
        </w:rPr>
        <w:t>Según esta perspectiva es negativo seguir el mismo camino que recorrieron los países ricos. Ya que tiene un grave precio social y ecológico, por lo que se debe buscar vías económicas alternas. Por lo tanto considera que “el desarrollo tradicional, basado en la industrialización y la producción está errado y lo sustituye con uno basado en el desarrollo humano, es decir, el aumento de las oportunidades socio-económicas o de las capacidades humanas considerando como requisitos mínimos:  la disponibilidad de productos (mediante aumento de producción), o una mejora material del nivel de vida. Lo que da más oportunidades; la longevidad (Esperanza de vida), indica el bienestar y sanidad. O sea mayores oportunidades y el acceso a la educación (medible con tasas de alfabetización y escolarización), se toma como criterio de cultura e información, entendiendo que ayuda a conocer y aprovechar mejor las oportunidades.”</w:t>
      </w:r>
      <w:r w:rsidRPr="004D6466">
        <w:rPr>
          <w:rStyle w:val="Refdenotaalpie"/>
          <w:rFonts w:ascii="Arial" w:eastAsiaTheme="majorEastAsia" w:hAnsi="Arial" w:cs="Arial"/>
        </w:rPr>
        <w:footnoteReference w:id="13"/>
      </w:r>
    </w:p>
    <w:p w:rsidR="00A66191" w:rsidRPr="004D6466" w:rsidRDefault="00A66191" w:rsidP="00A66191">
      <w:pPr>
        <w:pStyle w:val="NormalWeb"/>
        <w:spacing w:line="360" w:lineRule="auto"/>
        <w:jc w:val="both"/>
        <w:rPr>
          <w:rFonts w:ascii="Arial" w:hAnsi="Arial" w:cs="Arial"/>
          <w:b/>
        </w:rPr>
      </w:pPr>
      <w:r w:rsidRPr="004D6466">
        <w:rPr>
          <w:rFonts w:ascii="Arial" w:eastAsia="Calibri" w:hAnsi="Arial" w:cs="Arial"/>
          <w:b/>
        </w:rPr>
        <w:t>1.5.8 Modelos de desarrollo</w:t>
      </w:r>
    </w:p>
    <w:p w:rsidR="00A66191" w:rsidRPr="004D6466" w:rsidRDefault="00A66191" w:rsidP="00A66191">
      <w:pPr>
        <w:spacing w:line="360" w:lineRule="auto"/>
        <w:jc w:val="both"/>
        <w:rPr>
          <w:rFonts w:ascii="Arial" w:eastAsia="Calibri" w:hAnsi="Arial" w:cs="Arial"/>
          <w:b/>
          <w:sz w:val="24"/>
          <w:szCs w:val="24"/>
        </w:rPr>
      </w:pPr>
      <w:r w:rsidRPr="004D6466">
        <w:rPr>
          <w:rFonts w:ascii="Arial" w:eastAsia="Calibri" w:hAnsi="Arial" w:cs="Arial"/>
          <w:b/>
          <w:sz w:val="24"/>
          <w:szCs w:val="24"/>
        </w:rPr>
        <w:t>a) Endógeno</w:t>
      </w:r>
    </w:p>
    <w:p w:rsidR="00A66191" w:rsidRPr="004D6466" w:rsidRDefault="00A66191" w:rsidP="00A66191">
      <w:pPr>
        <w:spacing w:line="360" w:lineRule="auto"/>
        <w:jc w:val="both"/>
        <w:rPr>
          <w:rFonts w:ascii="Arial" w:hAnsi="Arial" w:cs="Arial"/>
          <w:sz w:val="24"/>
          <w:szCs w:val="24"/>
        </w:rPr>
      </w:pPr>
      <w:r w:rsidRPr="004D6466">
        <w:rPr>
          <w:rFonts w:ascii="Arial" w:eastAsia="Calibri" w:hAnsi="Arial" w:cs="Arial"/>
          <w:sz w:val="24"/>
          <w:szCs w:val="24"/>
        </w:rPr>
        <w:t xml:space="preserve">El modelo de desarrollo endógeno </w:t>
      </w:r>
      <w:r w:rsidRPr="004D6466">
        <w:rPr>
          <w:rFonts w:ascii="Arial" w:hAnsi="Arial" w:cs="Arial"/>
          <w:sz w:val="24"/>
          <w:szCs w:val="24"/>
        </w:rPr>
        <w:t>busca potenciar las capacidades internas de las comunidades locales o países; de modo que puedan ser utilizadas para fortalecer la sociedad y su economía de adentro hacia afuera, para que sea sostenible en el tiempo. El aspecto económico es importante en esta clase de modelo de desarrollo porque permite convertir los recursos naturales en productos que se puedan consumir, distribuir y exportar al mundo entero.</w:t>
      </w:r>
    </w:p>
    <w:p w:rsidR="00A66191" w:rsidRPr="004D6466" w:rsidRDefault="00A66191" w:rsidP="00A66191">
      <w:pPr>
        <w:spacing w:line="360" w:lineRule="auto"/>
        <w:jc w:val="both"/>
        <w:rPr>
          <w:rFonts w:ascii="Arial" w:hAnsi="Arial" w:cs="Arial"/>
          <w:sz w:val="24"/>
          <w:szCs w:val="24"/>
        </w:rPr>
      </w:pPr>
      <w:r w:rsidRPr="004D6466">
        <w:rPr>
          <w:rFonts w:ascii="Arial" w:hAnsi="Arial" w:cs="Arial"/>
          <w:sz w:val="24"/>
          <w:szCs w:val="24"/>
        </w:rPr>
        <w:lastRenderedPageBreak/>
        <w:t xml:space="preserve">El Desarrollo </w:t>
      </w:r>
      <w:r w:rsidR="00830DFF" w:rsidRPr="004D6466">
        <w:rPr>
          <w:rFonts w:ascii="Arial" w:hAnsi="Arial" w:cs="Arial"/>
          <w:sz w:val="24"/>
          <w:szCs w:val="24"/>
        </w:rPr>
        <w:t>Endógeno busca</w:t>
      </w:r>
      <w:r w:rsidRPr="004D6466">
        <w:rPr>
          <w:rFonts w:ascii="Arial" w:hAnsi="Arial" w:cs="Arial"/>
          <w:sz w:val="24"/>
          <w:szCs w:val="24"/>
        </w:rPr>
        <w:t xml:space="preserve"> la satisfacción de las necesidades básicas, la participación de la comunidad, la protección del ambiente y la localización de la comunidad en un espacio determinado. Busca que los procesos locales y globales se complementen. Se trata de no seguir importando lo que podría producirse en el país, ni continuar produciendo lo que no se necesita, sino producir según las realidades y necesidades. </w:t>
      </w:r>
    </w:p>
    <w:p w:rsidR="00A66191" w:rsidRPr="004D6466" w:rsidRDefault="00A66191" w:rsidP="00A66191">
      <w:pPr>
        <w:pStyle w:val="NormalWeb"/>
        <w:spacing w:line="360" w:lineRule="auto"/>
        <w:jc w:val="both"/>
        <w:rPr>
          <w:rFonts w:ascii="Arial" w:hAnsi="Arial" w:cs="Arial"/>
        </w:rPr>
      </w:pPr>
      <w:r w:rsidRPr="004D6466">
        <w:rPr>
          <w:rFonts w:ascii="Arial" w:hAnsi="Arial" w:cs="Arial"/>
        </w:rPr>
        <w:t xml:space="preserve">Se basa en el cambio del sistema productivo del país, para que cada </w:t>
      </w:r>
      <w:r w:rsidR="00830DFF" w:rsidRPr="004D6466">
        <w:rPr>
          <w:rFonts w:ascii="Arial" w:hAnsi="Arial" w:cs="Arial"/>
        </w:rPr>
        <w:t>región sea</w:t>
      </w:r>
      <w:r w:rsidRPr="004D6466">
        <w:rPr>
          <w:rFonts w:ascii="Arial" w:hAnsi="Arial" w:cs="Arial"/>
        </w:rPr>
        <w:t xml:space="preserve"> capaz de transformar sus recursos naturales en bienes y servicios, que multipliquen el empleo y el bienestar social, lo que garantiza la calidad de vida para las personas y el medio ambiente.</w:t>
      </w:r>
    </w:p>
    <w:p w:rsidR="00A66191" w:rsidRPr="004D6466" w:rsidRDefault="00A66191" w:rsidP="00A66191">
      <w:pPr>
        <w:pStyle w:val="NormalWeb"/>
        <w:spacing w:line="360" w:lineRule="auto"/>
        <w:jc w:val="both"/>
        <w:rPr>
          <w:rFonts w:ascii="Arial" w:hAnsi="Arial" w:cs="Arial"/>
        </w:rPr>
      </w:pPr>
      <w:r w:rsidRPr="004D6466">
        <w:rPr>
          <w:rFonts w:ascii="Arial" w:hAnsi="Arial" w:cs="Arial"/>
          <w:bCs/>
        </w:rPr>
        <w:t>El modelo de desarrollo endógeno tiene ciertas ventajas tales como:</w:t>
      </w:r>
      <w:r w:rsidRPr="004D6466">
        <w:rPr>
          <w:rFonts w:ascii="Arial" w:hAnsi="Arial" w:cs="Arial"/>
        </w:rPr>
        <w:t xml:space="preserve"> propiciar valores como la solidaridad y la cooperación, facilitar a las comunidades la toma del poder para que desarrollen las actividades agrícolas, industriales y turísticas de sus regiones, fomentar la incorporación al sistema educativo, económico y social a las personas que hasta ahora habían sido excluidas (minorías por ejemplo), proponer la construcción de redes productivas donde todos participemos en igualdad de condiciones y accedamos fácilmente a la tecnología y el conocimiento, pone al servicio de la gente toda la infraestructura del Estado que había sido abandonada (campos industriales, maquinarias, tierras ociosas, entre otros) para generar bienes y servicios.</w:t>
      </w:r>
    </w:p>
    <w:p w:rsidR="00A66191" w:rsidRPr="004D6466" w:rsidRDefault="00A66191" w:rsidP="00A66191">
      <w:pPr>
        <w:pStyle w:val="NormalWeb"/>
        <w:spacing w:line="360" w:lineRule="auto"/>
        <w:jc w:val="both"/>
        <w:rPr>
          <w:rFonts w:ascii="Arial" w:hAnsi="Arial" w:cs="Arial"/>
        </w:rPr>
      </w:pPr>
      <w:r w:rsidRPr="004D6466">
        <w:rPr>
          <w:rFonts w:ascii="Arial" w:hAnsi="Arial" w:cs="Arial"/>
        </w:rPr>
        <w:t>Es oportuno señalar que el modelo de desarrollo endógeno también tiene desventajas como las siguientes: es un modelo basado en la renta del petróleo y minerales, entre otros y la casi absoluta dependencia de la producción de bienes y tecnologías extranjeras, generando un estado burocratizado e ineficiente que se caracteriza por el clientelismo político y la corrupción.</w:t>
      </w:r>
    </w:p>
    <w:p w:rsidR="00A66191" w:rsidRPr="004D6466" w:rsidRDefault="00A66191" w:rsidP="00A66191">
      <w:pPr>
        <w:spacing w:line="360" w:lineRule="auto"/>
        <w:jc w:val="both"/>
        <w:rPr>
          <w:rFonts w:ascii="Arial" w:eastAsia="Calibri" w:hAnsi="Arial" w:cs="Arial"/>
          <w:b/>
          <w:sz w:val="24"/>
          <w:szCs w:val="24"/>
        </w:rPr>
      </w:pPr>
      <w:r w:rsidRPr="004D6466">
        <w:rPr>
          <w:rFonts w:ascii="Arial" w:eastAsia="Calibri" w:hAnsi="Arial" w:cs="Arial"/>
          <w:b/>
          <w:sz w:val="24"/>
          <w:szCs w:val="24"/>
        </w:rPr>
        <w:t>b) Industrialización por Sustitución de Importaciones (ISI)</w:t>
      </w:r>
    </w:p>
    <w:p w:rsidR="00A66191" w:rsidRPr="004D6466" w:rsidRDefault="00A66191" w:rsidP="00A66191">
      <w:pPr>
        <w:spacing w:line="360" w:lineRule="auto"/>
        <w:jc w:val="both"/>
        <w:rPr>
          <w:rFonts w:ascii="Arial" w:eastAsia="Calibri" w:hAnsi="Arial" w:cs="Arial"/>
          <w:sz w:val="24"/>
          <w:szCs w:val="24"/>
        </w:rPr>
      </w:pPr>
      <w:r w:rsidRPr="004D6466">
        <w:rPr>
          <w:rFonts w:ascii="Arial" w:eastAsia="Calibri" w:hAnsi="Arial" w:cs="Arial"/>
          <w:sz w:val="24"/>
          <w:szCs w:val="24"/>
        </w:rPr>
        <w:t>El modelo de Industrialización por Sustitución de Importaciones (ISI) es un modelo económico adoptado por los países latinoamericanos a partir de la Segunda Guerra Mundial.</w:t>
      </w:r>
    </w:p>
    <w:p w:rsidR="00A66191" w:rsidRPr="004D6466" w:rsidRDefault="00A66191" w:rsidP="00A66191">
      <w:pPr>
        <w:pStyle w:val="NormalWeb"/>
        <w:spacing w:line="360" w:lineRule="auto"/>
        <w:jc w:val="both"/>
        <w:rPr>
          <w:rFonts w:ascii="Arial" w:hAnsi="Arial" w:cs="Arial"/>
        </w:rPr>
      </w:pPr>
      <w:r w:rsidRPr="004D6466">
        <w:rPr>
          <w:rFonts w:ascii="Arial" w:eastAsia="Calibri" w:hAnsi="Arial" w:cs="Arial"/>
        </w:rPr>
        <w:lastRenderedPageBreak/>
        <w:t xml:space="preserve">Responde a las corrientes del </w:t>
      </w:r>
      <w:hyperlink r:id="rId49" w:tooltip="Desarrollismo" w:history="1">
        <w:r w:rsidRPr="004D6466">
          <w:rPr>
            <w:rStyle w:val="Hipervnculo"/>
            <w:rFonts w:ascii="Arial" w:hAnsi="Arial" w:cs="Arial"/>
            <w:color w:val="auto"/>
            <w:u w:val="none"/>
          </w:rPr>
          <w:t>desarrollismo</w:t>
        </w:r>
      </w:hyperlink>
      <w:r w:rsidRPr="004D6466">
        <w:rPr>
          <w:rFonts w:ascii="Arial" w:hAnsi="Arial" w:cs="Arial"/>
        </w:rPr>
        <w:t xml:space="preserve"> y a la </w:t>
      </w:r>
      <w:hyperlink r:id="rId50" w:tooltip="Teoría de la dependencia" w:history="1">
        <w:r w:rsidRPr="004D6466">
          <w:rPr>
            <w:rStyle w:val="Hipervnculo"/>
            <w:rFonts w:ascii="Arial" w:hAnsi="Arial" w:cs="Arial"/>
            <w:color w:val="auto"/>
            <w:u w:val="none"/>
          </w:rPr>
          <w:t>teoría de la dependencia</w:t>
        </w:r>
      </w:hyperlink>
      <w:r w:rsidRPr="004D6466">
        <w:rPr>
          <w:rFonts w:ascii="Arial" w:hAnsi="Arial" w:cs="Arial"/>
        </w:rPr>
        <w:t>, ambas exponen ideas en las cuales los países ricos explotan a los pobres, y en consecuencia, las relaciones económicas internacionales perjudican a estos.</w:t>
      </w:r>
    </w:p>
    <w:p w:rsidR="00A66191" w:rsidRPr="004D6466" w:rsidRDefault="00A66191" w:rsidP="00A66191">
      <w:pPr>
        <w:pStyle w:val="NormalWeb"/>
        <w:spacing w:line="360" w:lineRule="auto"/>
        <w:jc w:val="both"/>
        <w:rPr>
          <w:rFonts w:ascii="Arial" w:hAnsi="Arial" w:cs="Arial"/>
        </w:rPr>
      </w:pPr>
      <w:r w:rsidRPr="004D6466">
        <w:rPr>
          <w:rFonts w:ascii="Arial" w:hAnsi="Arial" w:cs="Arial"/>
        </w:rPr>
        <w:t xml:space="preserve">Dentro de este modelo hay tres puntos clave que son: “la política industrial activa que se refleja en subsidios y dirección del estado para la producción de bienes sustitutos; barreras al </w:t>
      </w:r>
      <w:hyperlink r:id="rId51" w:tooltip="Libre comercio" w:history="1">
        <w:r w:rsidRPr="004D6466">
          <w:rPr>
            <w:rStyle w:val="Hipervnculo"/>
            <w:rFonts w:ascii="Arial" w:hAnsi="Arial" w:cs="Arial"/>
            <w:color w:val="auto"/>
            <w:u w:val="none"/>
          </w:rPr>
          <w:t>libre comercio</w:t>
        </w:r>
      </w:hyperlink>
      <w:r w:rsidRPr="004D6466">
        <w:rPr>
          <w:rFonts w:ascii="Arial" w:hAnsi="Arial" w:cs="Arial"/>
        </w:rPr>
        <w:t xml:space="preserve"> o </w:t>
      </w:r>
      <w:hyperlink r:id="rId52" w:tooltip="Proteccionismo" w:history="1">
        <w:r w:rsidRPr="004D6466">
          <w:rPr>
            <w:rStyle w:val="Hipervnculo"/>
            <w:rFonts w:ascii="Arial" w:hAnsi="Arial" w:cs="Arial"/>
            <w:color w:val="auto"/>
            <w:u w:val="none"/>
          </w:rPr>
          <w:t>proteccionismo</w:t>
        </w:r>
      </w:hyperlink>
      <w:r w:rsidRPr="004D6466">
        <w:rPr>
          <w:rFonts w:ascii="Arial" w:hAnsi="Arial" w:cs="Arial"/>
        </w:rPr>
        <w:t xml:space="preserve"> que se traduce en altos </w:t>
      </w:r>
      <w:hyperlink r:id="rId53" w:tooltip="Aranceles" w:history="1">
        <w:r w:rsidRPr="004D6466">
          <w:rPr>
            <w:rStyle w:val="Hipervnculo"/>
            <w:rFonts w:ascii="Arial" w:hAnsi="Arial" w:cs="Arial"/>
            <w:color w:val="auto"/>
            <w:u w:val="none"/>
          </w:rPr>
          <w:t>aranceles</w:t>
        </w:r>
      </w:hyperlink>
      <w:r w:rsidRPr="004D6466">
        <w:rPr>
          <w:rFonts w:ascii="Arial" w:hAnsi="Arial" w:cs="Arial"/>
        </w:rPr>
        <w:t xml:space="preserve"> a la </w:t>
      </w:r>
      <w:hyperlink r:id="rId54" w:tooltip="Importación" w:history="1">
        <w:r w:rsidRPr="004D6466">
          <w:rPr>
            <w:rStyle w:val="Hipervnculo"/>
            <w:rFonts w:ascii="Arial" w:hAnsi="Arial" w:cs="Arial"/>
            <w:color w:val="auto"/>
            <w:u w:val="none"/>
          </w:rPr>
          <w:t>importación</w:t>
        </w:r>
      </w:hyperlink>
      <w:r w:rsidRPr="004D6466">
        <w:rPr>
          <w:rFonts w:ascii="Arial" w:hAnsi="Arial" w:cs="Arial"/>
        </w:rPr>
        <w:t xml:space="preserve">; y política cambiaria o monetaria que significa un </w:t>
      </w:r>
      <w:hyperlink r:id="rId55" w:tooltip="Tipo de cambio" w:history="1">
        <w:r w:rsidRPr="004D6466">
          <w:rPr>
            <w:rStyle w:val="Hipervnculo"/>
            <w:rFonts w:ascii="Arial" w:hAnsi="Arial" w:cs="Arial"/>
            <w:color w:val="auto"/>
            <w:u w:val="none"/>
          </w:rPr>
          <w:t>tipo de cambio</w:t>
        </w:r>
      </w:hyperlink>
      <w:r w:rsidRPr="004D6466">
        <w:rPr>
          <w:rFonts w:ascii="Arial" w:hAnsi="Arial" w:cs="Arial"/>
        </w:rPr>
        <w:t xml:space="preserve"> elevado”</w:t>
      </w:r>
      <w:r w:rsidRPr="004D6466">
        <w:rPr>
          <w:rStyle w:val="Refdenotaalpie"/>
          <w:rFonts w:ascii="Arial" w:eastAsiaTheme="majorEastAsia" w:hAnsi="Arial" w:cs="Arial"/>
        </w:rPr>
        <w:footnoteReference w:id="14"/>
      </w:r>
      <w:r w:rsidRPr="004D6466">
        <w:rPr>
          <w:rFonts w:ascii="Arial" w:hAnsi="Arial" w:cs="Arial"/>
        </w:rPr>
        <w:t>.</w:t>
      </w:r>
    </w:p>
    <w:p w:rsidR="00A66191" w:rsidRPr="004D6466" w:rsidRDefault="00A66191" w:rsidP="00A66191">
      <w:pPr>
        <w:pStyle w:val="NormalWeb"/>
        <w:spacing w:line="360" w:lineRule="auto"/>
        <w:jc w:val="both"/>
        <w:rPr>
          <w:rFonts w:ascii="Arial" w:hAnsi="Arial" w:cs="Arial"/>
        </w:rPr>
      </w:pPr>
      <w:r w:rsidRPr="004D6466">
        <w:rPr>
          <w:rFonts w:ascii="Arial" w:hAnsi="Arial" w:cs="Arial"/>
        </w:rPr>
        <w:t>En 1948 se crea la Comisión Económica para América Latina y el Caribe (CEPAL). En esta Comisión se establece que el deterioro fue causado por las características del progreso tecnológico y las condiciones socioeconómicas existentes en países ricos y en países pobres, en consecuencia se pusieron algunas características: “El progreso técnico sustituye productos primarios por productos manufacturados, lo que ocasiona una decadencia de la demanda por productos primarios y, por tanto, una disminución en los precios de los mismos; El progreso técnico ocasiona que el producto final requiera menor cantidad de productos primarios, con efectos similares a los del primer punto; La elasticidad-ingreso de la demanda por alimentos es menor que la unidad en los países avanzados, de tal manera que el crecimiento del ingreso implica un crecimiento menos que proporcional en su demanda; Los países avanzados han establecido una política proteccionista sobre bienes primarios (estableciendo aranceles, cuotas y subsidios al comercio internacional)”</w:t>
      </w:r>
      <w:r w:rsidRPr="004D6466">
        <w:rPr>
          <w:rStyle w:val="Refdenotaalpie"/>
          <w:rFonts w:ascii="Arial" w:eastAsiaTheme="majorEastAsia" w:hAnsi="Arial" w:cs="Arial"/>
        </w:rPr>
        <w:footnoteReference w:id="15"/>
      </w:r>
      <w:r w:rsidRPr="004D6466">
        <w:rPr>
          <w:rFonts w:ascii="Arial" w:hAnsi="Arial" w:cs="Arial"/>
        </w:rPr>
        <w:t>.</w:t>
      </w:r>
    </w:p>
    <w:p w:rsidR="00A66191" w:rsidRPr="004D6466" w:rsidRDefault="00A66191" w:rsidP="00A66191">
      <w:pPr>
        <w:pStyle w:val="NormalWeb"/>
        <w:spacing w:line="360" w:lineRule="auto"/>
        <w:jc w:val="both"/>
        <w:rPr>
          <w:rFonts w:ascii="Arial" w:hAnsi="Arial" w:cs="Arial"/>
        </w:rPr>
      </w:pPr>
      <w:r w:rsidRPr="004D6466">
        <w:rPr>
          <w:rFonts w:ascii="Arial" w:hAnsi="Arial" w:cs="Arial"/>
        </w:rPr>
        <w:t xml:space="preserve">El modelo ISI es característico del periodo posterior a la crisis de los 30 hasta la década del 70 en América Latina y tuvo especial auge en el periodo del populismo latinoamericano (años 1940-50). Desde entonces se puede hablar de algunos logros parciales los cuales fueron: “aumento del empleo local; estado de bienestar y garantías de protección al trabajador; baja dependencia de los mercados extranjeros; mejora de los </w:t>
      </w:r>
      <w:hyperlink r:id="rId56" w:tooltip="Términos de intercambio" w:history="1">
        <w:r w:rsidRPr="004D6466">
          <w:rPr>
            <w:rStyle w:val="Hipervnculo"/>
            <w:rFonts w:ascii="Arial" w:hAnsi="Arial" w:cs="Arial"/>
            <w:color w:val="auto"/>
            <w:u w:val="none"/>
          </w:rPr>
          <w:t>términos de intercambio</w:t>
        </w:r>
      </w:hyperlink>
      <w:r w:rsidRPr="004D6466">
        <w:rPr>
          <w:rFonts w:ascii="Arial" w:hAnsi="Arial" w:cs="Arial"/>
        </w:rPr>
        <w:t xml:space="preserve">; nacimiento de sectores industriales nacionales, en especial la </w:t>
      </w:r>
      <w:hyperlink r:id="rId57" w:tooltip="Pequeña y mediana empresa" w:history="1">
        <w:r w:rsidRPr="004D6466">
          <w:rPr>
            <w:rStyle w:val="Hipervnculo"/>
            <w:rFonts w:ascii="Arial" w:hAnsi="Arial" w:cs="Arial"/>
            <w:color w:val="auto"/>
            <w:u w:val="none"/>
          </w:rPr>
          <w:t xml:space="preserve">pequeña y </w:t>
        </w:r>
        <w:r w:rsidRPr="004D6466">
          <w:rPr>
            <w:rStyle w:val="Hipervnculo"/>
            <w:rFonts w:ascii="Arial" w:hAnsi="Arial" w:cs="Arial"/>
            <w:color w:val="auto"/>
            <w:u w:val="none"/>
          </w:rPr>
          <w:lastRenderedPageBreak/>
          <w:t>mediana empresa</w:t>
        </w:r>
      </w:hyperlink>
      <w:r w:rsidRPr="004D6466">
        <w:rPr>
          <w:rFonts w:ascii="Arial" w:hAnsi="Arial" w:cs="Arial"/>
        </w:rPr>
        <w:t xml:space="preserve">; excedente de </w:t>
      </w:r>
      <w:hyperlink r:id="rId58" w:tooltip="Mano de obra" w:history="1">
        <w:r w:rsidRPr="004D6466">
          <w:rPr>
            <w:rStyle w:val="Hipervnculo"/>
            <w:rFonts w:ascii="Arial" w:hAnsi="Arial" w:cs="Arial"/>
            <w:color w:val="auto"/>
            <w:u w:val="none"/>
          </w:rPr>
          <w:t>mano de obra</w:t>
        </w:r>
      </w:hyperlink>
      <w:r w:rsidRPr="004D6466">
        <w:rPr>
          <w:rFonts w:ascii="Arial" w:hAnsi="Arial" w:cs="Arial"/>
        </w:rPr>
        <w:t xml:space="preserve"> calificada; temprana madurez del </w:t>
      </w:r>
      <w:hyperlink r:id="rId59" w:tooltip="Sector servicios" w:history="1">
        <w:r w:rsidRPr="004D6466">
          <w:rPr>
            <w:rStyle w:val="Hipervnculo"/>
            <w:rFonts w:ascii="Arial" w:hAnsi="Arial" w:cs="Arial"/>
            <w:color w:val="auto"/>
            <w:u w:val="none"/>
          </w:rPr>
          <w:t>sector servicios</w:t>
        </w:r>
      </w:hyperlink>
      <w:r w:rsidRPr="004D6466">
        <w:rPr>
          <w:rFonts w:ascii="Arial" w:hAnsi="Arial" w:cs="Arial"/>
        </w:rPr>
        <w:t xml:space="preserve">, que llegó a proporciones similares a la de los </w:t>
      </w:r>
      <w:hyperlink r:id="rId60" w:tooltip="Países desarrollados" w:history="1">
        <w:r w:rsidRPr="004D6466">
          <w:rPr>
            <w:rStyle w:val="Hipervnculo"/>
            <w:rFonts w:ascii="Arial" w:hAnsi="Arial" w:cs="Arial"/>
            <w:color w:val="auto"/>
            <w:u w:val="none"/>
          </w:rPr>
          <w:t>países desarrollados</w:t>
        </w:r>
      </w:hyperlink>
      <w:r w:rsidRPr="004D6466">
        <w:rPr>
          <w:rFonts w:ascii="Arial" w:hAnsi="Arial" w:cs="Arial"/>
        </w:rPr>
        <w:t xml:space="preserve">; un alto nivel de empleo entre los </w:t>
      </w:r>
      <w:hyperlink r:id="rId61" w:tooltip="Pater familias" w:history="1">
        <w:r w:rsidRPr="004D6466">
          <w:rPr>
            <w:rStyle w:val="Hipervnculo"/>
            <w:rFonts w:ascii="Arial" w:hAnsi="Arial" w:cs="Arial"/>
            <w:color w:val="auto"/>
            <w:u w:val="none"/>
          </w:rPr>
          <w:t>jefes de familia</w:t>
        </w:r>
      </w:hyperlink>
      <w:r w:rsidRPr="004D6466">
        <w:rPr>
          <w:rFonts w:ascii="Arial" w:hAnsi="Arial" w:cs="Arial"/>
        </w:rPr>
        <w:t xml:space="preserve">, el </w:t>
      </w:r>
      <w:hyperlink r:id="rId62" w:tooltip="Desempleo" w:history="1">
        <w:r w:rsidRPr="004D6466">
          <w:rPr>
            <w:rStyle w:val="Hipervnculo"/>
            <w:rFonts w:ascii="Arial" w:hAnsi="Arial" w:cs="Arial"/>
            <w:color w:val="auto"/>
            <w:u w:val="none"/>
          </w:rPr>
          <w:t>desempleo</w:t>
        </w:r>
      </w:hyperlink>
      <w:r w:rsidRPr="004D6466">
        <w:rPr>
          <w:rFonts w:ascii="Arial" w:hAnsi="Arial" w:cs="Arial"/>
        </w:rPr>
        <w:t xml:space="preserve"> afecta principalmente a mujeres y jóvenes que poseen menor calificación”</w:t>
      </w:r>
      <w:r w:rsidRPr="004D6466">
        <w:rPr>
          <w:rStyle w:val="Refdenotaalpie"/>
          <w:rFonts w:ascii="Arial" w:eastAsiaTheme="majorEastAsia" w:hAnsi="Arial" w:cs="Arial"/>
        </w:rPr>
        <w:footnoteReference w:id="16"/>
      </w:r>
      <w:r w:rsidRPr="004D6466">
        <w:rPr>
          <w:rFonts w:ascii="Arial" w:hAnsi="Arial" w:cs="Arial"/>
        </w:rPr>
        <w:t>.</w:t>
      </w:r>
    </w:p>
    <w:p w:rsidR="00A66191" w:rsidRPr="004D6466" w:rsidRDefault="00A66191" w:rsidP="00A66191">
      <w:pPr>
        <w:pStyle w:val="NormalWeb"/>
        <w:spacing w:line="360" w:lineRule="auto"/>
        <w:jc w:val="both"/>
        <w:rPr>
          <w:rFonts w:ascii="Arial" w:hAnsi="Arial" w:cs="Arial"/>
        </w:rPr>
      </w:pPr>
      <w:r w:rsidRPr="004D6466">
        <w:rPr>
          <w:rFonts w:ascii="Arial" w:hAnsi="Arial" w:cs="Arial"/>
        </w:rPr>
        <w:t xml:space="preserve">El modelo ISI presentó grandes ventajas pero también tuvo graves criticas en  todos los niveles tales como: “elevados precios de bienes manufacturados e </w:t>
      </w:r>
      <w:hyperlink r:id="rId63" w:tooltip="Inflación" w:history="1">
        <w:r w:rsidRPr="004D6466">
          <w:rPr>
            <w:rStyle w:val="Hipervnculo"/>
            <w:rFonts w:ascii="Arial" w:hAnsi="Arial" w:cs="Arial"/>
            <w:color w:val="auto"/>
            <w:u w:val="none"/>
          </w:rPr>
          <w:t>inflación</w:t>
        </w:r>
      </w:hyperlink>
      <w:r w:rsidRPr="004D6466">
        <w:rPr>
          <w:rFonts w:ascii="Arial" w:hAnsi="Arial" w:cs="Arial"/>
        </w:rPr>
        <w:t xml:space="preserve">; </w:t>
      </w:r>
      <w:hyperlink r:id="rId64" w:tooltip="Deuda externa" w:history="1">
        <w:r w:rsidRPr="004D6466">
          <w:rPr>
            <w:rStyle w:val="Hipervnculo"/>
            <w:rFonts w:ascii="Arial" w:hAnsi="Arial" w:cs="Arial"/>
            <w:color w:val="auto"/>
            <w:u w:val="none"/>
          </w:rPr>
          <w:t>deuda externa</w:t>
        </w:r>
      </w:hyperlink>
      <w:r w:rsidRPr="004D6466">
        <w:rPr>
          <w:rFonts w:ascii="Arial" w:hAnsi="Arial" w:cs="Arial"/>
        </w:rPr>
        <w:t xml:space="preserve"> impagable; saldos comerciales negativos; ineficiente asignación de recursos; muchas </w:t>
      </w:r>
      <w:hyperlink r:id="rId65" w:tooltip="Exportaciones" w:history="1">
        <w:r w:rsidRPr="004D6466">
          <w:rPr>
            <w:rStyle w:val="Hipervnculo"/>
            <w:rFonts w:ascii="Arial" w:hAnsi="Arial" w:cs="Arial"/>
            <w:color w:val="auto"/>
            <w:u w:val="none"/>
          </w:rPr>
          <w:t>exportaciones</w:t>
        </w:r>
      </w:hyperlink>
      <w:r w:rsidRPr="004D6466">
        <w:rPr>
          <w:rFonts w:ascii="Arial" w:hAnsi="Arial" w:cs="Arial"/>
        </w:rPr>
        <w:t xml:space="preserve"> seguían siendo de bienes primarios, sujetos al deterioro de los términos de intercambio; y una tasa de empleo inferior a la de otros países con el mismo nivel de desarrollo; presiones inflacionarias asociadas a la lucha por la </w:t>
      </w:r>
      <w:hyperlink r:id="rId66" w:tooltip="Distribución del ingreso" w:history="1">
        <w:r w:rsidRPr="004D6466">
          <w:rPr>
            <w:rStyle w:val="Hipervnculo"/>
            <w:rFonts w:ascii="Arial" w:hAnsi="Arial" w:cs="Arial"/>
            <w:color w:val="auto"/>
            <w:u w:val="none"/>
          </w:rPr>
          <w:t>distribución del ingreso</w:t>
        </w:r>
      </w:hyperlink>
      <w:r w:rsidRPr="004D6466">
        <w:rPr>
          <w:rFonts w:ascii="Arial" w:hAnsi="Arial" w:cs="Arial"/>
        </w:rPr>
        <w:t xml:space="preserve"> en una economía de productividad media baja; estrechez del </w:t>
      </w:r>
      <w:hyperlink r:id="rId67" w:tooltip="Mercado interno" w:history="1">
        <w:r w:rsidRPr="004D6466">
          <w:rPr>
            <w:rStyle w:val="Hipervnculo"/>
            <w:rFonts w:ascii="Arial" w:hAnsi="Arial" w:cs="Arial"/>
            <w:color w:val="auto"/>
            <w:u w:val="none"/>
          </w:rPr>
          <w:t>mercado interno</w:t>
        </w:r>
      </w:hyperlink>
      <w:r w:rsidRPr="004D6466">
        <w:rPr>
          <w:rFonts w:ascii="Arial" w:hAnsi="Arial" w:cs="Arial"/>
        </w:rPr>
        <w:t xml:space="preserve"> que impedía aprovechar las </w:t>
      </w:r>
      <w:hyperlink r:id="rId68" w:tooltip="Economías de escala" w:history="1">
        <w:r w:rsidRPr="004D6466">
          <w:rPr>
            <w:rStyle w:val="Hipervnculo"/>
            <w:rFonts w:ascii="Arial" w:hAnsi="Arial" w:cs="Arial"/>
            <w:color w:val="auto"/>
            <w:u w:val="none"/>
          </w:rPr>
          <w:t>economías de escala</w:t>
        </w:r>
      </w:hyperlink>
      <w:r w:rsidRPr="004D6466">
        <w:rPr>
          <w:rFonts w:ascii="Arial" w:hAnsi="Arial" w:cs="Arial"/>
        </w:rPr>
        <w:t xml:space="preserve"> para bajar costos; falta de protagonismo nacional para hacer de la innovación tecnológica un dinamizador del </w:t>
      </w:r>
      <w:hyperlink r:id="rId69" w:tooltip="Sector industrial" w:history="1">
        <w:r w:rsidRPr="004D6466">
          <w:rPr>
            <w:rStyle w:val="Hipervnculo"/>
            <w:rFonts w:ascii="Arial" w:hAnsi="Arial" w:cs="Arial"/>
            <w:color w:val="auto"/>
            <w:u w:val="none"/>
          </w:rPr>
          <w:t>sector industrial</w:t>
        </w:r>
      </w:hyperlink>
      <w:r w:rsidRPr="004D6466">
        <w:rPr>
          <w:rFonts w:ascii="Arial" w:hAnsi="Arial" w:cs="Arial"/>
        </w:rPr>
        <w:t xml:space="preserve"> (alta dependencia de la inversión de empresas extranjeras); subsidio a empresas, propició formación de </w:t>
      </w:r>
      <w:hyperlink r:id="rId70" w:tooltip="Monopolios" w:history="1">
        <w:r w:rsidRPr="004D6466">
          <w:rPr>
            <w:rStyle w:val="Hipervnculo"/>
            <w:rFonts w:ascii="Arial" w:hAnsi="Arial" w:cs="Arial"/>
            <w:color w:val="auto"/>
            <w:u w:val="none"/>
          </w:rPr>
          <w:t>monopolios</w:t>
        </w:r>
      </w:hyperlink>
      <w:r w:rsidRPr="004D6466">
        <w:rPr>
          <w:rFonts w:ascii="Arial" w:hAnsi="Arial" w:cs="Arial"/>
        </w:rPr>
        <w:t xml:space="preserve">; y el sector industrial no se preocupó por conquistar mercados externos, destinaba su producción al </w:t>
      </w:r>
      <w:hyperlink r:id="rId71" w:tooltip="Consumo" w:history="1">
        <w:r w:rsidRPr="004D6466">
          <w:rPr>
            <w:rStyle w:val="Hipervnculo"/>
            <w:rFonts w:ascii="Arial" w:hAnsi="Arial" w:cs="Arial"/>
            <w:color w:val="auto"/>
            <w:u w:val="none"/>
          </w:rPr>
          <w:t>consumo</w:t>
        </w:r>
      </w:hyperlink>
      <w:r w:rsidRPr="004D6466">
        <w:rPr>
          <w:rFonts w:ascii="Arial" w:hAnsi="Arial" w:cs="Arial"/>
        </w:rPr>
        <w:t xml:space="preserve"> interno y de esta forma requería de la producción primaria para conseguir las </w:t>
      </w:r>
      <w:hyperlink r:id="rId72" w:tooltip="Divisas" w:history="1">
        <w:r w:rsidRPr="004D6466">
          <w:rPr>
            <w:rStyle w:val="Hipervnculo"/>
            <w:rFonts w:ascii="Arial" w:hAnsi="Arial" w:cs="Arial"/>
            <w:color w:val="auto"/>
            <w:u w:val="none"/>
          </w:rPr>
          <w:t>divisas</w:t>
        </w:r>
      </w:hyperlink>
      <w:r w:rsidRPr="004D6466">
        <w:rPr>
          <w:rFonts w:ascii="Arial" w:hAnsi="Arial" w:cs="Arial"/>
        </w:rPr>
        <w:t xml:space="preserve"> para comprar </w:t>
      </w:r>
      <w:hyperlink r:id="rId73" w:tooltip="Capital (economía)" w:history="1">
        <w:r w:rsidRPr="004D6466">
          <w:rPr>
            <w:rStyle w:val="Hipervnculo"/>
            <w:rFonts w:ascii="Arial" w:hAnsi="Arial" w:cs="Arial"/>
            <w:color w:val="auto"/>
            <w:u w:val="none"/>
          </w:rPr>
          <w:t>bienes de capital</w:t>
        </w:r>
      </w:hyperlink>
      <w:r w:rsidRPr="004D6466">
        <w:t xml:space="preserve">. </w:t>
      </w:r>
      <w:r w:rsidRPr="004D6466">
        <w:rPr>
          <w:rFonts w:ascii="Arial" w:hAnsi="Arial" w:cs="Arial"/>
        </w:rPr>
        <w:t>Reproduciendo por tanto la relación de dependencia que el mismo modelo pretendía evitar”</w:t>
      </w:r>
      <w:r w:rsidRPr="004D6466">
        <w:rPr>
          <w:rStyle w:val="Refdenotaalpie"/>
          <w:rFonts w:ascii="Arial" w:eastAsiaTheme="majorEastAsia" w:hAnsi="Arial" w:cs="Arial"/>
        </w:rPr>
        <w:footnoteReference w:id="17"/>
      </w:r>
      <w:r w:rsidRPr="004D6466">
        <w:rPr>
          <w:rFonts w:ascii="Arial" w:hAnsi="Arial" w:cs="Arial"/>
        </w:rPr>
        <w:t>.</w:t>
      </w:r>
    </w:p>
    <w:p w:rsidR="00A66191" w:rsidRPr="004D6466" w:rsidRDefault="00A66191" w:rsidP="00A66191">
      <w:pPr>
        <w:pStyle w:val="NormalWeb"/>
        <w:spacing w:line="360" w:lineRule="auto"/>
        <w:jc w:val="both"/>
        <w:rPr>
          <w:rFonts w:ascii="Arial" w:hAnsi="Arial" w:cs="Arial"/>
        </w:rPr>
      </w:pPr>
      <w:r w:rsidRPr="004D6466">
        <w:rPr>
          <w:rFonts w:ascii="Arial" w:hAnsi="Arial" w:cs="Arial"/>
        </w:rPr>
        <w:t>Está claro que el modelo ISI no funcionó, y no solo eso, sino tiempo después en los países en donde se aplicó este modelo comenzaron a tener graves problemas generando periodos hiper inflacionarios como en Brasil y Argentina (Corralito).</w:t>
      </w:r>
    </w:p>
    <w:p w:rsidR="00A66191" w:rsidRPr="004D6466" w:rsidRDefault="00A66191" w:rsidP="00A66191">
      <w:pPr>
        <w:pStyle w:val="NormalWeb"/>
        <w:spacing w:line="360" w:lineRule="auto"/>
        <w:jc w:val="both"/>
        <w:rPr>
          <w:rFonts w:ascii="Arial" w:hAnsi="Arial" w:cs="Arial"/>
          <w:i/>
        </w:rPr>
      </w:pPr>
      <w:r w:rsidRPr="004D6466">
        <w:rPr>
          <w:rFonts w:ascii="Arial" w:hAnsi="Arial" w:cs="Arial"/>
          <w:i/>
        </w:rPr>
        <w:lastRenderedPageBreak/>
        <w:t>“La tasa media de inflación anual durante las décadas de los 70 y 80 fue del 166% para Brasil; 257% para Argentina; 602% para Bolivia; 802% para Chile; 3710% para México y 2789% para el Perú”</w:t>
      </w:r>
      <w:r w:rsidRPr="004D6466">
        <w:rPr>
          <w:rStyle w:val="Refdenotaalpie"/>
          <w:rFonts w:eastAsiaTheme="majorEastAsia"/>
          <w:i/>
        </w:rPr>
        <w:footnoteReference w:id="18"/>
      </w:r>
      <w:r w:rsidRPr="004D6466">
        <w:rPr>
          <w:rFonts w:ascii="Arial" w:hAnsi="Arial" w:cs="Arial"/>
          <w:i/>
        </w:rPr>
        <w:t>.</w:t>
      </w:r>
    </w:p>
    <w:p w:rsidR="00A66191" w:rsidRPr="004D6466" w:rsidRDefault="00A66191" w:rsidP="00A66191">
      <w:pPr>
        <w:pStyle w:val="NormalWeb"/>
        <w:spacing w:line="360" w:lineRule="auto"/>
        <w:jc w:val="both"/>
        <w:rPr>
          <w:rFonts w:ascii="Arial" w:hAnsi="Arial" w:cs="Arial"/>
        </w:rPr>
      </w:pPr>
      <w:r w:rsidRPr="004D6466">
        <w:rPr>
          <w:rFonts w:ascii="Arial" w:hAnsi="Arial" w:cs="Arial"/>
        </w:rPr>
        <w:t xml:space="preserve">Para cambiar este escenario de estancamiento provocado por la ISI, varias naciones de la región llevaron adelante algunas </w:t>
      </w:r>
      <w:hyperlink r:id="rId74" w:tooltip="Políticas económicas" w:history="1">
        <w:r w:rsidRPr="004D6466">
          <w:rPr>
            <w:rStyle w:val="Hipervnculo"/>
            <w:rFonts w:ascii="Arial" w:hAnsi="Arial" w:cs="Arial"/>
            <w:color w:val="auto"/>
            <w:u w:val="none"/>
          </w:rPr>
          <w:t>políticas económicas</w:t>
        </w:r>
      </w:hyperlink>
      <w:r w:rsidRPr="004D6466">
        <w:rPr>
          <w:rFonts w:ascii="Arial" w:hAnsi="Arial" w:cs="Arial"/>
        </w:rPr>
        <w:t xml:space="preserve"> de </w:t>
      </w:r>
      <w:hyperlink r:id="rId75" w:tooltip="Liberalización" w:history="1">
        <w:r w:rsidRPr="004D6466">
          <w:rPr>
            <w:rStyle w:val="Hipervnculo"/>
            <w:rFonts w:ascii="Arial" w:hAnsi="Arial" w:cs="Arial"/>
            <w:color w:val="auto"/>
            <w:u w:val="none"/>
          </w:rPr>
          <w:t>liberalización</w:t>
        </w:r>
      </w:hyperlink>
      <w:r w:rsidRPr="004D6466">
        <w:rPr>
          <w:rFonts w:ascii="Arial" w:hAnsi="Arial" w:cs="Arial"/>
        </w:rPr>
        <w:t xml:space="preserve"> unidas a la expansión crediticia de los </w:t>
      </w:r>
      <w:hyperlink r:id="rId76" w:tooltip="Banco central" w:history="1">
        <w:r w:rsidRPr="004D6466">
          <w:rPr>
            <w:rStyle w:val="Hipervnculo"/>
            <w:rFonts w:ascii="Arial" w:hAnsi="Arial" w:cs="Arial"/>
            <w:color w:val="auto"/>
            <w:u w:val="none"/>
          </w:rPr>
          <w:t>bancos centrales</w:t>
        </w:r>
      </w:hyperlink>
      <w:r w:rsidRPr="004D6466">
        <w:rPr>
          <w:rFonts w:ascii="Arial" w:hAnsi="Arial" w:cs="Arial"/>
        </w:rPr>
        <w:t xml:space="preserve"> (imprimir más dinero), buscando sobre todo la solvencia del Estado. Se da una desnacionalización de algunas empresas que ya no gozaron de la financiación del Estado; hubo una fuerte restricción del </w:t>
      </w:r>
      <w:hyperlink r:id="rId77" w:tooltip="Crédito" w:history="1">
        <w:r w:rsidRPr="004D6466">
          <w:rPr>
            <w:rStyle w:val="Hipervnculo"/>
            <w:rFonts w:ascii="Arial" w:hAnsi="Arial" w:cs="Arial"/>
            <w:color w:val="auto"/>
            <w:u w:val="none"/>
          </w:rPr>
          <w:t>crédito</w:t>
        </w:r>
      </w:hyperlink>
      <w:r w:rsidRPr="004D6466">
        <w:rPr>
          <w:rFonts w:ascii="Arial" w:hAnsi="Arial" w:cs="Arial"/>
        </w:rPr>
        <w:t xml:space="preserve"> interno, caída de la </w:t>
      </w:r>
      <w:hyperlink r:id="rId78" w:tooltip="Demanda" w:history="1">
        <w:r w:rsidRPr="004D6466">
          <w:rPr>
            <w:rStyle w:val="Hipervnculo"/>
            <w:rFonts w:ascii="Arial" w:hAnsi="Arial" w:cs="Arial"/>
            <w:color w:val="auto"/>
            <w:u w:val="none"/>
          </w:rPr>
          <w:t>demanda</w:t>
        </w:r>
      </w:hyperlink>
      <w:r w:rsidRPr="004D6466">
        <w:rPr>
          <w:rFonts w:ascii="Arial" w:hAnsi="Arial" w:cs="Arial"/>
        </w:rPr>
        <w:t xml:space="preserve"> interna, y </w:t>
      </w:r>
      <w:hyperlink r:id="rId79" w:tooltip="Devaluación" w:history="1">
        <w:r w:rsidRPr="004D6466">
          <w:rPr>
            <w:rStyle w:val="Hipervnculo"/>
            <w:rFonts w:ascii="Arial" w:hAnsi="Arial" w:cs="Arial"/>
            <w:color w:val="auto"/>
            <w:u w:val="none"/>
          </w:rPr>
          <w:t>devaluación</w:t>
        </w:r>
      </w:hyperlink>
      <w:r w:rsidRPr="004D6466">
        <w:rPr>
          <w:rFonts w:ascii="Arial" w:hAnsi="Arial" w:cs="Arial"/>
        </w:rPr>
        <w:t xml:space="preserve"> que se tradujo en </w:t>
      </w:r>
      <w:hyperlink r:id="rId80" w:tooltip="Quiebra" w:history="1">
        <w:r w:rsidRPr="004D6466">
          <w:rPr>
            <w:rStyle w:val="Hipervnculo"/>
            <w:rFonts w:ascii="Arial" w:hAnsi="Arial" w:cs="Arial"/>
            <w:color w:val="auto"/>
            <w:u w:val="none"/>
          </w:rPr>
          <w:t>quiebra</w:t>
        </w:r>
      </w:hyperlink>
      <w:r w:rsidRPr="004D6466">
        <w:rPr>
          <w:rFonts w:ascii="Arial" w:hAnsi="Arial" w:cs="Arial"/>
        </w:rPr>
        <w:t xml:space="preserve"> y en adquisición de las empresas por parte del capital extranjero en condiciones de absoluta ventaja.</w:t>
      </w:r>
    </w:p>
    <w:p w:rsidR="00A66191" w:rsidRPr="004D6466" w:rsidRDefault="00A66191" w:rsidP="00A66191">
      <w:pPr>
        <w:pStyle w:val="Sinespaciado"/>
        <w:spacing w:line="360" w:lineRule="auto"/>
        <w:jc w:val="both"/>
        <w:rPr>
          <w:rFonts w:ascii="Arial" w:hAnsi="Arial" w:cs="Arial"/>
          <w:sz w:val="24"/>
          <w:szCs w:val="24"/>
        </w:rPr>
      </w:pPr>
      <w:r w:rsidRPr="004D6466">
        <w:rPr>
          <w:rFonts w:ascii="Arial" w:hAnsi="Arial" w:cs="Arial"/>
          <w:sz w:val="24"/>
          <w:szCs w:val="24"/>
        </w:rPr>
        <w:t>Dentro de este escenario se observa el deterioro de los términos de intercambio de bienes primarios. Según Prebisch esto se da por dos razones: La primera que tiene que ver con la formación de precios en la cual en los países industriales las ganancias y salarios crecen más de lo que crece la productividad; y que en la periferia sucede lo inverso provocando que las ganancias en materias primas sean siempre menores a las ganancias en productos elaborados.</w:t>
      </w:r>
    </w:p>
    <w:p w:rsidR="00A66191" w:rsidRPr="004D6466" w:rsidRDefault="00A66191" w:rsidP="00A66191">
      <w:pPr>
        <w:pStyle w:val="NormalWeb"/>
        <w:spacing w:line="360" w:lineRule="auto"/>
        <w:jc w:val="both"/>
        <w:rPr>
          <w:rFonts w:ascii="Arial" w:hAnsi="Arial" w:cs="Arial"/>
        </w:rPr>
      </w:pPr>
      <w:r w:rsidRPr="004D6466">
        <w:rPr>
          <w:rFonts w:ascii="Arial" w:hAnsi="Arial" w:cs="Arial"/>
        </w:rPr>
        <w:t>La otra se refiere a la disparidad con que tienden a crecer las exportaciones primarias en comparación con las importaciones de bienes industriales en los países en desarrollo. Prebisch atribuía esto, por un lado al progreso técnico, ya que se reemplazaban cada vez más productos naturales por sintéticos, por lo cual disminuía el contenido de los productos primarios en los bienes finales. Y por otra parte a la menor elasticidad del ingreso de los bienes primarios; esto es, cuando el ingreso aumenta, la demanda de los bienes primarios también aumenta, pero a una tasa menor.</w:t>
      </w:r>
    </w:p>
    <w:p w:rsidR="00A66191" w:rsidRPr="004D6466" w:rsidRDefault="00A66191" w:rsidP="00A66191">
      <w:pPr>
        <w:spacing w:line="360" w:lineRule="auto"/>
        <w:jc w:val="both"/>
        <w:rPr>
          <w:rFonts w:ascii="Arial" w:eastAsia="Calibri" w:hAnsi="Arial" w:cs="Arial"/>
          <w:b/>
          <w:sz w:val="24"/>
          <w:szCs w:val="24"/>
        </w:rPr>
      </w:pPr>
      <w:r w:rsidRPr="004D6466">
        <w:rPr>
          <w:rFonts w:ascii="Arial" w:eastAsia="Calibri" w:hAnsi="Arial" w:cs="Arial"/>
          <w:b/>
          <w:sz w:val="24"/>
          <w:szCs w:val="24"/>
        </w:rPr>
        <w:t>c) Modelo de Servicios</w:t>
      </w:r>
    </w:p>
    <w:p w:rsidR="00A66191" w:rsidRPr="004D6466" w:rsidRDefault="00A66191" w:rsidP="00A66191">
      <w:pPr>
        <w:autoSpaceDE w:val="0"/>
        <w:autoSpaceDN w:val="0"/>
        <w:adjustRightInd w:val="0"/>
        <w:spacing w:after="0" w:line="360" w:lineRule="auto"/>
        <w:jc w:val="both"/>
        <w:rPr>
          <w:rFonts w:ascii="Arial" w:hAnsi="Arial" w:cs="Arial"/>
          <w:sz w:val="24"/>
          <w:szCs w:val="24"/>
        </w:rPr>
      </w:pPr>
      <w:r w:rsidRPr="004D6466">
        <w:rPr>
          <w:rFonts w:ascii="Arial" w:eastAsia="Calibri" w:hAnsi="Arial" w:cs="Arial"/>
          <w:sz w:val="24"/>
          <w:szCs w:val="24"/>
        </w:rPr>
        <w:t xml:space="preserve">El modelo de servicios está más desarrollado en los países nórdicos (Finlandia, Dinamarca, Islandia, Noruega y Suecia) pues son los países insignia del </w:t>
      </w:r>
      <w:r w:rsidRPr="004D6466">
        <w:rPr>
          <w:rFonts w:ascii="Arial" w:eastAsia="Calibri" w:hAnsi="Arial" w:cs="Arial"/>
          <w:sz w:val="24"/>
          <w:szCs w:val="24"/>
        </w:rPr>
        <w:lastRenderedPageBreak/>
        <w:t xml:space="preserve">Estado de Bienestar. </w:t>
      </w:r>
      <w:r w:rsidRPr="004D6466">
        <w:rPr>
          <w:rFonts w:ascii="Arial" w:hAnsi="Arial" w:cs="Arial"/>
          <w:bCs/>
          <w:sz w:val="24"/>
          <w:szCs w:val="24"/>
        </w:rPr>
        <w:t>“</w:t>
      </w:r>
      <w:r w:rsidRPr="004D6466">
        <w:rPr>
          <w:rFonts w:ascii="Arial" w:hAnsi="Arial" w:cs="Arial"/>
          <w:sz w:val="24"/>
          <w:szCs w:val="24"/>
        </w:rPr>
        <w:t>Una de las características distintivas de este modelo es su compromiso con los servicios de atención social generalizada. Según Anneli Anttonen (1997), se han de considerar estos países como estados de servicios sociales en lugar de estados de prestaciones sociales. Lo que significa que los servicios sociales de carácter público están proporcionados en su mayoría por autoridades locales. Es decir, en los países nórdicos las administraciones locales desempeñan un importante papel en la financiación y planificación de la producción de servicios sociales. Los servicios están también ampliamente disponibles para niños y ancianos, utilizándose así por todas las clases sociales, no solamente por los pobres. La participación que tienen las organizaciones de voluntarios y las personas que se encargan de la atención de los niños mientras la familia trabaja en la producción de servicios solamente complementa esta aportación de atención pública”</w:t>
      </w:r>
      <w:r w:rsidRPr="004D6466">
        <w:rPr>
          <w:rStyle w:val="Refdenotaalpie"/>
          <w:rFonts w:ascii="Arial" w:hAnsi="Arial" w:cs="Arial"/>
          <w:sz w:val="24"/>
          <w:szCs w:val="24"/>
        </w:rPr>
        <w:footnoteReference w:id="19"/>
      </w:r>
      <w:r w:rsidRPr="004D6466">
        <w:rPr>
          <w:rFonts w:ascii="Arial" w:hAnsi="Arial" w:cs="Arial"/>
          <w:sz w:val="24"/>
          <w:szCs w:val="24"/>
        </w:rPr>
        <w:t>.</w:t>
      </w:r>
    </w:p>
    <w:p w:rsidR="00A66191" w:rsidRPr="004D6466" w:rsidRDefault="00A66191" w:rsidP="00A66191">
      <w:pPr>
        <w:autoSpaceDE w:val="0"/>
        <w:autoSpaceDN w:val="0"/>
        <w:adjustRightInd w:val="0"/>
        <w:spacing w:after="0" w:line="360" w:lineRule="auto"/>
        <w:jc w:val="both"/>
        <w:rPr>
          <w:rFonts w:ascii="Arial" w:hAnsi="Arial" w:cs="Arial"/>
          <w:sz w:val="24"/>
          <w:szCs w:val="24"/>
        </w:rPr>
      </w:pPr>
    </w:p>
    <w:p w:rsidR="00A66191" w:rsidRPr="004D6466" w:rsidRDefault="00A66191" w:rsidP="00A66191">
      <w:pPr>
        <w:spacing w:line="360" w:lineRule="auto"/>
        <w:jc w:val="both"/>
        <w:rPr>
          <w:rFonts w:ascii="Arial" w:hAnsi="Arial" w:cs="Arial"/>
          <w:sz w:val="24"/>
          <w:szCs w:val="24"/>
        </w:rPr>
      </w:pPr>
      <w:r w:rsidRPr="004D6466">
        <w:rPr>
          <w:rFonts w:ascii="Arial" w:hAnsi="Arial" w:cs="Arial"/>
          <w:sz w:val="24"/>
          <w:szCs w:val="24"/>
        </w:rPr>
        <w:t xml:space="preserve">En los países nórdicos, dentro de los cuales por motivos de desarrollo también se podría incluir a Canadá, el Estado está envuelto en la organización y financiamiento del bienestar social disponible para los ciudadanos en mayor medida que otros países europeos. Por esta razón el modelo de bienestar está acompañado por un sistema de impuestos que tiene, tanto una amplia base tributaria, como un sistema de impuestos progresivos dirigido por una redistribución de los ingresos desde los miembros de la sociedad más ricos hasta los más pobres. El cuidado de salud público es una parte importante del modelo escandinavo, asegurando servicios de salud de calidad independientemente de las circunstancias económicas del individuo. Es interesante notar que a pesar de los generosos beneficios del bienestar social los niveles de desempleo en </w:t>
      </w:r>
      <w:hyperlink r:id="rId81" w:tooltip="Escandinavia" w:history="1">
        <w:r w:rsidRPr="004D6466">
          <w:rPr>
            <w:rStyle w:val="Hipervnculo"/>
            <w:rFonts w:ascii="Arial" w:hAnsi="Arial" w:cs="Arial"/>
            <w:color w:val="auto"/>
            <w:sz w:val="24"/>
            <w:szCs w:val="24"/>
            <w:u w:val="none"/>
          </w:rPr>
          <w:t>Escandinavia</w:t>
        </w:r>
      </w:hyperlink>
      <w:r w:rsidRPr="004D6466">
        <w:rPr>
          <w:rFonts w:ascii="Arial" w:hAnsi="Arial" w:cs="Arial"/>
          <w:sz w:val="24"/>
          <w:szCs w:val="24"/>
        </w:rPr>
        <w:t xml:space="preserve"> son de los más bajos del mundo.</w:t>
      </w:r>
    </w:p>
    <w:p w:rsidR="00A66191" w:rsidRPr="004D6466" w:rsidRDefault="00A66191" w:rsidP="00A66191">
      <w:pPr>
        <w:spacing w:line="360" w:lineRule="auto"/>
        <w:jc w:val="both"/>
        <w:rPr>
          <w:rFonts w:ascii="Arial" w:eastAsia="Calibri" w:hAnsi="Arial" w:cs="Arial"/>
          <w:sz w:val="24"/>
          <w:szCs w:val="24"/>
        </w:rPr>
      </w:pPr>
      <w:r w:rsidRPr="004D6466">
        <w:rPr>
          <w:rFonts w:ascii="Arial" w:eastAsia="Calibri" w:hAnsi="Arial" w:cs="Arial"/>
          <w:sz w:val="24"/>
          <w:szCs w:val="24"/>
        </w:rPr>
        <w:t xml:space="preserve">Suecia y Finlandia han logrado una revolución en términos de tecnología de la información y las comunicaciones y han alcanzado una gran competitividad mundial gracias a ello. Suecia gasta cerca del 4% del PIB en investigación y desarrollo el cual es el porcentaje más alto del mundo actualmente. En </w:t>
      </w:r>
      <w:r w:rsidRPr="004D6466">
        <w:rPr>
          <w:rFonts w:ascii="Arial" w:eastAsia="Calibri" w:hAnsi="Arial" w:cs="Arial"/>
          <w:sz w:val="24"/>
          <w:szCs w:val="24"/>
        </w:rPr>
        <w:lastRenderedPageBreak/>
        <w:t>promedio los países nórdicos gastan el 3% en investigación y desarrollo en comparación del 2% de las naciones de habla inglesa.</w:t>
      </w:r>
    </w:p>
    <w:p w:rsidR="00A66191" w:rsidRPr="004D6466" w:rsidRDefault="00A66191" w:rsidP="00A66191">
      <w:pPr>
        <w:spacing w:line="360" w:lineRule="auto"/>
        <w:jc w:val="both"/>
        <w:rPr>
          <w:rFonts w:ascii="Arial" w:eastAsia="Calibri" w:hAnsi="Arial" w:cs="Arial"/>
          <w:b/>
          <w:sz w:val="24"/>
          <w:szCs w:val="24"/>
        </w:rPr>
      </w:pPr>
      <w:r w:rsidRPr="004D6466">
        <w:rPr>
          <w:rFonts w:ascii="Arial" w:eastAsia="Calibri" w:hAnsi="Arial" w:cs="Arial"/>
          <w:b/>
          <w:sz w:val="24"/>
          <w:szCs w:val="24"/>
        </w:rPr>
        <w:t>d) Modelo agro exportador</w:t>
      </w:r>
    </w:p>
    <w:p w:rsidR="00A66191" w:rsidRPr="004D6466" w:rsidRDefault="00A66191" w:rsidP="00A66191">
      <w:pPr>
        <w:spacing w:line="360" w:lineRule="auto"/>
        <w:jc w:val="both"/>
        <w:rPr>
          <w:rFonts w:ascii="Arial" w:hAnsi="Arial" w:cs="Arial"/>
          <w:sz w:val="24"/>
          <w:szCs w:val="24"/>
        </w:rPr>
      </w:pPr>
      <w:r w:rsidRPr="004D6466">
        <w:rPr>
          <w:rFonts w:ascii="Arial" w:hAnsi="Arial" w:cs="Arial"/>
          <w:sz w:val="24"/>
          <w:szCs w:val="24"/>
        </w:rPr>
        <w:t>El modelo agro exportador es aquel que se basa en la exportación de materia prima agraria. Según este modelo, el mundo quedaba dividido en dos grandes bloques: los países centrales e industrializados y los periféricos, proveedores de materias primas.</w:t>
      </w:r>
    </w:p>
    <w:p w:rsidR="00A66191" w:rsidRPr="004D6466" w:rsidRDefault="00A66191" w:rsidP="00A66191">
      <w:pPr>
        <w:pStyle w:val="NormalWeb"/>
        <w:spacing w:line="360" w:lineRule="auto"/>
        <w:jc w:val="both"/>
        <w:rPr>
          <w:rFonts w:ascii="Arial" w:hAnsi="Arial" w:cs="Arial"/>
        </w:rPr>
      </w:pPr>
      <w:r w:rsidRPr="004D6466">
        <w:rPr>
          <w:rFonts w:ascii="Arial" w:hAnsi="Arial" w:cs="Arial"/>
        </w:rPr>
        <w:t xml:space="preserve">“Las características que definieron al modelo agro exportador fueron las siguientes: </w:t>
      </w:r>
    </w:p>
    <w:p w:rsidR="00A66191" w:rsidRPr="004D6466" w:rsidRDefault="00A66191" w:rsidP="00A66191">
      <w:pPr>
        <w:pStyle w:val="NormalWeb"/>
        <w:numPr>
          <w:ilvl w:val="0"/>
          <w:numId w:val="47"/>
        </w:numPr>
        <w:spacing w:line="360" w:lineRule="auto"/>
        <w:jc w:val="both"/>
        <w:rPr>
          <w:rFonts w:ascii="Arial" w:hAnsi="Arial" w:cs="Arial"/>
        </w:rPr>
      </w:pPr>
      <w:r w:rsidRPr="004D6466">
        <w:rPr>
          <w:rFonts w:ascii="Arial" w:hAnsi="Arial" w:cs="Arial"/>
          <w:b/>
        </w:rPr>
        <w:t>La dependencia económica del mercado externo</w:t>
      </w:r>
      <w:r w:rsidRPr="004D6466">
        <w:rPr>
          <w:rFonts w:ascii="Arial" w:hAnsi="Arial" w:cs="Arial"/>
          <w:b/>
          <w:i/>
        </w:rPr>
        <w:t>:</w:t>
      </w:r>
      <w:r w:rsidRPr="004D6466">
        <w:rPr>
          <w:rFonts w:ascii="Arial" w:hAnsi="Arial" w:cs="Arial"/>
        </w:rPr>
        <w:t xml:space="preserve"> En el mercado mundial se fijaban los precios de los productos y se decidía el destino de las inversiones de capitales. De este modo, indirectamente, se determinaba qué productos convenía producir a los países proveedores de materias primas.</w:t>
      </w:r>
    </w:p>
    <w:p w:rsidR="00A66191" w:rsidRPr="004D6466" w:rsidRDefault="00A66191" w:rsidP="00A66191">
      <w:pPr>
        <w:pStyle w:val="NormalWeb"/>
        <w:numPr>
          <w:ilvl w:val="0"/>
          <w:numId w:val="15"/>
        </w:numPr>
        <w:spacing w:line="360" w:lineRule="auto"/>
        <w:jc w:val="both"/>
        <w:rPr>
          <w:rFonts w:ascii="Arial" w:hAnsi="Arial" w:cs="Arial"/>
        </w:rPr>
      </w:pPr>
      <w:r w:rsidRPr="004D6466">
        <w:rPr>
          <w:rFonts w:ascii="Arial" w:hAnsi="Arial" w:cs="Arial"/>
          <w:b/>
        </w:rPr>
        <w:t>La intervención del Estado</w:t>
      </w:r>
      <w:r w:rsidRPr="004D6466">
        <w:rPr>
          <w:rFonts w:ascii="Arial" w:hAnsi="Arial" w:cs="Arial"/>
        </w:rPr>
        <w:t xml:space="preserve">: El Estado tuvo un papel decisivo para asegurar el funcionamiento del modelo agrario exportador en los diferentes países que optaron por este modelo. Así las acciones más generalizadas fueron: garantizar la libre circulación de bienes y capitales, favorecer la expansión de la red de transportes y otras obras de infraestructura, estimular la inmigración extranjera para obtener fuerza de trabajo, y organizar un sistema jurídico y monetario. </w:t>
      </w:r>
    </w:p>
    <w:p w:rsidR="00A66191" w:rsidRPr="004D6466" w:rsidRDefault="00A66191" w:rsidP="00A66191">
      <w:pPr>
        <w:pStyle w:val="NormalWeb"/>
        <w:numPr>
          <w:ilvl w:val="0"/>
          <w:numId w:val="15"/>
        </w:numPr>
        <w:spacing w:line="360" w:lineRule="auto"/>
        <w:jc w:val="both"/>
        <w:rPr>
          <w:rFonts w:ascii="Arial" w:hAnsi="Arial" w:cs="Arial"/>
        </w:rPr>
      </w:pPr>
      <w:r w:rsidRPr="004D6466">
        <w:rPr>
          <w:rFonts w:ascii="Arial" w:hAnsi="Arial" w:cs="Arial"/>
          <w:b/>
        </w:rPr>
        <w:t>La participación de capitales extranjeros</w:t>
      </w:r>
      <w:r w:rsidRPr="004D6466">
        <w:rPr>
          <w:rFonts w:ascii="Arial" w:hAnsi="Arial" w:cs="Arial"/>
        </w:rPr>
        <w:t xml:space="preserve">: Las inversiones de capitales extranjeros fueron un sustento indispensable para el desarrollo del modelo agrario exportador. Estos capitales estuvieron destinados a realizar las obras que facilitaban el transporte y la comercialización de los productos en el mercado internacional. </w:t>
      </w:r>
    </w:p>
    <w:p w:rsidR="00A66191" w:rsidRPr="004D6466" w:rsidRDefault="00A66191" w:rsidP="00A66191">
      <w:pPr>
        <w:pStyle w:val="NormalWeb"/>
        <w:numPr>
          <w:ilvl w:val="0"/>
          <w:numId w:val="15"/>
        </w:numPr>
        <w:spacing w:line="360" w:lineRule="auto"/>
        <w:jc w:val="both"/>
        <w:rPr>
          <w:rFonts w:ascii="Arial" w:hAnsi="Arial" w:cs="Arial"/>
        </w:rPr>
      </w:pPr>
      <w:r w:rsidRPr="004D6466">
        <w:rPr>
          <w:rFonts w:ascii="Arial" w:hAnsi="Arial" w:cs="Arial"/>
          <w:b/>
        </w:rPr>
        <w:t>El desequilibrio regional:</w:t>
      </w:r>
      <w:r w:rsidRPr="004D6466">
        <w:rPr>
          <w:rFonts w:ascii="Arial" w:hAnsi="Arial" w:cs="Arial"/>
        </w:rPr>
        <w:t xml:space="preserve"> Las producciones destinadas a la exportación se obtenían, fundamentalmente, de las regiones más prósperas de los países, generalmente los puertos eran los centros de intercambios con el mercado internacional, por esta razón, también en estos núcleos se concentraron los grupos de mayor poder económico y </w:t>
      </w:r>
      <w:r w:rsidRPr="004D6466">
        <w:rPr>
          <w:rFonts w:ascii="Arial" w:hAnsi="Arial" w:cs="Arial"/>
        </w:rPr>
        <w:lastRenderedPageBreak/>
        <w:t>los centros de decisión política que trabajaban por el mantenimiento del modelo económico que los beneficiaba. En consecuencia, en las otras regiones de los países las economías cuyas producciones no se destinaban al mercado internacional comenzaron a depender de la economía de los puertos. Este fue el caso, por ejemplo, de la producción de azúcar en Tucumán y de vinos en Mendoza (Argentina), destinada al abastecimiento del mercado interno.”</w:t>
      </w:r>
      <w:r w:rsidRPr="004D6466">
        <w:rPr>
          <w:rStyle w:val="Refdenotaalpie"/>
          <w:rFonts w:ascii="Arial" w:eastAsiaTheme="majorEastAsia" w:hAnsi="Arial" w:cs="Arial"/>
        </w:rPr>
        <w:footnoteReference w:id="20"/>
      </w:r>
    </w:p>
    <w:p w:rsidR="00A66191" w:rsidRPr="004D6466" w:rsidRDefault="00A66191" w:rsidP="00A66191">
      <w:pPr>
        <w:pStyle w:val="NormalWeb"/>
        <w:spacing w:line="360" w:lineRule="auto"/>
        <w:jc w:val="both"/>
        <w:rPr>
          <w:rFonts w:ascii="Arial" w:hAnsi="Arial" w:cs="Arial"/>
        </w:rPr>
      </w:pPr>
      <w:r w:rsidRPr="004D6466">
        <w:rPr>
          <w:rFonts w:ascii="Arial" w:hAnsi="Arial" w:cs="Arial"/>
        </w:rPr>
        <w:t xml:space="preserve">El fortalecimiento de este modelo de organización de la economía y la sociedad, consolidó el dominio de un grupo sobre el conjunto de la sociedad. Los terratenientes exportadores se fueron constituyendo en el grupo de capitalistas agrarios, y actuaron asociados con capitalistas extranjeros. </w:t>
      </w:r>
    </w:p>
    <w:p w:rsidR="00A66191" w:rsidRPr="004D6466" w:rsidRDefault="00A66191" w:rsidP="00A66191">
      <w:pPr>
        <w:pStyle w:val="NormalWeb"/>
        <w:spacing w:line="360" w:lineRule="auto"/>
        <w:jc w:val="both"/>
        <w:rPr>
          <w:rFonts w:ascii="Arial" w:hAnsi="Arial" w:cs="Arial"/>
        </w:rPr>
      </w:pPr>
      <w:r w:rsidRPr="004D6466">
        <w:rPr>
          <w:rFonts w:ascii="Arial" w:hAnsi="Arial" w:cs="Arial"/>
        </w:rPr>
        <w:t xml:space="preserve">Hay que destacar que el modelo agro exportador hace que las diferencias entre países industrializados y países productores de materia prima sea mayor haciendo que los países productores de materia prima siempre estén en situación de desventaja por el deterioro de términos de intercambio. Por tanto el modelo agroexportador no es un modelo de desarrollo. </w:t>
      </w:r>
    </w:p>
    <w:p w:rsidR="00A66191" w:rsidRPr="004D6466" w:rsidRDefault="00A66191" w:rsidP="00A66191">
      <w:pPr>
        <w:spacing w:line="360" w:lineRule="auto"/>
        <w:jc w:val="both"/>
        <w:rPr>
          <w:rFonts w:ascii="Arial" w:eastAsia="Calibri" w:hAnsi="Arial" w:cs="Arial"/>
          <w:b/>
          <w:sz w:val="24"/>
          <w:szCs w:val="24"/>
        </w:rPr>
      </w:pPr>
    </w:p>
    <w:p w:rsidR="00A66191" w:rsidRPr="004D6466" w:rsidRDefault="00A66191" w:rsidP="00A66191">
      <w:pPr>
        <w:spacing w:line="360" w:lineRule="auto"/>
        <w:jc w:val="both"/>
        <w:rPr>
          <w:rFonts w:ascii="Arial" w:eastAsia="Calibri" w:hAnsi="Arial" w:cs="Arial"/>
          <w:sz w:val="24"/>
          <w:szCs w:val="24"/>
        </w:rPr>
      </w:pPr>
    </w:p>
    <w:p w:rsidR="00A66191" w:rsidRPr="004D6466" w:rsidRDefault="00A66191" w:rsidP="00A66191">
      <w:pPr>
        <w:jc w:val="center"/>
        <w:rPr>
          <w:rFonts w:ascii="Arial" w:eastAsia="Calibri" w:hAnsi="Arial" w:cs="Arial"/>
          <w:sz w:val="24"/>
          <w:szCs w:val="24"/>
        </w:rPr>
      </w:pPr>
      <w:r w:rsidRPr="004D6466">
        <w:rPr>
          <w:rFonts w:ascii="Arial" w:eastAsia="Calibri" w:hAnsi="Arial" w:cs="Arial"/>
          <w:sz w:val="24"/>
          <w:szCs w:val="24"/>
        </w:rPr>
        <w:br w:type="page"/>
      </w:r>
      <w:r w:rsidRPr="004D6466">
        <w:rPr>
          <w:rFonts w:ascii="Arial" w:hAnsi="Arial" w:cs="Arial"/>
          <w:b/>
          <w:sz w:val="28"/>
          <w:szCs w:val="28"/>
        </w:rPr>
        <w:lastRenderedPageBreak/>
        <w:t>2. CAPÍTULO II: ANTECEDENTES</w:t>
      </w:r>
    </w:p>
    <w:p w:rsidR="00A66191" w:rsidRPr="004D6466" w:rsidRDefault="00A66191" w:rsidP="00A66191">
      <w:pPr>
        <w:spacing w:line="360" w:lineRule="auto"/>
        <w:rPr>
          <w:rFonts w:ascii="Arial" w:hAnsi="Arial" w:cs="Arial"/>
          <w:b/>
          <w:sz w:val="24"/>
          <w:szCs w:val="24"/>
        </w:rPr>
      </w:pPr>
      <w:r w:rsidRPr="004D6466">
        <w:rPr>
          <w:rFonts w:ascii="Arial" w:hAnsi="Arial" w:cs="Arial"/>
          <w:b/>
          <w:sz w:val="24"/>
          <w:szCs w:val="24"/>
        </w:rPr>
        <w:t>2.1 Diagnóstico de la situación actual del Ecuador</w:t>
      </w:r>
    </w:p>
    <w:p w:rsidR="00A66191" w:rsidRPr="004D6466" w:rsidRDefault="00A66191" w:rsidP="00A66191">
      <w:pPr>
        <w:spacing w:line="360" w:lineRule="auto"/>
        <w:jc w:val="both"/>
        <w:rPr>
          <w:rFonts w:ascii="Arial" w:hAnsi="Arial" w:cs="Arial"/>
          <w:sz w:val="24"/>
          <w:szCs w:val="24"/>
        </w:rPr>
      </w:pPr>
      <w:r w:rsidRPr="004D6466">
        <w:rPr>
          <w:rFonts w:ascii="Arial" w:hAnsi="Arial" w:cs="Arial"/>
          <w:sz w:val="24"/>
          <w:szCs w:val="24"/>
        </w:rPr>
        <w:t>El alcance de este diagnóstico corresponde a la presidencia de Rafael Correa hasta el 2012 en la cual se han producido una serie de cambios profundos en diferentes ámbitos:</w:t>
      </w:r>
    </w:p>
    <w:p w:rsidR="00A66191" w:rsidRPr="004D6466" w:rsidRDefault="00A66191" w:rsidP="00A66191">
      <w:pPr>
        <w:spacing w:line="360" w:lineRule="auto"/>
        <w:jc w:val="both"/>
        <w:rPr>
          <w:rFonts w:ascii="Arial" w:hAnsi="Arial" w:cs="Arial"/>
          <w:b/>
          <w:i/>
          <w:sz w:val="24"/>
          <w:szCs w:val="24"/>
        </w:rPr>
      </w:pPr>
      <w:r w:rsidRPr="004D6466">
        <w:rPr>
          <w:rFonts w:ascii="Arial" w:hAnsi="Arial" w:cs="Arial"/>
          <w:b/>
          <w:i/>
          <w:sz w:val="24"/>
          <w:szCs w:val="24"/>
        </w:rPr>
        <w:t>En lo político</w:t>
      </w:r>
    </w:p>
    <w:p w:rsidR="00A66191" w:rsidRPr="004D6466" w:rsidRDefault="00A66191" w:rsidP="00A66191">
      <w:pPr>
        <w:spacing w:line="360" w:lineRule="auto"/>
        <w:jc w:val="both"/>
        <w:rPr>
          <w:rFonts w:ascii="Arial" w:hAnsi="Arial" w:cs="Arial"/>
          <w:sz w:val="24"/>
          <w:szCs w:val="24"/>
        </w:rPr>
      </w:pPr>
      <w:r w:rsidRPr="004D6466">
        <w:rPr>
          <w:rFonts w:ascii="Arial" w:hAnsi="Arial" w:cs="Arial"/>
          <w:sz w:val="24"/>
          <w:szCs w:val="24"/>
        </w:rPr>
        <w:t xml:space="preserve">Se vivió un cambio de la estructura organizacional del Estado, se crearon ministerios coordinadores para los diferentes sectores, agrandando la estructura y el tamaño del Estado; el gabinete ministerial del presidente estuvo conformado por 20 ministerios, adicionalmente 8 ministerios coordinadores, 9 secretarías de Estado y la Vicepresidencia. </w:t>
      </w:r>
    </w:p>
    <w:p w:rsidR="00A66191" w:rsidRPr="004D6466" w:rsidRDefault="00A66191" w:rsidP="00A66191">
      <w:pPr>
        <w:spacing w:line="360" w:lineRule="auto"/>
        <w:jc w:val="both"/>
        <w:rPr>
          <w:rFonts w:ascii="Arial" w:hAnsi="Arial" w:cs="Arial"/>
          <w:sz w:val="24"/>
          <w:szCs w:val="24"/>
        </w:rPr>
      </w:pPr>
      <w:r w:rsidRPr="004D6466">
        <w:rPr>
          <w:rFonts w:ascii="Arial" w:hAnsi="Arial" w:cs="Arial"/>
          <w:sz w:val="24"/>
          <w:szCs w:val="24"/>
        </w:rPr>
        <w:t xml:space="preserve">Al agrandar el aparato estatal aumentó el gasto público por la contratación de personal adicional para el funcionamiento de las nuevas instituciones. Adicionalmente en la primera etapa de implementación de estas estructuras algunos ministerios coordinadores tuvieron que ejecutar proyectos emergentes en contra de su misión principal.  </w:t>
      </w:r>
    </w:p>
    <w:p w:rsidR="00A66191" w:rsidRPr="004D6466" w:rsidRDefault="00A66191" w:rsidP="00A66191">
      <w:pPr>
        <w:pStyle w:val="NormalWeb"/>
        <w:spacing w:line="360" w:lineRule="auto"/>
        <w:jc w:val="both"/>
        <w:rPr>
          <w:rFonts w:ascii="Arial" w:hAnsi="Arial" w:cs="Arial"/>
          <w:lang w:val="es-EC"/>
        </w:rPr>
      </w:pPr>
      <w:r w:rsidRPr="004D6466">
        <w:rPr>
          <w:rFonts w:ascii="Arial" w:hAnsi="Arial" w:cs="Arial"/>
          <w:lang w:val="es-EC"/>
        </w:rPr>
        <w:t xml:space="preserve">Otro de los cambios importantes realizados en este gobierno se produjo en el 2008 con la vigencia de la nueva constitución y con ella se dieron cambios fundamentales entre ellos los siguientes: la sustitución de la definición de "economía de mercado" por una de "economía solidaria"; el Estado tendrá más control y participación en sectores estratégicos como petróleo, minas, telecomunicaciones y agua; limita y regula monopolios y oligopolios en el sector privado; autorización de  la expropiación de bienes por causa de utilidad pública o interés social; prohibición de contratos con cláusulas de arbitraje internacional; derechos de la naturaleza; por otro lado, la constitución permite la reelección presidencial inmediata por una sola vez y otorga nuevas competencias al Ejecutivo: faculta al presidente para disolver la Asamblea Nacional y convocar elecciones generales (muerte cruzada); la política monetaria, crediticia y cambiaria como facultad exclusiva del Presidente y se instrumenta a través del Banco Central, que pierde su autonomía. </w:t>
      </w:r>
    </w:p>
    <w:p w:rsidR="00A66191" w:rsidRPr="004D6466" w:rsidRDefault="00A66191" w:rsidP="00A66191">
      <w:pPr>
        <w:pStyle w:val="NormalWeb"/>
        <w:spacing w:line="360" w:lineRule="auto"/>
        <w:jc w:val="both"/>
        <w:rPr>
          <w:rFonts w:ascii="Arial" w:hAnsi="Arial" w:cs="Arial"/>
          <w:lang w:val="es-EC"/>
        </w:rPr>
      </w:pPr>
      <w:r w:rsidRPr="004D6466">
        <w:rPr>
          <w:rFonts w:ascii="Arial" w:hAnsi="Arial" w:cs="Arial"/>
          <w:lang w:val="es-EC"/>
        </w:rPr>
        <w:lastRenderedPageBreak/>
        <w:t>La constitución del 2008 crea la Función de Transparencia y Control Social dentro de la cual se crea el Consejo de Participación Ciudadana y Control Social y se define como política pública la transparencia, control, rendición de cuentas, promoción de la participación ciudadana, prevención y lucha contra la corrupción. A pesar de que existe el marco legal propicio en la práctica la ciudadanía no se ha incorporado activamente para realizar el control social y es necesario desarrollar esa capacidad que permitirá efectivamente transparentar la gestión pública y combatir la corrupción.</w:t>
      </w:r>
    </w:p>
    <w:p w:rsidR="00A66191" w:rsidRPr="004D6466" w:rsidRDefault="00A66191" w:rsidP="00A66191">
      <w:pPr>
        <w:spacing w:line="360" w:lineRule="auto"/>
        <w:jc w:val="both"/>
        <w:rPr>
          <w:rFonts w:ascii="Arial" w:hAnsi="Arial" w:cs="Arial"/>
          <w:sz w:val="24"/>
          <w:szCs w:val="24"/>
          <w:lang w:val="es-EC"/>
        </w:rPr>
      </w:pPr>
      <w:r w:rsidRPr="004D6466">
        <w:rPr>
          <w:rFonts w:ascii="Arial" w:hAnsi="Arial" w:cs="Arial"/>
          <w:sz w:val="24"/>
          <w:szCs w:val="24"/>
          <w:lang w:val="es-EC"/>
        </w:rPr>
        <w:t>El nombre de Congreso cambió por el de Asamblea Nacional, se mantuvo el sistema unicameral y aumentó el número de miembros de 100 a 124. Se creó una corte constitucional independiente de otros poderes del Estado; se prohibió establecer bases militares extranjeras en territorio ecuatoriano.</w:t>
      </w:r>
    </w:p>
    <w:p w:rsidR="00A66191" w:rsidRPr="004D6466" w:rsidRDefault="00A66191" w:rsidP="00A66191">
      <w:pPr>
        <w:spacing w:line="360" w:lineRule="auto"/>
        <w:jc w:val="both"/>
        <w:rPr>
          <w:rFonts w:ascii="Arial" w:hAnsi="Arial" w:cs="Arial"/>
          <w:sz w:val="24"/>
          <w:szCs w:val="24"/>
          <w:lang w:val="es-EC"/>
        </w:rPr>
      </w:pPr>
      <w:r w:rsidRPr="004D6466">
        <w:rPr>
          <w:rFonts w:ascii="Arial" w:hAnsi="Arial" w:cs="Arial"/>
          <w:sz w:val="24"/>
          <w:szCs w:val="24"/>
          <w:lang w:val="es-EC"/>
        </w:rPr>
        <w:t>El Estado tiene derecho a expropiar tierras no productivas para redistribuirlas entre la población, se limitan los latifundios, se prohíbe las semillas genéticamente modificadas, con excepción de algunos granos autorizados por el Presidente.</w:t>
      </w:r>
    </w:p>
    <w:p w:rsidR="00A66191" w:rsidRPr="00727475" w:rsidRDefault="00A66191" w:rsidP="00A66191">
      <w:pPr>
        <w:spacing w:line="360" w:lineRule="auto"/>
        <w:jc w:val="both"/>
        <w:rPr>
          <w:rStyle w:val="Textoennegrita"/>
          <w:rFonts w:ascii="Arial" w:eastAsia="Calibri" w:hAnsi="Arial" w:cs="Arial"/>
          <w:b w:val="0"/>
          <w:sz w:val="24"/>
          <w:szCs w:val="24"/>
          <w:lang w:val="es-EC"/>
        </w:rPr>
      </w:pPr>
      <w:r w:rsidRPr="00727475">
        <w:rPr>
          <w:rFonts w:ascii="Arial" w:hAnsi="Arial" w:cs="Arial"/>
          <w:sz w:val="24"/>
          <w:szCs w:val="24"/>
          <w:lang w:val="es-EC"/>
        </w:rPr>
        <w:t xml:space="preserve">Uno de los cambios que más debate generó es la introducción </w:t>
      </w:r>
      <w:r w:rsidRPr="00727475">
        <w:rPr>
          <w:rStyle w:val="Textoennegrita"/>
          <w:rFonts w:ascii="Arial" w:eastAsia="Calibri" w:hAnsi="Arial" w:cs="Arial"/>
          <w:b w:val="0"/>
          <w:sz w:val="24"/>
          <w:szCs w:val="24"/>
          <w:lang w:val="es-EC"/>
        </w:rPr>
        <w:t xml:space="preserve">de los derechos de la naturaleza (arts. 71-74 de la constitución política del Ecuador del 2008), que deben considerarse diferentes y adicionales a los derechos de las personas que se vean perjudicadas directamente por daños ambientales. </w:t>
      </w:r>
    </w:p>
    <w:p w:rsidR="00A66191" w:rsidRPr="00727475" w:rsidRDefault="00A66191" w:rsidP="00A66191">
      <w:pPr>
        <w:pStyle w:val="NormalWeb"/>
        <w:spacing w:line="360" w:lineRule="auto"/>
        <w:jc w:val="both"/>
        <w:rPr>
          <w:rStyle w:val="Textoennegrita"/>
          <w:rFonts w:ascii="Arial" w:eastAsia="Calibri" w:hAnsi="Arial" w:cs="Arial"/>
          <w:b w:val="0"/>
          <w:lang w:val="es-EC"/>
        </w:rPr>
      </w:pPr>
      <w:r w:rsidRPr="00727475">
        <w:rPr>
          <w:rFonts w:ascii="Arial" w:hAnsi="Arial" w:cs="Arial"/>
          <w:lang w:val="es-EC"/>
        </w:rPr>
        <w:t xml:space="preserve">Lo que está planteado en la constitución en la práctica se puede entender con algunas de las declaraciones del presidente que se exponen a continuación:  </w:t>
      </w:r>
    </w:p>
    <w:p w:rsidR="00A66191" w:rsidRPr="00727475" w:rsidRDefault="00A66191" w:rsidP="00A66191">
      <w:pPr>
        <w:spacing w:line="360" w:lineRule="auto"/>
        <w:jc w:val="both"/>
        <w:rPr>
          <w:rStyle w:val="Textoennegrita"/>
          <w:rFonts w:ascii="Arial" w:eastAsia="Calibri" w:hAnsi="Arial" w:cs="Arial"/>
          <w:b w:val="0"/>
          <w:sz w:val="24"/>
          <w:szCs w:val="24"/>
          <w:lang w:val="es-EC"/>
        </w:rPr>
      </w:pPr>
      <w:r w:rsidRPr="00727475">
        <w:rPr>
          <w:rStyle w:val="Textoennegrita"/>
          <w:rFonts w:ascii="Arial" w:eastAsia="Calibri" w:hAnsi="Arial" w:cs="Arial"/>
          <w:b w:val="0"/>
          <w:sz w:val="24"/>
          <w:szCs w:val="24"/>
          <w:lang w:val="es-EC"/>
        </w:rPr>
        <w:t xml:space="preserve">“Las expectativas se mantienen en tono al propio discurso del presidente Correa: fortalecimiento del Estado (tácticas de desconcentración y descentralización de la organización territorial), aplicación de subsidios y ajustes tributarios, aplicación de programas que favorezcan a los sectores productivos nacionales y a la inversión del ahorro nacional; creación del Banco del Sur; revisión profunda de los convenios y acuerdos con el sector privado (particularmente multinacional) en áreas como telecomunicaciones, la explotación y comercialización petrolera; fortalecimiento de la infraestructura hidroeléctrica, vial y de riego con administración estatal (esto tiene que ver con </w:t>
      </w:r>
      <w:r w:rsidRPr="00727475">
        <w:rPr>
          <w:rStyle w:val="Textoennegrita"/>
          <w:rFonts w:ascii="Arial" w:eastAsia="Calibri" w:hAnsi="Arial" w:cs="Arial"/>
          <w:b w:val="0"/>
          <w:sz w:val="24"/>
          <w:szCs w:val="24"/>
          <w:lang w:val="es-EC"/>
        </w:rPr>
        <w:lastRenderedPageBreak/>
        <w:t xml:space="preserve">la nueva arquitectura financiera internacional que son </w:t>
      </w:r>
      <w:r w:rsidRPr="00727475">
        <w:rPr>
          <w:rFonts w:ascii="Arial" w:hAnsi="Arial" w:cs="Arial"/>
          <w:sz w:val="24"/>
          <w:szCs w:val="24"/>
        </w:rPr>
        <w:t>cambios institucionales internacionales y nacionales que permitan reducir la inestabilidad financiera internacional y establecer mecanismos adecuados para la financiación del desarrollo</w:t>
      </w:r>
      <w:r w:rsidRPr="00727475">
        <w:rPr>
          <w:rStyle w:val="Textoennegrita"/>
          <w:rFonts w:ascii="Arial" w:eastAsia="Calibri" w:hAnsi="Arial" w:cs="Arial"/>
          <w:b w:val="0"/>
          <w:sz w:val="24"/>
          <w:szCs w:val="24"/>
          <w:lang w:val="es-EC"/>
        </w:rPr>
        <w:t>; elaboración de un Plan de Desarrollo compuesto por 12 ejes que fundamentalmente propone: la búsqueda de cohesión social y equilibrio regional, mejorar la calidad de vida de la población con acceso a servicios; soberanía nacional y construcción de integración regional; un sistema económico solidario con apoyo al pequeño productor y con generación de empleo, y construcción de una sociedad participativa e intercultural”</w:t>
      </w:r>
      <w:r w:rsidRPr="00727475">
        <w:rPr>
          <w:rStyle w:val="Refdenotaalpie"/>
          <w:rFonts w:ascii="Arial" w:hAnsi="Arial" w:cs="Arial"/>
          <w:sz w:val="24"/>
          <w:szCs w:val="24"/>
          <w:lang w:val="es-EC"/>
        </w:rPr>
        <w:footnoteReference w:id="21"/>
      </w:r>
    </w:p>
    <w:p w:rsidR="00A66191" w:rsidRPr="00727475" w:rsidRDefault="00A66191" w:rsidP="00A66191">
      <w:pPr>
        <w:spacing w:line="360" w:lineRule="auto"/>
        <w:jc w:val="both"/>
        <w:rPr>
          <w:rStyle w:val="Textoennegrita"/>
          <w:rFonts w:ascii="Arial" w:eastAsia="Calibri" w:hAnsi="Arial" w:cs="Arial"/>
          <w:b w:val="0"/>
          <w:sz w:val="24"/>
          <w:szCs w:val="24"/>
          <w:lang w:val="es-EC"/>
        </w:rPr>
      </w:pPr>
      <w:r w:rsidRPr="00727475">
        <w:rPr>
          <w:rStyle w:val="Textoennegrita"/>
          <w:rFonts w:ascii="Arial" w:eastAsia="Calibri" w:hAnsi="Arial" w:cs="Arial"/>
          <w:b w:val="0"/>
          <w:sz w:val="24"/>
          <w:szCs w:val="24"/>
          <w:lang w:val="es-EC"/>
        </w:rPr>
        <w:t>Adicionalmente este marco político está dentro de una nueva forma de planificación territorial propuesta por SENPLADES (Secretaria Nacional de Planificación y Desarrollo) en la cual el territorio se divide en 7 regiones, para lograr equilibrar el desarrollo del país, evitando el desarrollo de determinadas ciudades y regiones en detrimento de otras. La nueva regionalización se observa a continuación en el siguiente gráfico:</w:t>
      </w:r>
    </w:p>
    <w:p w:rsidR="00A66191" w:rsidRPr="004D6466" w:rsidRDefault="00A66191" w:rsidP="00A66191">
      <w:pPr>
        <w:pStyle w:val="Sinespaciado"/>
        <w:jc w:val="center"/>
        <w:rPr>
          <w:rStyle w:val="Textoennegrita"/>
          <w:rFonts w:ascii="Arial" w:eastAsia="Calibri" w:hAnsi="Arial" w:cs="Arial"/>
          <w:b w:val="0"/>
          <w:sz w:val="24"/>
          <w:szCs w:val="24"/>
          <w:lang w:val="es-EC"/>
        </w:rPr>
      </w:pPr>
      <w:r w:rsidRPr="004D6466">
        <w:rPr>
          <w:noProof/>
        </w:rPr>
        <w:drawing>
          <wp:inline distT="0" distB="0" distL="0" distR="0">
            <wp:extent cx="4552950" cy="3604241"/>
            <wp:effectExtent l="19050" t="0" r="0" b="0"/>
            <wp:docPr id="11" name="7 Imagen" descr="ladiviso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adivison.jpg"/>
                    <pic:cNvPicPr/>
                  </pic:nvPicPr>
                  <pic:blipFill>
                    <a:blip r:embed="rId82" cstate="print"/>
                    <a:stretch>
                      <a:fillRect/>
                    </a:stretch>
                  </pic:blipFill>
                  <pic:spPr>
                    <a:xfrm>
                      <a:off x="0" y="0"/>
                      <a:ext cx="4552415" cy="3603817"/>
                    </a:xfrm>
                    <a:prstGeom prst="rect">
                      <a:avLst/>
                    </a:prstGeom>
                  </pic:spPr>
                </pic:pic>
              </a:graphicData>
            </a:graphic>
          </wp:inline>
        </w:drawing>
      </w:r>
    </w:p>
    <w:p w:rsidR="00A66191" w:rsidRPr="00727475" w:rsidRDefault="00A66191" w:rsidP="00A66191">
      <w:pPr>
        <w:pStyle w:val="Sinespaciado"/>
        <w:rPr>
          <w:rStyle w:val="Textoennegrita"/>
          <w:rFonts w:ascii="Arial" w:eastAsia="Calibri" w:hAnsi="Arial" w:cs="Arial"/>
          <w:b w:val="0"/>
          <w:sz w:val="16"/>
          <w:szCs w:val="16"/>
          <w:lang w:val="es-EC"/>
        </w:rPr>
      </w:pPr>
      <w:r w:rsidRPr="00727475">
        <w:rPr>
          <w:rStyle w:val="Textoennegrita"/>
          <w:rFonts w:ascii="Arial" w:eastAsia="Calibri" w:hAnsi="Arial" w:cs="Arial"/>
          <w:b w:val="0"/>
          <w:sz w:val="16"/>
          <w:szCs w:val="16"/>
          <w:lang w:val="es-EC"/>
        </w:rPr>
        <w:t>Gráfico nº  2                                                                                                 Fuente: diario “El Hoy” del 01/09/2012</w:t>
      </w:r>
    </w:p>
    <w:p w:rsidR="00A66191" w:rsidRPr="00727475" w:rsidRDefault="00A66191" w:rsidP="00A66191">
      <w:pPr>
        <w:pStyle w:val="Sinespaciado"/>
        <w:rPr>
          <w:rStyle w:val="Textoennegrita"/>
          <w:rFonts w:ascii="Arial" w:eastAsia="Calibri" w:hAnsi="Arial" w:cs="Arial"/>
          <w:b w:val="0"/>
          <w:sz w:val="16"/>
          <w:szCs w:val="16"/>
          <w:lang w:val="es-EC"/>
        </w:rPr>
      </w:pPr>
    </w:p>
    <w:p w:rsidR="00A66191" w:rsidRPr="00727475" w:rsidRDefault="00A66191" w:rsidP="00A66191">
      <w:pPr>
        <w:spacing w:line="360" w:lineRule="auto"/>
        <w:jc w:val="both"/>
        <w:rPr>
          <w:rStyle w:val="Textoennegrita"/>
          <w:rFonts w:ascii="Arial" w:eastAsia="Calibri" w:hAnsi="Arial" w:cs="Arial"/>
          <w:b w:val="0"/>
          <w:sz w:val="24"/>
          <w:szCs w:val="24"/>
          <w:lang w:val="es-EC"/>
        </w:rPr>
      </w:pPr>
      <w:r w:rsidRPr="00727475">
        <w:rPr>
          <w:rStyle w:val="Textoennegrita"/>
          <w:rFonts w:ascii="Arial" w:eastAsia="Calibri" w:hAnsi="Arial" w:cs="Arial"/>
          <w:b w:val="0"/>
          <w:sz w:val="24"/>
          <w:szCs w:val="24"/>
          <w:lang w:val="es-EC"/>
        </w:rPr>
        <w:t>En el 2011 se estableció que cada provincia estará dividida por cantones y cada cantón por p</w:t>
      </w:r>
      <w:r w:rsidR="00C2070E">
        <w:rPr>
          <w:rStyle w:val="Textoennegrita"/>
          <w:rFonts w:ascii="Arial" w:eastAsia="Calibri" w:hAnsi="Arial" w:cs="Arial"/>
          <w:b w:val="0"/>
          <w:sz w:val="24"/>
          <w:szCs w:val="24"/>
          <w:lang w:val="es-EC"/>
        </w:rPr>
        <w:t>arroquias urbanas y rurales.</w:t>
      </w:r>
    </w:p>
    <w:p w:rsidR="00A66191" w:rsidRPr="00727475" w:rsidRDefault="00A66191" w:rsidP="00A66191">
      <w:pPr>
        <w:spacing w:line="360" w:lineRule="auto"/>
        <w:rPr>
          <w:rStyle w:val="Textoennegrita"/>
          <w:rFonts w:ascii="Arial" w:eastAsia="Calibri" w:hAnsi="Arial" w:cs="Arial"/>
          <w:b w:val="0"/>
          <w:sz w:val="24"/>
          <w:szCs w:val="24"/>
          <w:lang w:val="es-EC"/>
        </w:rPr>
      </w:pPr>
      <w:r w:rsidRPr="00727475">
        <w:rPr>
          <w:rStyle w:val="Textoennegrita"/>
          <w:rFonts w:ascii="Arial" w:eastAsia="Calibri" w:hAnsi="Arial" w:cs="Arial"/>
          <w:b w:val="0"/>
          <w:sz w:val="24"/>
          <w:szCs w:val="24"/>
          <w:lang w:val="es-EC"/>
        </w:rPr>
        <w:lastRenderedPageBreak/>
        <w:t xml:space="preserve">En términos de división para planificación del territorio se estableció la  división por zonas, distritos y circuitos, hay 140 distritos administrativos de planificación y 1134 circuitos administrativos de planificación a nivel nacional. </w:t>
      </w:r>
    </w:p>
    <w:p w:rsidR="00A66191" w:rsidRPr="004D6466" w:rsidRDefault="00A66191" w:rsidP="00A66191">
      <w:pPr>
        <w:spacing w:line="360" w:lineRule="auto"/>
        <w:jc w:val="both"/>
        <w:rPr>
          <w:rStyle w:val="Textoennegrita"/>
          <w:rFonts w:ascii="Arial" w:eastAsia="Calibri" w:hAnsi="Arial" w:cs="Arial"/>
          <w:b w:val="0"/>
          <w:sz w:val="24"/>
          <w:szCs w:val="24"/>
          <w:lang w:val="es-EC"/>
        </w:rPr>
      </w:pPr>
      <w:r w:rsidRPr="00727475">
        <w:rPr>
          <w:rStyle w:val="Textoennegrita"/>
          <w:rFonts w:ascii="Arial" w:eastAsia="Calibri" w:hAnsi="Arial" w:cs="Arial"/>
          <w:b w:val="0"/>
          <w:sz w:val="24"/>
          <w:szCs w:val="24"/>
          <w:lang w:val="es-EC"/>
        </w:rPr>
        <w:t>En el 2012 y principios del 2013 se realizó la campaña preelectoral para las elecciones generales de febrero de 2013. La campaña estuvo acompañada del escándalo de las firmas falsificadas en las solicitudes de inscripción y reinscripción.  Luego de un proceso de verificación por internet se recibieron más de 1.700 denuncias</w:t>
      </w:r>
      <w:r w:rsidRPr="004D6466">
        <w:rPr>
          <w:rStyle w:val="Textoennegrita"/>
          <w:rFonts w:ascii="Arial" w:eastAsia="Calibri" w:hAnsi="Arial" w:cs="Arial"/>
          <w:sz w:val="24"/>
          <w:szCs w:val="24"/>
          <w:lang w:val="es-EC"/>
        </w:rPr>
        <w:t>.</w:t>
      </w:r>
    </w:p>
    <w:p w:rsidR="00A66191" w:rsidRPr="004D6466" w:rsidRDefault="00A66191" w:rsidP="00A66191">
      <w:pPr>
        <w:pStyle w:val="NormalWeb"/>
        <w:spacing w:line="360" w:lineRule="auto"/>
        <w:jc w:val="both"/>
        <w:rPr>
          <w:rFonts w:ascii="Arial" w:hAnsi="Arial" w:cs="Arial"/>
        </w:rPr>
      </w:pPr>
      <w:r w:rsidRPr="004D6466">
        <w:rPr>
          <w:rFonts w:ascii="Arial" w:hAnsi="Arial" w:cs="Arial"/>
        </w:rPr>
        <w:t>Tras tres meses y medios de transcurrido el escándalo los ciudadanos no pueden aún constatar si su reclamo fue procesado, debido a un problema digital en la página del organismo electoral.</w:t>
      </w:r>
    </w:p>
    <w:p w:rsidR="00A66191" w:rsidRPr="004D6466" w:rsidRDefault="00A66191" w:rsidP="00A66191">
      <w:pPr>
        <w:pStyle w:val="NormalWeb"/>
        <w:spacing w:line="360" w:lineRule="auto"/>
        <w:jc w:val="both"/>
        <w:rPr>
          <w:rFonts w:ascii="Arial" w:hAnsi="Arial" w:cs="Arial"/>
        </w:rPr>
      </w:pPr>
      <w:r w:rsidRPr="004D6466">
        <w:rPr>
          <w:rFonts w:ascii="Arial" w:hAnsi="Arial" w:cs="Arial"/>
        </w:rPr>
        <w:t>Las firmas de respaldo de 43 grupos políticos calificados para las elecciones del 2013 fueron sometidas a una revisión manual en un 100%.Luego de revisar el 100% de las firmas de inscripción de las organizaciones políticas, se determinó que desde el 19 de octubre hasta el 15 de noviembre, 8 binomios presidenciales entre ellos candidatos que ya habían participado con anterioridad como Lucio Gutiérrez, Álvaro Noboa y el actual presidente Rafael Correa, y nuevos candidatos como Alberto Acosta, Guillermo Lasso, Mauricio Rodas y Norman Wray.</w:t>
      </w:r>
    </w:p>
    <w:p w:rsidR="00A66191" w:rsidRPr="004D6466" w:rsidRDefault="00A66191" w:rsidP="00A66191">
      <w:pPr>
        <w:pStyle w:val="NormalWeb"/>
        <w:spacing w:line="360" w:lineRule="auto"/>
        <w:jc w:val="both"/>
        <w:rPr>
          <w:rFonts w:ascii="Arial" w:hAnsi="Arial" w:cs="Arial"/>
        </w:rPr>
      </w:pPr>
      <w:r w:rsidRPr="004D6466">
        <w:rPr>
          <w:rFonts w:ascii="Arial" w:hAnsi="Arial" w:cs="Arial"/>
        </w:rPr>
        <w:t>En el 2013, en comparación al 2009, el número de asambleístas o legisladores en Ecuador aumentará de 124 a 137.</w:t>
      </w:r>
    </w:p>
    <w:p w:rsidR="00A66191" w:rsidRPr="00727475" w:rsidRDefault="00A66191" w:rsidP="00A66191">
      <w:pPr>
        <w:pStyle w:val="NormalWeb"/>
        <w:rPr>
          <w:rStyle w:val="Textoennegrita"/>
          <w:b w:val="0"/>
          <w:bCs w:val="0"/>
        </w:rPr>
      </w:pPr>
      <w:r w:rsidRPr="00727475">
        <w:rPr>
          <w:rStyle w:val="Textoennegrita"/>
          <w:rFonts w:ascii="Arial" w:eastAsia="Calibri" w:hAnsi="Arial" w:cs="Arial"/>
          <w:b w:val="0"/>
          <w:i/>
          <w:lang w:val="es-EC"/>
        </w:rPr>
        <w:t>En lo económico</w:t>
      </w:r>
    </w:p>
    <w:p w:rsidR="00A66191" w:rsidRPr="00727475" w:rsidRDefault="00A66191" w:rsidP="00A66191">
      <w:pPr>
        <w:pStyle w:val="NormalWeb"/>
        <w:spacing w:line="360" w:lineRule="auto"/>
        <w:jc w:val="both"/>
        <w:rPr>
          <w:rStyle w:val="Textoennegrita"/>
          <w:rFonts w:ascii="Arial" w:eastAsia="Calibri" w:hAnsi="Arial" w:cs="Arial"/>
          <w:b w:val="0"/>
          <w:lang w:val="es-EC"/>
        </w:rPr>
      </w:pPr>
      <w:r w:rsidRPr="00727475">
        <w:rPr>
          <w:rStyle w:val="Textoennegrita"/>
          <w:rFonts w:ascii="Arial" w:eastAsia="Calibri" w:hAnsi="Arial" w:cs="Arial"/>
          <w:b w:val="0"/>
          <w:lang w:val="es-EC"/>
        </w:rPr>
        <w:t xml:space="preserve">Históricamente al Ecuador se le ha considerado como un país agropecuario, en el año 2000 este sector representaba el 15% del PIB. </w:t>
      </w:r>
    </w:p>
    <w:p w:rsidR="00A66191" w:rsidRPr="00727475" w:rsidRDefault="00A66191" w:rsidP="00A66191">
      <w:pPr>
        <w:pStyle w:val="NormalWeb"/>
        <w:spacing w:line="360" w:lineRule="auto"/>
        <w:jc w:val="both"/>
        <w:rPr>
          <w:rStyle w:val="Textoennegrita"/>
          <w:rFonts w:ascii="Arial" w:eastAsia="Calibri" w:hAnsi="Arial" w:cs="Arial"/>
          <w:b w:val="0"/>
          <w:lang w:val="es-EC"/>
        </w:rPr>
      </w:pPr>
      <w:r w:rsidRPr="00727475">
        <w:rPr>
          <w:rStyle w:val="Textoennegrita"/>
          <w:rFonts w:ascii="Arial" w:eastAsia="Calibri" w:hAnsi="Arial" w:cs="Arial"/>
          <w:b w:val="0"/>
          <w:lang w:val="es-EC"/>
        </w:rPr>
        <w:t xml:space="preserve">En  el 2011 el Estado ecuatoriano recibió US$46 millones adicionales por cada dólar de aumento en el precio del barril de petróleo debido a la renegociación de contratos, En estos 5 últimos años se ha logrado incrementar al doble la inversión pública y a su vez la inversión social creció 2.7 veces. </w:t>
      </w:r>
    </w:p>
    <w:p w:rsidR="00A66191" w:rsidRPr="00727475" w:rsidRDefault="00A66191" w:rsidP="00A66191">
      <w:pPr>
        <w:pStyle w:val="NormalWeb"/>
        <w:spacing w:line="360" w:lineRule="auto"/>
        <w:jc w:val="both"/>
        <w:rPr>
          <w:rStyle w:val="Textoennegrita"/>
          <w:rFonts w:ascii="Arial" w:eastAsia="Calibri" w:hAnsi="Arial" w:cs="Arial"/>
          <w:b w:val="0"/>
          <w:lang w:val="es-EC"/>
        </w:rPr>
      </w:pPr>
      <w:r w:rsidRPr="00727475">
        <w:rPr>
          <w:rStyle w:val="Textoennegrita"/>
          <w:rFonts w:ascii="Arial" w:eastAsia="Calibri" w:hAnsi="Arial" w:cs="Arial"/>
          <w:b w:val="0"/>
          <w:lang w:val="es-EC"/>
        </w:rPr>
        <w:lastRenderedPageBreak/>
        <w:t>Como podemos observar en el cuadro siguiente, mientras el pago de la deuda externa decae de 24% del PIB del 2006 a 7% el PIB en el 2011, las inversiones en los sectores de energía, vialidad, salud y educación aumentan.</w:t>
      </w:r>
    </w:p>
    <w:tbl>
      <w:tblPr>
        <w:tblStyle w:val="Tablaconcuadrcula"/>
        <w:tblW w:w="0" w:type="auto"/>
        <w:jc w:val="center"/>
        <w:tblLook w:val="04A0"/>
      </w:tblPr>
      <w:tblGrid>
        <w:gridCol w:w="1523"/>
        <w:gridCol w:w="1562"/>
        <w:gridCol w:w="1985"/>
        <w:gridCol w:w="1559"/>
        <w:gridCol w:w="1984"/>
      </w:tblGrid>
      <w:tr w:rsidR="00A66191" w:rsidRPr="00727475" w:rsidTr="004D6466">
        <w:trPr>
          <w:trHeight w:val="1042"/>
          <w:jc w:val="center"/>
        </w:trPr>
        <w:tc>
          <w:tcPr>
            <w:tcW w:w="1523" w:type="dxa"/>
            <w:shd w:val="clear" w:color="auto" w:fill="8DB3E2" w:themeFill="text2" w:themeFillTint="66"/>
            <w:vAlign w:val="center"/>
          </w:tcPr>
          <w:p w:rsidR="00A66191" w:rsidRPr="00727475" w:rsidRDefault="00A66191" w:rsidP="004D6466">
            <w:pPr>
              <w:pStyle w:val="NormalWeb"/>
              <w:spacing w:line="360" w:lineRule="auto"/>
              <w:jc w:val="center"/>
              <w:rPr>
                <w:rStyle w:val="Textoennegrita"/>
                <w:rFonts w:ascii="Arial" w:eastAsia="Calibri" w:hAnsi="Arial" w:cs="Arial"/>
                <w:lang w:val="es-EC"/>
              </w:rPr>
            </w:pPr>
            <w:r w:rsidRPr="00727475">
              <w:rPr>
                <w:rStyle w:val="Textoennegrita"/>
                <w:rFonts w:ascii="Arial" w:eastAsia="Calibri" w:hAnsi="Arial" w:cs="Arial"/>
                <w:lang w:val="es-EC"/>
              </w:rPr>
              <w:t>Rubro</w:t>
            </w:r>
          </w:p>
        </w:tc>
        <w:tc>
          <w:tcPr>
            <w:tcW w:w="1562" w:type="dxa"/>
            <w:shd w:val="clear" w:color="auto" w:fill="8DB3E2" w:themeFill="text2" w:themeFillTint="66"/>
            <w:vAlign w:val="center"/>
          </w:tcPr>
          <w:p w:rsidR="00A66191" w:rsidRPr="00727475" w:rsidRDefault="00A66191" w:rsidP="004D6466">
            <w:pPr>
              <w:pStyle w:val="NormalWeb"/>
              <w:spacing w:line="360" w:lineRule="auto"/>
              <w:jc w:val="center"/>
              <w:rPr>
                <w:rStyle w:val="Textoennegrita"/>
                <w:rFonts w:ascii="Arial" w:eastAsia="Calibri" w:hAnsi="Arial" w:cs="Arial"/>
                <w:lang w:val="es-EC"/>
              </w:rPr>
            </w:pPr>
            <w:r w:rsidRPr="00727475">
              <w:rPr>
                <w:rStyle w:val="Textoennegrita"/>
                <w:rFonts w:ascii="Arial" w:eastAsia="Calibri" w:hAnsi="Arial" w:cs="Arial"/>
                <w:lang w:val="es-EC"/>
              </w:rPr>
              <w:t>Porcentaje en el 2006</w:t>
            </w:r>
          </w:p>
        </w:tc>
        <w:tc>
          <w:tcPr>
            <w:tcW w:w="1985" w:type="dxa"/>
            <w:shd w:val="clear" w:color="auto" w:fill="8DB3E2" w:themeFill="text2" w:themeFillTint="66"/>
            <w:vAlign w:val="center"/>
          </w:tcPr>
          <w:p w:rsidR="00A66191" w:rsidRPr="00727475" w:rsidRDefault="00A66191" w:rsidP="004D6466">
            <w:pPr>
              <w:pStyle w:val="NormalWeb"/>
              <w:spacing w:line="360" w:lineRule="auto"/>
              <w:jc w:val="center"/>
              <w:rPr>
                <w:rStyle w:val="Textoennegrita"/>
                <w:rFonts w:ascii="Arial" w:eastAsia="Calibri" w:hAnsi="Arial" w:cs="Arial"/>
                <w:lang w:val="es-EC"/>
              </w:rPr>
            </w:pPr>
            <w:r w:rsidRPr="00727475">
              <w:rPr>
                <w:rStyle w:val="Textoennegrita"/>
                <w:rFonts w:ascii="Arial" w:eastAsia="Calibri" w:hAnsi="Arial" w:cs="Arial"/>
                <w:lang w:val="es-EC"/>
              </w:rPr>
              <w:t>Millones  de dólares en el 2006</w:t>
            </w:r>
          </w:p>
        </w:tc>
        <w:tc>
          <w:tcPr>
            <w:tcW w:w="1559" w:type="dxa"/>
            <w:shd w:val="clear" w:color="auto" w:fill="8DB3E2" w:themeFill="text2" w:themeFillTint="66"/>
            <w:vAlign w:val="center"/>
          </w:tcPr>
          <w:p w:rsidR="00A66191" w:rsidRPr="00727475" w:rsidRDefault="00A66191" w:rsidP="004D6466">
            <w:pPr>
              <w:pStyle w:val="NormalWeb"/>
              <w:spacing w:line="360" w:lineRule="auto"/>
              <w:jc w:val="center"/>
              <w:rPr>
                <w:rStyle w:val="Textoennegrita"/>
                <w:rFonts w:ascii="Arial" w:eastAsia="Calibri" w:hAnsi="Arial" w:cs="Arial"/>
                <w:lang w:val="es-EC"/>
              </w:rPr>
            </w:pPr>
            <w:r w:rsidRPr="00727475">
              <w:rPr>
                <w:rStyle w:val="Textoennegrita"/>
                <w:rFonts w:ascii="Arial" w:eastAsia="Calibri" w:hAnsi="Arial" w:cs="Arial"/>
                <w:lang w:val="es-EC"/>
              </w:rPr>
              <w:t>Porcentaje en el 2011</w:t>
            </w:r>
          </w:p>
        </w:tc>
        <w:tc>
          <w:tcPr>
            <w:tcW w:w="1984" w:type="dxa"/>
            <w:shd w:val="clear" w:color="auto" w:fill="8DB3E2" w:themeFill="text2" w:themeFillTint="66"/>
            <w:vAlign w:val="center"/>
          </w:tcPr>
          <w:p w:rsidR="00A66191" w:rsidRPr="00727475" w:rsidRDefault="00A66191" w:rsidP="004D6466">
            <w:pPr>
              <w:pStyle w:val="NormalWeb"/>
              <w:spacing w:line="360" w:lineRule="auto"/>
              <w:jc w:val="center"/>
              <w:rPr>
                <w:rStyle w:val="Textoennegrita"/>
                <w:rFonts w:ascii="Arial" w:eastAsia="Calibri" w:hAnsi="Arial" w:cs="Arial"/>
                <w:lang w:val="es-EC"/>
              </w:rPr>
            </w:pPr>
            <w:r w:rsidRPr="00727475">
              <w:rPr>
                <w:rStyle w:val="Textoennegrita"/>
                <w:rFonts w:ascii="Arial" w:eastAsia="Calibri" w:hAnsi="Arial" w:cs="Arial"/>
                <w:lang w:val="es-EC"/>
              </w:rPr>
              <w:t>Millones de dólares en el 2011</w:t>
            </w:r>
          </w:p>
        </w:tc>
      </w:tr>
      <w:tr w:rsidR="00A66191" w:rsidRPr="00727475" w:rsidTr="004D6466">
        <w:trPr>
          <w:jc w:val="center"/>
        </w:trPr>
        <w:tc>
          <w:tcPr>
            <w:tcW w:w="1523" w:type="dxa"/>
            <w:shd w:val="clear" w:color="auto" w:fill="DBE5F1" w:themeFill="accent1" w:themeFillTint="33"/>
          </w:tcPr>
          <w:p w:rsidR="00A66191" w:rsidRPr="00727475" w:rsidRDefault="00A66191" w:rsidP="004D6466">
            <w:pPr>
              <w:pStyle w:val="NormalWeb"/>
              <w:spacing w:line="360" w:lineRule="auto"/>
              <w:jc w:val="both"/>
              <w:rPr>
                <w:rStyle w:val="Textoennegrita"/>
                <w:rFonts w:ascii="Arial" w:eastAsia="Calibri" w:hAnsi="Arial" w:cs="Arial"/>
                <w:b w:val="0"/>
                <w:lang w:val="es-EC"/>
              </w:rPr>
            </w:pPr>
            <w:r w:rsidRPr="00727475">
              <w:rPr>
                <w:rStyle w:val="Textoennegrita"/>
                <w:rFonts w:ascii="Arial" w:eastAsia="Calibri" w:hAnsi="Arial" w:cs="Arial"/>
                <w:b w:val="0"/>
                <w:lang w:val="es-EC"/>
              </w:rPr>
              <w:t>Pago deuda</w:t>
            </w:r>
          </w:p>
        </w:tc>
        <w:tc>
          <w:tcPr>
            <w:tcW w:w="1562" w:type="dxa"/>
            <w:shd w:val="clear" w:color="auto" w:fill="DBE5F1" w:themeFill="accent1" w:themeFillTint="33"/>
          </w:tcPr>
          <w:p w:rsidR="00A66191" w:rsidRPr="00727475" w:rsidRDefault="00A66191" w:rsidP="004D6466">
            <w:pPr>
              <w:pStyle w:val="NormalWeb"/>
              <w:spacing w:line="360" w:lineRule="auto"/>
              <w:jc w:val="both"/>
              <w:rPr>
                <w:rStyle w:val="Textoennegrita"/>
                <w:rFonts w:ascii="Arial" w:eastAsia="Calibri" w:hAnsi="Arial" w:cs="Arial"/>
                <w:b w:val="0"/>
                <w:lang w:val="es-EC"/>
              </w:rPr>
            </w:pPr>
            <w:r w:rsidRPr="00727475">
              <w:rPr>
                <w:rStyle w:val="Textoennegrita"/>
                <w:rFonts w:ascii="Arial" w:eastAsia="Calibri" w:hAnsi="Arial" w:cs="Arial"/>
                <w:b w:val="0"/>
                <w:lang w:val="es-EC"/>
              </w:rPr>
              <w:t>24% del PIB</w:t>
            </w:r>
          </w:p>
        </w:tc>
        <w:tc>
          <w:tcPr>
            <w:tcW w:w="1985" w:type="dxa"/>
            <w:shd w:val="clear" w:color="auto" w:fill="DBE5F1" w:themeFill="accent1" w:themeFillTint="33"/>
          </w:tcPr>
          <w:p w:rsidR="00A66191" w:rsidRPr="00727475" w:rsidRDefault="00A66191" w:rsidP="004D6466">
            <w:pPr>
              <w:pStyle w:val="NormalWeb"/>
              <w:spacing w:line="360" w:lineRule="auto"/>
              <w:jc w:val="both"/>
              <w:rPr>
                <w:rStyle w:val="Textoennegrita"/>
                <w:rFonts w:ascii="Arial" w:eastAsia="Calibri" w:hAnsi="Arial" w:cs="Arial"/>
                <w:b w:val="0"/>
                <w:lang w:val="es-EC"/>
              </w:rPr>
            </w:pPr>
            <w:r w:rsidRPr="00727475">
              <w:rPr>
                <w:rStyle w:val="Textoennegrita"/>
                <w:rFonts w:ascii="Arial" w:eastAsia="Calibri" w:hAnsi="Arial" w:cs="Arial"/>
                <w:b w:val="0"/>
                <w:lang w:val="es-EC"/>
              </w:rPr>
              <w:t xml:space="preserve">2.280 </w:t>
            </w:r>
          </w:p>
        </w:tc>
        <w:tc>
          <w:tcPr>
            <w:tcW w:w="1559" w:type="dxa"/>
            <w:shd w:val="clear" w:color="auto" w:fill="DBE5F1" w:themeFill="accent1" w:themeFillTint="33"/>
          </w:tcPr>
          <w:p w:rsidR="00A66191" w:rsidRPr="00727475" w:rsidRDefault="00A66191" w:rsidP="004D6466">
            <w:pPr>
              <w:pStyle w:val="NormalWeb"/>
              <w:spacing w:line="360" w:lineRule="auto"/>
              <w:jc w:val="both"/>
              <w:rPr>
                <w:rStyle w:val="Textoennegrita"/>
                <w:rFonts w:ascii="Arial" w:eastAsia="Calibri" w:hAnsi="Arial" w:cs="Arial"/>
                <w:b w:val="0"/>
                <w:lang w:val="es-EC"/>
              </w:rPr>
            </w:pPr>
            <w:r w:rsidRPr="00727475">
              <w:rPr>
                <w:rStyle w:val="Textoennegrita"/>
                <w:rFonts w:ascii="Arial" w:eastAsia="Calibri" w:hAnsi="Arial" w:cs="Arial"/>
                <w:b w:val="0"/>
                <w:lang w:val="es-EC"/>
              </w:rPr>
              <w:t>7% del PIB</w:t>
            </w:r>
          </w:p>
        </w:tc>
        <w:tc>
          <w:tcPr>
            <w:tcW w:w="1984" w:type="dxa"/>
            <w:shd w:val="clear" w:color="auto" w:fill="DBE5F1" w:themeFill="accent1" w:themeFillTint="33"/>
          </w:tcPr>
          <w:p w:rsidR="00A66191" w:rsidRPr="00727475" w:rsidRDefault="00A66191" w:rsidP="004D6466">
            <w:pPr>
              <w:pStyle w:val="NormalWeb"/>
              <w:spacing w:line="360" w:lineRule="auto"/>
              <w:jc w:val="both"/>
              <w:rPr>
                <w:rStyle w:val="Textoennegrita"/>
                <w:rFonts w:ascii="Arial" w:eastAsia="Calibri" w:hAnsi="Arial" w:cs="Arial"/>
                <w:b w:val="0"/>
                <w:lang w:val="es-EC"/>
              </w:rPr>
            </w:pPr>
            <w:r w:rsidRPr="00727475">
              <w:rPr>
                <w:rStyle w:val="Textoennegrita"/>
                <w:rFonts w:ascii="Arial" w:eastAsia="Calibri" w:hAnsi="Arial" w:cs="Arial"/>
                <w:b w:val="0"/>
                <w:lang w:val="es-EC"/>
              </w:rPr>
              <w:t>1.362</w:t>
            </w:r>
          </w:p>
        </w:tc>
      </w:tr>
      <w:tr w:rsidR="00A66191" w:rsidRPr="00727475" w:rsidTr="004D6466">
        <w:trPr>
          <w:jc w:val="center"/>
        </w:trPr>
        <w:tc>
          <w:tcPr>
            <w:tcW w:w="1523" w:type="dxa"/>
            <w:shd w:val="clear" w:color="auto" w:fill="DBE5F1" w:themeFill="accent1" w:themeFillTint="33"/>
          </w:tcPr>
          <w:p w:rsidR="00A66191" w:rsidRPr="00727475" w:rsidRDefault="00A66191" w:rsidP="004D6466">
            <w:pPr>
              <w:pStyle w:val="NormalWeb"/>
              <w:spacing w:line="360" w:lineRule="auto"/>
              <w:jc w:val="both"/>
              <w:rPr>
                <w:rStyle w:val="Textoennegrita"/>
                <w:rFonts w:ascii="Arial" w:eastAsia="Calibri" w:hAnsi="Arial" w:cs="Arial"/>
                <w:b w:val="0"/>
                <w:lang w:val="es-EC"/>
              </w:rPr>
            </w:pPr>
            <w:r w:rsidRPr="00727475">
              <w:rPr>
                <w:rStyle w:val="Textoennegrita"/>
                <w:rFonts w:ascii="Arial" w:eastAsia="Calibri" w:hAnsi="Arial" w:cs="Arial"/>
                <w:b w:val="0"/>
                <w:lang w:val="es-EC"/>
              </w:rPr>
              <w:t>Energía</w:t>
            </w:r>
          </w:p>
        </w:tc>
        <w:tc>
          <w:tcPr>
            <w:tcW w:w="1562" w:type="dxa"/>
            <w:shd w:val="clear" w:color="auto" w:fill="DBE5F1" w:themeFill="accent1" w:themeFillTint="33"/>
          </w:tcPr>
          <w:p w:rsidR="00A66191" w:rsidRPr="00727475" w:rsidRDefault="00A66191" w:rsidP="004D6466">
            <w:pPr>
              <w:pStyle w:val="NormalWeb"/>
              <w:spacing w:line="360" w:lineRule="auto"/>
              <w:jc w:val="both"/>
              <w:rPr>
                <w:rStyle w:val="Textoennegrita"/>
                <w:rFonts w:ascii="Arial" w:eastAsia="Calibri" w:hAnsi="Arial" w:cs="Arial"/>
                <w:b w:val="0"/>
                <w:lang w:val="es-EC"/>
              </w:rPr>
            </w:pPr>
            <w:r w:rsidRPr="00727475">
              <w:rPr>
                <w:rStyle w:val="Textoennegrita"/>
                <w:rFonts w:ascii="Arial" w:eastAsia="Calibri" w:hAnsi="Arial" w:cs="Arial"/>
                <w:b w:val="0"/>
                <w:lang w:val="es-EC"/>
              </w:rPr>
              <w:t>0,7%</w:t>
            </w:r>
          </w:p>
        </w:tc>
        <w:tc>
          <w:tcPr>
            <w:tcW w:w="1985" w:type="dxa"/>
            <w:shd w:val="clear" w:color="auto" w:fill="DBE5F1" w:themeFill="accent1" w:themeFillTint="33"/>
          </w:tcPr>
          <w:p w:rsidR="00A66191" w:rsidRPr="00727475" w:rsidRDefault="00A66191" w:rsidP="004D6466">
            <w:pPr>
              <w:pStyle w:val="NormalWeb"/>
              <w:spacing w:line="360" w:lineRule="auto"/>
              <w:jc w:val="both"/>
              <w:rPr>
                <w:rStyle w:val="Textoennegrita"/>
                <w:rFonts w:ascii="Arial" w:eastAsia="Calibri" w:hAnsi="Arial" w:cs="Arial"/>
                <w:b w:val="0"/>
                <w:lang w:val="es-EC"/>
              </w:rPr>
            </w:pPr>
            <w:r w:rsidRPr="00727475">
              <w:rPr>
                <w:rStyle w:val="Textoennegrita"/>
                <w:rFonts w:ascii="Arial" w:eastAsia="Calibri" w:hAnsi="Arial" w:cs="Arial"/>
                <w:b w:val="0"/>
                <w:lang w:val="es-EC"/>
              </w:rPr>
              <w:t>17</w:t>
            </w:r>
          </w:p>
        </w:tc>
        <w:tc>
          <w:tcPr>
            <w:tcW w:w="1559" w:type="dxa"/>
            <w:shd w:val="clear" w:color="auto" w:fill="DBE5F1" w:themeFill="accent1" w:themeFillTint="33"/>
          </w:tcPr>
          <w:p w:rsidR="00A66191" w:rsidRPr="00727475" w:rsidRDefault="00A66191" w:rsidP="004D6466">
            <w:pPr>
              <w:pStyle w:val="NormalWeb"/>
              <w:spacing w:line="360" w:lineRule="auto"/>
              <w:jc w:val="both"/>
              <w:rPr>
                <w:rStyle w:val="Textoennegrita"/>
                <w:rFonts w:ascii="Arial" w:eastAsia="Calibri" w:hAnsi="Arial" w:cs="Arial"/>
                <w:b w:val="0"/>
                <w:lang w:val="es-EC"/>
              </w:rPr>
            </w:pPr>
            <w:r w:rsidRPr="00727475">
              <w:rPr>
                <w:rStyle w:val="Textoennegrita"/>
                <w:rFonts w:ascii="Arial" w:eastAsia="Calibri" w:hAnsi="Arial" w:cs="Arial"/>
                <w:b w:val="0"/>
                <w:lang w:val="es-EC"/>
              </w:rPr>
              <w:t>6%</w:t>
            </w:r>
          </w:p>
        </w:tc>
        <w:tc>
          <w:tcPr>
            <w:tcW w:w="1984" w:type="dxa"/>
            <w:shd w:val="clear" w:color="auto" w:fill="DBE5F1" w:themeFill="accent1" w:themeFillTint="33"/>
          </w:tcPr>
          <w:p w:rsidR="00A66191" w:rsidRPr="00727475" w:rsidRDefault="00A66191" w:rsidP="004D6466">
            <w:pPr>
              <w:pStyle w:val="NormalWeb"/>
              <w:spacing w:line="360" w:lineRule="auto"/>
              <w:jc w:val="both"/>
              <w:rPr>
                <w:rStyle w:val="Textoennegrita"/>
                <w:rFonts w:ascii="Arial" w:eastAsia="Calibri" w:hAnsi="Arial" w:cs="Arial"/>
                <w:b w:val="0"/>
                <w:lang w:val="es-EC"/>
              </w:rPr>
            </w:pPr>
            <w:r w:rsidRPr="00727475">
              <w:rPr>
                <w:rStyle w:val="Textoennegrita"/>
                <w:rFonts w:ascii="Arial" w:eastAsia="Calibri" w:hAnsi="Arial" w:cs="Arial"/>
                <w:b w:val="0"/>
                <w:lang w:val="es-EC"/>
              </w:rPr>
              <w:t>1.192</w:t>
            </w:r>
          </w:p>
        </w:tc>
      </w:tr>
      <w:tr w:rsidR="00A66191" w:rsidRPr="00727475" w:rsidTr="004D6466">
        <w:trPr>
          <w:jc w:val="center"/>
        </w:trPr>
        <w:tc>
          <w:tcPr>
            <w:tcW w:w="1523" w:type="dxa"/>
            <w:shd w:val="clear" w:color="auto" w:fill="DBE5F1" w:themeFill="accent1" w:themeFillTint="33"/>
          </w:tcPr>
          <w:p w:rsidR="00A66191" w:rsidRPr="00727475" w:rsidRDefault="00A66191" w:rsidP="004D6466">
            <w:pPr>
              <w:pStyle w:val="NormalWeb"/>
              <w:spacing w:line="360" w:lineRule="auto"/>
              <w:jc w:val="both"/>
              <w:rPr>
                <w:rStyle w:val="Textoennegrita"/>
                <w:rFonts w:ascii="Arial" w:eastAsia="Calibri" w:hAnsi="Arial" w:cs="Arial"/>
                <w:b w:val="0"/>
                <w:lang w:val="es-EC"/>
              </w:rPr>
            </w:pPr>
            <w:r w:rsidRPr="00727475">
              <w:rPr>
                <w:rStyle w:val="Textoennegrita"/>
                <w:rFonts w:ascii="Arial" w:eastAsia="Calibri" w:hAnsi="Arial" w:cs="Arial"/>
                <w:b w:val="0"/>
                <w:lang w:val="es-EC"/>
              </w:rPr>
              <w:t>Vialidad</w:t>
            </w:r>
          </w:p>
        </w:tc>
        <w:tc>
          <w:tcPr>
            <w:tcW w:w="1562" w:type="dxa"/>
            <w:shd w:val="clear" w:color="auto" w:fill="DBE5F1" w:themeFill="accent1" w:themeFillTint="33"/>
          </w:tcPr>
          <w:p w:rsidR="00A66191" w:rsidRPr="00727475" w:rsidRDefault="00A66191" w:rsidP="004D6466">
            <w:pPr>
              <w:pStyle w:val="NormalWeb"/>
              <w:spacing w:line="360" w:lineRule="auto"/>
              <w:jc w:val="both"/>
              <w:rPr>
                <w:rStyle w:val="Textoennegrita"/>
                <w:rFonts w:ascii="Arial" w:eastAsia="Calibri" w:hAnsi="Arial" w:cs="Arial"/>
                <w:b w:val="0"/>
                <w:lang w:val="es-EC"/>
              </w:rPr>
            </w:pPr>
            <w:r w:rsidRPr="00727475">
              <w:rPr>
                <w:rStyle w:val="Textoennegrita"/>
                <w:rFonts w:ascii="Arial" w:eastAsia="Calibri" w:hAnsi="Arial" w:cs="Arial"/>
                <w:b w:val="0"/>
                <w:lang w:val="es-EC"/>
              </w:rPr>
              <w:t>3%</w:t>
            </w:r>
          </w:p>
        </w:tc>
        <w:tc>
          <w:tcPr>
            <w:tcW w:w="1985" w:type="dxa"/>
            <w:shd w:val="clear" w:color="auto" w:fill="DBE5F1" w:themeFill="accent1" w:themeFillTint="33"/>
          </w:tcPr>
          <w:p w:rsidR="00A66191" w:rsidRPr="00727475" w:rsidRDefault="00A66191" w:rsidP="004D6466">
            <w:pPr>
              <w:pStyle w:val="NormalWeb"/>
              <w:spacing w:line="360" w:lineRule="auto"/>
              <w:jc w:val="both"/>
              <w:rPr>
                <w:rStyle w:val="Textoennegrita"/>
                <w:rFonts w:ascii="Arial" w:eastAsia="Calibri" w:hAnsi="Arial" w:cs="Arial"/>
                <w:b w:val="0"/>
                <w:lang w:val="es-EC"/>
              </w:rPr>
            </w:pPr>
            <w:r w:rsidRPr="00727475">
              <w:rPr>
                <w:rStyle w:val="Textoennegrita"/>
                <w:rFonts w:ascii="Arial" w:eastAsia="Calibri" w:hAnsi="Arial" w:cs="Arial"/>
                <w:b w:val="0"/>
                <w:lang w:val="es-EC"/>
              </w:rPr>
              <w:t>318</w:t>
            </w:r>
          </w:p>
        </w:tc>
        <w:tc>
          <w:tcPr>
            <w:tcW w:w="1559" w:type="dxa"/>
            <w:shd w:val="clear" w:color="auto" w:fill="DBE5F1" w:themeFill="accent1" w:themeFillTint="33"/>
          </w:tcPr>
          <w:p w:rsidR="00A66191" w:rsidRPr="00727475" w:rsidRDefault="00A66191" w:rsidP="004D6466">
            <w:pPr>
              <w:pStyle w:val="NormalWeb"/>
              <w:spacing w:line="360" w:lineRule="auto"/>
              <w:jc w:val="both"/>
              <w:rPr>
                <w:rStyle w:val="Textoennegrita"/>
                <w:rFonts w:ascii="Arial" w:eastAsia="Calibri" w:hAnsi="Arial" w:cs="Arial"/>
                <w:b w:val="0"/>
                <w:lang w:val="es-EC"/>
              </w:rPr>
            </w:pPr>
            <w:r w:rsidRPr="00727475">
              <w:rPr>
                <w:rStyle w:val="Textoennegrita"/>
                <w:rFonts w:ascii="Arial" w:eastAsia="Calibri" w:hAnsi="Arial" w:cs="Arial"/>
                <w:b w:val="0"/>
                <w:lang w:val="es-EC"/>
              </w:rPr>
              <w:t>5%</w:t>
            </w:r>
          </w:p>
        </w:tc>
        <w:tc>
          <w:tcPr>
            <w:tcW w:w="1984" w:type="dxa"/>
            <w:shd w:val="clear" w:color="auto" w:fill="DBE5F1" w:themeFill="accent1" w:themeFillTint="33"/>
          </w:tcPr>
          <w:p w:rsidR="00A66191" w:rsidRPr="00727475" w:rsidRDefault="00A66191" w:rsidP="004D6466">
            <w:pPr>
              <w:pStyle w:val="NormalWeb"/>
              <w:spacing w:line="360" w:lineRule="auto"/>
              <w:jc w:val="both"/>
              <w:rPr>
                <w:rStyle w:val="Textoennegrita"/>
                <w:rFonts w:ascii="Arial" w:eastAsia="Calibri" w:hAnsi="Arial" w:cs="Arial"/>
                <w:b w:val="0"/>
                <w:lang w:val="es-EC"/>
              </w:rPr>
            </w:pPr>
            <w:r w:rsidRPr="00727475">
              <w:rPr>
                <w:rStyle w:val="Textoennegrita"/>
                <w:rFonts w:ascii="Arial" w:eastAsia="Calibri" w:hAnsi="Arial" w:cs="Arial"/>
                <w:b w:val="0"/>
                <w:lang w:val="es-EC"/>
              </w:rPr>
              <w:t>1.021</w:t>
            </w:r>
          </w:p>
        </w:tc>
      </w:tr>
      <w:tr w:rsidR="00A66191" w:rsidRPr="00727475" w:rsidTr="004D6466">
        <w:trPr>
          <w:jc w:val="center"/>
        </w:trPr>
        <w:tc>
          <w:tcPr>
            <w:tcW w:w="1523" w:type="dxa"/>
            <w:shd w:val="clear" w:color="auto" w:fill="DBE5F1" w:themeFill="accent1" w:themeFillTint="33"/>
          </w:tcPr>
          <w:p w:rsidR="00A66191" w:rsidRPr="00727475" w:rsidRDefault="00A66191" w:rsidP="004D6466">
            <w:pPr>
              <w:pStyle w:val="NormalWeb"/>
              <w:spacing w:line="360" w:lineRule="auto"/>
              <w:jc w:val="both"/>
              <w:rPr>
                <w:rStyle w:val="Textoennegrita"/>
                <w:rFonts w:ascii="Arial" w:eastAsia="Calibri" w:hAnsi="Arial" w:cs="Arial"/>
                <w:b w:val="0"/>
                <w:lang w:val="es-EC"/>
              </w:rPr>
            </w:pPr>
            <w:r w:rsidRPr="00727475">
              <w:rPr>
                <w:rStyle w:val="Textoennegrita"/>
                <w:rFonts w:ascii="Arial" w:eastAsia="Calibri" w:hAnsi="Arial" w:cs="Arial"/>
                <w:b w:val="0"/>
                <w:lang w:val="es-EC"/>
              </w:rPr>
              <w:t>Salud</w:t>
            </w:r>
          </w:p>
        </w:tc>
        <w:tc>
          <w:tcPr>
            <w:tcW w:w="1562" w:type="dxa"/>
            <w:shd w:val="clear" w:color="auto" w:fill="DBE5F1" w:themeFill="accent1" w:themeFillTint="33"/>
          </w:tcPr>
          <w:p w:rsidR="00A66191" w:rsidRPr="00727475" w:rsidRDefault="00A66191" w:rsidP="004D6466">
            <w:pPr>
              <w:pStyle w:val="NormalWeb"/>
              <w:spacing w:line="360" w:lineRule="auto"/>
              <w:jc w:val="both"/>
              <w:rPr>
                <w:rStyle w:val="Textoennegrita"/>
                <w:rFonts w:ascii="Arial" w:eastAsia="Calibri" w:hAnsi="Arial" w:cs="Arial"/>
                <w:b w:val="0"/>
                <w:lang w:val="es-EC"/>
              </w:rPr>
            </w:pPr>
            <w:r w:rsidRPr="00727475">
              <w:rPr>
                <w:rStyle w:val="Textoennegrita"/>
                <w:rFonts w:ascii="Arial" w:eastAsia="Calibri" w:hAnsi="Arial" w:cs="Arial"/>
                <w:b w:val="0"/>
                <w:lang w:val="es-EC"/>
              </w:rPr>
              <w:t>5%</w:t>
            </w:r>
          </w:p>
        </w:tc>
        <w:tc>
          <w:tcPr>
            <w:tcW w:w="1985" w:type="dxa"/>
            <w:shd w:val="clear" w:color="auto" w:fill="DBE5F1" w:themeFill="accent1" w:themeFillTint="33"/>
          </w:tcPr>
          <w:p w:rsidR="00A66191" w:rsidRPr="00727475" w:rsidRDefault="00A66191" w:rsidP="004D6466">
            <w:pPr>
              <w:pStyle w:val="NormalWeb"/>
              <w:spacing w:line="360" w:lineRule="auto"/>
              <w:jc w:val="both"/>
              <w:rPr>
                <w:rStyle w:val="Textoennegrita"/>
                <w:rFonts w:ascii="Arial" w:eastAsia="Calibri" w:hAnsi="Arial" w:cs="Arial"/>
                <w:b w:val="0"/>
                <w:lang w:val="es-EC"/>
              </w:rPr>
            </w:pPr>
            <w:r w:rsidRPr="00727475">
              <w:rPr>
                <w:rStyle w:val="Textoennegrita"/>
                <w:rFonts w:ascii="Arial" w:eastAsia="Calibri" w:hAnsi="Arial" w:cs="Arial"/>
                <w:b w:val="0"/>
                <w:lang w:val="es-EC"/>
              </w:rPr>
              <w:t>485</w:t>
            </w:r>
          </w:p>
        </w:tc>
        <w:tc>
          <w:tcPr>
            <w:tcW w:w="1559" w:type="dxa"/>
            <w:shd w:val="clear" w:color="auto" w:fill="DBE5F1" w:themeFill="accent1" w:themeFillTint="33"/>
          </w:tcPr>
          <w:p w:rsidR="00A66191" w:rsidRPr="00727475" w:rsidRDefault="00A66191" w:rsidP="004D6466">
            <w:pPr>
              <w:pStyle w:val="NormalWeb"/>
              <w:spacing w:line="360" w:lineRule="auto"/>
              <w:jc w:val="both"/>
              <w:rPr>
                <w:rStyle w:val="Textoennegrita"/>
                <w:rFonts w:ascii="Arial" w:eastAsia="Calibri" w:hAnsi="Arial" w:cs="Arial"/>
                <w:b w:val="0"/>
                <w:lang w:val="es-EC"/>
              </w:rPr>
            </w:pPr>
            <w:r w:rsidRPr="00727475">
              <w:rPr>
                <w:rStyle w:val="Textoennegrita"/>
                <w:rFonts w:ascii="Arial" w:eastAsia="Calibri" w:hAnsi="Arial" w:cs="Arial"/>
                <w:b w:val="0"/>
                <w:lang w:val="es-EC"/>
              </w:rPr>
              <w:t>6%</w:t>
            </w:r>
          </w:p>
        </w:tc>
        <w:tc>
          <w:tcPr>
            <w:tcW w:w="1984" w:type="dxa"/>
            <w:shd w:val="clear" w:color="auto" w:fill="DBE5F1" w:themeFill="accent1" w:themeFillTint="33"/>
          </w:tcPr>
          <w:p w:rsidR="00A66191" w:rsidRPr="00727475" w:rsidRDefault="00A66191" w:rsidP="004D6466">
            <w:pPr>
              <w:pStyle w:val="NormalWeb"/>
              <w:spacing w:line="360" w:lineRule="auto"/>
              <w:jc w:val="both"/>
              <w:rPr>
                <w:rStyle w:val="Textoennegrita"/>
                <w:rFonts w:ascii="Arial" w:eastAsia="Calibri" w:hAnsi="Arial" w:cs="Arial"/>
                <w:b w:val="0"/>
                <w:lang w:val="es-EC"/>
              </w:rPr>
            </w:pPr>
            <w:r w:rsidRPr="00727475">
              <w:rPr>
                <w:rStyle w:val="Textoennegrita"/>
                <w:rFonts w:ascii="Arial" w:eastAsia="Calibri" w:hAnsi="Arial" w:cs="Arial"/>
                <w:b w:val="0"/>
                <w:lang w:val="es-EC"/>
              </w:rPr>
              <w:t>1.273</w:t>
            </w:r>
          </w:p>
        </w:tc>
      </w:tr>
      <w:tr w:rsidR="00A66191" w:rsidRPr="00727475" w:rsidTr="004D6466">
        <w:trPr>
          <w:jc w:val="center"/>
        </w:trPr>
        <w:tc>
          <w:tcPr>
            <w:tcW w:w="1523" w:type="dxa"/>
            <w:shd w:val="clear" w:color="auto" w:fill="DBE5F1" w:themeFill="accent1" w:themeFillTint="33"/>
          </w:tcPr>
          <w:p w:rsidR="00A66191" w:rsidRPr="00727475" w:rsidRDefault="00A66191" w:rsidP="004D6466">
            <w:pPr>
              <w:pStyle w:val="NormalWeb"/>
              <w:spacing w:line="360" w:lineRule="auto"/>
              <w:jc w:val="both"/>
              <w:rPr>
                <w:rStyle w:val="Textoennegrita"/>
                <w:rFonts w:ascii="Arial" w:eastAsia="Calibri" w:hAnsi="Arial" w:cs="Arial"/>
                <w:b w:val="0"/>
                <w:lang w:val="es-EC"/>
              </w:rPr>
            </w:pPr>
            <w:r w:rsidRPr="00727475">
              <w:rPr>
                <w:rStyle w:val="Textoennegrita"/>
                <w:rFonts w:ascii="Arial" w:eastAsia="Calibri" w:hAnsi="Arial" w:cs="Arial"/>
                <w:b w:val="0"/>
                <w:lang w:val="es-EC"/>
              </w:rPr>
              <w:t>Educación</w:t>
            </w:r>
          </w:p>
        </w:tc>
        <w:tc>
          <w:tcPr>
            <w:tcW w:w="1562" w:type="dxa"/>
            <w:shd w:val="clear" w:color="auto" w:fill="DBE5F1" w:themeFill="accent1" w:themeFillTint="33"/>
          </w:tcPr>
          <w:p w:rsidR="00A66191" w:rsidRPr="00727475" w:rsidRDefault="00A66191" w:rsidP="004D6466">
            <w:pPr>
              <w:pStyle w:val="NormalWeb"/>
              <w:spacing w:line="360" w:lineRule="auto"/>
              <w:jc w:val="both"/>
              <w:rPr>
                <w:rStyle w:val="Textoennegrita"/>
                <w:rFonts w:ascii="Arial" w:eastAsia="Calibri" w:hAnsi="Arial" w:cs="Arial"/>
                <w:b w:val="0"/>
                <w:lang w:val="es-EC"/>
              </w:rPr>
            </w:pPr>
            <w:r w:rsidRPr="00727475">
              <w:rPr>
                <w:rStyle w:val="Textoennegrita"/>
                <w:rFonts w:ascii="Arial" w:eastAsia="Calibri" w:hAnsi="Arial" w:cs="Arial"/>
                <w:b w:val="0"/>
                <w:lang w:val="es-EC"/>
              </w:rPr>
              <w:t>11%</w:t>
            </w:r>
          </w:p>
        </w:tc>
        <w:tc>
          <w:tcPr>
            <w:tcW w:w="1985" w:type="dxa"/>
            <w:shd w:val="clear" w:color="auto" w:fill="DBE5F1" w:themeFill="accent1" w:themeFillTint="33"/>
          </w:tcPr>
          <w:p w:rsidR="00A66191" w:rsidRPr="00727475" w:rsidRDefault="00A66191" w:rsidP="004D6466">
            <w:pPr>
              <w:pStyle w:val="NormalWeb"/>
              <w:spacing w:line="360" w:lineRule="auto"/>
              <w:jc w:val="both"/>
              <w:rPr>
                <w:rStyle w:val="Textoennegrita"/>
                <w:rFonts w:ascii="Arial" w:eastAsia="Calibri" w:hAnsi="Arial" w:cs="Arial"/>
                <w:b w:val="0"/>
                <w:lang w:val="es-EC"/>
              </w:rPr>
            </w:pPr>
            <w:r w:rsidRPr="00727475">
              <w:rPr>
                <w:rStyle w:val="Textoennegrita"/>
                <w:rFonts w:ascii="Arial" w:eastAsia="Calibri" w:hAnsi="Arial" w:cs="Arial"/>
                <w:b w:val="0"/>
                <w:lang w:val="es-EC"/>
              </w:rPr>
              <w:t>1.090</w:t>
            </w:r>
          </w:p>
        </w:tc>
        <w:tc>
          <w:tcPr>
            <w:tcW w:w="1559" w:type="dxa"/>
            <w:shd w:val="clear" w:color="auto" w:fill="DBE5F1" w:themeFill="accent1" w:themeFillTint="33"/>
          </w:tcPr>
          <w:p w:rsidR="00A66191" w:rsidRPr="00727475" w:rsidRDefault="00A66191" w:rsidP="004D6466">
            <w:pPr>
              <w:pStyle w:val="NormalWeb"/>
              <w:spacing w:line="360" w:lineRule="auto"/>
              <w:jc w:val="both"/>
              <w:rPr>
                <w:rStyle w:val="Textoennegrita"/>
                <w:rFonts w:ascii="Arial" w:eastAsia="Calibri" w:hAnsi="Arial" w:cs="Arial"/>
                <w:b w:val="0"/>
                <w:lang w:val="es-EC"/>
              </w:rPr>
            </w:pPr>
            <w:r w:rsidRPr="00727475">
              <w:rPr>
                <w:rStyle w:val="Textoennegrita"/>
                <w:rFonts w:ascii="Arial" w:eastAsia="Calibri" w:hAnsi="Arial" w:cs="Arial"/>
                <w:b w:val="0"/>
                <w:lang w:val="es-EC"/>
              </w:rPr>
              <w:t>12%</w:t>
            </w:r>
          </w:p>
        </w:tc>
        <w:tc>
          <w:tcPr>
            <w:tcW w:w="1984" w:type="dxa"/>
            <w:shd w:val="clear" w:color="auto" w:fill="DBE5F1" w:themeFill="accent1" w:themeFillTint="33"/>
          </w:tcPr>
          <w:p w:rsidR="00A66191" w:rsidRPr="00727475" w:rsidRDefault="00A66191" w:rsidP="004D6466">
            <w:pPr>
              <w:pStyle w:val="NormalWeb"/>
              <w:spacing w:line="360" w:lineRule="auto"/>
              <w:jc w:val="both"/>
              <w:rPr>
                <w:rStyle w:val="Textoennegrita"/>
                <w:rFonts w:ascii="Arial" w:eastAsia="Calibri" w:hAnsi="Arial" w:cs="Arial"/>
                <w:b w:val="0"/>
                <w:lang w:val="es-EC"/>
              </w:rPr>
            </w:pPr>
            <w:r w:rsidRPr="00727475">
              <w:rPr>
                <w:rStyle w:val="Textoennegrita"/>
                <w:rFonts w:ascii="Arial" w:eastAsia="Calibri" w:hAnsi="Arial" w:cs="Arial"/>
                <w:b w:val="0"/>
                <w:lang w:val="es-EC"/>
              </w:rPr>
              <w:t>2.476</w:t>
            </w:r>
          </w:p>
        </w:tc>
      </w:tr>
    </w:tbl>
    <w:p w:rsidR="00A66191" w:rsidRPr="00727475" w:rsidRDefault="00A66191" w:rsidP="00A66191">
      <w:pPr>
        <w:pStyle w:val="Sinespaciado"/>
        <w:rPr>
          <w:rStyle w:val="Textoennegrita"/>
          <w:rFonts w:ascii="Arial" w:eastAsia="Calibri" w:hAnsi="Arial" w:cs="Arial"/>
          <w:b w:val="0"/>
          <w:sz w:val="16"/>
          <w:szCs w:val="16"/>
          <w:lang w:val="es-EC"/>
        </w:rPr>
      </w:pPr>
      <w:r w:rsidRPr="00727475">
        <w:rPr>
          <w:rStyle w:val="Textoennegrita"/>
          <w:rFonts w:ascii="Arial" w:eastAsia="Calibri" w:hAnsi="Arial" w:cs="Arial"/>
          <w:b w:val="0"/>
          <w:sz w:val="16"/>
          <w:szCs w:val="16"/>
          <w:lang w:val="es-EC"/>
        </w:rPr>
        <w:t>Tabla Nº 1                                                            Fuente: Agenda de la política económica para el Buen Vivir 2011-2013</w:t>
      </w:r>
    </w:p>
    <w:p w:rsidR="00A66191" w:rsidRPr="00727475" w:rsidRDefault="00A66191" w:rsidP="00A66191">
      <w:pPr>
        <w:pStyle w:val="NormalWeb"/>
        <w:spacing w:line="360" w:lineRule="auto"/>
        <w:jc w:val="both"/>
        <w:rPr>
          <w:rStyle w:val="Textoennegrita"/>
          <w:rFonts w:ascii="Arial" w:eastAsia="Calibri" w:hAnsi="Arial" w:cs="Arial"/>
          <w:b w:val="0"/>
          <w:lang w:val="es-EC"/>
        </w:rPr>
      </w:pPr>
      <w:r w:rsidRPr="00727475">
        <w:rPr>
          <w:rStyle w:val="Textoennegrita"/>
          <w:rFonts w:ascii="Arial" w:eastAsia="Calibri" w:hAnsi="Arial" w:cs="Arial"/>
          <w:b w:val="0"/>
          <w:lang w:val="es-EC"/>
        </w:rPr>
        <w:t>Para diciembre del 2011 el ingreso promedio familiar cubrió el 85% de la canasta básica que en 2012 fue de $572,35.</w:t>
      </w:r>
    </w:p>
    <w:p w:rsidR="00A66191" w:rsidRDefault="00A66191" w:rsidP="006E61EB">
      <w:pPr>
        <w:pStyle w:val="NormalWeb"/>
        <w:spacing w:after="0" w:afterAutospacing="0"/>
        <w:jc w:val="both"/>
        <w:rPr>
          <w:rStyle w:val="Textoennegrita"/>
          <w:rFonts w:ascii="Arial" w:eastAsia="Calibri" w:hAnsi="Arial" w:cs="Arial"/>
          <w:b w:val="0"/>
          <w:lang w:val="es-EC"/>
        </w:rPr>
      </w:pPr>
      <w:r w:rsidRPr="00727475">
        <w:rPr>
          <w:rStyle w:val="Textoennegrita"/>
          <w:rFonts w:ascii="Arial" w:eastAsia="Calibri" w:hAnsi="Arial" w:cs="Arial"/>
          <w:b w:val="0"/>
          <w:lang w:val="es-EC"/>
        </w:rPr>
        <w:t>El siguiente gráfico</w:t>
      </w:r>
      <w:r w:rsidRPr="00727475">
        <w:rPr>
          <w:rStyle w:val="Refdenotaalpie"/>
          <w:rFonts w:ascii="Arial" w:eastAsiaTheme="majorEastAsia" w:hAnsi="Arial" w:cs="Arial"/>
          <w:b/>
          <w:lang w:val="es-EC"/>
        </w:rPr>
        <w:footnoteReference w:id="22"/>
      </w:r>
      <w:r w:rsidRPr="00727475">
        <w:rPr>
          <w:rStyle w:val="Textoennegrita"/>
          <w:rFonts w:ascii="Arial" w:eastAsia="Calibri" w:hAnsi="Arial" w:cs="Arial"/>
          <w:b w:val="0"/>
          <w:lang w:val="es-EC"/>
        </w:rPr>
        <w:t xml:space="preserve"> muestra los niveles de ingreso en relación al desempleo y subempleo que nos indican que a pesar de los esfuerzos desplegados por el ejecutivo las tasas de desempleo y subempleo se mantienen. </w:t>
      </w:r>
    </w:p>
    <w:p w:rsidR="006E61EB" w:rsidRPr="00727475" w:rsidRDefault="006E61EB" w:rsidP="006E61EB">
      <w:pPr>
        <w:pStyle w:val="NormalWeb"/>
        <w:spacing w:after="0" w:afterAutospacing="0"/>
        <w:jc w:val="both"/>
        <w:rPr>
          <w:rStyle w:val="Textoennegrita"/>
          <w:rFonts w:ascii="Arial" w:eastAsia="Calibri" w:hAnsi="Arial" w:cs="Arial"/>
          <w:b w:val="0"/>
          <w:lang w:val="es-EC"/>
        </w:rPr>
      </w:pPr>
    </w:p>
    <w:p w:rsidR="00A66191" w:rsidRPr="00727475" w:rsidRDefault="00A66191" w:rsidP="006E61EB">
      <w:pPr>
        <w:spacing w:after="0" w:line="240" w:lineRule="auto"/>
        <w:jc w:val="center"/>
        <w:rPr>
          <w:rStyle w:val="Textoennegrita"/>
          <w:rFonts w:ascii="Arial" w:eastAsia="Calibri" w:hAnsi="Arial" w:cs="Arial"/>
          <w:b w:val="0"/>
          <w:sz w:val="24"/>
          <w:szCs w:val="24"/>
          <w:lang w:val="es-EC"/>
        </w:rPr>
      </w:pPr>
      <w:r w:rsidRPr="004D6466">
        <w:rPr>
          <w:rStyle w:val="Textoennegrita"/>
          <w:rFonts w:ascii="Arial" w:eastAsia="Calibri" w:hAnsi="Arial" w:cs="Arial"/>
          <w:lang w:val="es-EC"/>
        </w:rPr>
        <w:t>Área urbana (%) datos a diciembre</w:t>
      </w:r>
    </w:p>
    <w:p w:rsidR="00A66191" w:rsidRPr="004D6466" w:rsidRDefault="00A66191" w:rsidP="00A66191">
      <w:pPr>
        <w:pStyle w:val="Sinespaciado"/>
        <w:rPr>
          <w:rStyle w:val="Textoennegrita"/>
          <w:rFonts w:ascii="Arial" w:eastAsia="Calibri" w:hAnsi="Arial" w:cs="Arial"/>
          <w:b w:val="0"/>
          <w:lang w:val="es-EC"/>
        </w:rPr>
      </w:pPr>
      <w:r w:rsidRPr="004D6466">
        <w:rPr>
          <w:noProof/>
        </w:rPr>
        <w:drawing>
          <wp:inline distT="0" distB="0" distL="0" distR="0">
            <wp:extent cx="4961916" cy="2405681"/>
            <wp:effectExtent l="19050" t="0" r="0" b="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3" cstate="print"/>
                    <a:srcRect/>
                    <a:stretch>
                      <a:fillRect/>
                    </a:stretch>
                  </pic:blipFill>
                  <pic:spPr bwMode="auto">
                    <a:xfrm>
                      <a:off x="0" y="0"/>
                      <a:ext cx="4961334" cy="2405399"/>
                    </a:xfrm>
                    <a:prstGeom prst="rect">
                      <a:avLst/>
                    </a:prstGeom>
                    <a:noFill/>
                    <a:ln w="9525">
                      <a:noFill/>
                      <a:miter lim="800000"/>
                      <a:headEnd/>
                      <a:tailEnd/>
                    </a:ln>
                  </pic:spPr>
                </pic:pic>
              </a:graphicData>
            </a:graphic>
          </wp:inline>
        </w:drawing>
      </w:r>
    </w:p>
    <w:p w:rsidR="00A66191" w:rsidRPr="004D6466" w:rsidRDefault="00A66191" w:rsidP="00A66191">
      <w:pPr>
        <w:pStyle w:val="Sinespaciado"/>
        <w:rPr>
          <w:rStyle w:val="Textoennegrita"/>
          <w:rFonts w:ascii="Arial" w:eastAsia="Calibri" w:hAnsi="Arial" w:cs="Arial"/>
          <w:b w:val="0"/>
          <w:sz w:val="16"/>
          <w:szCs w:val="16"/>
          <w:lang w:val="es-EC"/>
        </w:rPr>
      </w:pPr>
      <w:r w:rsidRPr="004D6466">
        <w:rPr>
          <w:rStyle w:val="Textoennegrita"/>
          <w:rFonts w:ascii="Arial" w:eastAsia="Calibri" w:hAnsi="Arial" w:cs="Arial"/>
          <w:sz w:val="16"/>
          <w:szCs w:val="16"/>
          <w:lang w:val="es-EC"/>
        </w:rPr>
        <w:t xml:space="preserve">Gráfico Nº 3                                                                    fuente: </w:t>
      </w:r>
      <w:r w:rsidRPr="004D6466">
        <w:rPr>
          <w:sz w:val="16"/>
          <w:szCs w:val="16"/>
          <w:lang w:val="es-EC"/>
        </w:rPr>
        <w:t>primer gabinete ampliado de evaluación de SENPLADES</w:t>
      </w:r>
    </w:p>
    <w:p w:rsidR="0068609B" w:rsidRDefault="0068609B" w:rsidP="00A66191">
      <w:pPr>
        <w:pStyle w:val="NormalWeb"/>
        <w:spacing w:line="360" w:lineRule="auto"/>
        <w:jc w:val="both"/>
        <w:rPr>
          <w:rStyle w:val="Textoennegrita"/>
          <w:rFonts w:ascii="Arial" w:eastAsia="Calibri" w:hAnsi="Arial" w:cs="Arial"/>
          <w:i/>
          <w:lang w:val="es-EC"/>
        </w:rPr>
      </w:pPr>
    </w:p>
    <w:p w:rsidR="0068609B" w:rsidRDefault="0068609B" w:rsidP="00A66191">
      <w:pPr>
        <w:pStyle w:val="NormalWeb"/>
        <w:spacing w:line="360" w:lineRule="auto"/>
        <w:jc w:val="both"/>
        <w:rPr>
          <w:rStyle w:val="Textoennegrita"/>
          <w:rFonts w:ascii="Arial" w:eastAsia="Calibri" w:hAnsi="Arial" w:cs="Arial"/>
          <w:i/>
          <w:lang w:val="es-EC"/>
        </w:rPr>
      </w:pPr>
    </w:p>
    <w:p w:rsidR="00A66191" w:rsidRPr="004D6466" w:rsidRDefault="00A66191" w:rsidP="00A66191">
      <w:pPr>
        <w:pStyle w:val="NormalWeb"/>
        <w:spacing w:line="360" w:lineRule="auto"/>
        <w:jc w:val="both"/>
        <w:rPr>
          <w:rStyle w:val="Textoennegrita"/>
          <w:rFonts w:ascii="Arial" w:eastAsia="Calibri" w:hAnsi="Arial" w:cs="Arial"/>
          <w:i/>
          <w:lang w:val="es-EC"/>
        </w:rPr>
      </w:pPr>
      <w:r w:rsidRPr="004D6466">
        <w:rPr>
          <w:rStyle w:val="Textoennegrita"/>
          <w:rFonts w:ascii="Arial" w:eastAsia="Calibri" w:hAnsi="Arial" w:cs="Arial"/>
          <w:i/>
          <w:lang w:val="es-EC"/>
        </w:rPr>
        <w:lastRenderedPageBreak/>
        <w:t>En lo social y ambiental</w:t>
      </w:r>
    </w:p>
    <w:p w:rsidR="00A66191" w:rsidRPr="004D6466" w:rsidRDefault="00A66191" w:rsidP="00A66191">
      <w:pPr>
        <w:pStyle w:val="NormalWeb"/>
        <w:spacing w:line="360" w:lineRule="auto"/>
        <w:jc w:val="both"/>
        <w:rPr>
          <w:rFonts w:ascii="Arial" w:hAnsi="Arial" w:cs="Arial"/>
        </w:rPr>
      </w:pPr>
      <w:r w:rsidRPr="004D6466">
        <w:rPr>
          <w:lang w:val="es-EC"/>
        </w:rPr>
        <w:t>“</w:t>
      </w:r>
      <w:r w:rsidRPr="004D6466">
        <w:rPr>
          <w:rFonts w:ascii="Arial" w:hAnsi="Arial" w:cs="Arial"/>
        </w:rPr>
        <w:t>Ecuador está en el puesto 83, de los 187  países del mundo,  dentro de la categorización  de  Índice de Desarrollo Humano (IDH), según el informe 2011 del Fondo de las Naciones Unidas para el Desarrollo (PNUD)”</w:t>
      </w:r>
      <w:r w:rsidRPr="004D6466">
        <w:rPr>
          <w:rStyle w:val="Refdenotaalpie"/>
          <w:rFonts w:ascii="Arial" w:eastAsiaTheme="majorEastAsia" w:hAnsi="Arial" w:cs="Arial"/>
        </w:rPr>
        <w:footnoteReference w:id="23"/>
      </w:r>
      <w:r w:rsidRPr="004D6466">
        <w:rPr>
          <w:rFonts w:ascii="Arial" w:hAnsi="Arial" w:cs="Arial"/>
        </w:rPr>
        <w:t>.</w:t>
      </w:r>
    </w:p>
    <w:p w:rsidR="00A66191" w:rsidRPr="00727475" w:rsidRDefault="00A66191" w:rsidP="00A66191">
      <w:pPr>
        <w:pStyle w:val="NormalWeb"/>
        <w:spacing w:line="360" w:lineRule="auto"/>
        <w:jc w:val="both"/>
        <w:rPr>
          <w:rStyle w:val="Textoennegrita"/>
          <w:rFonts w:ascii="Arial" w:eastAsia="Calibri" w:hAnsi="Arial" w:cs="Arial"/>
          <w:b w:val="0"/>
          <w:lang w:val="es-EC"/>
        </w:rPr>
      </w:pPr>
      <w:r w:rsidRPr="00727475">
        <w:rPr>
          <w:rStyle w:val="Textoennegrita"/>
          <w:rFonts w:ascii="Arial" w:eastAsia="Calibri" w:hAnsi="Arial" w:cs="Arial"/>
          <w:b w:val="0"/>
          <w:lang w:val="es-EC"/>
        </w:rPr>
        <w:t xml:space="preserve">Al observar los indicadores sociales y de seguridad alimentaria obtenemos que: “la tasa al 2010 de desnutrición crónica infantil fue del </w:t>
      </w:r>
      <w:r w:rsidRPr="00727475">
        <w:rPr>
          <w:rFonts w:ascii="Arial" w:hAnsi="Arial" w:cs="Arial"/>
        </w:rPr>
        <w:t>26%</w:t>
      </w:r>
      <w:r w:rsidR="00830DFF" w:rsidRPr="00727475">
        <w:rPr>
          <w:rFonts w:ascii="Arial" w:hAnsi="Arial" w:cs="Arial"/>
        </w:rPr>
        <w:t>;</w:t>
      </w:r>
      <w:r w:rsidR="00830DFF" w:rsidRPr="00727475">
        <w:rPr>
          <w:rStyle w:val="Textoennegrita"/>
          <w:rFonts w:ascii="Arial" w:eastAsia="Calibri" w:hAnsi="Arial" w:cs="Arial"/>
          <w:b w:val="0"/>
          <w:lang w:val="es-EC"/>
        </w:rPr>
        <w:t xml:space="preserve"> La</w:t>
      </w:r>
      <w:r w:rsidRPr="00727475">
        <w:rPr>
          <w:rStyle w:val="Textoennegrita"/>
          <w:rFonts w:ascii="Arial" w:eastAsia="Calibri" w:hAnsi="Arial" w:cs="Arial"/>
          <w:b w:val="0"/>
          <w:lang w:val="es-EC"/>
        </w:rPr>
        <w:t xml:space="preserve"> desnutrición global llega al 8.6%; y en términos de educación para este mismo año el 7.85% de la población llegó al 8vo año de educación básica; la tasa de mortalidad infantil fue del 15.9% para el 2009”</w:t>
      </w:r>
      <w:r w:rsidRPr="00727475">
        <w:rPr>
          <w:rStyle w:val="Refdenotaalpie"/>
          <w:rFonts w:ascii="Arial" w:eastAsiaTheme="majorEastAsia" w:hAnsi="Arial" w:cs="Arial"/>
          <w:b/>
          <w:lang w:val="es-EC"/>
        </w:rPr>
        <w:footnoteReference w:id="24"/>
      </w:r>
      <w:r w:rsidRPr="00727475">
        <w:rPr>
          <w:rStyle w:val="Textoennegrita"/>
          <w:rFonts w:ascii="Arial" w:eastAsia="Calibri" w:hAnsi="Arial" w:cs="Arial"/>
          <w:b w:val="0"/>
          <w:lang w:val="es-EC"/>
        </w:rPr>
        <w:t xml:space="preserve"> estas cifras permiten afirmar que el incremento en el gasto social sigue siendo insuficiente para disminuir de forma significativa la pobreza.</w:t>
      </w:r>
    </w:p>
    <w:p w:rsidR="00A66191" w:rsidRPr="00727475" w:rsidRDefault="00A66191" w:rsidP="00A66191">
      <w:pPr>
        <w:pStyle w:val="NormalWeb"/>
        <w:spacing w:line="360" w:lineRule="auto"/>
        <w:jc w:val="both"/>
        <w:rPr>
          <w:rStyle w:val="Textoennegrita"/>
          <w:rFonts w:ascii="Arial" w:eastAsia="Calibri" w:hAnsi="Arial" w:cs="Arial"/>
          <w:b w:val="0"/>
          <w:lang w:val="es-EC"/>
        </w:rPr>
      </w:pPr>
      <w:r w:rsidRPr="00727475">
        <w:rPr>
          <w:rStyle w:val="Textoennegrita"/>
          <w:rFonts w:ascii="Arial" w:eastAsia="Calibri" w:hAnsi="Arial" w:cs="Arial"/>
          <w:b w:val="0"/>
          <w:lang w:val="es-EC"/>
        </w:rPr>
        <w:t>La balanza comercial del Ecuador en la última década es superavitaria, las exportaciones para el 2010 alcanzaron los 17.489.928 millones de dólares los cuales están compuestos por el 55% de exportaciones petroleras y el 45% de exportaciones no petroleras.</w:t>
      </w:r>
      <w:r w:rsidRPr="00727475">
        <w:rPr>
          <w:rStyle w:val="Refdenotaalpie"/>
          <w:rFonts w:ascii="Arial" w:eastAsiaTheme="majorEastAsia" w:hAnsi="Arial" w:cs="Arial"/>
          <w:b/>
          <w:lang w:val="es-EC"/>
        </w:rPr>
        <w:footnoteReference w:id="25"/>
      </w:r>
      <w:r w:rsidRPr="00727475">
        <w:rPr>
          <w:rStyle w:val="Textoennegrita"/>
          <w:rFonts w:ascii="Arial" w:eastAsia="Calibri" w:hAnsi="Arial" w:cs="Arial"/>
          <w:b w:val="0"/>
          <w:lang w:val="es-EC"/>
        </w:rPr>
        <w:t xml:space="preserve"> (Véase anexo 1)</w:t>
      </w:r>
    </w:p>
    <w:p w:rsidR="00A66191" w:rsidRPr="00727475" w:rsidRDefault="00A66191" w:rsidP="00A66191">
      <w:pPr>
        <w:pStyle w:val="NormalWeb"/>
        <w:spacing w:line="360" w:lineRule="auto"/>
        <w:rPr>
          <w:rStyle w:val="Textoennegrita"/>
          <w:rFonts w:ascii="Arial" w:eastAsia="Calibri" w:hAnsi="Arial" w:cs="Arial"/>
          <w:b w:val="0"/>
          <w:i/>
          <w:lang w:val="es-EC"/>
        </w:rPr>
      </w:pPr>
      <w:r w:rsidRPr="00727475">
        <w:rPr>
          <w:rStyle w:val="Textoennegrita"/>
          <w:rFonts w:ascii="Arial" w:eastAsia="Calibri" w:hAnsi="Arial" w:cs="Arial"/>
          <w:b w:val="0"/>
          <w:i/>
          <w:lang w:val="es-EC"/>
        </w:rPr>
        <w:t xml:space="preserve">Indicadores macroeconómicos y sociales del Ecuador </w:t>
      </w:r>
    </w:p>
    <w:tbl>
      <w:tblPr>
        <w:tblStyle w:val="Tablaconcuadrcula"/>
        <w:tblW w:w="0" w:type="auto"/>
        <w:tblLook w:val="04A0"/>
      </w:tblPr>
      <w:tblGrid>
        <w:gridCol w:w="2586"/>
        <w:gridCol w:w="2158"/>
        <w:gridCol w:w="2080"/>
        <w:gridCol w:w="1896"/>
      </w:tblGrid>
      <w:tr w:rsidR="00A66191" w:rsidRPr="00727475" w:rsidTr="004D6466">
        <w:tc>
          <w:tcPr>
            <w:tcW w:w="2586" w:type="dxa"/>
            <w:shd w:val="clear" w:color="auto" w:fill="FFFFFF" w:themeFill="background1"/>
          </w:tcPr>
          <w:p w:rsidR="00A66191" w:rsidRPr="00830DFF" w:rsidRDefault="00A66191" w:rsidP="004D6466">
            <w:pPr>
              <w:pStyle w:val="NormalWeb"/>
              <w:spacing w:line="360" w:lineRule="auto"/>
              <w:rPr>
                <w:rStyle w:val="Textoennegrita"/>
                <w:rFonts w:ascii="Arial" w:eastAsia="Calibri" w:hAnsi="Arial" w:cs="Arial"/>
                <w:lang w:val="es-EC"/>
              </w:rPr>
            </w:pPr>
            <w:r w:rsidRPr="00830DFF">
              <w:rPr>
                <w:rStyle w:val="Textoennegrita"/>
                <w:rFonts w:ascii="Arial" w:eastAsia="Calibri" w:hAnsi="Arial" w:cs="Arial"/>
                <w:lang w:val="es-EC"/>
              </w:rPr>
              <w:t>Variables/período</w:t>
            </w:r>
          </w:p>
        </w:tc>
        <w:tc>
          <w:tcPr>
            <w:tcW w:w="2158" w:type="dxa"/>
            <w:shd w:val="clear" w:color="auto" w:fill="FFFFFF" w:themeFill="background1"/>
          </w:tcPr>
          <w:p w:rsidR="00A66191" w:rsidRPr="00830DFF" w:rsidRDefault="00A66191" w:rsidP="004D6466">
            <w:pPr>
              <w:pStyle w:val="NormalWeb"/>
              <w:spacing w:line="360" w:lineRule="auto"/>
              <w:rPr>
                <w:rStyle w:val="Textoennegrita"/>
                <w:rFonts w:ascii="Arial" w:eastAsia="Calibri" w:hAnsi="Arial" w:cs="Arial"/>
                <w:lang w:val="es-EC"/>
              </w:rPr>
            </w:pPr>
            <w:r w:rsidRPr="00830DFF">
              <w:rPr>
                <w:rStyle w:val="Textoennegrita"/>
                <w:rFonts w:ascii="Arial" w:eastAsia="Calibri" w:hAnsi="Arial" w:cs="Arial"/>
                <w:lang w:val="es-EC"/>
              </w:rPr>
              <w:t>2000</w:t>
            </w:r>
          </w:p>
        </w:tc>
        <w:tc>
          <w:tcPr>
            <w:tcW w:w="2080" w:type="dxa"/>
            <w:shd w:val="clear" w:color="auto" w:fill="FFFFFF" w:themeFill="background1"/>
          </w:tcPr>
          <w:p w:rsidR="00A66191" w:rsidRPr="00830DFF" w:rsidRDefault="00A66191" w:rsidP="004D6466">
            <w:pPr>
              <w:pStyle w:val="NormalWeb"/>
              <w:spacing w:line="360" w:lineRule="auto"/>
              <w:rPr>
                <w:rStyle w:val="Textoennegrita"/>
                <w:rFonts w:ascii="Arial" w:eastAsia="Calibri" w:hAnsi="Arial" w:cs="Arial"/>
                <w:lang w:val="es-EC"/>
              </w:rPr>
            </w:pPr>
            <w:r w:rsidRPr="00830DFF">
              <w:rPr>
                <w:rStyle w:val="Textoennegrita"/>
                <w:rFonts w:ascii="Arial" w:eastAsia="Calibri" w:hAnsi="Arial" w:cs="Arial"/>
                <w:lang w:val="es-EC"/>
              </w:rPr>
              <w:t>2006</w:t>
            </w:r>
          </w:p>
        </w:tc>
        <w:tc>
          <w:tcPr>
            <w:tcW w:w="1896" w:type="dxa"/>
            <w:shd w:val="clear" w:color="auto" w:fill="FFFFFF" w:themeFill="background1"/>
          </w:tcPr>
          <w:p w:rsidR="00A66191" w:rsidRPr="00830DFF" w:rsidRDefault="00A66191" w:rsidP="004D6466">
            <w:pPr>
              <w:pStyle w:val="NormalWeb"/>
              <w:spacing w:line="360" w:lineRule="auto"/>
              <w:rPr>
                <w:rStyle w:val="Textoennegrita"/>
                <w:rFonts w:ascii="Arial" w:eastAsia="Calibri" w:hAnsi="Arial" w:cs="Arial"/>
                <w:lang w:val="es-EC"/>
              </w:rPr>
            </w:pPr>
            <w:r w:rsidRPr="00830DFF">
              <w:rPr>
                <w:rStyle w:val="Textoennegrita"/>
                <w:rFonts w:ascii="Arial" w:eastAsia="Calibri" w:hAnsi="Arial" w:cs="Arial"/>
                <w:lang w:val="es-EC"/>
              </w:rPr>
              <w:t>2010</w:t>
            </w:r>
          </w:p>
        </w:tc>
      </w:tr>
      <w:tr w:rsidR="00A66191" w:rsidRPr="00727475" w:rsidTr="004D6466">
        <w:tc>
          <w:tcPr>
            <w:tcW w:w="2586" w:type="dxa"/>
            <w:shd w:val="clear" w:color="auto" w:fill="E5B8B7" w:themeFill="accent2" w:themeFillTint="66"/>
          </w:tcPr>
          <w:p w:rsidR="00A66191" w:rsidRPr="00830DFF" w:rsidRDefault="00A66191" w:rsidP="004D6466">
            <w:pPr>
              <w:pStyle w:val="NormalWeb"/>
              <w:spacing w:line="360" w:lineRule="auto"/>
              <w:rPr>
                <w:rStyle w:val="Textoennegrita"/>
                <w:rFonts w:ascii="Arial" w:eastAsia="Calibri" w:hAnsi="Arial" w:cs="Arial"/>
                <w:i/>
                <w:lang w:val="es-EC"/>
              </w:rPr>
            </w:pPr>
            <w:r w:rsidRPr="00830DFF">
              <w:rPr>
                <w:rStyle w:val="Textoennegrita"/>
                <w:rFonts w:ascii="Arial" w:eastAsia="Calibri" w:hAnsi="Arial" w:cs="Arial"/>
                <w:i/>
                <w:lang w:val="es-EC"/>
              </w:rPr>
              <w:t>Económicas</w:t>
            </w:r>
          </w:p>
        </w:tc>
        <w:tc>
          <w:tcPr>
            <w:tcW w:w="2158" w:type="dxa"/>
            <w:shd w:val="clear" w:color="auto" w:fill="E5B8B7" w:themeFill="accent2" w:themeFillTint="66"/>
          </w:tcPr>
          <w:p w:rsidR="00A66191" w:rsidRPr="00727475" w:rsidRDefault="00A66191" w:rsidP="004D6466">
            <w:pPr>
              <w:pStyle w:val="NormalWeb"/>
              <w:spacing w:line="360" w:lineRule="auto"/>
              <w:rPr>
                <w:rStyle w:val="Textoennegrita"/>
                <w:rFonts w:ascii="Arial" w:eastAsia="Calibri" w:hAnsi="Arial" w:cs="Arial"/>
                <w:b w:val="0"/>
                <w:lang w:val="es-EC"/>
              </w:rPr>
            </w:pPr>
          </w:p>
        </w:tc>
        <w:tc>
          <w:tcPr>
            <w:tcW w:w="2080" w:type="dxa"/>
            <w:shd w:val="clear" w:color="auto" w:fill="E5B8B7" w:themeFill="accent2" w:themeFillTint="66"/>
          </w:tcPr>
          <w:p w:rsidR="00A66191" w:rsidRPr="00727475" w:rsidRDefault="00A66191" w:rsidP="004D6466">
            <w:pPr>
              <w:pStyle w:val="NormalWeb"/>
              <w:spacing w:line="360" w:lineRule="auto"/>
              <w:rPr>
                <w:rStyle w:val="Textoennegrita"/>
                <w:rFonts w:ascii="Arial" w:eastAsia="Calibri" w:hAnsi="Arial" w:cs="Arial"/>
                <w:b w:val="0"/>
                <w:lang w:val="es-EC"/>
              </w:rPr>
            </w:pPr>
          </w:p>
        </w:tc>
        <w:tc>
          <w:tcPr>
            <w:tcW w:w="1896" w:type="dxa"/>
            <w:shd w:val="clear" w:color="auto" w:fill="E5B8B7" w:themeFill="accent2" w:themeFillTint="66"/>
          </w:tcPr>
          <w:p w:rsidR="00A66191" w:rsidRPr="00727475" w:rsidRDefault="00A66191" w:rsidP="004D6466">
            <w:pPr>
              <w:pStyle w:val="NormalWeb"/>
              <w:spacing w:line="360" w:lineRule="auto"/>
              <w:rPr>
                <w:rStyle w:val="Textoennegrita"/>
                <w:rFonts w:ascii="Arial" w:eastAsia="Calibri" w:hAnsi="Arial" w:cs="Arial"/>
                <w:b w:val="0"/>
                <w:lang w:val="es-EC"/>
              </w:rPr>
            </w:pPr>
          </w:p>
        </w:tc>
      </w:tr>
      <w:tr w:rsidR="00A66191" w:rsidRPr="00727475" w:rsidTr="004D6466">
        <w:tc>
          <w:tcPr>
            <w:tcW w:w="2586" w:type="dxa"/>
            <w:shd w:val="clear" w:color="auto" w:fill="F2DBDB" w:themeFill="accent2" w:themeFillTint="33"/>
          </w:tcPr>
          <w:p w:rsidR="00A66191" w:rsidRPr="00727475" w:rsidRDefault="00A66191" w:rsidP="004D6466">
            <w:pPr>
              <w:pStyle w:val="NormalWeb"/>
              <w:spacing w:line="360" w:lineRule="auto"/>
              <w:rPr>
                <w:rStyle w:val="Textoennegrita"/>
                <w:rFonts w:ascii="Arial" w:eastAsia="Calibri" w:hAnsi="Arial" w:cs="Arial"/>
                <w:b w:val="0"/>
                <w:lang w:val="es-EC"/>
              </w:rPr>
            </w:pPr>
            <w:r w:rsidRPr="00727475">
              <w:rPr>
                <w:rStyle w:val="Textoennegrita"/>
                <w:rFonts w:ascii="Arial" w:eastAsia="Calibri" w:hAnsi="Arial" w:cs="Arial"/>
                <w:b w:val="0"/>
                <w:lang w:val="es-EC"/>
              </w:rPr>
              <w:t>PIB nominal (miles de millones de dólares )</w:t>
            </w:r>
          </w:p>
        </w:tc>
        <w:tc>
          <w:tcPr>
            <w:tcW w:w="2158" w:type="dxa"/>
            <w:shd w:val="clear" w:color="auto" w:fill="F2DBDB" w:themeFill="accent2" w:themeFillTint="33"/>
          </w:tcPr>
          <w:p w:rsidR="00A66191" w:rsidRPr="00727475" w:rsidRDefault="00A66191" w:rsidP="004D6466">
            <w:pPr>
              <w:pStyle w:val="NormalWeb"/>
              <w:spacing w:line="360" w:lineRule="auto"/>
              <w:rPr>
                <w:rStyle w:val="Textoennegrita"/>
                <w:rFonts w:ascii="Arial" w:eastAsia="Calibri" w:hAnsi="Arial" w:cs="Arial"/>
                <w:b w:val="0"/>
                <w:lang w:val="es-EC"/>
              </w:rPr>
            </w:pPr>
            <w:r w:rsidRPr="00727475">
              <w:rPr>
                <w:rFonts w:ascii="Arial" w:hAnsi="Arial" w:cs="Arial"/>
              </w:rPr>
              <w:t>15.942</w:t>
            </w:r>
          </w:p>
        </w:tc>
        <w:tc>
          <w:tcPr>
            <w:tcW w:w="2080" w:type="dxa"/>
            <w:shd w:val="clear" w:color="auto" w:fill="F2DBDB" w:themeFill="accent2" w:themeFillTint="33"/>
          </w:tcPr>
          <w:p w:rsidR="00A66191" w:rsidRPr="00727475" w:rsidRDefault="00A66191" w:rsidP="004D6466">
            <w:pPr>
              <w:pStyle w:val="NormalWeb"/>
              <w:spacing w:line="360" w:lineRule="auto"/>
              <w:rPr>
                <w:rStyle w:val="Textoennegrita"/>
                <w:rFonts w:ascii="Arial" w:eastAsia="Calibri" w:hAnsi="Arial" w:cs="Arial"/>
                <w:b w:val="0"/>
                <w:lang w:val="es-EC"/>
              </w:rPr>
            </w:pPr>
            <w:r w:rsidRPr="00727475">
              <w:rPr>
                <w:rFonts w:ascii="Arial" w:hAnsi="Arial" w:cs="Arial"/>
              </w:rPr>
              <w:t>41.763</w:t>
            </w:r>
          </w:p>
        </w:tc>
        <w:tc>
          <w:tcPr>
            <w:tcW w:w="1896" w:type="dxa"/>
            <w:shd w:val="clear" w:color="auto" w:fill="F2DBDB" w:themeFill="accent2" w:themeFillTint="33"/>
          </w:tcPr>
          <w:p w:rsidR="00A66191" w:rsidRPr="00727475" w:rsidRDefault="00A66191" w:rsidP="004D6466">
            <w:pPr>
              <w:pStyle w:val="NormalWeb"/>
              <w:spacing w:line="360" w:lineRule="auto"/>
              <w:rPr>
                <w:rStyle w:val="Textoennegrita"/>
                <w:rFonts w:ascii="Arial" w:eastAsia="Calibri" w:hAnsi="Arial" w:cs="Arial"/>
                <w:b w:val="0"/>
                <w:lang w:val="es-EC"/>
              </w:rPr>
            </w:pPr>
            <w:r w:rsidRPr="00727475">
              <w:rPr>
                <w:rFonts w:ascii="Arial" w:hAnsi="Arial" w:cs="Arial"/>
              </w:rPr>
              <w:t>58.910</w:t>
            </w:r>
          </w:p>
        </w:tc>
      </w:tr>
      <w:tr w:rsidR="00A66191" w:rsidRPr="00727475" w:rsidTr="004D6466">
        <w:tc>
          <w:tcPr>
            <w:tcW w:w="2586" w:type="dxa"/>
            <w:shd w:val="clear" w:color="auto" w:fill="F2DBDB" w:themeFill="accent2" w:themeFillTint="33"/>
          </w:tcPr>
          <w:p w:rsidR="00A66191" w:rsidRPr="00727475" w:rsidRDefault="00A66191" w:rsidP="004D6466">
            <w:pPr>
              <w:pStyle w:val="NormalWeb"/>
              <w:spacing w:line="360" w:lineRule="auto"/>
              <w:rPr>
                <w:rStyle w:val="Textoennegrita"/>
                <w:rFonts w:ascii="Arial" w:eastAsia="Calibri" w:hAnsi="Arial" w:cs="Arial"/>
                <w:b w:val="0"/>
                <w:lang w:val="es-EC"/>
              </w:rPr>
            </w:pPr>
            <w:r w:rsidRPr="00727475">
              <w:rPr>
                <w:rStyle w:val="Textoennegrita"/>
                <w:rFonts w:ascii="Arial" w:eastAsia="Calibri" w:hAnsi="Arial" w:cs="Arial"/>
                <w:b w:val="0"/>
                <w:lang w:val="es-EC"/>
              </w:rPr>
              <w:t>PIB per cápita en dólares</w:t>
            </w:r>
          </w:p>
        </w:tc>
        <w:tc>
          <w:tcPr>
            <w:tcW w:w="2158" w:type="dxa"/>
            <w:shd w:val="clear" w:color="auto" w:fill="F2DBDB" w:themeFill="accent2" w:themeFillTint="33"/>
          </w:tcPr>
          <w:p w:rsidR="00A66191" w:rsidRPr="00727475" w:rsidRDefault="00A66191" w:rsidP="004D6466">
            <w:pPr>
              <w:pStyle w:val="NormalWeb"/>
              <w:spacing w:line="360" w:lineRule="auto"/>
              <w:rPr>
                <w:rStyle w:val="Textoennegrita"/>
                <w:rFonts w:ascii="Arial" w:eastAsia="Calibri" w:hAnsi="Arial" w:cs="Arial"/>
                <w:b w:val="0"/>
                <w:lang w:val="es-EC"/>
              </w:rPr>
            </w:pPr>
            <w:r w:rsidRPr="00727475">
              <w:rPr>
                <w:rStyle w:val="Textoennegrita"/>
                <w:rFonts w:ascii="Arial" w:eastAsia="Calibri" w:hAnsi="Arial" w:cs="Arial"/>
                <w:b w:val="0"/>
                <w:lang w:val="es-EC"/>
              </w:rPr>
              <w:t>1.324</w:t>
            </w:r>
          </w:p>
        </w:tc>
        <w:tc>
          <w:tcPr>
            <w:tcW w:w="2080" w:type="dxa"/>
            <w:shd w:val="clear" w:color="auto" w:fill="F2DBDB" w:themeFill="accent2" w:themeFillTint="33"/>
          </w:tcPr>
          <w:p w:rsidR="00A66191" w:rsidRPr="00727475" w:rsidRDefault="00A66191" w:rsidP="004D6466">
            <w:pPr>
              <w:pStyle w:val="NormalWeb"/>
              <w:spacing w:line="360" w:lineRule="auto"/>
              <w:rPr>
                <w:rStyle w:val="Textoennegrita"/>
                <w:rFonts w:ascii="Arial" w:eastAsia="Calibri" w:hAnsi="Arial" w:cs="Arial"/>
                <w:b w:val="0"/>
                <w:lang w:val="es-EC"/>
              </w:rPr>
            </w:pPr>
            <w:r w:rsidRPr="00727475">
              <w:rPr>
                <w:rStyle w:val="Textoennegrita"/>
                <w:rFonts w:ascii="Arial" w:eastAsia="Calibri" w:hAnsi="Arial" w:cs="Arial"/>
                <w:b w:val="0"/>
                <w:lang w:val="es-EC"/>
              </w:rPr>
              <w:t>3.110</w:t>
            </w:r>
          </w:p>
        </w:tc>
        <w:tc>
          <w:tcPr>
            <w:tcW w:w="1896" w:type="dxa"/>
            <w:shd w:val="clear" w:color="auto" w:fill="F2DBDB" w:themeFill="accent2" w:themeFillTint="33"/>
          </w:tcPr>
          <w:p w:rsidR="00A66191" w:rsidRPr="00727475" w:rsidRDefault="00A66191" w:rsidP="004D6466">
            <w:pPr>
              <w:pStyle w:val="NormalWeb"/>
              <w:spacing w:line="360" w:lineRule="auto"/>
              <w:rPr>
                <w:rStyle w:val="Textoennegrita"/>
                <w:rFonts w:ascii="Arial" w:eastAsia="Calibri" w:hAnsi="Arial" w:cs="Arial"/>
                <w:b w:val="0"/>
                <w:lang w:val="es-EC"/>
              </w:rPr>
            </w:pPr>
            <w:r w:rsidRPr="00727475">
              <w:rPr>
                <w:rStyle w:val="Textoennegrita"/>
                <w:rFonts w:ascii="Arial" w:eastAsia="Calibri" w:hAnsi="Arial" w:cs="Arial"/>
                <w:b w:val="0"/>
                <w:lang w:val="es-EC"/>
              </w:rPr>
              <w:t>4.082</w:t>
            </w:r>
          </w:p>
        </w:tc>
      </w:tr>
      <w:tr w:rsidR="00A66191" w:rsidRPr="00727475" w:rsidTr="004D6466">
        <w:tc>
          <w:tcPr>
            <w:tcW w:w="2586" w:type="dxa"/>
            <w:shd w:val="clear" w:color="auto" w:fill="F2DBDB" w:themeFill="accent2" w:themeFillTint="33"/>
          </w:tcPr>
          <w:p w:rsidR="00A66191" w:rsidRPr="00727475" w:rsidRDefault="00A66191" w:rsidP="004D6466">
            <w:pPr>
              <w:pStyle w:val="NormalWeb"/>
              <w:spacing w:line="360" w:lineRule="auto"/>
              <w:rPr>
                <w:rStyle w:val="Textoennegrita"/>
                <w:rFonts w:ascii="Arial" w:eastAsia="Calibri" w:hAnsi="Arial" w:cs="Arial"/>
                <w:b w:val="0"/>
                <w:lang w:val="es-EC"/>
              </w:rPr>
            </w:pPr>
            <w:r w:rsidRPr="00727475">
              <w:rPr>
                <w:rStyle w:val="Textoennegrita"/>
                <w:rFonts w:ascii="Arial" w:eastAsia="Calibri" w:hAnsi="Arial" w:cs="Arial"/>
                <w:b w:val="0"/>
                <w:lang w:val="es-EC"/>
              </w:rPr>
              <w:t>Desempleo urbano</w:t>
            </w:r>
          </w:p>
        </w:tc>
        <w:tc>
          <w:tcPr>
            <w:tcW w:w="2158" w:type="dxa"/>
            <w:shd w:val="clear" w:color="auto" w:fill="F2DBDB" w:themeFill="accent2" w:themeFillTint="33"/>
          </w:tcPr>
          <w:p w:rsidR="00A66191" w:rsidRPr="00727475" w:rsidRDefault="00A66191" w:rsidP="004D6466">
            <w:pPr>
              <w:pStyle w:val="NormalWeb"/>
              <w:spacing w:line="360" w:lineRule="auto"/>
              <w:rPr>
                <w:rStyle w:val="Textoennegrita"/>
                <w:rFonts w:ascii="Arial" w:eastAsia="Calibri" w:hAnsi="Arial" w:cs="Arial"/>
                <w:b w:val="0"/>
                <w:lang w:val="es-EC"/>
              </w:rPr>
            </w:pPr>
            <w:r w:rsidRPr="00727475">
              <w:rPr>
                <w:rStyle w:val="Textoennegrita"/>
                <w:rFonts w:ascii="Arial" w:eastAsia="Calibri" w:hAnsi="Arial" w:cs="Arial"/>
                <w:b w:val="0"/>
                <w:lang w:val="es-EC"/>
              </w:rPr>
              <w:t>11,8%</w:t>
            </w:r>
          </w:p>
        </w:tc>
        <w:tc>
          <w:tcPr>
            <w:tcW w:w="2080" w:type="dxa"/>
            <w:shd w:val="clear" w:color="auto" w:fill="F2DBDB" w:themeFill="accent2" w:themeFillTint="33"/>
          </w:tcPr>
          <w:p w:rsidR="00A66191" w:rsidRPr="00727475" w:rsidRDefault="00A66191" w:rsidP="004D6466">
            <w:pPr>
              <w:pStyle w:val="NormalWeb"/>
              <w:spacing w:line="360" w:lineRule="auto"/>
              <w:rPr>
                <w:rStyle w:val="Textoennegrita"/>
                <w:rFonts w:ascii="Arial" w:eastAsia="Calibri" w:hAnsi="Arial" w:cs="Arial"/>
                <w:b w:val="0"/>
                <w:lang w:val="es-EC"/>
              </w:rPr>
            </w:pPr>
            <w:r w:rsidRPr="00727475">
              <w:rPr>
                <w:rStyle w:val="Textoennegrita"/>
                <w:rFonts w:ascii="Arial" w:eastAsia="Calibri" w:hAnsi="Arial" w:cs="Arial"/>
                <w:b w:val="0"/>
                <w:lang w:val="es-EC"/>
              </w:rPr>
              <w:t>10,7%</w:t>
            </w:r>
          </w:p>
        </w:tc>
        <w:tc>
          <w:tcPr>
            <w:tcW w:w="1896" w:type="dxa"/>
            <w:shd w:val="clear" w:color="auto" w:fill="F2DBDB" w:themeFill="accent2" w:themeFillTint="33"/>
          </w:tcPr>
          <w:p w:rsidR="00A66191" w:rsidRPr="00727475" w:rsidRDefault="00A66191" w:rsidP="004D6466">
            <w:pPr>
              <w:pStyle w:val="NormalWeb"/>
              <w:spacing w:line="360" w:lineRule="auto"/>
              <w:rPr>
                <w:rStyle w:val="Textoennegrita"/>
                <w:rFonts w:ascii="Arial" w:eastAsia="Calibri" w:hAnsi="Arial" w:cs="Arial"/>
                <w:b w:val="0"/>
                <w:lang w:val="es-EC"/>
              </w:rPr>
            </w:pPr>
            <w:r w:rsidRPr="00727475">
              <w:rPr>
                <w:rStyle w:val="Textoennegrita"/>
                <w:rFonts w:ascii="Arial" w:eastAsia="Calibri" w:hAnsi="Arial" w:cs="Arial"/>
                <w:b w:val="0"/>
                <w:lang w:val="es-EC"/>
              </w:rPr>
              <w:t>4,99%</w:t>
            </w:r>
          </w:p>
        </w:tc>
      </w:tr>
      <w:tr w:rsidR="00A66191" w:rsidRPr="00727475" w:rsidTr="004D6466">
        <w:tc>
          <w:tcPr>
            <w:tcW w:w="2586" w:type="dxa"/>
            <w:shd w:val="clear" w:color="auto" w:fill="F2DBDB" w:themeFill="accent2" w:themeFillTint="33"/>
          </w:tcPr>
          <w:p w:rsidR="00A66191" w:rsidRPr="00727475" w:rsidRDefault="00A66191" w:rsidP="004D6466">
            <w:pPr>
              <w:pStyle w:val="NormalWeb"/>
              <w:spacing w:line="360" w:lineRule="auto"/>
              <w:rPr>
                <w:rStyle w:val="Textoennegrita"/>
                <w:rFonts w:ascii="Arial" w:eastAsia="Calibri" w:hAnsi="Arial" w:cs="Arial"/>
                <w:b w:val="0"/>
                <w:lang w:val="es-EC"/>
              </w:rPr>
            </w:pPr>
            <w:r w:rsidRPr="00727475">
              <w:rPr>
                <w:rStyle w:val="Textoennegrita"/>
                <w:rFonts w:ascii="Arial" w:eastAsia="Calibri" w:hAnsi="Arial" w:cs="Arial"/>
                <w:b w:val="0"/>
                <w:lang w:val="es-EC"/>
              </w:rPr>
              <w:t>Subempleo</w:t>
            </w:r>
          </w:p>
        </w:tc>
        <w:tc>
          <w:tcPr>
            <w:tcW w:w="2158" w:type="dxa"/>
            <w:shd w:val="clear" w:color="auto" w:fill="F2DBDB" w:themeFill="accent2" w:themeFillTint="33"/>
          </w:tcPr>
          <w:p w:rsidR="00A66191" w:rsidRPr="00727475" w:rsidRDefault="00A66191" w:rsidP="004D6466">
            <w:pPr>
              <w:pStyle w:val="NormalWeb"/>
              <w:spacing w:line="360" w:lineRule="auto"/>
              <w:rPr>
                <w:rStyle w:val="Textoennegrita"/>
                <w:rFonts w:ascii="Arial" w:eastAsia="Calibri" w:hAnsi="Arial" w:cs="Arial"/>
                <w:b w:val="0"/>
                <w:lang w:val="es-EC"/>
              </w:rPr>
            </w:pPr>
            <w:r w:rsidRPr="00727475">
              <w:rPr>
                <w:rStyle w:val="Textoennegrita"/>
                <w:rFonts w:ascii="Arial" w:eastAsia="Calibri" w:hAnsi="Arial" w:cs="Arial"/>
                <w:b w:val="0"/>
                <w:lang w:val="es-EC"/>
              </w:rPr>
              <w:t>46%</w:t>
            </w:r>
          </w:p>
        </w:tc>
        <w:tc>
          <w:tcPr>
            <w:tcW w:w="2080" w:type="dxa"/>
            <w:shd w:val="clear" w:color="auto" w:fill="F2DBDB" w:themeFill="accent2" w:themeFillTint="33"/>
          </w:tcPr>
          <w:p w:rsidR="00A66191" w:rsidRPr="00727475" w:rsidRDefault="00A66191" w:rsidP="004D6466">
            <w:pPr>
              <w:pStyle w:val="NormalWeb"/>
              <w:spacing w:line="360" w:lineRule="auto"/>
              <w:rPr>
                <w:rStyle w:val="Textoennegrita"/>
                <w:rFonts w:ascii="Arial" w:eastAsia="Calibri" w:hAnsi="Arial" w:cs="Arial"/>
                <w:b w:val="0"/>
                <w:lang w:val="es-EC"/>
              </w:rPr>
            </w:pPr>
            <w:r w:rsidRPr="00727475">
              <w:rPr>
                <w:rStyle w:val="Textoennegrita"/>
                <w:rFonts w:ascii="Arial" w:eastAsia="Calibri" w:hAnsi="Arial" w:cs="Arial"/>
                <w:b w:val="0"/>
                <w:lang w:val="es-EC"/>
              </w:rPr>
              <w:t>45%</w:t>
            </w:r>
          </w:p>
        </w:tc>
        <w:tc>
          <w:tcPr>
            <w:tcW w:w="1896" w:type="dxa"/>
            <w:shd w:val="clear" w:color="auto" w:fill="F2DBDB" w:themeFill="accent2" w:themeFillTint="33"/>
          </w:tcPr>
          <w:p w:rsidR="00A66191" w:rsidRPr="00727475" w:rsidRDefault="00A66191" w:rsidP="004D6466">
            <w:pPr>
              <w:pStyle w:val="NormalWeb"/>
              <w:spacing w:line="360" w:lineRule="auto"/>
              <w:rPr>
                <w:rStyle w:val="Textoennegrita"/>
                <w:rFonts w:ascii="Arial" w:eastAsia="Calibri" w:hAnsi="Arial" w:cs="Arial"/>
                <w:b w:val="0"/>
                <w:lang w:val="es-EC"/>
              </w:rPr>
            </w:pPr>
            <w:r w:rsidRPr="00727475">
              <w:rPr>
                <w:rStyle w:val="Textoennegrita"/>
                <w:rFonts w:ascii="Arial" w:eastAsia="Calibri" w:hAnsi="Arial" w:cs="Arial"/>
                <w:b w:val="0"/>
                <w:lang w:val="es-EC"/>
              </w:rPr>
              <w:t>56,84%</w:t>
            </w:r>
          </w:p>
        </w:tc>
      </w:tr>
      <w:tr w:rsidR="00A66191" w:rsidRPr="00727475" w:rsidTr="004D6466">
        <w:tc>
          <w:tcPr>
            <w:tcW w:w="2586" w:type="dxa"/>
            <w:shd w:val="clear" w:color="auto" w:fill="F2DBDB" w:themeFill="accent2" w:themeFillTint="33"/>
          </w:tcPr>
          <w:p w:rsidR="00A66191" w:rsidRPr="00727475" w:rsidRDefault="00A66191" w:rsidP="004D6466">
            <w:pPr>
              <w:pStyle w:val="NormalWeb"/>
              <w:spacing w:line="360" w:lineRule="auto"/>
              <w:rPr>
                <w:rStyle w:val="Textoennegrita"/>
                <w:rFonts w:ascii="Arial" w:eastAsia="Calibri" w:hAnsi="Arial" w:cs="Arial"/>
                <w:b w:val="0"/>
                <w:lang w:val="es-EC"/>
              </w:rPr>
            </w:pPr>
            <w:r w:rsidRPr="00727475">
              <w:rPr>
                <w:rStyle w:val="Textoennegrita"/>
                <w:rFonts w:ascii="Arial" w:eastAsia="Calibri" w:hAnsi="Arial" w:cs="Arial"/>
                <w:b w:val="0"/>
                <w:lang w:val="es-EC"/>
              </w:rPr>
              <w:t>Deuda externa en millones de dólares</w:t>
            </w:r>
          </w:p>
        </w:tc>
        <w:tc>
          <w:tcPr>
            <w:tcW w:w="2158" w:type="dxa"/>
            <w:shd w:val="clear" w:color="auto" w:fill="F2DBDB" w:themeFill="accent2" w:themeFillTint="33"/>
          </w:tcPr>
          <w:p w:rsidR="00A66191" w:rsidRPr="00727475" w:rsidRDefault="00A66191" w:rsidP="004D6466">
            <w:pPr>
              <w:pStyle w:val="NormalWeb"/>
              <w:spacing w:line="360" w:lineRule="auto"/>
              <w:rPr>
                <w:rStyle w:val="Textoennegrita"/>
                <w:rFonts w:ascii="Arial" w:eastAsia="Calibri" w:hAnsi="Arial" w:cs="Arial"/>
                <w:b w:val="0"/>
                <w:lang w:val="es-EC"/>
              </w:rPr>
            </w:pPr>
            <w:r w:rsidRPr="00727475">
              <w:rPr>
                <w:rStyle w:val="Textoennegrita"/>
                <w:rFonts w:ascii="Arial" w:eastAsia="Calibri" w:hAnsi="Arial" w:cs="Arial"/>
                <w:b w:val="0"/>
                <w:lang w:val="es-EC"/>
              </w:rPr>
              <w:t>14.761</w:t>
            </w:r>
          </w:p>
        </w:tc>
        <w:tc>
          <w:tcPr>
            <w:tcW w:w="2080" w:type="dxa"/>
            <w:shd w:val="clear" w:color="auto" w:fill="F2DBDB" w:themeFill="accent2" w:themeFillTint="33"/>
          </w:tcPr>
          <w:p w:rsidR="00A66191" w:rsidRPr="00727475" w:rsidRDefault="00A66191" w:rsidP="004D6466">
            <w:pPr>
              <w:pStyle w:val="NormalWeb"/>
              <w:spacing w:line="360" w:lineRule="auto"/>
              <w:rPr>
                <w:rStyle w:val="Textoennegrita"/>
                <w:rFonts w:ascii="Arial" w:eastAsia="Calibri" w:hAnsi="Arial" w:cs="Arial"/>
                <w:b w:val="0"/>
                <w:lang w:val="es-EC"/>
              </w:rPr>
            </w:pPr>
            <w:r w:rsidRPr="00727475">
              <w:rPr>
                <w:rStyle w:val="Textoennegrita"/>
                <w:rFonts w:ascii="Arial" w:eastAsia="Calibri" w:hAnsi="Arial" w:cs="Arial"/>
                <w:b w:val="0"/>
                <w:lang w:val="es-EC"/>
              </w:rPr>
              <w:t>15.990</w:t>
            </w:r>
          </w:p>
        </w:tc>
        <w:tc>
          <w:tcPr>
            <w:tcW w:w="1896" w:type="dxa"/>
            <w:shd w:val="clear" w:color="auto" w:fill="F2DBDB" w:themeFill="accent2" w:themeFillTint="33"/>
          </w:tcPr>
          <w:p w:rsidR="00A66191" w:rsidRPr="00727475" w:rsidRDefault="00A66191" w:rsidP="004D6466">
            <w:pPr>
              <w:pStyle w:val="NormalWeb"/>
              <w:spacing w:line="360" w:lineRule="auto"/>
              <w:rPr>
                <w:rStyle w:val="Textoennegrita"/>
                <w:rFonts w:ascii="Arial" w:eastAsia="Calibri" w:hAnsi="Arial" w:cs="Arial"/>
                <w:b w:val="0"/>
                <w:lang w:val="es-EC"/>
              </w:rPr>
            </w:pPr>
            <w:r w:rsidRPr="00727475">
              <w:rPr>
                <w:rStyle w:val="Textoennegrita"/>
                <w:rFonts w:ascii="Arial" w:eastAsia="Calibri" w:hAnsi="Arial" w:cs="Arial"/>
                <w:b w:val="0"/>
                <w:lang w:val="es-EC"/>
              </w:rPr>
              <w:t>13.480</w:t>
            </w:r>
          </w:p>
        </w:tc>
      </w:tr>
      <w:tr w:rsidR="00A66191" w:rsidRPr="00727475" w:rsidTr="004D6466">
        <w:tc>
          <w:tcPr>
            <w:tcW w:w="2586" w:type="dxa"/>
            <w:shd w:val="clear" w:color="auto" w:fill="F2DBDB" w:themeFill="accent2" w:themeFillTint="33"/>
          </w:tcPr>
          <w:p w:rsidR="00A66191" w:rsidRPr="00727475" w:rsidRDefault="00A66191" w:rsidP="004D6466">
            <w:pPr>
              <w:pStyle w:val="NormalWeb"/>
              <w:spacing w:line="360" w:lineRule="auto"/>
              <w:rPr>
                <w:rStyle w:val="Textoennegrita"/>
                <w:rFonts w:ascii="Arial" w:eastAsia="Calibri" w:hAnsi="Arial" w:cs="Arial"/>
                <w:b w:val="0"/>
                <w:lang w:val="es-EC"/>
              </w:rPr>
            </w:pPr>
            <w:r w:rsidRPr="00727475">
              <w:rPr>
                <w:rStyle w:val="Textoennegrita"/>
                <w:rFonts w:ascii="Arial" w:eastAsia="Calibri" w:hAnsi="Arial" w:cs="Arial"/>
                <w:b w:val="0"/>
                <w:lang w:val="es-EC"/>
              </w:rPr>
              <w:lastRenderedPageBreak/>
              <w:t>Balanza comercial en millones de dólares</w:t>
            </w:r>
          </w:p>
        </w:tc>
        <w:tc>
          <w:tcPr>
            <w:tcW w:w="2158" w:type="dxa"/>
            <w:shd w:val="clear" w:color="auto" w:fill="F2DBDB" w:themeFill="accent2" w:themeFillTint="33"/>
          </w:tcPr>
          <w:p w:rsidR="00A66191" w:rsidRPr="00727475" w:rsidRDefault="00A66191" w:rsidP="004D6466">
            <w:pPr>
              <w:pStyle w:val="NormalWeb"/>
              <w:spacing w:line="360" w:lineRule="auto"/>
              <w:rPr>
                <w:rStyle w:val="Textoennegrita"/>
                <w:rFonts w:ascii="Arial" w:eastAsia="Calibri" w:hAnsi="Arial" w:cs="Arial"/>
                <w:b w:val="0"/>
                <w:lang w:val="es-EC"/>
              </w:rPr>
            </w:pPr>
            <w:r w:rsidRPr="00727475">
              <w:rPr>
                <w:rStyle w:val="Textoennegrita"/>
                <w:rFonts w:ascii="Arial" w:eastAsia="Calibri" w:hAnsi="Arial" w:cs="Arial"/>
                <w:b w:val="0"/>
                <w:lang w:val="es-EC"/>
              </w:rPr>
              <w:t>1.526</w:t>
            </w:r>
          </w:p>
        </w:tc>
        <w:tc>
          <w:tcPr>
            <w:tcW w:w="2080" w:type="dxa"/>
            <w:shd w:val="clear" w:color="auto" w:fill="F2DBDB" w:themeFill="accent2" w:themeFillTint="33"/>
          </w:tcPr>
          <w:p w:rsidR="00A66191" w:rsidRPr="00727475" w:rsidRDefault="00A66191" w:rsidP="004D6466">
            <w:pPr>
              <w:pStyle w:val="NormalWeb"/>
              <w:spacing w:line="360" w:lineRule="auto"/>
              <w:rPr>
                <w:rStyle w:val="Textoennegrita"/>
                <w:rFonts w:ascii="Arial" w:eastAsia="Calibri" w:hAnsi="Arial" w:cs="Arial"/>
                <w:b w:val="0"/>
                <w:lang w:val="es-EC"/>
              </w:rPr>
            </w:pPr>
            <w:r w:rsidRPr="00727475">
              <w:rPr>
                <w:rStyle w:val="Textoennegrita"/>
                <w:rFonts w:ascii="Arial" w:eastAsia="Calibri" w:hAnsi="Arial" w:cs="Arial"/>
                <w:b w:val="0"/>
                <w:lang w:val="es-EC"/>
              </w:rPr>
              <w:t>1.462</w:t>
            </w:r>
          </w:p>
        </w:tc>
        <w:tc>
          <w:tcPr>
            <w:tcW w:w="1896" w:type="dxa"/>
            <w:shd w:val="clear" w:color="auto" w:fill="F2DBDB" w:themeFill="accent2" w:themeFillTint="33"/>
          </w:tcPr>
          <w:p w:rsidR="00A66191" w:rsidRPr="00727475" w:rsidRDefault="00A66191" w:rsidP="004D6466">
            <w:pPr>
              <w:pStyle w:val="NormalWeb"/>
              <w:spacing w:line="360" w:lineRule="auto"/>
              <w:rPr>
                <w:rStyle w:val="Textoennegrita"/>
                <w:rFonts w:ascii="Arial" w:eastAsia="Calibri" w:hAnsi="Arial" w:cs="Arial"/>
                <w:b w:val="0"/>
                <w:lang w:val="es-EC"/>
              </w:rPr>
            </w:pPr>
            <w:r w:rsidRPr="00727475">
              <w:rPr>
                <w:rStyle w:val="Textoennegrita"/>
                <w:rFonts w:ascii="Arial" w:eastAsia="Calibri" w:hAnsi="Arial" w:cs="Arial"/>
                <w:b w:val="0"/>
                <w:lang w:val="es-EC"/>
              </w:rPr>
              <w:t>1.788</w:t>
            </w:r>
          </w:p>
        </w:tc>
      </w:tr>
      <w:tr w:rsidR="00A66191" w:rsidRPr="00727475" w:rsidTr="004D6466">
        <w:tc>
          <w:tcPr>
            <w:tcW w:w="2586" w:type="dxa"/>
            <w:shd w:val="clear" w:color="auto" w:fill="CCC0D9" w:themeFill="accent4" w:themeFillTint="66"/>
          </w:tcPr>
          <w:p w:rsidR="00A66191" w:rsidRPr="00830DFF" w:rsidRDefault="00A66191" w:rsidP="004D6466">
            <w:pPr>
              <w:pStyle w:val="NormalWeb"/>
              <w:spacing w:line="360" w:lineRule="auto"/>
              <w:rPr>
                <w:rStyle w:val="Textoennegrita"/>
                <w:rFonts w:ascii="Arial" w:eastAsia="Calibri" w:hAnsi="Arial" w:cs="Arial"/>
                <w:i/>
                <w:lang w:val="es-EC"/>
              </w:rPr>
            </w:pPr>
            <w:r w:rsidRPr="00830DFF">
              <w:rPr>
                <w:rStyle w:val="Textoennegrita"/>
                <w:rFonts w:ascii="Arial" w:eastAsia="Calibri" w:hAnsi="Arial" w:cs="Arial"/>
                <w:i/>
                <w:lang w:val="es-EC"/>
              </w:rPr>
              <w:t>Sociales</w:t>
            </w:r>
          </w:p>
        </w:tc>
        <w:tc>
          <w:tcPr>
            <w:tcW w:w="2158" w:type="dxa"/>
            <w:shd w:val="clear" w:color="auto" w:fill="CCC0D9" w:themeFill="accent4" w:themeFillTint="66"/>
          </w:tcPr>
          <w:p w:rsidR="00A66191" w:rsidRPr="00727475" w:rsidRDefault="00A66191" w:rsidP="004D6466">
            <w:pPr>
              <w:pStyle w:val="NormalWeb"/>
              <w:spacing w:line="360" w:lineRule="auto"/>
              <w:rPr>
                <w:rStyle w:val="Textoennegrita"/>
                <w:rFonts w:ascii="Arial" w:eastAsia="Calibri" w:hAnsi="Arial" w:cs="Arial"/>
                <w:b w:val="0"/>
                <w:lang w:val="es-EC"/>
              </w:rPr>
            </w:pPr>
          </w:p>
        </w:tc>
        <w:tc>
          <w:tcPr>
            <w:tcW w:w="2080" w:type="dxa"/>
            <w:shd w:val="clear" w:color="auto" w:fill="CCC0D9" w:themeFill="accent4" w:themeFillTint="66"/>
          </w:tcPr>
          <w:p w:rsidR="00A66191" w:rsidRPr="00727475" w:rsidRDefault="00A66191" w:rsidP="004D6466">
            <w:pPr>
              <w:pStyle w:val="NormalWeb"/>
              <w:spacing w:line="360" w:lineRule="auto"/>
              <w:rPr>
                <w:rStyle w:val="Textoennegrita"/>
                <w:rFonts w:ascii="Arial" w:eastAsia="Calibri" w:hAnsi="Arial" w:cs="Arial"/>
                <w:b w:val="0"/>
                <w:lang w:val="es-EC"/>
              </w:rPr>
            </w:pPr>
          </w:p>
        </w:tc>
        <w:tc>
          <w:tcPr>
            <w:tcW w:w="1896" w:type="dxa"/>
            <w:shd w:val="clear" w:color="auto" w:fill="CCC0D9" w:themeFill="accent4" w:themeFillTint="66"/>
          </w:tcPr>
          <w:p w:rsidR="00A66191" w:rsidRPr="00727475" w:rsidRDefault="00A66191" w:rsidP="004D6466">
            <w:pPr>
              <w:pStyle w:val="NormalWeb"/>
              <w:spacing w:line="360" w:lineRule="auto"/>
              <w:rPr>
                <w:rStyle w:val="Textoennegrita"/>
                <w:rFonts w:ascii="Arial" w:eastAsia="Calibri" w:hAnsi="Arial" w:cs="Arial"/>
                <w:b w:val="0"/>
                <w:lang w:val="es-EC"/>
              </w:rPr>
            </w:pPr>
          </w:p>
        </w:tc>
      </w:tr>
      <w:tr w:rsidR="00A66191" w:rsidRPr="00727475" w:rsidTr="004D6466">
        <w:tc>
          <w:tcPr>
            <w:tcW w:w="2586" w:type="dxa"/>
            <w:shd w:val="clear" w:color="auto" w:fill="E5DFEC" w:themeFill="accent4" w:themeFillTint="33"/>
          </w:tcPr>
          <w:p w:rsidR="00A66191" w:rsidRPr="00727475" w:rsidRDefault="00A66191" w:rsidP="004D6466">
            <w:pPr>
              <w:pStyle w:val="NormalWeb"/>
              <w:spacing w:line="360" w:lineRule="auto"/>
              <w:rPr>
                <w:rStyle w:val="Textoennegrita"/>
                <w:rFonts w:ascii="Arial" w:eastAsia="Calibri" w:hAnsi="Arial" w:cs="Arial"/>
                <w:b w:val="0"/>
                <w:lang w:val="es-EC"/>
              </w:rPr>
            </w:pPr>
            <w:r w:rsidRPr="00727475">
              <w:rPr>
                <w:rStyle w:val="Textoennegrita"/>
                <w:rFonts w:ascii="Arial" w:eastAsia="Calibri" w:hAnsi="Arial" w:cs="Arial"/>
                <w:b w:val="0"/>
                <w:lang w:val="es-EC"/>
              </w:rPr>
              <w:t>Pobreza</w:t>
            </w:r>
          </w:p>
        </w:tc>
        <w:tc>
          <w:tcPr>
            <w:tcW w:w="2158" w:type="dxa"/>
            <w:shd w:val="clear" w:color="auto" w:fill="E5DFEC" w:themeFill="accent4" w:themeFillTint="33"/>
          </w:tcPr>
          <w:p w:rsidR="00A66191" w:rsidRPr="00727475" w:rsidRDefault="00A66191" w:rsidP="004D6466">
            <w:pPr>
              <w:pStyle w:val="NormalWeb"/>
              <w:spacing w:line="360" w:lineRule="auto"/>
              <w:rPr>
                <w:rStyle w:val="Textoennegrita"/>
                <w:rFonts w:ascii="Arial" w:eastAsia="Calibri" w:hAnsi="Arial" w:cs="Arial"/>
                <w:b w:val="0"/>
                <w:lang w:val="es-EC"/>
              </w:rPr>
            </w:pPr>
            <w:r w:rsidRPr="00727475">
              <w:rPr>
                <w:rStyle w:val="Textoennegrita"/>
                <w:rFonts w:ascii="Arial" w:eastAsia="Calibri" w:hAnsi="Arial" w:cs="Arial"/>
                <w:b w:val="0"/>
                <w:lang w:val="es-EC"/>
              </w:rPr>
              <w:t>64%</w:t>
            </w:r>
          </w:p>
        </w:tc>
        <w:tc>
          <w:tcPr>
            <w:tcW w:w="2080" w:type="dxa"/>
            <w:shd w:val="clear" w:color="auto" w:fill="E5DFEC" w:themeFill="accent4" w:themeFillTint="33"/>
          </w:tcPr>
          <w:p w:rsidR="00A66191" w:rsidRPr="00727475" w:rsidRDefault="00A66191" w:rsidP="004D6466">
            <w:pPr>
              <w:pStyle w:val="NormalWeb"/>
              <w:spacing w:line="360" w:lineRule="auto"/>
              <w:rPr>
                <w:rStyle w:val="Textoennegrita"/>
                <w:rFonts w:ascii="Arial" w:eastAsia="Calibri" w:hAnsi="Arial" w:cs="Arial"/>
                <w:b w:val="0"/>
                <w:lang w:val="es-EC"/>
              </w:rPr>
            </w:pPr>
            <w:r w:rsidRPr="00727475">
              <w:rPr>
                <w:rStyle w:val="Textoennegrita"/>
                <w:rFonts w:ascii="Arial" w:eastAsia="Calibri" w:hAnsi="Arial" w:cs="Arial"/>
                <w:b w:val="0"/>
                <w:lang w:val="es-EC"/>
              </w:rPr>
              <w:t>47%</w:t>
            </w:r>
          </w:p>
        </w:tc>
        <w:tc>
          <w:tcPr>
            <w:tcW w:w="1896" w:type="dxa"/>
            <w:shd w:val="clear" w:color="auto" w:fill="E5DFEC" w:themeFill="accent4" w:themeFillTint="33"/>
          </w:tcPr>
          <w:p w:rsidR="00A66191" w:rsidRPr="00727475" w:rsidRDefault="00A66191" w:rsidP="004D6466">
            <w:pPr>
              <w:pStyle w:val="NormalWeb"/>
              <w:spacing w:line="360" w:lineRule="auto"/>
              <w:rPr>
                <w:rStyle w:val="Textoennegrita"/>
                <w:rFonts w:ascii="Arial" w:eastAsia="Calibri" w:hAnsi="Arial" w:cs="Arial"/>
                <w:b w:val="0"/>
                <w:lang w:val="es-EC"/>
              </w:rPr>
            </w:pPr>
            <w:r w:rsidRPr="00727475">
              <w:rPr>
                <w:rStyle w:val="Textoennegrita"/>
                <w:rFonts w:ascii="Arial" w:eastAsia="Calibri" w:hAnsi="Arial" w:cs="Arial"/>
                <w:b w:val="0"/>
                <w:lang w:val="es-EC"/>
              </w:rPr>
              <w:t>42%</w:t>
            </w:r>
          </w:p>
        </w:tc>
      </w:tr>
      <w:tr w:rsidR="00A66191" w:rsidRPr="00727475" w:rsidTr="004D6466">
        <w:tc>
          <w:tcPr>
            <w:tcW w:w="2586" w:type="dxa"/>
            <w:shd w:val="clear" w:color="auto" w:fill="E5DFEC" w:themeFill="accent4" w:themeFillTint="33"/>
          </w:tcPr>
          <w:p w:rsidR="00A66191" w:rsidRPr="00727475" w:rsidRDefault="00A66191" w:rsidP="004D6466">
            <w:pPr>
              <w:pStyle w:val="NormalWeb"/>
              <w:spacing w:line="360" w:lineRule="auto"/>
              <w:rPr>
                <w:rStyle w:val="Textoennegrita"/>
                <w:rFonts w:ascii="Arial" w:eastAsia="Calibri" w:hAnsi="Arial" w:cs="Arial"/>
                <w:b w:val="0"/>
                <w:lang w:val="es-EC"/>
              </w:rPr>
            </w:pPr>
            <w:r w:rsidRPr="00727475">
              <w:rPr>
                <w:rStyle w:val="Textoennegrita"/>
                <w:rFonts w:ascii="Arial" w:eastAsia="Calibri" w:hAnsi="Arial" w:cs="Arial"/>
                <w:b w:val="0"/>
                <w:lang w:val="es-EC"/>
              </w:rPr>
              <w:t>Pobreza extrema</w:t>
            </w:r>
          </w:p>
        </w:tc>
        <w:tc>
          <w:tcPr>
            <w:tcW w:w="2158" w:type="dxa"/>
            <w:shd w:val="clear" w:color="auto" w:fill="E5DFEC" w:themeFill="accent4" w:themeFillTint="33"/>
          </w:tcPr>
          <w:p w:rsidR="00A66191" w:rsidRPr="00727475" w:rsidRDefault="00A66191" w:rsidP="004D6466">
            <w:pPr>
              <w:pStyle w:val="NormalWeb"/>
              <w:spacing w:line="360" w:lineRule="auto"/>
              <w:rPr>
                <w:rStyle w:val="Textoennegrita"/>
                <w:rFonts w:ascii="Arial" w:eastAsia="Calibri" w:hAnsi="Arial" w:cs="Arial"/>
                <w:b w:val="0"/>
                <w:lang w:val="es-EC"/>
              </w:rPr>
            </w:pPr>
            <w:r w:rsidRPr="00727475">
              <w:rPr>
                <w:rStyle w:val="Textoennegrita"/>
                <w:rFonts w:ascii="Arial" w:eastAsia="Calibri" w:hAnsi="Arial" w:cs="Arial"/>
                <w:b w:val="0"/>
                <w:lang w:val="es-EC"/>
              </w:rPr>
              <w:t>31%</w:t>
            </w:r>
          </w:p>
        </w:tc>
        <w:tc>
          <w:tcPr>
            <w:tcW w:w="2080" w:type="dxa"/>
            <w:shd w:val="clear" w:color="auto" w:fill="E5DFEC" w:themeFill="accent4" w:themeFillTint="33"/>
          </w:tcPr>
          <w:p w:rsidR="00A66191" w:rsidRPr="00727475" w:rsidRDefault="00A66191" w:rsidP="004D6466">
            <w:pPr>
              <w:pStyle w:val="NormalWeb"/>
              <w:spacing w:line="360" w:lineRule="auto"/>
              <w:rPr>
                <w:rStyle w:val="Textoennegrita"/>
                <w:rFonts w:ascii="Arial" w:eastAsia="Calibri" w:hAnsi="Arial" w:cs="Arial"/>
                <w:b w:val="0"/>
                <w:lang w:val="es-EC"/>
              </w:rPr>
            </w:pPr>
            <w:r w:rsidRPr="00727475">
              <w:rPr>
                <w:rStyle w:val="Textoennegrita"/>
                <w:rFonts w:ascii="Arial" w:eastAsia="Calibri" w:hAnsi="Arial" w:cs="Arial"/>
                <w:b w:val="0"/>
                <w:lang w:val="es-EC"/>
              </w:rPr>
              <w:t>18,2%</w:t>
            </w:r>
          </w:p>
        </w:tc>
        <w:tc>
          <w:tcPr>
            <w:tcW w:w="1896" w:type="dxa"/>
            <w:shd w:val="clear" w:color="auto" w:fill="E5DFEC" w:themeFill="accent4" w:themeFillTint="33"/>
          </w:tcPr>
          <w:p w:rsidR="00A66191" w:rsidRPr="00727475" w:rsidRDefault="00A66191" w:rsidP="004D6466">
            <w:pPr>
              <w:pStyle w:val="NormalWeb"/>
              <w:spacing w:line="360" w:lineRule="auto"/>
              <w:rPr>
                <w:rStyle w:val="Textoennegrita"/>
                <w:rFonts w:ascii="Arial" w:eastAsia="Calibri" w:hAnsi="Arial" w:cs="Arial"/>
                <w:b w:val="0"/>
                <w:lang w:val="es-EC"/>
              </w:rPr>
            </w:pPr>
            <w:r w:rsidRPr="00727475">
              <w:rPr>
                <w:rStyle w:val="Textoennegrita"/>
                <w:rFonts w:ascii="Arial" w:eastAsia="Calibri" w:hAnsi="Arial" w:cs="Arial"/>
                <w:b w:val="0"/>
                <w:lang w:val="es-EC"/>
              </w:rPr>
              <w:t>17%</w:t>
            </w:r>
          </w:p>
        </w:tc>
      </w:tr>
      <w:tr w:rsidR="00A66191" w:rsidRPr="00727475" w:rsidTr="004D6466">
        <w:tc>
          <w:tcPr>
            <w:tcW w:w="2586" w:type="dxa"/>
            <w:shd w:val="clear" w:color="auto" w:fill="E5DFEC" w:themeFill="accent4" w:themeFillTint="33"/>
          </w:tcPr>
          <w:p w:rsidR="00A66191" w:rsidRPr="00727475" w:rsidRDefault="00A66191" w:rsidP="004D6466">
            <w:pPr>
              <w:pStyle w:val="NormalWeb"/>
              <w:spacing w:line="360" w:lineRule="auto"/>
              <w:rPr>
                <w:rStyle w:val="Textoennegrita"/>
                <w:rFonts w:ascii="Arial" w:eastAsia="Calibri" w:hAnsi="Arial" w:cs="Arial"/>
                <w:b w:val="0"/>
                <w:lang w:val="es-EC"/>
              </w:rPr>
            </w:pPr>
            <w:r w:rsidRPr="00727475">
              <w:rPr>
                <w:rStyle w:val="Textoennegrita"/>
                <w:rFonts w:ascii="Arial" w:eastAsia="Calibri" w:hAnsi="Arial" w:cs="Arial"/>
                <w:b w:val="0"/>
                <w:lang w:val="es-EC"/>
              </w:rPr>
              <w:t>IDH</w:t>
            </w:r>
          </w:p>
        </w:tc>
        <w:tc>
          <w:tcPr>
            <w:tcW w:w="2158" w:type="dxa"/>
            <w:shd w:val="clear" w:color="auto" w:fill="E5DFEC" w:themeFill="accent4" w:themeFillTint="33"/>
          </w:tcPr>
          <w:p w:rsidR="00A66191" w:rsidRPr="00727475" w:rsidRDefault="00A66191" w:rsidP="004D6466">
            <w:pPr>
              <w:pStyle w:val="NormalWeb"/>
              <w:spacing w:line="360" w:lineRule="auto"/>
              <w:rPr>
                <w:rStyle w:val="Textoennegrita"/>
                <w:rFonts w:ascii="Arial" w:eastAsia="Calibri" w:hAnsi="Arial" w:cs="Arial"/>
                <w:b w:val="0"/>
                <w:lang w:val="es-EC"/>
              </w:rPr>
            </w:pPr>
            <w:r w:rsidRPr="00727475">
              <w:rPr>
                <w:rStyle w:val="Textoennegrita"/>
                <w:rFonts w:ascii="Arial" w:eastAsia="Calibri" w:hAnsi="Arial" w:cs="Arial"/>
                <w:b w:val="0"/>
                <w:lang w:val="es-EC"/>
              </w:rPr>
              <w:t>0,723</w:t>
            </w:r>
          </w:p>
        </w:tc>
        <w:tc>
          <w:tcPr>
            <w:tcW w:w="2080" w:type="dxa"/>
            <w:shd w:val="clear" w:color="auto" w:fill="E5DFEC" w:themeFill="accent4" w:themeFillTint="33"/>
          </w:tcPr>
          <w:p w:rsidR="00A66191" w:rsidRPr="00727475" w:rsidRDefault="00A66191" w:rsidP="004D6466">
            <w:pPr>
              <w:pStyle w:val="NormalWeb"/>
              <w:spacing w:line="360" w:lineRule="auto"/>
              <w:rPr>
                <w:rStyle w:val="Textoennegrita"/>
                <w:rFonts w:ascii="Arial" w:eastAsia="Calibri" w:hAnsi="Arial" w:cs="Arial"/>
                <w:b w:val="0"/>
                <w:lang w:val="es-EC"/>
              </w:rPr>
            </w:pPr>
            <w:r w:rsidRPr="00727475">
              <w:rPr>
                <w:rStyle w:val="Textoennegrita"/>
                <w:rFonts w:ascii="Arial" w:eastAsia="Calibri" w:hAnsi="Arial" w:cs="Arial"/>
                <w:b w:val="0"/>
                <w:lang w:val="es-EC"/>
              </w:rPr>
              <w:t>0,747</w:t>
            </w:r>
          </w:p>
        </w:tc>
        <w:tc>
          <w:tcPr>
            <w:tcW w:w="1896" w:type="dxa"/>
            <w:shd w:val="clear" w:color="auto" w:fill="E5DFEC" w:themeFill="accent4" w:themeFillTint="33"/>
          </w:tcPr>
          <w:p w:rsidR="00A66191" w:rsidRPr="00727475" w:rsidRDefault="00A66191" w:rsidP="004D6466">
            <w:pPr>
              <w:pStyle w:val="NormalWeb"/>
              <w:spacing w:line="360" w:lineRule="auto"/>
              <w:rPr>
                <w:rStyle w:val="Textoennegrita"/>
                <w:rFonts w:ascii="Arial" w:eastAsia="Calibri" w:hAnsi="Arial" w:cs="Arial"/>
                <w:b w:val="0"/>
                <w:lang w:val="es-EC"/>
              </w:rPr>
            </w:pPr>
            <w:r w:rsidRPr="00727475">
              <w:rPr>
                <w:rStyle w:val="Textoennegrita"/>
                <w:rFonts w:ascii="Arial" w:eastAsia="Calibri" w:hAnsi="Arial" w:cs="Arial"/>
                <w:b w:val="0"/>
                <w:lang w:val="es-EC"/>
              </w:rPr>
              <w:t>0,695</w:t>
            </w:r>
          </w:p>
        </w:tc>
      </w:tr>
      <w:tr w:rsidR="00A66191" w:rsidRPr="00727475" w:rsidTr="004D6466">
        <w:tc>
          <w:tcPr>
            <w:tcW w:w="2586" w:type="dxa"/>
            <w:shd w:val="clear" w:color="auto" w:fill="E5DFEC" w:themeFill="accent4" w:themeFillTint="33"/>
          </w:tcPr>
          <w:p w:rsidR="00A66191" w:rsidRPr="00727475" w:rsidRDefault="00A66191" w:rsidP="004D6466">
            <w:pPr>
              <w:pStyle w:val="NormalWeb"/>
              <w:spacing w:line="360" w:lineRule="auto"/>
              <w:rPr>
                <w:rStyle w:val="Textoennegrita"/>
                <w:rFonts w:ascii="Arial" w:eastAsia="Calibri" w:hAnsi="Arial" w:cs="Arial"/>
                <w:b w:val="0"/>
                <w:lang w:val="es-EC"/>
              </w:rPr>
            </w:pPr>
            <w:r w:rsidRPr="00727475">
              <w:rPr>
                <w:rStyle w:val="Textoennegrita"/>
                <w:rFonts w:ascii="Arial" w:eastAsia="Calibri" w:hAnsi="Arial" w:cs="Arial"/>
                <w:b w:val="0"/>
                <w:lang w:val="es-EC"/>
              </w:rPr>
              <w:t>Tasa de analfabetismo</w:t>
            </w:r>
          </w:p>
        </w:tc>
        <w:tc>
          <w:tcPr>
            <w:tcW w:w="2158" w:type="dxa"/>
            <w:shd w:val="clear" w:color="auto" w:fill="E5DFEC" w:themeFill="accent4" w:themeFillTint="33"/>
          </w:tcPr>
          <w:p w:rsidR="00A66191" w:rsidRPr="00727475" w:rsidRDefault="00A66191" w:rsidP="004D6466">
            <w:pPr>
              <w:pStyle w:val="NormalWeb"/>
              <w:spacing w:line="360" w:lineRule="auto"/>
              <w:rPr>
                <w:rStyle w:val="Textoennegrita"/>
                <w:rFonts w:ascii="Arial" w:eastAsia="Calibri" w:hAnsi="Arial" w:cs="Arial"/>
                <w:b w:val="0"/>
                <w:lang w:val="es-EC"/>
              </w:rPr>
            </w:pPr>
            <w:r w:rsidRPr="00727475">
              <w:rPr>
                <w:rStyle w:val="Textoennegrita"/>
                <w:rFonts w:ascii="Arial" w:eastAsia="Calibri" w:hAnsi="Arial" w:cs="Arial"/>
                <w:b w:val="0"/>
                <w:lang w:val="es-EC"/>
              </w:rPr>
              <w:t>11,2%</w:t>
            </w:r>
          </w:p>
        </w:tc>
        <w:tc>
          <w:tcPr>
            <w:tcW w:w="2080" w:type="dxa"/>
            <w:shd w:val="clear" w:color="auto" w:fill="E5DFEC" w:themeFill="accent4" w:themeFillTint="33"/>
          </w:tcPr>
          <w:p w:rsidR="00A66191" w:rsidRPr="00727475" w:rsidRDefault="00A66191" w:rsidP="004D6466">
            <w:pPr>
              <w:pStyle w:val="NormalWeb"/>
              <w:spacing w:line="360" w:lineRule="auto"/>
              <w:rPr>
                <w:rStyle w:val="Textoennegrita"/>
                <w:rFonts w:ascii="Arial" w:eastAsia="Calibri" w:hAnsi="Arial" w:cs="Arial"/>
                <w:b w:val="0"/>
                <w:lang w:val="es-EC"/>
              </w:rPr>
            </w:pPr>
            <w:r w:rsidRPr="00727475">
              <w:rPr>
                <w:rStyle w:val="Textoennegrita"/>
                <w:rFonts w:ascii="Arial" w:eastAsia="Calibri" w:hAnsi="Arial" w:cs="Arial"/>
                <w:b w:val="0"/>
                <w:lang w:val="es-EC"/>
              </w:rPr>
              <w:t>8,3%</w:t>
            </w:r>
          </w:p>
        </w:tc>
        <w:tc>
          <w:tcPr>
            <w:tcW w:w="1896" w:type="dxa"/>
            <w:shd w:val="clear" w:color="auto" w:fill="E5DFEC" w:themeFill="accent4" w:themeFillTint="33"/>
          </w:tcPr>
          <w:p w:rsidR="00A66191" w:rsidRPr="00727475" w:rsidRDefault="00A66191" w:rsidP="004D6466">
            <w:pPr>
              <w:pStyle w:val="NormalWeb"/>
              <w:spacing w:line="360" w:lineRule="auto"/>
              <w:rPr>
                <w:rStyle w:val="Textoennegrita"/>
                <w:rFonts w:ascii="Arial" w:eastAsia="Calibri" w:hAnsi="Arial" w:cs="Arial"/>
                <w:b w:val="0"/>
                <w:lang w:val="es-EC"/>
              </w:rPr>
            </w:pPr>
            <w:r w:rsidRPr="00727475">
              <w:rPr>
                <w:rStyle w:val="Textoennegrita"/>
                <w:rFonts w:ascii="Arial" w:eastAsia="Calibri" w:hAnsi="Arial" w:cs="Arial"/>
                <w:b w:val="0"/>
                <w:lang w:val="es-EC"/>
              </w:rPr>
              <w:t>7,7%</w:t>
            </w:r>
          </w:p>
        </w:tc>
      </w:tr>
      <w:tr w:rsidR="00A66191" w:rsidRPr="00727475" w:rsidTr="004D6466">
        <w:tc>
          <w:tcPr>
            <w:tcW w:w="2586" w:type="dxa"/>
            <w:shd w:val="clear" w:color="auto" w:fill="E5DFEC" w:themeFill="accent4" w:themeFillTint="33"/>
          </w:tcPr>
          <w:p w:rsidR="00A66191" w:rsidRPr="00727475" w:rsidRDefault="00A66191" w:rsidP="004D6466">
            <w:pPr>
              <w:pStyle w:val="NormalWeb"/>
              <w:spacing w:line="360" w:lineRule="auto"/>
              <w:rPr>
                <w:rStyle w:val="Textoennegrita"/>
                <w:rFonts w:ascii="Arial" w:eastAsia="Calibri" w:hAnsi="Arial" w:cs="Arial"/>
                <w:b w:val="0"/>
                <w:lang w:val="es-EC"/>
              </w:rPr>
            </w:pPr>
            <w:r w:rsidRPr="00727475">
              <w:rPr>
                <w:rStyle w:val="Textoennegrita"/>
                <w:rFonts w:ascii="Arial" w:eastAsia="Calibri" w:hAnsi="Arial" w:cs="Arial"/>
                <w:b w:val="0"/>
                <w:lang w:val="es-EC"/>
              </w:rPr>
              <w:t>Tasa de desnutrición crónica</w:t>
            </w:r>
          </w:p>
        </w:tc>
        <w:tc>
          <w:tcPr>
            <w:tcW w:w="2158" w:type="dxa"/>
            <w:shd w:val="clear" w:color="auto" w:fill="E5DFEC" w:themeFill="accent4" w:themeFillTint="33"/>
          </w:tcPr>
          <w:p w:rsidR="00A66191" w:rsidRPr="00727475" w:rsidRDefault="00A66191" w:rsidP="004D6466">
            <w:pPr>
              <w:pStyle w:val="NormalWeb"/>
              <w:spacing w:line="360" w:lineRule="auto"/>
              <w:rPr>
                <w:rStyle w:val="Textoennegrita"/>
                <w:rFonts w:ascii="Arial" w:eastAsia="Calibri" w:hAnsi="Arial" w:cs="Arial"/>
                <w:b w:val="0"/>
                <w:lang w:val="es-EC"/>
              </w:rPr>
            </w:pPr>
            <w:r w:rsidRPr="00727475">
              <w:rPr>
                <w:rStyle w:val="Textoennegrita"/>
                <w:rFonts w:ascii="Arial" w:eastAsia="Calibri" w:hAnsi="Arial" w:cs="Arial"/>
                <w:b w:val="0"/>
                <w:lang w:val="es-EC"/>
              </w:rPr>
              <w:t>21%</w:t>
            </w:r>
          </w:p>
        </w:tc>
        <w:tc>
          <w:tcPr>
            <w:tcW w:w="2080" w:type="dxa"/>
            <w:shd w:val="clear" w:color="auto" w:fill="E5DFEC" w:themeFill="accent4" w:themeFillTint="33"/>
          </w:tcPr>
          <w:p w:rsidR="00A66191" w:rsidRPr="00727475" w:rsidRDefault="00A66191" w:rsidP="004D6466">
            <w:pPr>
              <w:pStyle w:val="NormalWeb"/>
              <w:spacing w:line="360" w:lineRule="auto"/>
              <w:rPr>
                <w:rStyle w:val="Textoennegrita"/>
                <w:rFonts w:ascii="Arial" w:eastAsia="Calibri" w:hAnsi="Arial" w:cs="Arial"/>
                <w:b w:val="0"/>
                <w:lang w:val="es-EC"/>
              </w:rPr>
            </w:pPr>
            <w:r w:rsidRPr="00727475">
              <w:rPr>
                <w:rStyle w:val="Textoennegrita"/>
                <w:rFonts w:ascii="Arial" w:eastAsia="Calibri" w:hAnsi="Arial" w:cs="Arial"/>
                <w:b w:val="0"/>
                <w:lang w:val="es-EC"/>
              </w:rPr>
              <w:t>18,1%</w:t>
            </w:r>
          </w:p>
        </w:tc>
        <w:tc>
          <w:tcPr>
            <w:tcW w:w="1896" w:type="dxa"/>
            <w:shd w:val="clear" w:color="auto" w:fill="E5DFEC" w:themeFill="accent4" w:themeFillTint="33"/>
          </w:tcPr>
          <w:p w:rsidR="00A66191" w:rsidRPr="00727475" w:rsidRDefault="00A66191" w:rsidP="004D6466">
            <w:pPr>
              <w:pStyle w:val="NormalWeb"/>
              <w:spacing w:line="360" w:lineRule="auto"/>
              <w:rPr>
                <w:rStyle w:val="Textoennegrita"/>
                <w:rFonts w:ascii="Arial" w:eastAsia="Calibri" w:hAnsi="Arial" w:cs="Arial"/>
                <w:b w:val="0"/>
                <w:lang w:val="es-EC"/>
              </w:rPr>
            </w:pPr>
            <w:r w:rsidRPr="00727475">
              <w:rPr>
                <w:rStyle w:val="Textoennegrita"/>
                <w:rFonts w:ascii="Arial" w:eastAsia="Calibri" w:hAnsi="Arial" w:cs="Arial"/>
                <w:b w:val="0"/>
                <w:lang w:val="es-EC"/>
              </w:rPr>
              <w:t>10%</w:t>
            </w:r>
          </w:p>
        </w:tc>
      </w:tr>
      <w:tr w:rsidR="00A66191" w:rsidRPr="00727475" w:rsidTr="004D6466">
        <w:tc>
          <w:tcPr>
            <w:tcW w:w="2586" w:type="dxa"/>
            <w:shd w:val="clear" w:color="auto" w:fill="E5DFEC" w:themeFill="accent4" w:themeFillTint="33"/>
          </w:tcPr>
          <w:p w:rsidR="00A66191" w:rsidRPr="00727475" w:rsidRDefault="00A66191" w:rsidP="004D6466">
            <w:pPr>
              <w:pStyle w:val="NormalWeb"/>
              <w:spacing w:line="360" w:lineRule="auto"/>
              <w:rPr>
                <w:rStyle w:val="Textoennegrita"/>
                <w:rFonts w:ascii="Arial" w:eastAsia="Calibri" w:hAnsi="Arial" w:cs="Arial"/>
                <w:b w:val="0"/>
                <w:lang w:val="es-EC"/>
              </w:rPr>
            </w:pPr>
            <w:r w:rsidRPr="00727475">
              <w:rPr>
                <w:rStyle w:val="Textoennegrita"/>
                <w:rFonts w:ascii="Arial" w:eastAsia="Calibri" w:hAnsi="Arial" w:cs="Arial"/>
                <w:b w:val="0"/>
                <w:lang w:val="es-EC"/>
              </w:rPr>
              <w:t>Tasa mortalidad infantil</w:t>
            </w:r>
          </w:p>
        </w:tc>
        <w:tc>
          <w:tcPr>
            <w:tcW w:w="2158" w:type="dxa"/>
            <w:shd w:val="clear" w:color="auto" w:fill="E5DFEC" w:themeFill="accent4" w:themeFillTint="33"/>
          </w:tcPr>
          <w:p w:rsidR="00A66191" w:rsidRPr="00727475" w:rsidRDefault="00A66191" w:rsidP="004D6466">
            <w:pPr>
              <w:pStyle w:val="NormalWeb"/>
              <w:spacing w:line="360" w:lineRule="auto"/>
              <w:rPr>
                <w:rStyle w:val="Textoennegrita"/>
                <w:rFonts w:ascii="Arial" w:eastAsia="Calibri" w:hAnsi="Arial" w:cs="Arial"/>
                <w:b w:val="0"/>
                <w:lang w:val="es-EC"/>
              </w:rPr>
            </w:pPr>
            <w:r w:rsidRPr="00727475">
              <w:rPr>
                <w:rStyle w:val="Textoennegrita"/>
                <w:rFonts w:ascii="Arial" w:eastAsia="Calibri" w:hAnsi="Arial" w:cs="Arial"/>
                <w:b w:val="0"/>
                <w:lang w:val="es-EC"/>
              </w:rPr>
              <w:t>35,13</w:t>
            </w:r>
          </w:p>
        </w:tc>
        <w:tc>
          <w:tcPr>
            <w:tcW w:w="2080" w:type="dxa"/>
            <w:shd w:val="clear" w:color="auto" w:fill="E5DFEC" w:themeFill="accent4" w:themeFillTint="33"/>
          </w:tcPr>
          <w:p w:rsidR="00A66191" w:rsidRPr="00727475" w:rsidRDefault="00A66191" w:rsidP="004D6466">
            <w:pPr>
              <w:pStyle w:val="NormalWeb"/>
              <w:spacing w:line="360" w:lineRule="auto"/>
              <w:rPr>
                <w:rStyle w:val="Textoennegrita"/>
                <w:rFonts w:ascii="Arial" w:eastAsia="Calibri" w:hAnsi="Arial" w:cs="Arial"/>
                <w:b w:val="0"/>
                <w:lang w:val="es-EC"/>
              </w:rPr>
            </w:pPr>
            <w:r w:rsidRPr="00727475">
              <w:rPr>
                <w:rStyle w:val="Textoennegrita"/>
                <w:rFonts w:ascii="Arial" w:eastAsia="Calibri" w:hAnsi="Arial" w:cs="Arial"/>
                <w:b w:val="0"/>
                <w:lang w:val="es-EC"/>
              </w:rPr>
              <w:t>22,87</w:t>
            </w:r>
          </w:p>
        </w:tc>
        <w:tc>
          <w:tcPr>
            <w:tcW w:w="1896" w:type="dxa"/>
            <w:shd w:val="clear" w:color="auto" w:fill="E5DFEC" w:themeFill="accent4" w:themeFillTint="33"/>
          </w:tcPr>
          <w:p w:rsidR="00A66191" w:rsidRPr="00727475" w:rsidRDefault="00A66191" w:rsidP="004D6466">
            <w:pPr>
              <w:pStyle w:val="NormalWeb"/>
              <w:spacing w:line="360" w:lineRule="auto"/>
              <w:rPr>
                <w:rStyle w:val="Textoennegrita"/>
                <w:rFonts w:ascii="Arial" w:eastAsia="Calibri" w:hAnsi="Arial" w:cs="Arial"/>
                <w:b w:val="0"/>
                <w:lang w:val="es-EC"/>
              </w:rPr>
            </w:pPr>
            <w:r w:rsidRPr="00727475">
              <w:rPr>
                <w:rStyle w:val="Textoennegrita"/>
                <w:rFonts w:ascii="Arial" w:eastAsia="Calibri" w:hAnsi="Arial" w:cs="Arial"/>
                <w:b w:val="0"/>
                <w:lang w:val="es-EC"/>
              </w:rPr>
              <w:t>20,26</w:t>
            </w:r>
          </w:p>
        </w:tc>
      </w:tr>
      <w:tr w:rsidR="00A66191" w:rsidRPr="00727475" w:rsidTr="004D6466">
        <w:tc>
          <w:tcPr>
            <w:tcW w:w="2586" w:type="dxa"/>
            <w:shd w:val="clear" w:color="auto" w:fill="95B3D7" w:themeFill="accent1" w:themeFillTint="99"/>
          </w:tcPr>
          <w:p w:rsidR="00A66191" w:rsidRPr="00830DFF" w:rsidRDefault="00A66191" w:rsidP="004D6466">
            <w:pPr>
              <w:pStyle w:val="NormalWeb"/>
              <w:spacing w:line="360" w:lineRule="auto"/>
              <w:rPr>
                <w:rStyle w:val="Textoennegrita"/>
                <w:rFonts w:ascii="Arial" w:eastAsia="Calibri" w:hAnsi="Arial" w:cs="Arial"/>
                <w:i/>
                <w:lang w:val="es-EC"/>
              </w:rPr>
            </w:pPr>
            <w:r w:rsidRPr="00830DFF">
              <w:rPr>
                <w:rStyle w:val="Textoennegrita"/>
                <w:rFonts w:ascii="Arial" w:eastAsia="Calibri" w:hAnsi="Arial" w:cs="Arial"/>
                <w:i/>
                <w:lang w:val="es-EC"/>
              </w:rPr>
              <w:t>Ambientales</w:t>
            </w:r>
          </w:p>
        </w:tc>
        <w:tc>
          <w:tcPr>
            <w:tcW w:w="2158" w:type="dxa"/>
            <w:shd w:val="clear" w:color="auto" w:fill="95B3D7" w:themeFill="accent1" w:themeFillTint="99"/>
          </w:tcPr>
          <w:p w:rsidR="00A66191" w:rsidRPr="00727475" w:rsidRDefault="00A66191" w:rsidP="004D6466">
            <w:pPr>
              <w:pStyle w:val="NormalWeb"/>
              <w:spacing w:line="360" w:lineRule="auto"/>
              <w:rPr>
                <w:rStyle w:val="Textoennegrita"/>
                <w:rFonts w:ascii="Arial" w:eastAsia="Calibri" w:hAnsi="Arial" w:cs="Arial"/>
                <w:b w:val="0"/>
                <w:lang w:val="es-EC"/>
              </w:rPr>
            </w:pPr>
          </w:p>
        </w:tc>
        <w:tc>
          <w:tcPr>
            <w:tcW w:w="2080" w:type="dxa"/>
            <w:shd w:val="clear" w:color="auto" w:fill="95B3D7" w:themeFill="accent1" w:themeFillTint="99"/>
          </w:tcPr>
          <w:p w:rsidR="00A66191" w:rsidRPr="00727475" w:rsidRDefault="00A66191" w:rsidP="004D6466">
            <w:pPr>
              <w:pStyle w:val="NormalWeb"/>
              <w:spacing w:line="360" w:lineRule="auto"/>
              <w:rPr>
                <w:rStyle w:val="Textoennegrita"/>
                <w:rFonts w:ascii="Arial" w:eastAsia="Calibri" w:hAnsi="Arial" w:cs="Arial"/>
                <w:b w:val="0"/>
                <w:lang w:val="es-EC"/>
              </w:rPr>
            </w:pPr>
          </w:p>
        </w:tc>
        <w:tc>
          <w:tcPr>
            <w:tcW w:w="1896" w:type="dxa"/>
            <w:shd w:val="clear" w:color="auto" w:fill="95B3D7" w:themeFill="accent1" w:themeFillTint="99"/>
          </w:tcPr>
          <w:p w:rsidR="00A66191" w:rsidRPr="00727475" w:rsidRDefault="00A66191" w:rsidP="004D6466">
            <w:pPr>
              <w:pStyle w:val="NormalWeb"/>
              <w:spacing w:line="360" w:lineRule="auto"/>
              <w:rPr>
                <w:rStyle w:val="Textoennegrita"/>
                <w:rFonts w:ascii="Arial" w:eastAsia="Calibri" w:hAnsi="Arial" w:cs="Arial"/>
                <w:b w:val="0"/>
                <w:lang w:val="es-EC"/>
              </w:rPr>
            </w:pPr>
          </w:p>
        </w:tc>
      </w:tr>
      <w:tr w:rsidR="00A66191" w:rsidRPr="00727475" w:rsidTr="004D6466">
        <w:trPr>
          <w:trHeight w:val="701"/>
        </w:trPr>
        <w:tc>
          <w:tcPr>
            <w:tcW w:w="2586" w:type="dxa"/>
            <w:shd w:val="clear" w:color="auto" w:fill="DBE5F1" w:themeFill="accent1" w:themeFillTint="33"/>
          </w:tcPr>
          <w:p w:rsidR="00A66191" w:rsidRPr="00727475" w:rsidRDefault="00A66191" w:rsidP="004D6466">
            <w:pPr>
              <w:pStyle w:val="NormalWeb"/>
              <w:spacing w:line="360" w:lineRule="auto"/>
              <w:rPr>
                <w:rStyle w:val="Textoennegrita"/>
                <w:rFonts w:ascii="Arial" w:eastAsia="Calibri" w:hAnsi="Arial" w:cs="Arial"/>
                <w:b w:val="0"/>
                <w:lang w:val="es-EC"/>
              </w:rPr>
            </w:pPr>
            <w:r w:rsidRPr="00727475">
              <w:rPr>
                <w:rStyle w:val="Textoennegrita"/>
                <w:rFonts w:ascii="Arial" w:eastAsia="Calibri" w:hAnsi="Arial" w:cs="Arial"/>
                <w:b w:val="0"/>
                <w:lang w:val="es-EC"/>
              </w:rPr>
              <w:t>superficie cubierta por bosques (Ha)</w:t>
            </w:r>
          </w:p>
        </w:tc>
        <w:tc>
          <w:tcPr>
            <w:tcW w:w="2158" w:type="dxa"/>
            <w:shd w:val="clear" w:color="auto" w:fill="DBE5F1" w:themeFill="accent1" w:themeFillTint="33"/>
          </w:tcPr>
          <w:p w:rsidR="00A66191" w:rsidRPr="00727475" w:rsidRDefault="00A66191" w:rsidP="004D6466">
            <w:pPr>
              <w:pStyle w:val="Default"/>
              <w:rPr>
                <w:rFonts w:ascii="Arial" w:hAnsi="Arial" w:cs="Arial"/>
                <w:color w:val="auto"/>
              </w:rPr>
            </w:pPr>
            <w:r w:rsidRPr="00727475">
              <w:rPr>
                <w:rFonts w:ascii="Arial" w:hAnsi="Arial" w:cs="Arial"/>
                <w:color w:val="auto"/>
              </w:rPr>
              <w:t xml:space="preserve">11.841 </w:t>
            </w:r>
          </w:p>
          <w:p w:rsidR="00A66191" w:rsidRPr="00727475" w:rsidRDefault="00A66191" w:rsidP="004D6466">
            <w:pPr>
              <w:pStyle w:val="NormalWeb"/>
              <w:spacing w:line="360" w:lineRule="auto"/>
              <w:rPr>
                <w:rStyle w:val="Textoennegrita"/>
                <w:rFonts w:ascii="Arial" w:eastAsia="Calibri" w:hAnsi="Arial" w:cs="Arial"/>
                <w:b w:val="0"/>
                <w:lang w:val="es-EC"/>
              </w:rPr>
            </w:pPr>
          </w:p>
        </w:tc>
        <w:tc>
          <w:tcPr>
            <w:tcW w:w="2080" w:type="dxa"/>
            <w:shd w:val="clear" w:color="auto" w:fill="DBE5F1" w:themeFill="accent1" w:themeFillTint="33"/>
          </w:tcPr>
          <w:p w:rsidR="00A66191" w:rsidRPr="00727475" w:rsidRDefault="00A66191" w:rsidP="004D6466">
            <w:pPr>
              <w:pStyle w:val="Default"/>
              <w:rPr>
                <w:rFonts w:ascii="Arial" w:hAnsi="Arial" w:cs="Arial"/>
                <w:color w:val="auto"/>
              </w:rPr>
            </w:pPr>
            <w:r w:rsidRPr="00727475">
              <w:rPr>
                <w:rFonts w:ascii="Arial" w:hAnsi="Arial" w:cs="Arial"/>
                <w:color w:val="auto"/>
              </w:rPr>
              <w:t xml:space="preserve">10.853 </w:t>
            </w:r>
          </w:p>
          <w:p w:rsidR="00A66191" w:rsidRPr="00727475" w:rsidRDefault="00A66191" w:rsidP="004D6466">
            <w:pPr>
              <w:pStyle w:val="NormalWeb"/>
              <w:spacing w:line="360" w:lineRule="auto"/>
              <w:rPr>
                <w:rStyle w:val="Textoennegrita"/>
                <w:rFonts w:ascii="Arial" w:eastAsia="Calibri" w:hAnsi="Arial" w:cs="Arial"/>
                <w:b w:val="0"/>
                <w:lang w:val="es-EC"/>
              </w:rPr>
            </w:pPr>
          </w:p>
        </w:tc>
        <w:tc>
          <w:tcPr>
            <w:tcW w:w="1896" w:type="dxa"/>
            <w:shd w:val="clear" w:color="auto" w:fill="DBE5F1" w:themeFill="accent1" w:themeFillTint="33"/>
          </w:tcPr>
          <w:p w:rsidR="00A66191" w:rsidRPr="00727475" w:rsidRDefault="00A66191" w:rsidP="004D6466">
            <w:pPr>
              <w:pStyle w:val="Default"/>
              <w:rPr>
                <w:rFonts w:ascii="Arial" w:hAnsi="Arial" w:cs="Arial"/>
                <w:color w:val="auto"/>
              </w:rPr>
            </w:pPr>
            <w:r w:rsidRPr="00727475">
              <w:rPr>
                <w:rFonts w:ascii="Arial" w:hAnsi="Arial" w:cs="Arial"/>
                <w:color w:val="auto"/>
              </w:rPr>
              <w:t xml:space="preserve">9.865 </w:t>
            </w:r>
          </w:p>
          <w:p w:rsidR="00A66191" w:rsidRPr="00727475" w:rsidRDefault="00A66191" w:rsidP="004D6466">
            <w:pPr>
              <w:pStyle w:val="NormalWeb"/>
              <w:spacing w:line="360" w:lineRule="auto"/>
              <w:rPr>
                <w:rStyle w:val="Textoennegrita"/>
                <w:rFonts w:ascii="Arial" w:eastAsia="Calibri" w:hAnsi="Arial" w:cs="Arial"/>
                <w:b w:val="0"/>
                <w:lang w:val="es-EC"/>
              </w:rPr>
            </w:pPr>
          </w:p>
        </w:tc>
      </w:tr>
      <w:tr w:rsidR="00A66191" w:rsidRPr="00727475" w:rsidTr="004D6466">
        <w:trPr>
          <w:trHeight w:val="557"/>
        </w:trPr>
        <w:tc>
          <w:tcPr>
            <w:tcW w:w="2586" w:type="dxa"/>
            <w:shd w:val="clear" w:color="auto" w:fill="DBE5F1" w:themeFill="accent1" w:themeFillTint="33"/>
          </w:tcPr>
          <w:p w:rsidR="00A66191" w:rsidRPr="00727475" w:rsidRDefault="00A66191" w:rsidP="004D6466">
            <w:pPr>
              <w:pStyle w:val="NormalWeb"/>
              <w:spacing w:line="360" w:lineRule="auto"/>
              <w:rPr>
                <w:rStyle w:val="Textoennegrita"/>
                <w:rFonts w:ascii="Arial" w:eastAsia="Calibri" w:hAnsi="Arial" w:cs="Arial"/>
                <w:b w:val="0"/>
                <w:lang w:val="es-EC"/>
              </w:rPr>
            </w:pPr>
            <w:r w:rsidRPr="00727475">
              <w:rPr>
                <w:rStyle w:val="Textoennegrita"/>
                <w:rFonts w:ascii="Arial" w:eastAsia="Calibri" w:hAnsi="Arial" w:cs="Arial"/>
                <w:b w:val="0"/>
                <w:lang w:val="es-EC"/>
              </w:rPr>
              <w:t>Áreas protegidas (Ha)</w:t>
            </w:r>
          </w:p>
        </w:tc>
        <w:tc>
          <w:tcPr>
            <w:tcW w:w="2158" w:type="dxa"/>
            <w:shd w:val="clear" w:color="auto" w:fill="DBE5F1" w:themeFill="accent1" w:themeFillTint="33"/>
          </w:tcPr>
          <w:p w:rsidR="00A66191" w:rsidRPr="00727475" w:rsidRDefault="00A66191" w:rsidP="004D6466">
            <w:pPr>
              <w:pStyle w:val="Default"/>
              <w:rPr>
                <w:rFonts w:ascii="Arial" w:hAnsi="Arial" w:cs="Arial"/>
                <w:color w:val="auto"/>
              </w:rPr>
            </w:pPr>
            <w:r w:rsidRPr="00727475">
              <w:rPr>
                <w:rFonts w:ascii="Arial" w:hAnsi="Arial" w:cs="Arial"/>
                <w:color w:val="auto"/>
              </w:rPr>
              <w:t>4.669. 871</w:t>
            </w:r>
          </w:p>
          <w:p w:rsidR="00A66191" w:rsidRPr="00727475" w:rsidRDefault="00A66191" w:rsidP="004D6466">
            <w:pPr>
              <w:pStyle w:val="Default"/>
              <w:rPr>
                <w:rFonts w:ascii="Arial" w:hAnsi="Arial" w:cs="Arial"/>
                <w:color w:val="auto"/>
              </w:rPr>
            </w:pPr>
          </w:p>
          <w:p w:rsidR="00A66191" w:rsidRPr="00727475" w:rsidRDefault="00A66191" w:rsidP="004D6466">
            <w:pPr>
              <w:pStyle w:val="NormalWeb"/>
              <w:spacing w:line="360" w:lineRule="auto"/>
              <w:rPr>
                <w:rStyle w:val="Textoennegrita"/>
                <w:rFonts w:ascii="Arial" w:eastAsia="Calibri" w:hAnsi="Arial" w:cs="Arial"/>
                <w:b w:val="0"/>
                <w:lang w:val="es-EC"/>
              </w:rPr>
            </w:pPr>
          </w:p>
        </w:tc>
        <w:tc>
          <w:tcPr>
            <w:tcW w:w="2080" w:type="dxa"/>
            <w:shd w:val="clear" w:color="auto" w:fill="DBE5F1" w:themeFill="accent1" w:themeFillTint="33"/>
          </w:tcPr>
          <w:p w:rsidR="00A66191" w:rsidRPr="00727475" w:rsidRDefault="00A66191" w:rsidP="004D6466">
            <w:pPr>
              <w:pStyle w:val="Default"/>
              <w:rPr>
                <w:rFonts w:ascii="Arial" w:hAnsi="Arial" w:cs="Arial"/>
                <w:color w:val="auto"/>
              </w:rPr>
            </w:pPr>
            <w:r w:rsidRPr="00727475">
              <w:rPr>
                <w:rFonts w:ascii="Arial" w:hAnsi="Arial" w:cs="Arial"/>
                <w:color w:val="auto"/>
              </w:rPr>
              <w:t>4.755.546</w:t>
            </w:r>
          </w:p>
          <w:p w:rsidR="00A66191" w:rsidRPr="00727475" w:rsidRDefault="00A66191" w:rsidP="004D6466">
            <w:pPr>
              <w:pStyle w:val="NormalWeb"/>
              <w:spacing w:line="360" w:lineRule="auto"/>
              <w:rPr>
                <w:rStyle w:val="Textoennegrita"/>
                <w:rFonts w:ascii="Arial" w:eastAsia="Calibri" w:hAnsi="Arial" w:cs="Arial"/>
                <w:b w:val="0"/>
                <w:lang w:val="es-EC"/>
              </w:rPr>
            </w:pPr>
          </w:p>
        </w:tc>
        <w:tc>
          <w:tcPr>
            <w:tcW w:w="1896" w:type="dxa"/>
            <w:shd w:val="clear" w:color="auto" w:fill="DBE5F1" w:themeFill="accent1" w:themeFillTint="33"/>
          </w:tcPr>
          <w:p w:rsidR="00A66191" w:rsidRPr="00727475" w:rsidRDefault="00A66191" w:rsidP="004D6466">
            <w:pPr>
              <w:pStyle w:val="NormalWeb"/>
              <w:spacing w:line="360" w:lineRule="auto"/>
              <w:rPr>
                <w:rStyle w:val="Textoennegrita"/>
                <w:rFonts w:ascii="Arial" w:eastAsia="Calibri" w:hAnsi="Arial" w:cs="Arial"/>
                <w:b w:val="0"/>
                <w:lang w:val="es-EC"/>
              </w:rPr>
            </w:pPr>
            <w:r w:rsidRPr="00727475">
              <w:rPr>
                <w:rStyle w:val="Textoennegrita"/>
                <w:rFonts w:ascii="Arial" w:eastAsia="Calibri" w:hAnsi="Arial" w:cs="Arial"/>
                <w:b w:val="0"/>
                <w:lang w:val="es-EC"/>
              </w:rPr>
              <w:t>4.841.221</w:t>
            </w:r>
          </w:p>
        </w:tc>
      </w:tr>
    </w:tbl>
    <w:p w:rsidR="00A66191" w:rsidRPr="00727475" w:rsidRDefault="00A66191" w:rsidP="00A66191">
      <w:pPr>
        <w:pStyle w:val="Sinespaciado"/>
        <w:rPr>
          <w:rStyle w:val="Textoennegrita"/>
          <w:rFonts w:ascii="Arial" w:eastAsia="Calibri" w:hAnsi="Arial" w:cs="Arial"/>
          <w:b w:val="0"/>
          <w:sz w:val="16"/>
          <w:szCs w:val="16"/>
        </w:rPr>
      </w:pPr>
      <w:r w:rsidRPr="00727475">
        <w:rPr>
          <w:rStyle w:val="Textoennegrita"/>
          <w:rFonts w:ascii="Arial" w:eastAsia="Calibri" w:hAnsi="Arial" w:cs="Arial"/>
          <w:b w:val="0"/>
          <w:sz w:val="16"/>
          <w:szCs w:val="16"/>
        </w:rPr>
        <w:t xml:space="preserve">Tabla Nº 2,                  fuente: Instituto Nacional de Estadísticas y Censos                      elaborada por María José Ponce </w:t>
      </w:r>
    </w:p>
    <w:p w:rsidR="00A66191" w:rsidRPr="00727475" w:rsidRDefault="00A66191" w:rsidP="00A66191">
      <w:pPr>
        <w:pStyle w:val="NormalWeb"/>
        <w:spacing w:line="360" w:lineRule="auto"/>
        <w:jc w:val="both"/>
        <w:rPr>
          <w:rStyle w:val="Textoennegrita"/>
          <w:rFonts w:ascii="Arial" w:eastAsia="Calibri" w:hAnsi="Arial" w:cs="Arial"/>
          <w:b w:val="0"/>
          <w:lang w:val="es-EC"/>
        </w:rPr>
      </w:pPr>
      <w:r w:rsidRPr="00727475">
        <w:rPr>
          <w:rStyle w:val="Textoennegrita"/>
          <w:rFonts w:ascii="Arial" w:eastAsia="Calibri" w:hAnsi="Arial" w:cs="Arial"/>
          <w:b w:val="0"/>
          <w:lang w:val="es-EC"/>
        </w:rPr>
        <w:t>Este cuadro nos indica que en términos de PIB nominal se ha dado un crecimiento considerable desde el año 2000 a pesar de la inestabilidad política que se vivía. Por otra parte los indicadores sociales que se presentan en este cuadro como pobreza, pobreza extrema, IDH, tasa de analfabetismo, tasa de desnutrición crónica y mortalidad infantil ha demostrado una notable mejoría, sin embargo los esfuerzos por erradicar la pobreza siguen siendo insuficientes; todavía hay una población significativa del 42% que vive por debajo de los índices adecuados para la vida.</w:t>
      </w:r>
    </w:p>
    <w:p w:rsidR="00A66191" w:rsidRPr="00727475" w:rsidRDefault="00A66191" w:rsidP="00A66191">
      <w:pPr>
        <w:pStyle w:val="NormalWeb"/>
        <w:spacing w:line="360" w:lineRule="auto"/>
        <w:jc w:val="both"/>
        <w:rPr>
          <w:rStyle w:val="Textoennegrita"/>
          <w:rFonts w:ascii="Arial" w:eastAsia="Calibri" w:hAnsi="Arial" w:cs="Arial"/>
          <w:b w:val="0"/>
          <w:lang w:val="es-EC"/>
        </w:rPr>
      </w:pPr>
      <w:r w:rsidRPr="00727475">
        <w:rPr>
          <w:rStyle w:val="Textoennegrita"/>
          <w:rFonts w:ascii="Arial" w:eastAsia="Calibri" w:hAnsi="Arial" w:cs="Arial"/>
          <w:b w:val="0"/>
          <w:lang w:val="es-EC"/>
        </w:rPr>
        <w:t xml:space="preserve">Los indicadores económicos el Ecuador presentan un constante crecimiento, así en relación del 2000 al 2010 el PIB nominal ha crecido más del triple y el desempleo se ha reducido 11,8% al 4,99%. Parecería que el Ecuador está en camino de cumplir satisfactoriamente las metas del milenio con la puesta en </w:t>
      </w:r>
      <w:r w:rsidRPr="00727475">
        <w:rPr>
          <w:rStyle w:val="Textoennegrita"/>
          <w:rFonts w:ascii="Arial" w:eastAsia="Calibri" w:hAnsi="Arial" w:cs="Arial"/>
          <w:b w:val="0"/>
          <w:lang w:val="es-EC"/>
        </w:rPr>
        <w:lastRenderedPageBreak/>
        <w:t>marcha de las políticas de Estado como el aumento de capital en los sectores más necesitados como educación y salud, entre otras.</w:t>
      </w:r>
    </w:p>
    <w:p w:rsidR="00A66191" w:rsidRPr="00727475" w:rsidRDefault="00A66191" w:rsidP="00A66191">
      <w:pPr>
        <w:pStyle w:val="NormalWeb"/>
        <w:spacing w:line="360" w:lineRule="auto"/>
        <w:jc w:val="both"/>
        <w:rPr>
          <w:rStyle w:val="Textoennegrita"/>
          <w:rFonts w:ascii="Arial" w:eastAsia="Calibri" w:hAnsi="Arial" w:cs="Arial"/>
          <w:b w:val="0"/>
          <w:lang w:val="es-EC"/>
        </w:rPr>
      </w:pPr>
      <w:r w:rsidRPr="00727475">
        <w:rPr>
          <w:rStyle w:val="Textoennegrita"/>
          <w:rFonts w:ascii="Arial" w:eastAsia="Calibri" w:hAnsi="Arial" w:cs="Arial"/>
          <w:b w:val="0"/>
          <w:lang w:val="es-EC"/>
        </w:rPr>
        <w:t>En cambio en lo ambiental, el Ecuador, ha tenido un retroceso, así pues la superficie cubierta por bosques en el 2000 era de 11.841 hectáreas mientras que en el 2010 esa superficie cambió a 9.865 hectáreas lo que indica que, a pesar de los esfuerzos ambientales, la deforestación sigue siendo un problema latente y si no se hace algo los bosques desaparecerán y con ellos toda la vida silvestre que de ellos depende.</w:t>
      </w:r>
    </w:p>
    <w:p w:rsidR="00A66191" w:rsidRPr="004D6466" w:rsidRDefault="00A66191" w:rsidP="00A66191">
      <w:pPr>
        <w:pStyle w:val="NormalWeb"/>
        <w:spacing w:line="360" w:lineRule="auto"/>
        <w:jc w:val="both"/>
        <w:rPr>
          <w:rFonts w:ascii="Arial" w:hAnsi="Arial" w:cs="Arial"/>
        </w:rPr>
      </w:pPr>
      <w:r w:rsidRPr="00727475">
        <w:rPr>
          <w:rStyle w:val="Textoennegrita"/>
          <w:rFonts w:ascii="Arial" w:eastAsia="Calibri" w:hAnsi="Arial" w:cs="Arial"/>
          <w:b w:val="0"/>
          <w:lang w:val="es-EC"/>
        </w:rPr>
        <w:t>El retroceso en materia medioambiental se debe a dos causas: la erosión del suelo y su utilización para actividades para la que no son aptos. En lo que concierne a la primera causa</w:t>
      </w:r>
      <w:r w:rsidRPr="004D6466">
        <w:rPr>
          <w:rFonts w:ascii="Arial" w:hAnsi="Arial" w:cs="Arial"/>
        </w:rPr>
        <w:t>se estima que en el Ecuador cerca del 52% de la superficie del país está siendo erosionada, debido, en parte a la poca regulación que existe por parte del Estado para cuidar el medio ambiente; y también a la gente que impulsada por la pobreza, desgasta todo tipo de suelo hasta que se vuelve inservible.</w:t>
      </w:r>
    </w:p>
    <w:p w:rsidR="00A66191" w:rsidRPr="004D6466" w:rsidRDefault="00A66191" w:rsidP="00A66191">
      <w:pPr>
        <w:pStyle w:val="NormalWeb"/>
        <w:spacing w:line="360" w:lineRule="auto"/>
        <w:jc w:val="both"/>
        <w:rPr>
          <w:rFonts w:ascii="Arial" w:hAnsi="Arial" w:cs="Arial"/>
        </w:rPr>
      </w:pPr>
      <w:r w:rsidRPr="004D6466">
        <w:rPr>
          <w:rFonts w:ascii="Arial" w:hAnsi="Arial" w:cs="Arial"/>
        </w:rPr>
        <w:t>La erosión se produce por: el uso inapropiado de técnicas y procedimientos agrícolas (la mecanización, el uso de plaguicidas, la aplicación de químicos para fertilizar el suelo, el arar en dirección de la pendiente, el cultivar en suelos no aptos para esos propósitos, la falta de rotación de los cultivos entre otros). Así mismo, la sobre-utilización de los suelos es considerada como otra causa de deterioro de los mismos.</w:t>
      </w:r>
    </w:p>
    <w:p w:rsidR="00A66191" w:rsidRPr="004D6466" w:rsidRDefault="00A66191" w:rsidP="00A66191">
      <w:pPr>
        <w:pStyle w:val="NormalWeb"/>
        <w:spacing w:line="360" w:lineRule="auto"/>
        <w:jc w:val="both"/>
        <w:rPr>
          <w:rFonts w:ascii="Arial" w:hAnsi="Arial" w:cs="Arial"/>
        </w:rPr>
      </w:pPr>
      <w:r w:rsidRPr="004D6466">
        <w:rPr>
          <w:rFonts w:ascii="Arial" w:hAnsi="Arial" w:cs="Arial"/>
        </w:rPr>
        <w:t>“Hay una tendencia, en una buena proporción de unidades de producción agrícola nacional, a utilizar grandes dimensiones de terrenos con aptitud agrícola para dedicarlos al cultivo de pastos, generando ello una gran pérdida de energía y productividad. Se estima que cerca del 65% de la tierra aprovechable del Ecuador está en latifundios subutilizados; y el 68% de las tierras agrícolas están siendo utilizadas con pastos”</w:t>
      </w:r>
      <w:r w:rsidRPr="004D6466">
        <w:rPr>
          <w:rStyle w:val="Refdenotaalpie"/>
          <w:rFonts w:ascii="Arial" w:eastAsiaTheme="majorEastAsia" w:hAnsi="Arial" w:cs="Arial"/>
        </w:rPr>
        <w:footnoteReference w:id="26"/>
      </w:r>
      <w:r w:rsidRPr="004D6466">
        <w:rPr>
          <w:rFonts w:ascii="Arial" w:hAnsi="Arial" w:cs="Arial"/>
        </w:rPr>
        <w:t>.</w:t>
      </w:r>
    </w:p>
    <w:p w:rsidR="00A66191" w:rsidRPr="004D6466" w:rsidRDefault="00A66191" w:rsidP="00A66191">
      <w:pPr>
        <w:pStyle w:val="NormalWeb"/>
        <w:spacing w:line="360" w:lineRule="auto"/>
        <w:jc w:val="both"/>
        <w:rPr>
          <w:rStyle w:val="Textoennegrita"/>
          <w:rFonts w:ascii="Arial" w:hAnsi="Arial" w:cs="Arial"/>
          <w:b w:val="0"/>
          <w:bCs w:val="0"/>
        </w:rPr>
      </w:pPr>
      <w:r w:rsidRPr="004D6466">
        <w:rPr>
          <w:rFonts w:ascii="Arial" w:hAnsi="Arial" w:cs="Arial"/>
        </w:rPr>
        <w:t>Por lo descrito anteriormente se deduce que el deterioro ambiental que ha sufrido el Ecuador se debe al modelo agro exportador.</w:t>
      </w:r>
    </w:p>
    <w:p w:rsidR="00A66191" w:rsidRPr="004D6466" w:rsidRDefault="00A66191" w:rsidP="00A66191">
      <w:pPr>
        <w:jc w:val="both"/>
        <w:rPr>
          <w:rFonts w:ascii="Arial" w:hAnsi="Arial" w:cs="Arial"/>
          <w:sz w:val="24"/>
          <w:szCs w:val="24"/>
        </w:rPr>
      </w:pPr>
      <w:r w:rsidRPr="004D6466">
        <w:rPr>
          <w:rFonts w:ascii="Arial" w:hAnsi="Arial" w:cs="Arial"/>
          <w:b/>
          <w:sz w:val="24"/>
          <w:szCs w:val="24"/>
        </w:rPr>
        <w:lastRenderedPageBreak/>
        <w:t>2.2 Características del modelo de desarrollo del Ecuador (7 pilares de desarrollo</w:t>
      </w:r>
      <w:r w:rsidRPr="004D6466">
        <w:rPr>
          <w:rFonts w:ascii="Arial" w:hAnsi="Arial" w:cs="Arial"/>
          <w:sz w:val="24"/>
          <w:szCs w:val="24"/>
        </w:rPr>
        <w:t>)</w:t>
      </w:r>
    </w:p>
    <w:p w:rsidR="00A66191" w:rsidRPr="004D6466" w:rsidRDefault="00A66191" w:rsidP="00A66191">
      <w:pPr>
        <w:spacing w:line="360" w:lineRule="auto"/>
        <w:jc w:val="both"/>
        <w:rPr>
          <w:rFonts w:ascii="Arial" w:hAnsi="Arial" w:cs="Arial"/>
          <w:sz w:val="24"/>
          <w:szCs w:val="24"/>
        </w:rPr>
      </w:pPr>
      <w:r w:rsidRPr="004D6466">
        <w:rPr>
          <w:rFonts w:ascii="Arial" w:hAnsi="Arial" w:cs="Arial"/>
          <w:sz w:val="24"/>
          <w:szCs w:val="24"/>
        </w:rPr>
        <w:t>Por sus características el modelo de desarrollo del Ecuador es endógeno  porque se basa en la explotación de sus recursos naturales, en especial del petróleo, a la par que busca resolver los problemas de adentro hacia afuera como son: la satisfacción de las necesidades básicas, la participación de la comunidad y la protección del ambiente; adicionalmente también tiene características que han sido herencia del modelo agro exportador.</w:t>
      </w:r>
    </w:p>
    <w:p w:rsidR="00A66191" w:rsidRPr="004D6466" w:rsidRDefault="00A66191" w:rsidP="00A66191">
      <w:pPr>
        <w:spacing w:line="360" w:lineRule="auto"/>
        <w:jc w:val="both"/>
        <w:rPr>
          <w:rFonts w:ascii="Arial" w:hAnsi="Arial" w:cs="Arial"/>
          <w:sz w:val="24"/>
          <w:szCs w:val="24"/>
        </w:rPr>
      </w:pPr>
      <w:r w:rsidRPr="004D6466">
        <w:rPr>
          <w:rFonts w:ascii="Arial" w:hAnsi="Arial" w:cs="Arial"/>
          <w:sz w:val="24"/>
          <w:szCs w:val="24"/>
        </w:rPr>
        <w:t xml:space="preserve">De acuerdo al modelo de desarrollo endógeno se trata de no seguir importando lo que podría producirse en el país, un ejemplo es la Refinería del Pacifico que servirá para desarrollar productos derivados del petróleo según las realidades y necesidades del país. </w:t>
      </w:r>
    </w:p>
    <w:p w:rsidR="00A66191" w:rsidRPr="004D6466" w:rsidRDefault="00A66191" w:rsidP="00A66191">
      <w:pPr>
        <w:spacing w:line="360" w:lineRule="auto"/>
        <w:jc w:val="both"/>
        <w:rPr>
          <w:rFonts w:ascii="Arial" w:hAnsi="Arial" w:cs="Arial"/>
          <w:sz w:val="24"/>
          <w:szCs w:val="24"/>
        </w:rPr>
      </w:pPr>
      <w:r w:rsidRPr="004D6466">
        <w:rPr>
          <w:rFonts w:ascii="Arial" w:hAnsi="Arial" w:cs="Arial"/>
          <w:sz w:val="24"/>
          <w:szCs w:val="24"/>
        </w:rPr>
        <w:t>En el plan de gobierno 2009-2013 se establece una estrategia de acumulación y redistribución a largo plazo que se puede observar en el siguiente gráfico:</w:t>
      </w:r>
    </w:p>
    <w:p w:rsidR="00A66191" w:rsidRPr="004D6466" w:rsidRDefault="00A66191" w:rsidP="00A66191">
      <w:pPr>
        <w:spacing w:line="360" w:lineRule="auto"/>
        <w:jc w:val="both"/>
        <w:rPr>
          <w:rFonts w:ascii="Arial" w:hAnsi="Arial" w:cs="Arial"/>
          <w:sz w:val="16"/>
          <w:szCs w:val="16"/>
        </w:rPr>
      </w:pPr>
      <w:r w:rsidRPr="004D6466">
        <w:rPr>
          <w:rFonts w:ascii="Arial" w:hAnsi="Arial" w:cs="Arial"/>
          <w:noProof/>
          <w:sz w:val="24"/>
          <w:szCs w:val="24"/>
        </w:rPr>
        <w:drawing>
          <wp:inline distT="0" distB="0" distL="0" distR="0">
            <wp:extent cx="5457825" cy="3419475"/>
            <wp:effectExtent l="38100" t="0" r="28575" b="0"/>
            <wp:docPr id="6" name="Diagrama 6"/>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84" r:lo="rId85" r:qs="rId86" r:cs="rId87"/>
              </a:graphicData>
            </a:graphic>
          </wp:inline>
        </w:drawing>
      </w:r>
      <w:r w:rsidRPr="004D6466">
        <w:rPr>
          <w:rFonts w:ascii="Arial" w:hAnsi="Arial" w:cs="Arial"/>
          <w:sz w:val="16"/>
          <w:szCs w:val="16"/>
        </w:rPr>
        <w:t>Gráfico nº 4                                      fuente: SENPLADES                                elaborado por: María José Ponce</w:t>
      </w:r>
    </w:p>
    <w:p w:rsidR="00A66191" w:rsidRPr="004D6466" w:rsidRDefault="00A66191" w:rsidP="00A66191">
      <w:pPr>
        <w:spacing w:line="360" w:lineRule="auto"/>
        <w:jc w:val="both"/>
        <w:rPr>
          <w:rFonts w:ascii="Arial" w:hAnsi="Arial" w:cs="Arial"/>
          <w:sz w:val="24"/>
          <w:szCs w:val="24"/>
        </w:rPr>
      </w:pPr>
      <w:r w:rsidRPr="004D6466">
        <w:rPr>
          <w:rFonts w:ascii="Arial" w:hAnsi="Arial" w:cs="Arial"/>
          <w:sz w:val="24"/>
          <w:szCs w:val="24"/>
        </w:rPr>
        <w:t xml:space="preserve">La meta fundamental de esta estrategia fue lograr que el Ecuador sea competitivo, así pues en las fases 1 y 2 se logra que el sector primario exportador tenga mayor énfasis que los sectores de nuevas industrias y biotecnología y servicios; en la fase 3 se logra que los sectores primario </w:t>
      </w:r>
      <w:r w:rsidRPr="004D6466">
        <w:rPr>
          <w:rFonts w:ascii="Arial" w:hAnsi="Arial" w:cs="Arial"/>
          <w:sz w:val="24"/>
          <w:szCs w:val="24"/>
        </w:rPr>
        <w:lastRenderedPageBreak/>
        <w:t>exportador y nuevas industrias tengan igual énfasis y el de biotecnología tenga un menor énfasis con respecto a estos dos sectores; en la fase 4 el sector de nuevas industrias tendrá mayor énfasis que el primario exportador y el de biotecnología y servicios.</w:t>
      </w:r>
    </w:p>
    <w:p w:rsidR="00A66191" w:rsidRPr="004D6466" w:rsidRDefault="00A66191" w:rsidP="00A66191">
      <w:pPr>
        <w:tabs>
          <w:tab w:val="left" w:pos="142"/>
        </w:tabs>
        <w:spacing w:line="360" w:lineRule="auto"/>
        <w:jc w:val="both"/>
        <w:rPr>
          <w:rFonts w:ascii="Arial" w:hAnsi="Arial" w:cs="Arial"/>
          <w:bCs/>
          <w:sz w:val="24"/>
          <w:szCs w:val="24"/>
        </w:rPr>
      </w:pPr>
      <w:r w:rsidRPr="004D6466">
        <w:rPr>
          <w:rFonts w:ascii="Arial" w:hAnsi="Arial" w:cs="Arial"/>
          <w:sz w:val="24"/>
          <w:szCs w:val="24"/>
        </w:rPr>
        <w:t>El modelo de desarrollo ecuatoriano que se está ejecutando en el mandato del presidente Rafael Correa se enmarca en el concepto planteado por la constitución del 2008, “el Buen Vivir”, que significa optar por la inclusión de todos los actores de la sociedad ecuatoriana incluyendo los que han sido históricamente excluidos como los indígenas, afro descendientes, montubios, entre otros,</w:t>
      </w:r>
      <w:r w:rsidRPr="004D6466">
        <w:rPr>
          <w:rFonts w:ascii="Arial" w:hAnsi="Arial" w:cs="Arial"/>
          <w:bCs/>
          <w:sz w:val="24"/>
          <w:szCs w:val="24"/>
        </w:rPr>
        <w:t xml:space="preserve"> en un proceso de redistribución de la renta y riqueza así como a aquellas formas de producción que se fundamentan en principios diferentes a la lógica del mercado neoliberal.</w:t>
      </w:r>
    </w:p>
    <w:p w:rsidR="00A66191" w:rsidRPr="004D6466" w:rsidRDefault="00A66191" w:rsidP="00A66191">
      <w:pPr>
        <w:tabs>
          <w:tab w:val="left" w:pos="142"/>
        </w:tabs>
        <w:spacing w:line="360" w:lineRule="auto"/>
        <w:jc w:val="both"/>
        <w:rPr>
          <w:rFonts w:ascii="Arial" w:hAnsi="Arial" w:cs="Arial"/>
          <w:bCs/>
          <w:sz w:val="24"/>
          <w:szCs w:val="24"/>
        </w:rPr>
      </w:pPr>
      <w:r w:rsidRPr="004D6466">
        <w:rPr>
          <w:rFonts w:ascii="Arial" w:hAnsi="Arial" w:cs="Arial"/>
          <w:bCs/>
          <w:sz w:val="24"/>
          <w:szCs w:val="24"/>
        </w:rPr>
        <w:t>Como se establece en el art. 276 de la constitución el Buen Vivir o “Sumak Kawsay” implica mejorar la calidad de vida de la población, desarrollar sus capacidades y potencialidades; contar con un sistema económico que promueva la igualdad a través de la redistribución social y territorial de los beneficios del desarrollo; impulsar la participación efectiva de la ciudadanía en todos los ámbitos de interés público, establecer una convivencia armónica con la naturaleza; garantizar la soberanía nacional, promover la integración latinoamericana; y proteger y promover la diversidad cultural.</w:t>
      </w:r>
    </w:p>
    <w:p w:rsidR="00A66191" w:rsidRPr="004D6466" w:rsidRDefault="00A66191" w:rsidP="00A66191">
      <w:pPr>
        <w:tabs>
          <w:tab w:val="left" w:pos="142"/>
        </w:tabs>
        <w:spacing w:line="360" w:lineRule="auto"/>
        <w:jc w:val="both"/>
        <w:rPr>
          <w:rFonts w:ascii="Arial" w:hAnsi="Arial" w:cs="Arial"/>
          <w:bCs/>
          <w:sz w:val="24"/>
          <w:szCs w:val="24"/>
        </w:rPr>
      </w:pPr>
      <w:r w:rsidRPr="004D6466">
        <w:rPr>
          <w:rFonts w:ascii="Arial" w:hAnsi="Arial" w:cs="Arial"/>
          <w:bCs/>
          <w:sz w:val="24"/>
          <w:szCs w:val="24"/>
        </w:rPr>
        <w:t>Siguiendo estos parámetros el presidente Rafael Correa ha generado cambios profundos en nuestro país como la puesta en marcha de las políticas en los ámbitos: social, educativo, de salud y económico.</w:t>
      </w:r>
    </w:p>
    <w:p w:rsidR="00A66191" w:rsidRPr="004D6466" w:rsidRDefault="00A66191" w:rsidP="00A66191">
      <w:pPr>
        <w:pStyle w:val="NormalWeb"/>
        <w:spacing w:line="360" w:lineRule="auto"/>
        <w:jc w:val="both"/>
        <w:rPr>
          <w:rFonts w:ascii="Arial" w:hAnsi="Arial" w:cs="Arial"/>
        </w:rPr>
      </w:pPr>
      <w:r w:rsidRPr="004D6466">
        <w:rPr>
          <w:rFonts w:ascii="Arial" w:hAnsi="Arial" w:cs="Arial"/>
        </w:rPr>
        <w:t xml:space="preserve">Dentro del Plan Nacional del Buen Vivir se establecen los 7 pilares para el desarrollo, que según lo expresa el Presidente Correa, son los siguientes: </w:t>
      </w:r>
    </w:p>
    <w:p w:rsidR="00A66191" w:rsidRPr="004D6466" w:rsidRDefault="00A66191" w:rsidP="00A66191">
      <w:pPr>
        <w:pStyle w:val="Prrafodelista"/>
        <w:numPr>
          <w:ilvl w:val="0"/>
          <w:numId w:val="23"/>
        </w:numPr>
        <w:spacing w:line="360" w:lineRule="auto"/>
        <w:jc w:val="both"/>
        <w:rPr>
          <w:rFonts w:ascii="Arial" w:hAnsi="Arial" w:cs="Arial"/>
          <w:sz w:val="24"/>
          <w:szCs w:val="24"/>
        </w:rPr>
      </w:pPr>
      <w:r w:rsidRPr="004D6466">
        <w:rPr>
          <w:rFonts w:ascii="Arial" w:hAnsi="Arial" w:cs="Arial"/>
          <w:sz w:val="24"/>
          <w:szCs w:val="24"/>
        </w:rPr>
        <w:t xml:space="preserve">Acervo humano, se refiere a las raíces culturales, y al nivel de  profesionalización de los ciudadanos del país. </w:t>
      </w:r>
    </w:p>
    <w:p w:rsidR="00A66191" w:rsidRPr="004D6466" w:rsidRDefault="00A66191" w:rsidP="00A66191">
      <w:pPr>
        <w:pStyle w:val="Prrafodelista"/>
        <w:numPr>
          <w:ilvl w:val="0"/>
          <w:numId w:val="23"/>
        </w:numPr>
        <w:spacing w:line="360" w:lineRule="auto"/>
        <w:jc w:val="both"/>
        <w:rPr>
          <w:rFonts w:ascii="Arial" w:hAnsi="Arial" w:cs="Arial"/>
          <w:sz w:val="24"/>
          <w:szCs w:val="24"/>
        </w:rPr>
      </w:pPr>
      <w:r w:rsidRPr="004D6466">
        <w:rPr>
          <w:rFonts w:ascii="Arial" w:hAnsi="Arial" w:cs="Arial"/>
          <w:sz w:val="24"/>
          <w:szCs w:val="24"/>
        </w:rPr>
        <w:t xml:space="preserve">Acervo físico, entendido como el desarrollo de la infraestructura, obra vial, descongestionamiento de espacios públicos. </w:t>
      </w:r>
    </w:p>
    <w:p w:rsidR="00A66191" w:rsidRPr="004D6466" w:rsidRDefault="00A66191" w:rsidP="00A66191">
      <w:pPr>
        <w:pStyle w:val="Prrafodelista"/>
        <w:numPr>
          <w:ilvl w:val="0"/>
          <w:numId w:val="23"/>
        </w:numPr>
        <w:spacing w:line="360" w:lineRule="auto"/>
        <w:jc w:val="both"/>
        <w:rPr>
          <w:rFonts w:ascii="Arial" w:hAnsi="Arial" w:cs="Arial"/>
          <w:sz w:val="24"/>
          <w:szCs w:val="24"/>
        </w:rPr>
      </w:pPr>
      <w:r w:rsidRPr="004D6466">
        <w:rPr>
          <w:rFonts w:ascii="Arial" w:hAnsi="Arial" w:cs="Arial"/>
          <w:sz w:val="24"/>
          <w:szCs w:val="24"/>
        </w:rPr>
        <w:t xml:space="preserve">Acervo natural, considerando la biodiversidad del país. </w:t>
      </w:r>
    </w:p>
    <w:p w:rsidR="00A66191" w:rsidRPr="004D6466" w:rsidRDefault="00A66191" w:rsidP="00A66191">
      <w:pPr>
        <w:pStyle w:val="Prrafodelista"/>
        <w:numPr>
          <w:ilvl w:val="0"/>
          <w:numId w:val="23"/>
        </w:numPr>
        <w:spacing w:line="360" w:lineRule="auto"/>
        <w:jc w:val="both"/>
        <w:rPr>
          <w:rFonts w:ascii="Arial" w:hAnsi="Arial" w:cs="Arial"/>
          <w:sz w:val="24"/>
          <w:szCs w:val="24"/>
        </w:rPr>
      </w:pPr>
      <w:r w:rsidRPr="004D6466">
        <w:rPr>
          <w:rFonts w:ascii="Arial" w:hAnsi="Arial" w:cs="Arial"/>
          <w:sz w:val="24"/>
          <w:szCs w:val="24"/>
        </w:rPr>
        <w:lastRenderedPageBreak/>
        <w:t xml:space="preserve">Acervo ciencia y tecnología, referido al desarrollo de la ciencia y tecnología a través de la Secretaria Nacional de Educación Superior Ciencia, Tecnología e Innovación, SENESCYT. </w:t>
      </w:r>
    </w:p>
    <w:p w:rsidR="00A66191" w:rsidRPr="004D6466" w:rsidRDefault="00A66191" w:rsidP="00A66191">
      <w:pPr>
        <w:pStyle w:val="Prrafodelista"/>
        <w:numPr>
          <w:ilvl w:val="0"/>
          <w:numId w:val="23"/>
        </w:numPr>
        <w:spacing w:line="360" w:lineRule="auto"/>
        <w:jc w:val="both"/>
        <w:rPr>
          <w:rFonts w:ascii="Arial" w:hAnsi="Arial" w:cs="Arial"/>
          <w:sz w:val="24"/>
          <w:szCs w:val="24"/>
        </w:rPr>
      </w:pPr>
      <w:r w:rsidRPr="004D6466">
        <w:rPr>
          <w:rFonts w:ascii="Arial" w:hAnsi="Arial" w:cs="Arial"/>
          <w:sz w:val="24"/>
          <w:szCs w:val="24"/>
        </w:rPr>
        <w:t>Cohesión social, cuyo principal componente se plantea como la redistribución de renta y riqueza.</w:t>
      </w:r>
    </w:p>
    <w:p w:rsidR="00A66191" w:rsidRPr="004D6466" w:rsidRDefault="00A66191" w:rsidP="00A66191">
      <w:pPr>
        <w:pStyle w:val="Prrafodelista"/>
        <w:numPr>
          <w:ilvl w:val="0"/>
          <w:numId w:val="23"/>
        </w:numPr>
        <w:spacing w:line="360" w:lineRule="auto"/>
        <w:jc w:val="both"/>
        <w:rPr>
          <w:rFonts w:ascii="Arial" w:hAnsi="Arial" w:cs="Arial"/>
          <w:sz w:val="24"/>
          <w:szCs w:val="24"/>
        </w:rPr>
      </w:pPr>
      <w:r w:rsidRPr="004D6466">
        <w:rPr>
          <w:rFonts w:ascii="Arial" w:hAnsi="Arial" w:cs="Arial"/>
          <w:sz w:val="24"/>
          <w:szCs w:val="24"/>
        </w:rPr>
        <w:t xml:space="preserve"> Acervo institucional, entendido como la despolitización de espacios públicos y privados.</w:t>
      </w:r>
    </w:p>
    <w:p w:rsidR="00A66191" w:rsidRPr="004D6466" w:rsidRDefault="00A66191" w:rsidP="00A66191">
      <w:pPr>
        <w:pStyle w:val="Prrafodelista"/>
        <w:numPr>
          <w:ilvl w:val="0"/>
          <w:numId w:val="23"/>
        </w:numPr>
        <w:spacing w:line="360" w:lineRule="auto"/>
        <w:jc w:val="both"/>
        <w:rPr>
          <w:rFonts w:ascii="Arial" w:hAnsi="Arial" w:cs="Arial"/>
          <w:sz w:val="24"/>
          <w:szCs w:val="24"/>
        </w:rPr>
      </w:pPr>
      <w:r w:rsidRPr="004D6466">
        <w:rPr>
          <w:rFonts w:ascii="Arial" w:hAnsi="Arial" w:cs="Arial"/>
          <w:sz w:val="24"/>
          <w:szCs w:val="24"/>
        </w:rPr>
        <w:t>Acervo cultural, referido a  vencer complejos de inferioridad y de educación”</w:t>
      </w:r>
      <w:r w:rsidRPr="004D6466">
        <w:rPr>
          <w:rStyle w:val="Refdenotaalpie"/>
          <w:rFonts w:ascii="Arial" w:hAnsi="Arial" w:cs="Arial"/>
          <w:sz w:val="24"/>
          <w:szCs w:val="24"/>
        </w:rPr>
        <w:footnoteReference w:id="27"/>
      </w:r>
      <w:r w:rsidRPr="004D6466">
        <w:rPr>
          <w:rFonts w:ascii="Arial" w:hAnsi="Arial" w:cs="Arial"/>
          <w:sz w:val="24"/>
          <w:szCs w:val="24"/>
        </w:rPr>
        <w:t>.</w:t>
      </w:r>
    </w:p>
    <w:p w:rsidR="00A66191" w:rsidRPr="004D6466" w:rsidRDefault="00A66191" w:rsidP="00A66191">
      <w:pPr>
        <w:tabs>
          <w:tab w:val="left" w:pos="142"/>
        </w:tabs>
        <w:spacing w:line="360" w:lineRule="auto"/>
        <w:jc w:val="both"/>
        <w:rPr>
          <w:rFonts w:ascii="Arial" w:hAnsi="Arial" w:cs="Arial"/>
          <w:sz w:val="24"/>
          <w:szCs w:val="24"/>
        </w:rPr>
      </w:pPr>
      <w:r w:rsidRPr="004D6466">
        <w:rPr>
          <w:rFonts w:ascii="Arial" w:hAnsi="Arial" w:cs="Arial"/>
          <w:sz w:val="24"/>
          <w:szCs w:val="24"/>
        </w:rPr>
        <w:t xml:space="preserve">En el 2006 se plantearon 5 revoluciones para cambiar el país: la revolución constitucional y democrática; la revolución ética; la revolución económica y productiva; la revolución educativa y de salud; y la revolución por la dignidad, la soberanía y la integración latinoamericana. Posteriormente ya avanzado el periodo presidencial se sumaron 2 revoluciones más la ambiental y la revolución de la justicia.  </w:t>
      </w:r>
    </w:p>
    <w:p w:rsidR="00A66191" w:rsidRPr="004D6466" w:rsidRDefault="00A66191" w:rsidP="00A66191">
      <w:pPr>
        <w:spacing w:line="360" w:lineRule="auto"/>
        <w:jc w:val="both"/>
        <w:rPr>
          <w:rFonts w:ascii="Arial" w:hAnsi="Arial" w:cs="Arial"/>
          <w:sz w:val="24"/>
          <w:szCs w:val="24"/>
        </w:rPr>
      </w:pPr>
      <w:r w:rsidRPr="004D6466">
        <w:rPr>
          <w:rFonts w:ascii="Arial" w:hAnsi="Arial" w:cs="Arial"/>
          <w:sz w:val="24"/>
          <w:szCs w:val="24"/>
        </w:rPr>
        <w:t>En cuanto al estilo de gobernar que tiene el presidente Correa se puede decir que es de corte confrontacional no solo a nivel nacional sino también en el internacional. Tiene un discurso severo contra el neoliberalismo norteamericano; pero los Estados Unidos siguen recibiendo el 45% de nuestras exportaciones. Ha marcado su posición de izquierda desde el primer día de mandato, se ha declarado abiertamente como socialista del siglo XXI que es el nuevo tipo de izquierda que se ha desarrollado en América Latina con los gobiernos de: Hugo Chávez en Venezuela y Evo Morales en Bolivia.</w:t>
      </w:r>
    </w:p>
    <w:p w:rsidR="00A66191" w:rsidRPr="004D6466" w:rsidRDefault="00A66191" w:rsidP="00A66191">
      <w:pPr>
        <w:spacing w:line="360" w:lineRule="auto"/>
        <w:jc w:val="both"/>
        <w:rPr>
          <w:rFonts w:ascii="Arial" w:hAnsi="Arial" w:cs="Arial"/>
          <w:sz w:val="24"/>
          <w:szCs w:val="24"/>
        </w:rPr>
      </w:pPr>
      <w:r w:rsidRPr="004D6466">
        <w:rPr>
          <w:rFonts w:ascii="Arial" w:hAnsi="Arial" w:cs="Arial"/>
          <w:sz w:val="24"/>
          <w:szCs w:val="24"/>
        </w:rPr>
        <w:t xml:space="preserve">En cuanto al estilo duro de dirigirse a los sectores opositores en las cadenas sabatinas puede ser considerado peyorativo, despectivo y confrontacional. </w:t>
      </w:r>
    </w:p>
    <w:p w:rsidR="00A66191" w:rsidRPr="004D6466" w:rsidRDefault="00A66191" w:rsidP="00A66191">
      <w:pPr>
        <w:spacing w:line="360" w:lineRule="auto"/>
        <w:rPr>
          <w:rFonts w:ascii="Arial" w:hAnsi="Arial" w:cs="Arial"/>
          <w:b/>
          <w:sz w:val="24"/>
          <w:szCs w:val="24"/>
        </w:rPr>
      </w:pPr>
      <w:r w:rsidRPr="004D6466">
        <w:rPr>
          <w:rFonts w:ascii="Arial" w:hAnsi="Arial" w:cs="Arial"/>
          <w:b/>
          <w:sz w:val="24"/>
          <w:szCs w:val="24"/>
        </w:rPr>
        <w:t xml:space="preserve">2.3 Diagnóstico de la situación actual del Brasil </w:t>
      </w:r>
    </w:p>
    <w:p w:rsidR="00A66191" w:rsidRPr="004D6466" w:rsidRDefault="00A66191" w:rsidP="00A66191">
      <w:pPr>
        <w:spacing w:line="360" w:lineRule="auto"/>
        <w:jc w:val="both"/>
        <w:rPr>
          <w:rFonts w:ascii="Arial" w:hAnsi="Arial" w:cs="Arial"/>
          <w:sz w:val="24"/>
          <w:szCs w:val="24"/>
        </w:rPr>
      </w:pPr>
      <w:r w:rsidRPr="004D6466">
        <w:rPr>
          <w:rFonts w:ascii="Arial" w:hAnsi="Arial" w:cs="Arial"/>
          <w:sz w:val="24"/>
          <w:szCs w:val="24"/>
        </w:rPr>
        <w:t>El alcance de este diagnóstico corresponde a las presidencias de Lula da Silva del 2003 al 2010.</w:t>
      </w:r>
    </w:p>
    <w:p w:rsidR="00A66191" w:rsidRPr="004D6466" w:rsidRDefault="00A66191" w:rsidP="00A66191">
      <w:pPr>
        <w:spacing w:line="360" w:lineRule="auto"/>
        <w:jc w:val="both"/>
        <w:rPr>
          <w:rFonts w:ascii="Arial" w:hAnsi="Arial" w:cs="Arial"/>
          <w:sz w:val="24"/>
          <w:szCs w:val="24"/>
        </w:rPr>
      </w:pPr>
      <w:r w:rsidRPr="004D6466">
        <w:rPr>
          <w:rFonts w:ascii="Arial" w:hAnsi="Arial" w:cs="Arial"/>
          <w:sz w:val="24"/>
          <w:szCs w:val="24"/>
        </w:rPr>
        <w:t xml:space="preserve">Desde el ascenso de Luis Ignacio Lula da Silva, Brasil experimentó un crecimiento exponencial, pues su gobierno se caracterizó por un sin número de </w:t>
      </w:r>
      <w:r w:rsidRPr="004D6466">
        <w:rPr>
          <w:rFonts w:ascii="Arial" w:hAnsi="Arial" w:cs="Arial"/>
          <w:sz w:val="24"/>
          <w:szCs w:val="24"/>
        </w:rPr>
        <w:lastRenderedPageBreak/>
        <w:t xml:space="preserve">resultados económicos como: la baja </w:t>
      </w:r>
      <w:hyperlink r:id="rId88" w:tooltip="Inflación" w:history="1">
        <w:r w:rsidRPr="004D6466">
          <w:rPr>
            <w:rStyle w:val="Hipervnculo"/>
            <w:rFonts w:ascii="Arial" w:hAnsi="Arial" w:cs="Arial"/>
            <w:color w:val="auto"/>
            <w:sz w:val="24"/>
            <w:szCs w:val="24"/>
            <w:u w:val="none"/>
          </w:rPr>
          <w:t>inflación</w:t>
        </w:r>
      </w:hyperlink>
      <w:r w:rsidRPr="004D6466">
        <w:rPr>
          <w:rFonts w:ascii="Arial" w:hAnsi="Arial" w:cs="Arial"/>
          <w:sz w:val="24"/>
          <w:szCs w:val="24"/>
        </w:rPr>
        <w:t xml:space="preserve">, y alta tasa de crecimiento del </w:t>
      </w:r>
      <w:hyperlink r:id="rId89" w:tooltip="PBI" w:history="1">
        <w:r w:rsidRPr="004D6466">
          <w:rPr>
            <w:rStyle w:val="Hipervnculo"/>
            <w:rFonts w:ascii="Arial" w:hAnsi="Arial" w:cs="Arial"/>
            <w:color w:val="auto"/>
            <w:sz w:val="24"/>
            <w:szCs w:val="24"/>
            <w:u w:val="none"/>
          </w:rPr>
          <w:t>PI</w:t>
        </w:r>
      </w:hyperlink>
      <w:r w:rsidRPr="004D6466">
        <w:rPr>
          <w:rFonts w:ascii="Arial" w:hAnsi="Arial" w:cs="Arial"/>
          <w:sz w:val="24"/>
          <w:szCs w:val="24"/>
        </w:rPr>
        <w:t xml:space="preserve">B, la reducción del </w:t>
      </w:r>
      <w:hyperlink r:id="rId90" w:tooltip="Desempleo" w:history="1">
        <w:r w:rsidRPr="004D6466">
          <w:rPr>
            <w:rStyle w:val="Hipervnculo"/>
            <w:rFonts w:ascii="Arial" w:hAnsi="Arial" w:cs="Arial"/>
            <w:color w:val="auto"/>
            <w:sz w:val="24"/>
            <w:szCs w:val="24"/>
            <w:u w:val="none"/>
          </w:rPr>
          <w:t>desempleo</w:t>
        </w:r>
      </w:hyperlink>
      <w:r w:rsidRPr="004D6466">
        <w:rPr>
          <w:rFonts w:ascii="Arial" w:hAnsi="Arial" w:cs="Arial"/>
          <w:sz w:val="24"/>
          <w:szCs w:val="24"/>
        </w:rPr>
        <w:t>, mayor división de ingresos y aumentos de la balanza comercial; el incentivo de las exportaciones y la creación de microcréditos, entre otros. En su gestión la medida económica más notoria fue  liquidar anticipadamente el pago de las deudas con el Fondo Monetario Internacional  (FMI) y el Banco Internacional de Reconstrucción y Fomento (BIRF) en el 2005. Fortaleció el mercado interno por medio del aumento en los salarios, la diversificación de los créditos, y facilidades para que la clase media pudiera acceder a los mismos.</w:t>
      </w:r>
    </w:p>
    <w:p w:rsidR="00A66191" w:rsidRPr="004D6466" w:rsidRDefault="00A66191" w:rsidP="00A66191">
      <w:pPr>
        <w:spacing w:line="360" w:lineRule="auto"/>
        <w:jc w:val="both"/>
        <w:rPr>
          <w:rFonts w:ascii="Arial" w:hAnsi="Arial" w:cs="Arial"/>
          <w:sz w:val="24"/>
          <w:szCs w:val="24"/>
        </w:rPr>
      </w:pPr>
      <w:r w:rsidRPr="004D6466">
        <w:rPr>
          <w:rFonts w:ascii="Arial" w:hAnsi="Arial" w:cs="Arial"/>
          <w:sz w:val="24"/>
          <w:szCs w:val="24"/>
        </w:rPr>
        <w:t xml:space="preserve">Desde el principio de su mandato el presidente Luis Ignacio Lula da Silva señaló la necesidad de re potenciar la producción industrial, también manifestó que había que lograr obtener tasas de crecimiento anuales no inferiores al 4,5% o el 5% del </w:t>
      </w:r>
      <w:hyperlink r:id="rId91" w:tooltip="PBI" w:history="1">
        <w:r w:rsidRPr="004D6466">
          <w:rPr>
            <w:rStyle w:val="Hipervnculo"/>
            <w:rFonts w:ascii="Arial" w:hAnsi="Arial" w:cs="Arial"/>
            <w:color w:val="auto"/>
            <w:sz w:val="24"/>
            <w:szCs w:val="24"/>
            <w:u w:val="none"/>
          </w:rPr>
          <w:t>PI</w:t>
        </w:r>
      </w:hyperlink>
      <w:r w:rsidRPr="004D6466">
        <w:rPr>
          <w:rFonts w:ascii="Arial" w:hAnsi="Arial" w:cs="Arial"/>
          <w:sz w:val="24"/>
          <w:szCs w:val="24"/>
        </w:rPr>
        <w:t xml:space="preserve">B, reducir el tipo básico de interés, que se encuentra entre los más altos del mundo, del 18,5% al 13%. </w:t>
      </w:r>
    </w:p>
    <w:p w:rsidR="00A66191" w:rsidRPr="004D6466" w:rsidRDefault="00A66191" w:rsidP="00A66191">
      <w:pPr>
        <w:spacing w:line="360" w:lineRule="auto"/>
        <w:jc w:val="both"/>
        <w:rPr>
          <w:rFonts w:ascii="Arial" w:hAnsi="Arial" w:cs="Arial"/>
          <w:sz w:val="24"/>
          <w:szCs w:val="24"/>
        </w:rPr>
      </w:pPr>
      <w:r w:rsidRPr="004D6466">
        <w:rPr>
          <w:rFonts w:ascii="Arial" w:hAnsi="Arial" w:cs="Arial"/>
          <w:sz w:val="24"/>
          <w:szCs w:val="24"/>
        </w:rPr>
        <w:t xml:space="preserve">Se pretendía que con el abaratamiento de los </w:t>
      </w:r>
      <w:hyperlink r:id="rId92" w:tooltip="Crédito" w:history="1">
        <w:r w:rsidRPr="004D6466">
          <w:rPr>
            <w:rStyle w:val="Hipervnculo"/>
            <w:rFonts w:ascii="Arial" w:hAnsi="Arial" w:cs="Arial"/>
            <w:color w:val="auto"/>
            <w:sz w:val="24"/>
            <w:szCs w:val="24"/>
            <w:u w:val="none"/>
          </w:rPr>
          <w:t>créditos</w:t>
        </w:r>
      </w:hyperlink>
      <w:r w:rsidRPr="004D6466">
        <w:rPr>
          <w:rFonts w:ascii="Arial" w:hAnsi="Arial" w:cs="Arial"/>
          <w:sz w:val="24"/>
          <w:szCs w:val="24"/>
        </w:rPr>
        <w:t>, las inversiones productivas y el consumo se reactiven, adicionalmente se intentaba desanimar las inversiones financieras especulativas y aflojar la deuda pública interna, que en mayo de 2002 se situaba en los 175.000 millones de dólares (259.000 millones en términos brutos), increíble cantidad que representa el 70% de la deuda pública total y el 42% del PIB.</w:t>
      </w:r>
    </w:p>
    <w:p w:rsidR="00A66191" w:rsidRPr="004D6466" w:rsidRDefault="00A66191" w:rsidP="00A66191">
      <w:pPr>
        <w:spacing w:before="100" w:beforeAutospacing="1" w:after="100" w:afterAutospacing="1" w:line="360" w:lineRule="auto"/>
        <w:jc w:val="both"/>
        <w:rPr>
          <w:rFonts w:ascii="Arial" w:eastAsia="Times New Roman" w:hAnsi="Arial" w:cs="Arial"/>
          <w:sz w:val="24"/>
          <w:szCs w:val="24"/>
        </w:rPr>
      </w:pPr>
      <w:r w:rsidRPr="004D6466">
        <w:rPr>
          <w:rFonts w:ascii="Arial" w:eastAsia="Times New Roman" w:hAnsi="Arial" w:cs="Arial"/>
          <w:sz w:val="24"/>
          <w:szCs w:val="24"/>
        </w:rPr>
        <w:t xml:space="preserve">Las </w:t>
      </w:r>
      <w:hyperlink r:id="rId93" w:tooltip="Exportación" w:history="1">
        <w:r w:rsidRPr="004D6466">
          <w:rPr>
            <w:rFonts w:ascii="Arial" w:eastAsia="Times New Roman" w:hAnsi="Arial" w:cs="Arial"/>
            <w:sz w:val="24"/>
            <w:szCs w:val="24"/>
          </w:rPr>
          <w:t>exportaciones</w:t>
        </w:r>
      </w:hyperlink>
      <w:r w:rsidRPr="004D6466">
        <w:rPr>
          <w:rFonts w:ascii="Arial" w:eastAsia="Times New Roman" w:hAnsi="Arial" w:cs="Arial"/>
          <w:sz w:val="24"/>
          <w:szCs w:val="24"/>
        </w:rPr>
        <w:t xml:space="preserve"> se triplicaron en cinco años, pasando de aproximadamente 60 mil millones de dólares en el año </w:t>
      </w:r>
      <w:hyperlink r:id="rId94" w:tooltip="2002" w:history="1">
        <w:r w:rsidRPr="004D6466">
          <w:rPr>
            <w:rFonts w:ascii="Arial" w:eastAsia="Times New Roman" w:hAnsi="Arial" w:cs="Arial"/>
            <w:sz w:val="24"/>
            <w:szCs w:val="24"/>
          </w:rPr>
          <w:t>2002</w:t>
        </w:r>
      </w:hyperlink>
      <w:r w:rsidRPr="004D6466">
        <w:rPr>
          <w:rFonts w:ascii="Arial" w:eastAsia="Times New Roman" w:hAnsi="Arial" w:cs="Arial"/>
          <w:sz w:val="24"/>
          <w:szCs w:val="24"/>
        </w:rPr>
        <w:t xml:space="preserve">, a más de 200 mil millones de dólares en el año </w:t>
      </w:r>
      <w:hyperlink r:id="rId95" w:tooltip="2008" w:history="1">
        <w:r w:rsidRPr="004D6466">
          <w:rPr>
            <w:rFonts w:ascii="Arial" w:eastAsia="Times New Roman" w:hAnsi="Arial" w:cs="Arial"/>
            <w:sz w:val="24"/>
            <w:szCs w:val="24"/>
          </w:rPr>
          <w:t>2008</w:t>
        </w:r>
      </w:hyperlink>
      <w:r w:rsidRPr="004D6466">
        <w:rPr>
          <w:rFonts w:ascii="Arial" w:eastAsia="Times New Roman" w:hAnsi="Arial" w:cs="Arial"/>
          <w:sz w:val="24"/>
          <w:szCs w:val="24"/>
        </w:rPr>
        <w:t>.</w:t>
      </w:r>
    </w:p>
    <w:p w:rsidR="00A66191" w:rsidRPr="004D6466" w:rsidRDefault="00A66191" w:rsidP="00A66191">
      <w:pPr>
        <w:spacing w:before="100" w:beforeAutospacing="1" w:after="100" w:afterAutospacing="1" w:line="360" w:lineRule="auto"/>
        <w:jc w:val="both"/>
        <w:rPr>
          <w:rFonts w:ascii="Arial" w:eastAsia="Times New Roman" w:hAnsi="Arial" w:cs="Arial"/>
          <w:sz w:val="24"/>
          <w:szCs w:val="24"/>
        </w:rPr>
      </w:pPr>
      <w:r w:rsidRPr="004D6466">
        <w:rPr>
          <w:rFonts w:ascii="Arial" w:eastAsia="Times New Roman" w:hAnsi="Arial" w:cs="Arial"/>
          <w:sz w:val="24"/>
          <w:szCs w:val="24"/>
        </w:rPr>
        <w:t xml:space="preserve">Brasil es el mayor poseedor de reservas de aguas dulce del mundo, y está en el noveno puesto en cuanto a reservas de </w:t>
      </w:r>
      <w:hyperlink r:id="rId96" w:tooltip="Petróleo" w:history="1">
        <w:r w:rsidRPr="004D6466">
          <w:rPr>
            <w:rFonts w:ascii="Arial" w:eastAsia="Times New Roman" w:hAnsi="Arial" w:cs="Arial"/>
            <w:sz w:val="24"/>
            <w:szCs w:val="24"/>
          </w:rPr>
          <w:t>petróleo</w:t>
        </w:r>
      </w:hyperlink>
      <w:r w:rsidRPr="004D6466">
        <w:rPr>
          <w:rFonts w:ascii="Arial" w:eastAsia="Times New Roman" w:hAnsi="Arial" w:cs="Arial"/>
          <w:sz w:val="24"/>
          <w:szCs w:val="24"/>
        </w:rPr>
        <w:t xml:space="preserve">, después de la confirmación en noviembre de </w:t>
      </w:r>
      <w:hyperlink r:id="rId97" w:tooltip="2007" w:history="1">
        <w:r w:rsidRPr="004D6466">
          <w:rPr>
            <w:rFonts w:ascii="Arial" w:eastAsia="Times New Roman" w:hAnsi="Arial" w:cs="Arial"/>
            <w:sz w:val="24"/>
            <w:szCs w:val="24"/>
          </w:rPr>
          <w:t>2007</w:t>
        </w:r>
      </w:hyperlink>
      <w:r w:rsidRPr="004D6466">
        <w:rPr>
          <w:rFonts w:ascii="Arial" w:eastAsia="Times New Roman" w:hAnsi="Arial" w:cs="Arial"/>
          <w:sz w:val="24"/>
          <w:szCs w:val="24"/>
        </w:rPr>
        <w:t xml:space="preserve">, de los yacimientos existentes en la </w:t>
      </w:r>
      <w:hyperlink r:id="rId98" w:tooltip="Cuenca de Santos" w:history="1">
        <w:r w:rsidRPr="004D6466">
          <w:rPr>
            <w:rFonts w:ascii="Arial" w:eastAsia="Times New Roman" w:hAnsi="Arial" w:cs="Arial"/>
            <w:sz w:val="24"/>
            <w:szCs w:val="24"/>
          </w:rPr>
          <w:t>Cuenca de Santos</w:t>
        </w:r>
      </w:hyperlink>
      <w:r w:rsidRPr="004D6466">
        <w:rPr>
          <w:rFonts w:ascii="Arial" w:eastAsia="Times New Roman" w:hAnsi="Arial" w:cs="Arial"/>
          <w:sz w:val="24"/>
          <w:szCs w:val="24"/>
        </w:rPr>
        <w:t xml:space="preserve"> (yacimientos que se encuentran en aguas profundas).</w:t>
      </w:r>
    </w:p>
    <w:p w:rsidR="00A66191" w:rsidRPr="004D6466" w:rsidRDefault="00A66191" w:rsidP="00A66191">
      <w:pPr>
        <w:spacing w:before="100" w:beforeAutospacing="1" w:after="100" w:afterAutospacing="1" w:line="360" w:lineRule="auto"/>
        <w:jc w:val="both"/>
        <w:rPr>
          <w:rFonts w:ascii="Arial" w:eastAsia="Times New Roman" w:hAnsi="Arial" w:cs="Arial"/>
          <w:sz w:val="24"/>
          <w:szCs w:val="24"/>
        </w:rPr>
      </w:pPr>
      <w:r w:rsidRPr="004D6466">
        <w:rPr>
          <w:rFonts w:ascii="Arial" w:eastAsia="Times New Roman" w:hAnsi="Arial" w:cs="Arial"/>
          <w:sz w:val="24"/>
          <w:szCs w:val="24"/>
        </w:rPr>
        <w:t xml:space="preserve">En cuanto a las reservas económicas internacionales, ellas se sitúan en los 335 mil millones de dólares. La moneda brasileña, el </w:t>
      </w:r>
      <w:hyperlink r:id="rId99" w:tooltip="Real brasileño" w:history="1">
        <w:r w:rsidRPr="004D6466">
          <w:rPr>
            <w:rFonts w:ascii="Arial" w:eastAsia="Times New Roman" w:hAnsi="Arial" w:cs="Arial"/>
            <w:sz w:val="24"/>
            <w:szCs w:val="24"/>
          </w:rPr>
          <w:t>real</w:t>
        </w:r>
      </w:hyperlink>
      <w:r w:rsidRPr="004D6466">
        <w:rPr>
          <w:rFonts w:ascii="Arial" w:eastAsia="Times New Roman" w:hAnsi="Arial" w:cs="Arial"/>
          <w:sz w:val="24"/>
          <w:szCs w:val="24"/>
        </w:rPr>
        <w:t xml:space="preserve">, se consolidó como una moneda fuerte y de intensa actuación en la zona </w:t>
      </w:r>
      <w:hyperlink r:id="rId100" w:tooltip="América Latina" w:history="1">
        <w:r w:rsidRPr="004D6466">
          <w:rPr>
            <w:rFonts w:ascii="Arial" w:eastAsia="Times New Roman" w:hAnsi="Arial" w:cs="Arial"/>
            <w:sz w:val="24"/>
            <w:szCs w:val="24"/>
          </w:rPr>
          <w:t>latino americana</w:t>
        </w:r>
      </w:hyperlink>
      <w:r w:rsidRPr="004D6466">
        <w:rPr>
          <w:rFonts w:ascii="Arial" w:eastAsia="Times New Roman" w:hAnsi="Arial" w:cs="Arial"/>
          <w:sz w:val="24"/>
          <w:szCs w:val="24"/>
        </w:rPr>
        <w:t>.</w:t>
      </w:r>
    </w:p>
    <w:p w:rsidR="00A66191" w:rsidRPr="004D6466" w:rsidRDefault="00A66191" w:rsidP="00A66191">
      <w:pPr>
        <w:spacing w:before="100" w:beforeAutospacing="1" w:after="100" w:afterAutospacing="1" w:line="360" w:lineRule="auto"/>
        <w:jc w:val="both"/>
        <w:rPr>
          <w:rFonts w:ascii="Arial" w:eastAsia="Times New Roman" w:hAnsi="Arial" w:cs="Arial"/>
          <w:sz w:val="24"/>
          <w:szCs w:val="24"/>
        </w:rPr>
      </w:pPr>
      <w:r w:rsidRPr="004D6466">
        <w:rPr>
          <w:rFonts w:ascii="Arial" w:eastAsia="Times New Roman" w:hAnsi="Arial" w:cs="Arial"/>
          <w:sz w:val="24"/>
          <w:szCs w:val="24"/>
        </w:rPr>
        <w:lastRenderedPageBreak/>
        <w:t xml:space="preserve">Por otra parte, Brasil posee la sexta mayor reserva de </w:t>
      </w:r>
      <w:hyperlink r:id="rId101" w:tooltip="Uranio" w:history="1">
        <w:r w:rsidRPr="004D6466">
          <w:rPr>
            <w:rFonts w:ascii="Arial" w:eastAsia="Times New Roman" w:hAnsi="Arial" w:cs="Arial"/>
            <w:sz w:val="24"/>
            <w:szCs w:val="24"/>
          </w:rPr>
          <w:t>uranio</w:t>
        </w:r>
      </w:hyperlink>
      <w:r w:rsidRPr="004D6466">
        <w:rPr>
          <w:rFonts w:ascii="Arial" w:eastAsia="Times New Roman" w:hAnsi="Arial" w:cs="Arial"/>
          <w:sz w:val="24"/>
          <w:szCs w:val="24"/>
        </w:rPr>
        <w:t>, y ya enriquece dicho mineral a un grado de 3,8% y 4%, porcentaje que pretende aumentar hasta el 6% a corto plazo.</w:t>
      </w:r>
    </w:p>
    <w:p w:rsidR="00A66191" w:rsidRPr="004D6466" w:rsidRDefault="00A66191" w:rsidP="00A66191">
      <w:pPr>
        <w:spacing w:before="100" w:beforeAutospacing="1" w:after="100" w:afterAutospacing="1" w:line="360" w:lineRule="auto"/>
        <w:jc w:val="both"/>
        <w:rPr>
          <w:rFonts w:ascii="Arial" w:eastAsia="Times New Roman" w:hAnsi="Arial" w:cs="Arial"/>
          <w:sz w:val="24"/>
          <w:szCs w:val="24"/>
        </w:rPr>
      </w:pPr>
      <w:r w:rsidRPr="004D6466">
        <w:rPr>
          <w:rFonts w:ascii="Arial" w:eastAsia="Times New Roman" w:hAnsi="Arial" w:cs="Arial"/>
          <w:sz w:val="24"/>
          <w:szCs w:val="24"/>
        </w:rPr>
        <w:t>Aspectos claves de su gobierno:</w:t>
      </w:r>
    </w:p>
    <w:p w:rsidR="00A66191" w:rsidRPr="004D6466" w:rsidRDefault="00A66191" w:rsidP="00A66191">
      <w:pPr>
        <w:pStyle w:val="Prrafodelista"/>
        <w:numPr>
          <w:ilvl w:val="0"/>
          <w:numId w:val="7"/>
        </w:numPr>
        <w:spacing w:before="100" w:beforeAutospacing="1" w:after="100" w:afterAutospacing="1" w:line="360" w:lineRule="auto"/>
        <w:jc w:val="both"/>
        <w:rPr>
          <w:rFonts w:ascii="Arial" w:eastAsia="Times New Roman" w:hAnsi="Arial" w:cs="Arial"/>
          <w:sz w:val="24"/>
          <w:szCs w:val="24"/>
        </w:rPr>
      </w:pPr>
      <w:r w:rsidRPr="004D6466">
        <w:rPr>
          <w:rFonts w:ascii="Arial" w:hAnsi="Arial" w:cs="Arial"/>
          <w:sz w:val="24"/>
          <w:szCs w:val="24"/>
        </w:rPr>
        <w:t>A través del programa “Bolsa Familia” y demás políticas sociales transfirió una considerable cantidad de recursos a las familias más pobres del Brasil, logrando así que aproximadamente unos 20 millones de personas salgan de la miseria. Aunque el programa Bolsa Familia apenas ha distribuido el 0.4% del PIB, y la seguridad social el 7%, es indiscutible los beneficios que ha tenido, pues hoy en día el 70% de las viviendas poseen electrodomésticos, como refrigerador, televisión, cocina y lavadora de ropa. El aumento anual del salario mínimo por encima del índice de inflación amplió el poder adquisitivo de la población brasileña.</w:t>
      </w:r>
    </w:p>
    <w:p w:rsidR="00A66191" w:rsidRPr="004D6466" w:rsidRDefault="00A66191" w:rsidP="00A66191">
      <w:pPr>
        <w:pStyle w:val="Prrafodelista"/>
        <w:numPr>
          <w:ilvl w:val="0"/>
          <w:numId w:val="7"/>
        </w:numPr>
        <w:spacing w:before="100" w:beforeAutospacing="1" w:after="100" w:afterAutospacing="1" w:line="360" w:lineRule="auto"/>
        <w:jc w:val="both"/>
        <w:rPr>
          <w:rFonts w:ascii="Arial" w:eastAsia="Times New Roman" w:hAnsi="Arial" w:cs="Arial"/>
          <w:sz w:val="24"/>
          <w:szCs w:val="24"/>
        </w:rPr>
      </w:pPr>
      <w:r w:rsidRPr="004D6466">
        <w:rPr>
          <w:rFonts w:ascii="Arial" w:hAnsi="Arial" w:cs="Arial"/>
          <w:sz w:val="24"/>
          <w:szCs w:val="24"/>
        </w:rPr>
        <w:t>La inflación se mantuvo por debajo del 5% y el salario mínimo hoy es de más de US$ 200, lo que ha permitido al consumidor planificar mejor sus compras, facilitando además una política de préstamos fijos y a largo plazo, a pesar de que los intereses sean todavía elevados.</w:t>
      </w:r>
    </w:p>
    <w:p w:rsidR="00A66191" w:rsidRPr="004D6466" w:rsidRDefault="00A66191" w:rsidP="00A66191">
      <w:pPr>
        <w:pStyle w:val="Prrafodelista"/>
        <w:numPr>
          <w:ilvl w:val="0"/>
          <w:numId w:val="7"/>
        </w:numPr>
        <w:spacing w:before="100" w:beforeAutospacing="1" w:after="100" w:afterAutospacing="1" w:line="360" w:lineRule="auto"/>
        <w:jc w:val="both"/>
        <w:rPr>
          <w:rFonts w:ascii="Arial" w:eastAsia="Times New Roman" w:hAnsi="Arial" w:cs="Arial"/>
          <w:sz w:val="24"/>
          <w:szCs w:val="24"/>
        </w:rPr>
      </w:pPr>
      <w:r w:rsidRPr="004D6466">
        <w:rPr>
          <w:rFonts w:ascii="Arial" w:hAnsi="Arial" w:cs="Arial"/>
          <w:sz w:val="24"/>
          <w:szCs w:val="24"/>
        </w:rPr>
        <w:t>A pesar de que las actuaciones del Movimiento de los “Sin Tierra”, de los movimientos “Pro Vivienda” causaron inquietud en las autoridades, no hubo represión policíaca-militar y el gobierno buscó el diálogo con los líderes populares.</w:t>
      </w:r>
    </w:p>
    <w:p w:rsidR="00A66191" w:rsidRPr="004D6466" w:rsidRDefault="00A66191" w:rsidP="00A66191">
      <w:pPr>
        <w:pStyle w:val="Prrafodelista"/>
        <w:numPr>
          <w:ilvl w:val="0"/>
          <w:numId w:val="7"/>
        </w:numPr>
        <w:spacing w:before="100" w:beforeAutospacing="1" w:after="100" w:afterAutospacing="1" w:line="360" w:lineRule="auto"/>
        <w:jc w:val="both"/>
        <w:rPr>
          <w:rFonts w:ascii="Arial" w:eastAsia="Times New Roman" w:hAnsi="Arial" w:cs="Arial"/>
          <w:sz w:val="24"/>
          <w:szCs w:val="24"/>
        </w:rPr>
      </w:pPr>
      <w:r w:rsidRPr="004D6466">
        <w:rPr>
          <w:rFonts w:ascii="Arial" w:hAnsi="Arial" w:cs="Arial"/>
          <w:sz w:val="24"/>
          <w:szCs w:val="24"/>
        </w:rPr>
        <w:t>Al rechazar el ALCA y pagar las deudas del país con el FMI, el gobierno de Lula colocó al Brasil como país soberano e independiente. Eso le ha permitido mantener una confortable distancia de la Casa Blanca y aproximarse a África, a los países árabes y a Asia, hasta el punto de  fortalecer el G20, en el que participan países en desarrollo. Estrechó relaciones también con Sudáfrica, China y la India y rompió el “eje del mal” de Bush al defender a Cuba, Venezuela e Irán.</w:t>
      </w:r>
    </w:p>
    <w:p w:rsidR="00A66191" w:rsidRPr="004D6466" w:rsidRDefault="00A66191" w:rsidP="00A66191">
      <w:pPr>
        <w:pStyle w:val="Prrafodelista"/>
        <w:numPr>
          <w:ilvl w:val="0"/>
          <w:numId w:val="7"/>
        </w:numPr>
        <w:spacing w:before="100" w:beforeAutospacing="1" w:after="100" w:afterAutospacing="1" w:line="360" w:lineRule="auto"/>
        <w:jc w:val="both"/>
        <w:rPr>
          <w:rFonts w:ascii="Arial" w:hAnsi="Arial" w:cs="Arial"/>
          <w:sz w:val="24"/>
          <w:szCs w:val="24"/>
        </w:rPr>
      </w:pPr>
      <w:r w:rsidRPr="004D6466">
        <w:rPr>
          <w:rFonts w:ascii="Arial" w:hAnsi="Arial" w:cs="Arial"/>
          <w:sz w:val="24"/>
          <w:szCs w:val="24"/>
        </w:rPr>
        <w:t xml:space="preserve">Lula prefirió dejar de lado los discursos escritos y los protocolos para alimentar su empatía con el ciudadano común, usando un lenguaje popular, sin tecnicismos o expresiones académicas. Muchas veces </w:t>
      </w:r>
      <w:r w:rsidRPr="004D6466">
        <w:rPr>
          <w:rFonts w:ascii="Arial" w:hAnsi="Arial" w:cs="Arial"/>
          <w:sz w:val="24"/>
          <w:szCs w:val="24"/>
        </w:rPr>
        <w:lastRenderedPageBreak/>
        <w:t>externó sus sentimientos sin pudor, dejó que la emoción le llevase hasta las lágrimas y la rabia le hiciera usar las mismas expresiones que la gente sencilla del pueblo utiliza.</w:t>
      </w:r>
    </w:p>
    <w:p w:rsidR="00A66191" w:rsidRPr="004D6466" w:rsidRDefault="00A66191" w:rsidP="00A66191">
      <w:pPr>
        <w:pStyle w:val="NormalWeb"/>
        <w:spacing w:line="360" w:lineRule="auto"/>
        <w:jc w:val="both"/>
        <w:rPr>
          <w:rFonts w:ascii="Arial" w:hAnsi="Arial" w:cs="Arial"/>
        </w:rPr>
      </w:pPr>
      <w:r w:rsidRPr="004D6466">
        <w:rPr>
          <w:rFonts w:ascii="Arial" w:hAnsi="Arial" w:cs="Arial"/>
        </w:rPr>
        <w:t>En el campo de la educación podemos ver cómo Lula da Silva logró conseguir fuertes niveles de escolarización tanto en ámbitos universitarios como primarios en muchas regiones de su país. En solo 36 meses la población no escolarizada se redujo entre 18% y 29%, considerando el grupo de 4 a 17 años de edad.</w:t>
      </w:r>
    </w:p>
    <w:p w:rsidR="00A66191" w:rsidRPr="004D6466" w:rsidRDefault="00A66191" w:rsidP="00A66191">
      <w:pPr>
        <w:pStyle w:val="NormalWeb"/>
        <w:spacing w:line="360" w:lineRule="auto"/>
        <w:jc w:val="both"/>
        <w:rPr>
          <w:rFonts w:ascii="Arial" w:hAnsi="Arial" w:cs="Arial"/>
        </w:rPr>
      </w:pPr>
      <w:r w:rsidRPr="004D6466">
        <w:rPr>
          <w:rFonts w:ascii="Arial" w:hAnsi="Arial" w:cs="Arial"/>
        </w:rPr>
        <w:t>Con la creación del Fondo de Manutención y Desenvolvimiento de Educación Básica (FUNDEB), el gobierno de Lula logró atender a 47 millones de estudiantes brasileños, con inversiones anuales de hasta R$ 7,3 billones.</w:t>
      </w:r>
    </w:p>
    <w:p w:rsidR="00A66191" w:rsidRPr="004D6466" w:rsidRDefault="00A66191" w:rsidP="00A66191">
      <w:pPr>
        <w:pStyle w:val="NormalWeb"/>
        <w:spacing w:line="360" w:lineRule="auto"/>
        <w:jc w:val="both"/>
        <w:rPr>
          <w:rFonts w:ascii="Arial" w:hAnsi="Arial" w:cs="Arial"/>
        </w:rPr>
      </w:pPr>
      <w:r w:rsidRPr="004D6466">
        <w:rPr>
          <w:rFonts w:ascii="Arial" w:hAnsi="Arial" w:cs="Arial"/>
        </w:rPr>
        <w:t xml:space="preserve">En el área de educación superior, el Programa Universidad para Todos (PROUNI), se destacó como el mayor programa de becas de estudio de la historia de la educación brasileña y latinoamericana, posibilitando el acceso de millares de jóvenes a la educación y estimulando el proceso de incluirse en la sociedad. En el año </w:t>
      </w:r>
      <w:hyperlink r:id="rId102" w:tooltip="2007" w:history="1">
        <w:r w:rsidRPr="004D6466">
          <w:rPr>
            <w:rStyle w:val="Hipervnculo"/>
            <w:rFonts w:ascii="Arial" w:hAnsi="Arial" w:cs="Arial"/>
            <w:color w:val="auto"/>
            <w:u w:val="none"/>
          </w:rPr>
          <w:t>2007</w:t>
        </w:r>
      </w:hyperlink>
      <w:r w:rsidRPr="004D6466">
        <w:rPr>
          <w:rFonts w:ascii="Arial" w:hAnsi="Arial" w:cs="Arial"/>
        </w:rPr>
        <w:t xml:space="preserve">, el PROUNI ofreció 265 mil becas de estudio en 1.985 instituciones en todo el país. </w:t>
      </w:r>
    </w:p>
    <w:p w:rsidR="00A66191" w:rsidRPr="004D6466" w:rsidRDefault="00A66191" w:rsidP="00A66191">
      <w:pPr>
        <w:pStyle w:val="NormalWeb"/>
        <w:spacing w:line="360" w:lineRule="auto"/>
        <w:jc w:val="both"/>
        <w:rPr>
          <w:rFonts w:ascii="Arial" w:hAnsi="Arial" w:cs="Arial"/>
        </w:rPr>
      </w:pPr>
      <w:r w:rsidRPr="004D6466">
        <w:rPr>
          <w:rFonts w:ascii="Arial" w:hAnsi="Arial" w:cs="Arial"/>
        </w:rPr>
        <w:t xml:space="preserve">El gobierno también invirtió en la creación de 11 nuevas </w:t>
      </w:r>
      <w:hyperlink r:id="rId103" w:tooltip="Universidad" w:history="1">
        <w:r w:rsidRPr="004D6466">
          <w:rPr>
            <w:rStyle w:val="Hipervnculo"/>
            <w:rFonts w:ascii="Arial" w:hAnsi="Arial" w:cs="Arial"/>
            <w:color w:val="auto"/>
            <w:u w:val="none"/>
          </w:rPr>
          <w:t>Universidades</w:t>
        </w:r>
      </w:hyperlink>
      <w:r w:rsidRPr="004D6466">
        <w:rPr>
          <w:rFonts w:ascii="Arial" w:hAnsi="Arial" w:cs="Arial"/>
        </w:rPr>
        <w:t xml:space="preserve"> públicas federales, interiorizando el acceso a educación de calidad, pública y gratuita. Actualmente, las universidades federales ofrecen 135 mil plazas gratuitas.</w:t>
      </w:r>
    </w:p>
    <w:p w:rsidR="00A66191" w:rsidRPr="004D6466" w:rsidRDefault="00A66191" w:rsidP="00A66191">
      <w:pPr>
        <w:pStyle w:val="NormalWeb"/>
        <w:spacing w:line="360" w:lineRule="auto"/>
        <w:jc w:val="both"/>
        <w:rPr>
          <w:rFonts w:ascii="Arial" w:hAnsi="Arial" w:cs="Arial"/>
        </w:rPr>
      </w:pPr>
      <w:r w:rsidRPr="004D6466">
        <w:rPr>
          <w:rFonts w:ascii="Arial" w:hAnsi="Arial" w:cs="Arial"/>
        </w:rPr>
        <w:t xml:space="preserve">En relación a la mortalidad infantil, Brasil también avanzó bajo el gobierno de Lula. La </w:t>
      </w:r>
      <w:hyperlink r:id="rId104" w:tooltip="Tasa de mortalidad infantil" w:history="1">
        <w:r w:rsidRPr="004D6466">
          <w:rPr>
            <w:rStyle w:val="Hipervnculo"/>
            <w:rFonts w:ascii="Arial" w:hAnsi="Arial" w:cs="Arial"/>
            <w:color w:val="auto"/>
            <w:u w:val="none"/>
          </w:rPr>
          <w:t>tasa de mortalidad infantil</w:t>
        </w:r>
      </w:hyperlink>
      <w:r w:rsidRPr="004D6466">
        <w:rPr>
          <w:rFonts w:ascii="Arial" w:hAnsi="Arial" w:cs="Arial"/>
        </w:rPr>
        <w:t xml:space="preserve"> (tasa de niños muertos antes de cumplir el año de edad) bajó de 69 por mil en 1980 a 21,2 por mil.</w:t>
      </w:r>
    </w:p>
    <w:p w:rsidR="00A66191" w:rsidRPr="004D6466" w:rsidRDefault="00A66191" w:rsidP="00A66191">
      <w:pPr>
        <w:pStyle w:val="Textonotapie"/>
        <w:spacing w:line="360" w:lineRule="auto"/>
        <w:jc w:val="both"/>
        <w:rPr>
          <w:rFonts w:ascii="Arial" w:hAnsi="Arial" w:cs="Arial"/>
          <w:sz w:val="24"/>
          <w:szCs w:val="24"/>
        </w:rPr>
      </w:pPr>
      <w:r w:rsidRPr="004D6466">
        <w:rPr>
          <w:rFonts w:ascii="Arial" w:hAnsi="Arial" w:cs="Arial"/>
          <w:sz w:val="24"/>
          <w:szCs w:val="24"/>
        </w:rPr>
        <w:t xml:space="preserve">Lula da Silva mostró gran preocupación cuando La edición especial de la National Geographic titulada «EarthPulse, State of the Earth 2010» reportó que Brasil encabeza la lista mundial de países con mayor tasa de deforestación con 3,47 millones de hectáreas anuales, un promedio de los años 2000 a 2005, y que corresponde a 2,4 veces la deforestación de Indonesia por lo que en su gobierno se tomaron medidas para evitar la deforestación como: “La creación de un grupo permanente de trabajo interministerial y tuvo como objetivo para el 2020 aumentar las acciones de control y fiscalización de la deforestación, así </w:t>
      </w:r>
      <w:r w:rsidRPr="004D6466">
        <w:rPr>
          <w:rFonts w:ascii="Arial" w:hAnsi="Arial" w:cs="Arial"/>
          <w:sz w:val="24"/>
          <w:szCs w:val="24"/>
        </w:rPr>
        <w:lastRenderedPageBreak/>
        <w:t>como también promover la difusión de prácticas sustentables, disminución de la deforestación ilegal en los alrededores y dentro de las unidades de conservación y de las tierras indígenas que existen en el “Cerrado”</w:t>
      </w:r>
      <w:r w:rsidRPr="004D6466">
        <w:rPr>
          <w:rStyle w:val="Refdenotaalpie"/>
          <w:rFonts w:ascii="Arial" w:hAnsi="Arial" w:cs="Arial"/>
          <w:sz w:val="24"/>
          <w:szCs w:val="24"/>
        </w:rPr>
        <w:footnoteReference w:id="28"/>
      </w:r>
      <w:r w:rsidRPr="004D6466">
        <w:rPr>
          <w:rFonts w:ascii="Arial" w:hAnsi="Arial" w:cs="Arial"/>
          <w:sz w:val="24"/>
          <w:szCs w:val="24"/>
        </w:rPr>
        <w:t xml:space="preserve">. El Cerrado se refiere a una amplia </w:t>
      </w:r>
      <w:hyperlink r:id="rId105" w:tooltip="Ecorregión" w:history="1">
        <w:r w:rsidRPr="004D6466">
          <w:rPr>
            <w:rStyle w:val="Hipervnculo"/>
            <w:rFonts w:ascii="Arial" w:hAnsi="Arial" w:cs="Arial"/>
            <w:color w:val="auto"/>
            <w:sz w:val="24"/>
            <w:szCs w:val="24"/>
            <w:u w:val="none"/>
          </w:rPr>
          <w:t>eco región</w:t>
        </w:r>
      </w:hyperlink>
      <w:r w:rsidRPr="004D6466">
        <w:rPr>
          <w:rFonts w:ascii="Arial" w:hAnsi="Arial" w:cs="Arial"/>
          <w:sz w:val="24"/>
          <w:szCs w:val="24"/>
        </w:rPr>
        <w:t xml:space="preserve"> de </w:t>
      </w:r>
      <w:hyperlink r:id="rId106" w:tooltip="Sabana tropical" w:history="1">
        <w:r w:rsidRPr="004D6466">
          <w:rPr>
            <w:rStyle w:val="Hipervnculo"/>
            <w:rFonts w:ascii="Arial" w:hAnsi="Arial" w:cs="Arial"/>
            <w:color w:val="auto"/>
            <w:sz w:val="24"/>
            <w:szCs w:val="24"/>
            <w:u w:val="none"/>
          </w:rPr>
          <w:t>sabana tropical</w:t>
        </w:r>
      </w:hyperlink>
      <w:r w:rsidRPr="004D6466">
        <w:rPr>
          <w:rFonts w:ascii="Arial" w:hAnsi="Arial" w:cs="Arial"/>
          <w:sz w:val="24"/>
          <w:szCs w:val="24"/>
        </w:rPr>
        <w:t xml:space="preserve"> de </w:t>
      </w:r>
      <w:hyperlink r:id="rId107" w:tooltip="Brasil" w:history="1">
        <w:r w:rsidRPr="004D6466">
          <w:rPr>
            <w:rStyle w:val="Hipervnculo"/>
            <w:rFonts w:ascii="Arial" w:hAnsi="Arial" w:cs="Arial"/>
            <w:color w:val="auto"/>
            <w:sz w:val="24"/>
            <w:szCs w:val="24"/>
            <w:u w:val="none"/>
          </w:rPr>
          <w:t>Brasil</w:t>
        </w:r>
      </w:hyperlink>
      <w:r w:rsidRPr="004D6466">
        <w:rPr>
          <w:rFonts w:ascii="Arial" w:hAnsi="Arial" w:cs="Arial"/>
          <w:sz w:val="24"/>
          <w:szCs w:val="24"/>
        </w:rPr>
        <w:t xml:space="preserve">, que  cubre 1.916.900 km² en el que se incluye el </w:t>
      </w:r>
      <w:hyperlink r:id="rId108" w:tooltip="Estados de Brasil" w:history="1">
        <w:r w:rsidRPr="004D6466">
          <w:rPr>
            <w:rStyle w:val="Hipervnculo"/>
            <w:rFonts w:ascii="Arial" w:hAnsi="Arial" w:cs="Arial"/>
            <w:color w:val="auto"/>
            <w:sz w:val="24"/>
            <w:szCs w:val="24"/>
            <w:u w:val="none"/>
          </w:rPr>
          <w:t>estado</w:t>
        </w:r>
      </w:hyperlink>
      <w:r w:rsidRPr="004D6466">
        <w:rPr>
          <w:rFonts w:ascii="Arial" w:hAnsi="Arial" w:cs="Arial"/>
          <w:sz w:val="24"/>
          <w:szCs w:val="24"/>
        </w:rPr>
        <w:t xml:space="preserve"> de </w:t>
      </w:r>
      <w:hyperlink r:id="rId109" w:tooltip="Goiás" w:history="1">
        <w:r w:rsidRPr="004D6466">
          <w:rPr>
            <w:rStyle w:val="Hipervnculo"/>
            <w:rFonts w:ascii="Arial" w:hAnsi="Arial" w:cs="Arial"/>
            <w:color w:val="auto"/>
            <w:sz w:val="24"/>
            <w:szCs w:val="24"/>
            <w:u w:val="none"/>
          </w:rPr>
          <w:t>Goiás</w:t>
        </w:r>
      </w:hyperlink>
      <w:r w:rsidRPr="004D6466">
        <w:rPr>
          <w:rFonts w:ascii="Arial" w:hAnsi="Arial" w:cs="Arial"/>
          <w:sz w:val="24"/>
          <w:szCs w:val="24"/>
        </w:rPr>
        <w:t xml:space="preserve"> el </w:t>
      </w:r>
      <w:hyperlink r:id="rId110" w:tooltip="Distrito Federal de Brasil" w:history="1">
        <w:r w:rsidRPr="004D6466">
          <w:rPr>
            <w:rStyle w:val="Hipervnculo"/>
            <w:rFonts w:ascii="Arial" w:hAnsi="Arial" w:cs="Arial"/>
            <w:color w:val="auto"/>
            <w:sz w:val="24"/>
            <w:szCs w:val="24"/>
            <w:u w:val="none"/>
          </w:rPr>
          <w:t>Distrito Federal</w:t>
        </w:r>
      </w:hyperlink>
      <w:r w:rsidRPr="004D6466">
        <w:rPr>
          <w:rFonts w:ascii="Arial" w:hAnsi="Arial" w:cs="Arial"/>
          <w:sz w:val="24"/>
          <w:szCs w:val="24"/>
        </w:rPr>
        <w:t xml:space="preserve">, la mayor parte de </w:t>
      </w:r>
      <w:hyperlink r:id="rId111" w:tooltip="Mato Grosso" w:history="1">
        <w:r w:rsidRPr="004D6466">
          <w:rPr>
            <w:rStyle w:val="Hipervnculo"/>
            <w:rFonts w:ascii="Arial" w:hAnsi="Arial" w:cs="Arial"/>
            <w:color w:val="auto"/>
            <w:sz w:val="24"/>
            <w:szCs w:val="24"/>
            <w:u w:val="none"/>
          </w:rPr>
          <w:t>Mato Grosso</w:t>
        </w:r>
      </w:hyperlink>
      <w:r w:rsidRPr="004D6466">
        <w:rPr>
          <w:rFonts w:ascii="Arial" w:hAnsi="Arial" w:cs="Arial"/>
          <w:sz w:val="24"/>
          <w:szCs w:val="24"/>
        </w:rPr>
        <w:t xml:space="preserve">, </w:t>
      </w:r>
      <w:hyperlink r:id="rId112" w:tooltip="Mato Grosso do Sul" w:history="1">
        <w:r w:rsidRPr="004D6466">
          <w:rPr>
            <w:rStyle w:val="Hipervnculo"/>
            <w:rFonts w:ascii="Arial" w:hAnsi="Arial" w:cs="Arial"/>
            <w:color w:val="auto"/>
            <w:sz w:val="24"/>
            <w:szCs w:val="24"/>
            <w:u w:val="none"/>
          </w:rPr>
          <w:t>Mato Grosso do Sul</w:t>
        </w:r>
      </w:hyperlink>
      <w:r w:rsidRPr="004D6466">
        <w:rPr>
          <w:rFonts w:ascii="Arial" w:hAnsi="Arial" w:cs="Arial"/>
          <w:sz w:val="24"/>
          <w:szCs w:val="24"/>
        </w:rPr>
        <w:t xml:space="preserve">, y el estado de </w:t>
      </w:r>
      <w:hyperlink r:id="rId113" w:tooltip="Tocantins" w:history="1">
        <w:r w:rsidRPr="004D6466">
          <w:rPr>
            <w:rStyle w:val="Hipervnculo"/>
            <w:rFonts w:ascii="Arial" w:hAnsi="Arial" w:cs="Arial"/>
            <w:color w:val="auto"/>
            <w:sz w:val="24"/>
            <w:szCs w:val="24"/>
            <w:u w:val="none"/>
          </w:rPr>
          <w:t>Tocantins</w:t>
        </w:r>
      </w:hyperlink>
      <w:r w:rsidRPr="004D6466">
        <w:rPr>
          <w:rFonts w:ascii="Arial" w:hAnsi="Arial" w:cs="Arial"/>
          <w:sz w:val="24"/>
          <w:szCs w:val="24"/>
        </w:rPr>
        <w:t xml:space="preserve">, la parte occidental de </w:t>
      </w:r>
      <w:hyperlink r:id="rId114" w:tooltip="Minas Gerais" w:history="1">
        <w:r w:rsidRPr="004D6466">
          <w:rPr>
            <w:rStyle w:val="Hipervnculo"/>
            <w:rFonts w:ascii="Arial" w:hAnsi="Arial" w:cs="Arial"/>
            <w:color w:val="auto"/>
            <w:sz w:val="24"/>
            <w:szCs w:val="24"/>
            <w:u w:val="none"/>
          </w:rPr>
          <w:t>Minas Gerais</w:t>
        </w:r>
      </w:hyperlink>
      <w:r w:rsidRPr="004D6466">
        <w:rPr>
          <w:rFonts w:ascii="Arial" w:hAnsi="Arial" w:cs="Arial"/>
          <w:sz w:val="24"/>
          <w:szCs w:val="24"/>
        </w:rPr>
        <w:t xml:space="preserve"> y </w:t>
      </w:r>
      <w:hyperlink r:id="rId115" w:tooltip="Bahía" w:history="1">
        <w:r w:rsidRPr="004D6466">
          <w:rPr>
            <w:rStyle w:val="Hipervnculo"/>
            <w:rFonts w:ascii="Arial" w:hAnsi="Arial" w:cs="Arial"/>
            <w:color w:val="auto"/>
            <w:sz w:val="24"/>
            <w:szCs w:val="24"/>
            <w:u w:val="none"/>
          </w:rPr>
          <w:t>Bahía</w:t>
        </w:r>
      </w:hyperlink>
      <w:r w:rsidRPr="004D6466">
        <w:rPr>
          <w:rFonts w:ascii="Arial" w:hAnsi="Arial" w:cs="Arial"/>
          <w:sz w:val="24"/>
          <w:szCs w:val="24"/>
        </w:rPr>
        <w:t xml:space="preserve">, la parte sur </w:t>
      </w:r>
      <w:hyperlink r:id="rId116" w:tooltip="Maranhão" w:history="1">
        <w:r w:rsidRPr="004D6466">
          <w:rPr>
            <w:rStyle w:val="Hipervnculo"/>
            <w:rFonts w:ascii="Arial" w:hAnsi="Arial" w:cs="Arial"/>
            <w:color w:val="auto"/>
            <w:sz w:val="24"/>
            <w:szCs w:val="24"/>
            <w:u w:val="none"/>
          </w:rPr>
          <w:t>Maranhão</w:t>
        </w:r>
      </w:hyperlink>
      <w:r w:rsidRPr="004D6466">
        <w:rPr>
          <w:rFonts w:ascii="Arial" w:hAnsi="Arial" w:cs="Arial"/>
          <w:sz w:val="24"/>
          <w:szCs w:val="24"/>
        </w:rPr>
        <w:t xml:space="preserve"> y </w:t>
      </w:r>
      <w:hyperlink r:id="rId117" w:tooltip="Piauí" w:history="1">
        <w:r w:rsidRPr="004D6466">
          <w:rPr>
            <w:rStyle w:val="Hipervnculo"/>
            <w:rFonts w:ascii="Arial" w:hAnsi="Arial" w:cs="Arial"/>
            <w:color w:val="auto"/>
            <w:sz w:val="24"/>
            <w:szCs w:val="24"/>
            <w:u w:val="none"/>
          </w:rPr>
          <w:t>Piauí</w:t>
        </w:r>
      </w:hyperlink>
      <w:r w:rsidRPr="004D6466">
        <w:rPr>
          <w:rFonts w:ascii="Arial" w:hAnsi="Arial" w:cs="Arial"/>
          <w:sz w:val="24"/>
          <w:szCs w:val="24"/>
        </w:rPr>
        <w:t xml:space="preserve">, partes pequeñas de </w:t>
      </w:r>
      <w:hyperlink r:id="rId118" w:tooltip="Estado de São Paulo" w:history="1">
        <w:r w:rsidRPr="004D6466">
          <w:rPr>
            <w:rStyle w:val="Hipervnculo"/>
            <w:rFonts w:ascii="Arial" w:hAnsi="Arial" w:cs="Arial"/>
            <w:color w:val="auto"/>
            <w:sz w:val="24"/>
            <w:szCs w:val="24"/>
            <w:u w:val="none"/>
          </w:rPr>
          <w:t>São Paulo</w:t>
        </w:r>
      </w:hyperlink>
      <w:r w:rsidRPr="004D6466">
        <w:rPr>
          <w:rFonts w:ascii="Arial" w:hAnsi="Arial" w:cs="Arial"/>
          <w:sz w:val="24"/>
          <w:szCs w:val="24"/>
        </w:rPr>
        <w:t xml:space="preserve"> y </w:t>
      </w:r>
      <w:hyperlink r:id="rId119" w:tooltip="Paraná (estado)" w:history="1">
        <w:r w:rsidRPr="004D6466">
          <w:rPr>
            <w:rStyle w:val="Hipervnculo"/>
            <w:rFonts w:ascii="Arial" w:hAnsi="Arial" w:cs="Arial"/>
            <w:color w:val="auto"/>
            <w:sz w:val="24"/>
            <w:szCs w:val="24"/>
            <w:u w:val="none"/>
          </w:rPr>
          <w:t>Paraná</w:t>
        </w:r>
      </w:hyperlink>
      <w:r w:rsidRPr="004D6466">
        <w:rPr>
          <w:rFonts w:ascii="Arial" w:hAnsi="Arial" w:cs="Arial"/>
          <w:sz w:val="24"/>
          <w:szCs w:val="24"/>
        </w:rPr>
        <w:t>.</w:t>
      </w:r>
    </w:p>
    <w:p w:rsidR="00727475" w:rsidRDefault="00A66191" w:rsidP="00727475">
      <w:pPr>
        <w:pStyle w:val="NormalWeb"/>
        <w:spacing w:line="360" w:lineRule="auto"/>
        <w:jc w:val="both"/>
        <w:rPr>
          <w:rFonts w:ascii="Arial" w:hAnsi="Arial" w:cs="Arial"/>
        </w:rPr>
      </w:pPr>
      <w:r w:rsidRPr="004D6466">
        <w:rPr>
          <w:rFonts w:ascii="Arial" w:hAnsi="Arial" w:cs="Arial"/>
        </w:rPr>
        <w:t xml:space="preserve">Otro aspecto importante del gobierno de Lula fue el esfuerzo por transparentar la función pública y en particular la contratación de obras y servicios públicos a través de diferentes instrumentos entre ellos, el sistema de información de contratación pública del Brasil que junto con el sistema de información chileno son los mejores de la región. </w:t>
      </w:r>
    </w:p>
    <w:p w:rsidR="00A66191" w:rsidRPr="00727475" w:rsidRDefault="00A66191" w:rsidP="00727475">
      <w:pPr>
        <w:pStyle w:val="NormalWeb"/>
        <w:spacing w:line="360" w:lineRule="auto"/>
        <w:jc w:val="both"/>
        <w:rPr>
          <w:rStyle w:val="Textoennegrita"/>
          <w:rFonts w:ascii="Arial" w:hAnsi="Arial" w:cs="Arial"/>
          <w:b w:val="0"/>
          <w:bCs w:val="0"/>
        </w:rPr>
      </w:pPr>
      <w:r w:rsidRPr="004D6466">
        <w:rPr>
          <w:rStyle w:val="Textoennegrita"/>
          <w:rFonts w:ascii="Arial" w:eastAsia="Calibri" w:hAnsi="Arial" w:cs="Arial"/>
          <w:i/>
          <w:lang w:val="es-EC"/>
        </w:rPr>
        <w:t>Indicadores macroeconómicos y sociales de Brasil</w:t>
      </w:r>
    </w:p>
    <w:tbl>
      <w:tblPr>
        <w:tblStyle w:val="Tablaconcuadrcula"/>
        <w:tblW w:w="0" w:type="auto"/>
        <w:tblLook w:val="04A0"/>
      </w:tblPr>
      <w:tblGrid>
        <w:gridCol w:w="2537"/>
        <w:gridCol w:w="2145"/>
        <w:gridCol w:w="2050"/>
        <w:gridCol w:w="1988"/>
      </w:tblGrid>
      <w:tr w:rsidR="00A66191" w:rsidRPr="00727475" w:rsidTr="004D6466">
        <w:tc>
          <w:tcPr>
            <w:tcW w:w="2537" w:type="dxa"/>
            <w:shd w:val="clear" w:color="auto" w:fill="FFFFFF" w:themeFill="background1"/>
          </w:tcPr>
          <w:p w:rsidR="00A66191" w:rsidRPr="00727475" w:rsidRDefault="00A66191" w:rsidP="004D6466">
            <w:pPr>
              <w:pStyle w:val="NormalWeb"/>
              <w:spacing w:line="360" w:lineRule="auto"/>
              <w:rPr>
                <w:rStyle w:val="Textoennegrita"/>
                <w:rFonts w:ascii="Arial" w:eastAsia="Calibri" w:hAnsi="Arial" w:cs="Arial"/>
                <w:lang w:val="es-EC"/>
              </w:rPr>
            </w:pPr>
            <w:r w:rsidRPr="00727475">
              <w:rPr>
                <w:rStyle w:val="Textoennegrita"/>
                <w:rFonts w:ascii="Arial" w:eastAsia="Calibri" w:hAnsi="Arial" w:cs="Arial"/>
                <w:lang w:val="es-EC"/>
              </w:rPr>
              <w:t>Variables/periodo</w:t>
            </w:r>
          </w:p>
        </w:tc>
        <w:tc>
          <w:tcPr>
            <w:tcW w:w="2145" w:type="dxa"/>
            <w:shd w:val="clear" w:color="auto" w:fill="FFFFFF" w:themeFill="background1"/>
          </w:tcPr>
          <w:p w:rsidR="00A66191" w:rsidRPr="00727475" w:rsidRDefault="00A66191" w:rsidP="004D6466">
            <w:pPr>
              <w:pStyle w:val="NormalWeb"/>
              <w:spacing w:line="360" w:lineRule="auto"/>
              <w:rPr>
                <w:rStyle w:val="Textoennegrita"/>
                <w:rFonts w:ascii="Arial" w:eastAsia="Calibri" w:hAnsi="Arial" w:cs="Arial"/>
                <w:lang w:val="es-EC"/>
              </w:rPr>
            </w:pPr>
            <w:r w:rsidRPr="00727475">
              <w:rPr>
                <w:rStyle w:val="Textoennegrita"/>
                <w:rFonts w:ascii="Arial" w:eastAsia="Calibri" w:hAnsi="Arial" w:cs="Arial"/>
                <w:lang w:val="es-EC"/>
              </w:rPr>
              <w:t>2000</w:t>
            </w:r>
          </w:p>
        </w:tc>
        <w:tc>
          <w:tcPr>
            <w:tcW w:w="2050" w:type="dxa"/>
            <w:shd w:val="clear" w:color="auto" w:fill="FFFFFF" w:themeFill="background1"/>
          </w:tcPr>
          <w:p w:rsidR="00A66191" w:rsidRPr="00727475" w:rsidRDefault="00A66191" w:rsidP="004D6466">
            <w:pPr>
              <w:pStyle w:val="NormalWeb"/>
              <w:spacing w:line="360" w:lineRule="auto"/>
              <w:rPr>
                <w:rStyle w:val="Textoennegrita"/>
                <w:rFonts w:ascii="Arial" w:eastAsia="Calibri" w:hAnsi="Arial" w:cs="Arial"/>
                <w:lang w:val="es-EC"/>
              </w:rPr>
            </w:pPr>
            <w:r w:rsidRPr="00727475">
              <w:rPr>
                <w:rStyle w:val="Textoennegrita"/>
                <w:rFonts w:ascii="Arial" w:eastAsia="Calibri" w:hAnsi="Arial" w:cs="Arial"/>
                <w:lang w:val="es-EC"/>
              </w:rPr>
              <w:t>2006</w:t>
            </w:r>
          </w:p>
        </w:tc>
        <w:tc>
          <w:tcPr>
            <w:tcW w:w="1988" w:type="dxa"/>
            <w:shd w:val="clear" w:color="auto" w:fill="FFFFFF" w:themeFill="background1"/>
          </w:tcPr>
          <w:p w:rsidR="00A66191" w:rsidRPr="00727475" w:rsidRDefault="00A66191" w:rsidP="004D6466">
            <w:pPr>
              <w:pStyle w:val="NormalWeb"/>
              <w:spacing w:line="360" w:lineRule="auto"/>
              <w:rPr>
                <w:rStyle w:val="Textoennegrita"/>
                <w:rFonts w:ascii="Arial" w:eastAsia="Calibri" w:hAnsi="Arial" w:cs="Arial"/>
                <w:lang w:val="es-EC"/>
              </w:rPr>
            </w:pPr>
            <w:r w:rsidRPr="00727475">
              <w:rPr>
                <w:rStyle w:val="Textoennegrita"/>
                <w:rFonts w:ascii="Arial" w:eastAsia="Calibri" w:hAnsi="Arial" w:cs="Arial"/>
                <w:lang w:val="es-EC"/>
              </w:rPr>
              <w:t>2010</w:t>
            </w:r>
          </w:p>
        </w:tc>
      </w:tr>
      <w:tr w:rsidR="00A66191" w:rsidRPr="00727475" w:rsidTr="004D6466">
        <w:tc>
          <w:tcPr>
            <w:tcW w:w="2537" w:type="dxa"/>
            <w:shd w:val="clear" w:color="auto" w:fill="E5B8B7" w:themeFill="accent2" w:themeFillTint="66"/>
          </w:tcPr>
          <w:p w:rsidR="00A66191" w:rsidRPr="00727475" w:rsidRDefault="00A66191" w:rsidP="004D6466">
            <w:pPr>
              <w:pStyle w:val="NormalWeb"/>
              <w:spacing w:line="360" w:lineRule="auto"/>
              <w:rPr>
                <w:rStyle w:val="Textoennegrita"/>
                <w:rFonts w:ascii="Arial" w:eastAsia="Calibri" w:hAnsi="Arial" w:cs="Arial"/>
                <w:i/>
                <w:lang w:val="es-EC"/>
              </w:rPr>
            </w:pPr>
            <w:r w:rsidRPr="00727475">
              <w:rPr>
                <w:rStyle w:val="Textoennegrita"/>
                <w:rFonts w:ascii="Arial" w:eastAsia="Calibri" w:hAnsi="Arial" w:cs="Arial"/>
                <w:i/>
                <w:lang w:val="es-EC"/>
              </w:rPr>
              <w:t>Económicas</w:t>
            </w:r>
          </w:p>
        </w:tc>
        <w:tc>
          <w:tcPr>
            <w:tcW w:w="2145" w:type="dxa"/>
            <w:shd w:val="clear" w:color="auto" w:fill="E5B8B7" w:themeFill="accent2" w:themeFillTint="66"/>
          </w:tcPr>
          <w:p w:rsidR="00A66191" w:rsidRPr="00727475" w:rsidRDefault="00A66191" w:rsidP="004D6466">
            <w:pPr>
              <w:pStyle w:val="NormalWeb"/>
              <w:spacing w:line="360" w:lineRule="auto"/>
              <w:rPr>
                <w:rStyle w:val="Textoennegrita"/>
                <w:rFonts w:ascii="Arial" w:eastAsia="Calibri" w:hAnsi="Arial" w:cs="Arial"/>
                <w:b w:val="0"/>
                <w:lang w:val="es-EC"/>
              </w:rPr>
            </w:pPr>
          </w:p>
        </w:tc>
        <w:tc>
          <w:tcPr>
            <w:tcW w:w="2050" w:type="dxa"/>
            <w:shd w:val="clear" w:color="auto" w:fill="E5B8B7" w:themeFill="accent2" w:themeFillTint="66"/>
          </w:tcPr>
          <w:p w:rsidR="00A66191" w:rsidRPr="00727475" w:rsidRDefault="00A66191" w:rsidP="004D6466">
            <w:pPr>
              <w:pStyle w:val="NormalWeb"/>
              <w:spacing w:line="360" w:lineRule="auto"/>
              <w:rPr>
                <w:rStyle w:val="Textoennegrita"/>
                <w:rFonts w:ascii="Arial" w:eastAsia="Calibri" w:hAnsi="Arial" w:cs="Arial"/>
                <w:b w:val="0"/>
                <w:lang w:val="es-EC"/>
              </w:rPr>
            </w:pPr>
          </w:p>
        </w:tc>
        <w:tc>
          <w:tcPr>
            <w:tcW w:w="1988" w:type="dxa"/>
            <w:shd w:val="clear" w:color="auto" w:fill="E5B8B7" w:themeFill="accent2" w:themeFillTint="66"/>
          </w:tcPr>
          <w:p w:rsidR="00A66191" w:rsidRPr="00727475" w:rsidRDefault="00A66191" w:rsidP="004D6466">
            <w:pPr>
              <w:pStyle w:val="NormalWeb"/>
              <w:spacing w:line="360" w:lineRule="auto"/>
              <w:rPr>
                <w:rStyle w:val="Textoennegrita"/>
                <w:rFonts w:ascii="Arial" w:eastAsia="Calibri" w:hAnsi="Arial" w:cs="Arial"/>
                <w:b w:val="0"/>
                <w:lang w:val="es-EC"/>
              </w:rPr>
            </w:pPr>
          </w:p>
        </w:tc>
      </w:tr>
      <w:tr w:rsidR="00A66191" w:rsidRPr="00727475" w:rsidTr="004D6466">
        <w:trPr>
          <w:trHeight w:val="1127"/>
        </w:trPr>
        <w:tc>
          <w:tcPr>
            <w:tcW w:w="2537" w:type="dxa"/>
            <w:shd w:val="clear" w:color="auto" w:fill="F2DBDB" w:themeFill="accent2" w:themeFillTint="33"/>
          </w:tcPr>
          <w:p w:rsidR="00A66191" w:rsidRPr="00727475" w:rsidRDefault="00A66191" w:rsidP="004D6466">
            <w:pPr>
              <w:pStyle w:val="NormalWeb"/>
              <w:spacing w:line="360" w:lineRule="auto"/>
              <w:rPr>
                <w:rStyle w:val="Textoennegrita"/>
                <w:rFonts w:ascii="Arial" w:eastAsia="Calibri" w:hAnsi="Arial" w:cs="Arial"/>
                <w:b w:val="0"/>
                <w:lang w:val="es-EC"/>
              </w:rPr>
            </w:pPr>
            <w:r w:rsidRPr="00727475">
              <w:rPr>
                <w:rStyle w:val="Textoennegrita"/>
                <w:rFonts w:ascii="Arial" w:eastAsia="Calibri" w:hAnsi="Arial" w:cs="Arial"/>
                <w:b w:val="0"/>
                <w:lang w:val="es-EC"/>
              </w:rPr>
              <w:t>PIB nominal (miles de millones de dólares)</w:t>
            </w:r>
          </w:p>
        </w:tc>
        <w:tc>
          <w:tcPr>
            <w:tcW w:w="2145" w:type="dxa"/>
            <w:shd w:val="clear" w:color="auto" w:fill="F2DBDB" w:themeFill="accent2" w:themeFillTint="33"/>
          </w:tcPr>
          <w:p w:rsidR="00A66191" w:rsidRPr="00727475" w:rsidRDefault="00A66191" w:rsidP="004D6466">
            <w:pPr>
              <w:pStyle w:val="NormalWeb"/>
              <w:spacing w:line="360" w:lineRule="auto"/>
              <w:rPr>
                <w:rStyle w:val="Textoennegrita"/>
                <w:rFonts w:ascii="Arial" w:eastAsia="Calibri" w:hAnsi="Arial" w:cs="Arial"/>
                <w:b w:val="0"/>
                <w:lang w:val="es-EC"/>
              </w:rPr>
            </w:pPr>
            <w:r w:rsidRPr="00727475">
              <w:rPr>
                <w:rFonts w:ascii="Arial" w:hAnsi="Arial" w:cs="Arial"/>
                <w:lang w:val="es-ES"/>
              </w:rPr>
              <w:t>644.283</w:t>
            </w:r>
          </w:p>
        </w:tc>
        <w:tc>
          <w:tcPr>
            <w:tcW w:w="2050" w:type="dxa"/>
            <w:shd w:val="clear" w:color="auto" w:fill="F2DBDB" w:themeFill="accent2" w:themeFillTint="33"/>
          </w:tcPr>
          <w:p w:rsidR="00A66191" w:rsidRPr="00727475" w:rsidRDefault="00A66191" w:rsidP="004D6466">
            <w:pPr>
              <w:pStyle w:val="NormalWeb"/>
              <w:spacing w:line="360" w:lineRule="auto"/>
              <w:rPr>
                <w:rStyle w:val="Textoennegrita"/>
                <w:rFonts w:ascii="Arial" w:eastAsia="Calibri" w:hAnsi="Arial" w:cs="Arial"/>
                <w:b w:val="0"/>
                <w:lang w:val="es-EC"/>
              </w:rPr>
            </w:pPr>
            <w:r w:rsidRPr="00727475">
              <w:rPr>
                <w:rFonts w:ascii="Arial" w:hAnsi="Arial" w:cs="Arial"/>
                <w:lang w:val="es-ES"/>
              </w:rPr>
              <w:t>1.072.357</w:t>
            </w:r>
          </w:p>
        </w:tc>
        <w:tc>
          <w:tcPr>
            <w:tcW w:w="1988" w:type="dxa"/>
            <w:shd w:val="clear" w:color="auto" w:fill="F2DBDB" w:themeFill="accent2" w:themeFillTint="33"/>
          </w:tcPr>
          <w:p w:rsidR="00A66191" w:rsidRPr="00727475" w:rsidRDefault="00A66191" w:rsidP="004D6466">
            <w:pPr>
              <w:pStyle w:val="Default"/>
              <w:rPr>
                <w:rStyle w:val="Textoennegrita"/>
                <w:rFonts w:ascii="Arial" w:hAnsi="Arial" w:cs="Arial"/>
                <w:b w:val="0"/>
                <w:bCs w:val="0"/>
                <w:color w:val="auto"/>
                <w:lang w:val="es-ES"/>
              </w:rPr>
            </w:pPr>
            <w:r w:rsidRPr="00727475">
              <w:rPr>
                <w:rFonts w:ascii="Arial" w:hAnsi="Arial" w:cs="Arial"/>
                <w:color w:val="auto"/>
                <w:lang w:val="es-ES"/>
              </w:rPr>
              <w:t>2.087 890</w:t>
            </w:r>
          </w:p>
        </w:tc>
      </w:tr>
      <w:tr w:rsidR="00A66191" w:rsidRPr="00727475" w:rsidTr="004D6466">
        <w:trPr>
          <w:trHeight w:val="935"/>
        </w:trPr>
        <w:tc>
          <w:tcPr>
            <w:tcW w:w="2537" w:type="dxa"/>
            <w:shd w:val="clear" w:color="auto" w:fill="F2DBDB" w:themeFill="accent2" w:themeFillTint="33"/>
          </w:tcPr>
          <w:p w:rsidR="00A66191" w:rsidRPr="00727475" w:rsidRDefault="00A66191" w:rsidP="004D6466">
            <w:pPr>
              <w:pStyle w:val="NormalWeb"/>
              <w:spacing w:line="360" w:lineRule="auto"/>
              <w:rPr>
                <w:rStyle w:val="Textoennegrita"/>
                <w:rFonts w:ascii="Arial" w:eastAsia="Calibri" w:hAnsi="Arial" w:cs="Arial"/>
                <w:b w:val="0"/>
                <w:lang w:val="es-EC"/>
              </w:rPr>
            </w:pPr>
            <w:r w:rsidRPr="00727475">
              <w:rPr>
                <w:rStyle w:val="Textoennegrita"/>
                <w:rFonts w:ascii="Arial" w:eastAsia="Calibri" w:hAnsi="Arial" w:cs="Arial"/>
                <w:b w:val="0"/>
                <w:lang w:val="es-EC"/>
              </w:rPr>
              <w:t>PIB per cápita en dólares</w:t>
            </w:r>
          </w:p>
        </w:tc>
        <w:tc>
          <w:tcPr>
            <w:tcW w:w="2145" w:type="dxa"/>
            <w:shd w:val="clear" w:color="auto" w:fill="F2DBDB" w:themeFill="accent2" w:themeFillTint="33"/>
          </w:tcPr>
          <w:p w:rsidR="00A66191" w:rsidRPr="00727475" w:rsidRDefault="00A66191" w:rsidP="004D6466">
            <w:pPr>
              <w:pStyle w:val="NormalWeb"/>
              <w:spacing w:line="360" w:lineRule="auto"/>
              <w:rPr>
                <w:rStyle w:val="Textoennegrita"/>
                <w:rFonts w:ascii="Arial" w:eastAsia="Calibri" w:hAnsi="Arial" w:cs="Arial"/>
                <w:b w:val="0"/>
                <w:lang w:val="es-EC"/>
              </w:rPr>
            </w:pPr>
            <w:r w:rsidRPr="00727475">
              <w:rPr>
                <w:rStyle w:val="Textoennegrita"/>
                <w:rFonts w:ascii="Arial" w:eastAsia="Calibri" w:hAnsi="Arial" w:cs="Arial"/>
                <w:b w:val="0"/>
                <w:lang w:val="es-EC"/>
              </w:rPr>
              <w:t>7.400</w:t>
            </w:r>
          </w:p>
        </w:tc>
        <w:tc>
          <w:tcPr>
            <w:tcW w:w="2050" w:type="dxa"/>
            <w:shd w:val="clear" w:color="auto" w:fill="F2DBDB" w:themeFill="accent2" w:themeFillTint="33"/>
          </w:tcPr>
          <w:p w:rsidR="00A66191" w:rsidRPr="00727475" w:rsidRDefault="00A66191" w:rsidP="004D6466">
            <w:pPr>
              <w:pStyle w:val="NormalWeb"/>
              <w:spacing w:line="360" w:lineRule="auto"/>
              <w:rPr>
                <w:rStyle w:val="Textoennegrita"/>
                <w:rFonts w:ascii="Arial" w:eastAsia="Calibri" w:hAnsi="Arial" w:cs="Arial"/>
                <w:b w:val="0"/>
                <w:lang w:val="es-EC"/>
              </w:rPr>
            </w:pPr>
            <w:r w:rsidRPr="00727475">
              <w:rPr>
                <w:rStyle w:val="Textoennegrita"/>
                <w:rFonts w:ascii="Arial" w:eastAsia="Calibri" w:hAnsi="Arial" w:cs="Arial"/>
                <w:b w:val="0"/>
                <w:lang w:val="es-EC"/>
              </w:rPr>
              <w:t>8.800</w:t>
            </w:r>
          </w:p>
        </w:tc>
        <w:tc>
          <w:tcPr>
            <w:tcW w:w="1988" w:type="dxa"/>
            <w:shd w:val="clear" w:color="auto" w:fill="F2DBDB" w:themeFill="accent2" w:themeFillTint="33"/>
          </w:tcPr>
          <w:p w:rsidR="00A66191" w:rsidRPr="00727475" w:rsidRDefault="00A66191" w:rsidP="004D6466">
            <w:pPr>
              <w:pStyle w:val="NormalWeb"/>
              <w:spacing w:line="360" w:lineRule="auto"/>
              <w:rPr>
                <w:rStyle w:val="Textoennegrita"/>
                <w:rFonts w:ascii="Arial" w:eastAsia="Calibri" w:hAnsi="Arial" w:cs="Arial"/>
                <w:b w:val="0"/>
                <w:lang w:val="es-EC"/>
              </w:rPr>
            </w:pPr>
            <w:r w:rsidRPr="00727475">
              <w:rPr>
                <w:rStyle w:val="Textoennegrita"/>
                <w:rFonts w:ascii="Arial" w:eastAsia="Calibri" w:hAnsi="Arial" w:cs="Arial"/>
                <w:b w:val="0"/>
                <w:lang w:val="es-EC"/>
              </w:rPr>
              <w:t>10.800</w:t>
            </w:r>
          </w:p>
        </w:tc>
      </w:tr>
      <w:tr w:rsidR="00A66191" w:rsidRPr="00727475" w:rsidTr="004D6466">
        <w:tc>
          <w:tcPr>
            <w:tcW w:w="2537" w:type="dxa"/>
            <w:shd w:val="clear" w:color="auto" w:fill="F2DBDB" w:themeFill="accent2" w:themeFillTint="33"/>
          </w:tcPr>
          <w:p w:rsidR="00A66191" w:rsidRPr="00727475" w:rsidRDefault="00A66191" w:rsidP="004D6466">
            <w:pPr>
              <w:pStyle w:val="NormalWeb"/>
              <w:spacing w:line="360" w:lineRule="auto"/>
              <w:rPr>
                <w:rStyle w:val="Textoennegrita"/>
                <w:rFonts w:ascii="Arial" w:eastAsia="Calibri" w:hAnsi="Arial" w:cs="Arial"/>
                <w:b w:val="0"/>
                <w:lang w:val="es-EC"/>
              </w:rPr>
            </w:pPr>
            <w:r w:rsidRPr="00727475">
              <w:rPr>
                <w:rStyle w:val="Textoennegrita"/>
                <w:rFonts w:ascii="Arial" w:eastAsia="Calibri" w:hAnsi="Arial" w:cs="Arial"/>
                <w:b w:val="0"/>
                <w:lang w:val="es-EC"/>
              </w:rPr>
              <w:t>Desempleo urbano</w:t>
            </w:r>
          </w:p>
        </w:tc>
        <w:tc>
          <w:tcPr>
            <w:tcW w:w="2145" w:type="dxa"/>
            <w:shd w:val="clear" w:color="auto" w:fill="F2DBDB" w:themeFill="accent2" w:themeFillTint="33"/>
          </w:tcPr>
          <w:p w:rsidR="00A66191" w:rsidRPr="00727475" w:rsidRDefault="00A66191" w:rsidP="004D6466">
            <w:pPr>
              <w:pStyle w:val="NormalWeb"/>
              <w:spacing w:line="360" w:lineRule="auto"/>
              <w:rPr>
                <w:rStyle w:val="Textoennegrita"/>
                <w:rFonts w:ascii="Arial" w:eastAsia="Calibri" w:hAnsi="Arial" w:cs="Arial"/>
                <w:b w:val="0"/>
                <w:lang w:val="es-EC"/>
              </w:rPr>
            </w:pPr>
            <w:r w:rsidRPr="00727475">
              <w:rPr>
                <w:rFonts w:ascii="Arial" w:hAnsi="Arial" w:cs="Arial"/>
                <w:lang w:val="es-ES"/>
              </w:rPr>
              <w:t>7,1</w:t>
            </w:r>
            <w:r w:rsidRPr="00727475">
              <w:rPr>
                <w:rStyle w:val="Textoennegrita"/>
                <w:rFonts w:ascii="Arial" w:eastAsia="Calibri" w:hAnsi="Arial" w:cs="Arial"/>
                <w:b w:val="0"/>
                <w:lang w:val="es-EC"/>
              </w:rPr>
              <w:t>%</w:t>
            </w:r>
          </w:p>
        </w:tc>
        <w:tc>
          <w:tcPr>
            <w:tcW w:w="2050" w:type="dxa"/>
            <w:shd w:val="clear" w:color="auto" w:fill="F2DBDB" w:themeFill="accent2" w:themeFillTint="33"/>
          </w:tcPr>
          <w:p w:rsidR="00A66191" w:rsidRPr="00727475" w:rsidRDefault="00A66191" w:rsidP="004D6466">
            <w:pPr>
              <w:pStyle w:val="NormalWeb"/>
              <w:spacing w:line="360" w:lineRule="auto"/>
              <w:rPr>
                <w:rStyle w:val="Textoennegrita"/>
                <w:rFonts w:ascii="Arial" w:eastAsia="Calibri" w:hAnsi="Arial" w:cs="Arial"/>
                <w:b w:val="0"/>
                <w:lang w:val="es-EC"/>
              </w:rPr>
            </w:pPr>
            <w:r w:rsidRPr="00727475">
              <w:rPr>
                <w:rFonts w:ascii="Arial" w:hAnsi="Arial" w:cs="Arial"/>
                <w:lang w:val="es-ES"/>
              </w:rPr>
              <w:t xml:space="preserve">9,60 </w:t>
            </w:r>
            <w:r w:rsidRPr="00727475">
              <w:rPr>
                <w:rStyle w:val="Textoennegrita"/>
                <w:rFonts w:ascii="Arial" w:eastAsia="Calibri" w:hAnsi="Arial" w:cs="Arial"/>
                <w:b w:val="0"/>
                <w:lang w:val="es-EC"/>
              </w:rPr>
              <w:t>%</w:t>
            </w:r>
          </w:p>
        </w:tc>
        <w:tc>
          <w:tcPr>
            <w:tcW w:w="1988" w:type="dxa"/>
            <w:shd w:val="clear" w:color="auto" w:fill="F2DBDB" w:themeFill="accent2" w:themeFillTint="33"/>
          </w:tcPr>
          <w:p w:rsidR="00A66191" w:rsidRPr="00727475" w:rsidRDefault="00A66191" w:rsidP="004D6466">
            <w:pPr>
              <w:pStyle w:val="NormalWeb"/>
              <w:spacing w:line="360" w:lineRule="auto"/>
              <w:rPr>
                <w:rStyle w:val="Textoennegrita"/>
                <w:rFonts w:ascii="Arial" w:eastAsia="Calibri" w:hAnsi="Arial" w:cs="Arial"/>
                <w:b w:val="0"/>
                <w:lang w:val="es-EC"/>
              </w:rPr>
            </w:pPr>
            <w:r w:rsidRPr="00727475">
              <w:rPr>
                <w:rFonts w:ascii="Arial" w:hAnsi="Arial" w:cs="Arial"/>
                <w:lang w:val="es-ES"/>
              </w:rPr>
              <w:t xml:space="preserve">7,0 </w:t>
            </w:r>
            <w:r w:rsidRPr="00727475">
              <w:rPr>
                <w:rStyle w:val="Textoennegrita"/>
                <w:rFonts w:ascii="Arial" w:eastAsia="Calibri" w:hAnsi="Arial" w:cs="Arial"/>
                <w:b w:val="0"/>
                <w:lang w:val="es-EC"/>
              </w:rPr>
              <w:t>%</w:t>
            </w:r>
          </w:p>
        </w:tc>
      </w:tr>
      <w:tr w:rsidR="00A66191" w:rsidRPr="00727475" w:rsidTr="004D6466">
        <w:tc>
          <w:tcPr>
            <w:tcW w:w="2537" w:type="dxa"/>
            <w:shd w:val="clear" w:color="auto" w:fill="F2DBDB" w:themeFill="accent2" w:themeFillTint="33"/>
          </w:tcPr>
          <w:p w:rsidR="00A66191" w:rsidRPr="00727475" w:rsidRDefault="00A66191" w:rsidP="004D6466">
            <w:pPr>
              <w:pStyle w:val="NormalWeb"/>
              <w:spacing w:line="360" w:lineRule="auto"/>
              <w:rPr>
                <w:rStyle w:val="Textoennegrita"/>
                <w:rFonts w:ascii="Arial" w:eastAsia="Calibri" w:hAnsi="Arial" w:cs="Arial"/>
                <w:b w:val="0"/>
                <w:lang w:val="es-EC"/>
              </w:rPr>
            </w:pPr>
            <w:r w:rsidRPr="00727475">
              <w:rPr>
                <w:rStyle w:val="Textoennegrita"/>
                <w:rFonts w:ascii="Arial" w:eastAsia="Calibri" w:hAnsi="Arial" w:cs="Arial"/>
                <w:b w:val="0"/>
                <w:lang w:val="es-EC"/>
              </w:rPr>
              <w:t>Deuda externa en millones de dólares</w:t>
            </w:r>
          </w:p>
        </w:tc>
        <w:tc>
          <w:tcPr>
            <w:tcW w:w="2145" w:type="dxa"/>
            <w:shd w:val="clear" w:color="auto" w:fill="F2DBDB" w:themeFill="accent2" w:themeFillTint="33"/>
          </w:tcPr>
          <w:p w:rsidR="00A66191" w:rsidRPr="00727475" w:rsidRDefault="00A66191" w:rsidP="004D6466">
            <w:pPr>
              <w:pStyle w:val="NormalWeb"/>
              <w:spacing w:line="360" w:lineRule="auto"/>
              <w:rPr>
                <w:rStyle w:val="Textoennegrita"/>
                <w:rFonts w:ascii="Arial" w:eastAsia="Calibri" w:hAnsi="Arial" w:cs="Arial"/>
                <w:b w:val="0"/>
                <w:lang w:val="es-EC"/>
              </w:rPr>
            </w:pPr>
            <w:r w:rsidRPr="00727475">
              <w:rPr>
                <w:rFonts w:ascii="Arial" w:hAnsi="Arial" w:cs="Arial"/>
                <w:lang w:val="es-ES"/>
              </w:rPr>
              <w:t>215.414</w:t>
            </w:r>
          </w:p>
        </w:tc>
        <w:tc>
          <w:tcPr>
            <w:tcW w:w="2050" w:type="dxa"/>
            <w:shd w:val="clear" w:color="auto" w:fill="F2DBDB" w:themeFill="accent2" w:themeFillTint="33"/>
          </w:tcPr>
          <w:p w:rsidR="00A66191" w:rsidRPr="00727475" w:rsidRDefault="00A66191" w:rsidP="004D6466">
            <w:pPr>
              <w:pStyle w:val="NormalWeb"/>
              <w:spacing w:line="360" w:lineRule="auto"/>
              <w:rPr>
                <w:rStyle w:val="Textoennegrita"/>
                <w:rFonts w:ascii="Arial" w:eastAsia="Calibri" w:hAnsi="Arial" w:cs="Arial"/>
                <w:b w:val="0"/>
                <w:lang w:val="es-EC"/>
              </w:rPr>
            </w:pPr>
            <w:r w:rsidRPr="00727475">
              <w:rPr>
                <w:rFonts w:ascii="Arial" w:hAnsi="Arial" w:cs="Arial"/>
                <w:lang w:val="es-ES"/>
              </w:rPr>
              <w:t>19</w:t>
            </w:r>
            <w:r w:rsidRPr="00727475">
              <w:rPr>
                <w:rFonts w:ascii="Arial" w:hAnsi="Arial" w:cs="Arial"/>
              </w:rPr>
              <w:t>9.372</w:t>
            </w:r>
          </w:p>
        </w:tc>
        <w:tc>
          <w:tcPr>
            <w:tcW w:w="1988" w:type="dxa"/>
            <w:shd w:val="clear" w:color="auto" w:fill="F2DBDB" w:themeFill="accent2" w:themeFillTint="33"/>
          </w:tcPr>
          <w:p w:rsidR="00A66191" w:rsidRPr="00727475" w:rsidRDefault="00A66191" w:rsidP="004D6466">
            <w:pPr>
              <w:pStyle w:val="NormalWeb"/>
              <w:spacing w:line="360" w:lineRule="auto"/>
              <w:rPr>
                <w:rStyle w:val="Textoennegrita"/>
                <w:rFonts w:ascii="Arial" w:eastAsia="Calibri" w:hAnsi="Arial" w:cs="Arial"/>
                <w:b w:val="0"/>
                <w:lang w:val="es-EC"/>
              </w:rPr>
            </w:pPr>
            <w:r w:rsidRPr="00727475">
              <w:rPr>
                <w:rFonts w:ascii="Arial" w:hAnsi="Arial" w:cs="Arial"/>
              </w:rPr>
              <w:t>273.700</w:t>
            </w:r>
          </w:p>
        </w:tc>
      </w:tr>
      <w:tr w:rsidR="00A66191" w:rsidRPr="00727475" w:rsidTr="004D6466">
        <w:tc>
          <w:tcPr>
            <w:tcW w:w="2537" w:type="dxa"/>
            <w:shd w:val="clear" w:color="auto" w:fill="F2DBDB" w:themeFill="accent2" w:themeFillTint="33"/>
          </w:tcPr>
          <w:p w:rsidR="00A66191" w:rsidRPr="00727475" w:rsidRDefault="00A66191" w:rsidP="004D6466">
            <w:pPr>
              <w:pStyle w:val="NormalWeb"/>
              <w:spacing w:line="360" w:lineRule="auto"/>
              <w:rPr>
                <w:rStyle w:val="Textoennegrita"/>
                <w:rFonts w:ascii="Arial" w:eastAsia="Calibri" w:hAnsi="Arial" w:cs="Arial"/>
                <w:b w:val="0"/>
                <w:lang w:val="es-EC"/>
              </w:rPr>
            </w:pPr>
            <w:r w:rsidRPr="00727475">
              <w:rPr>
                <w:rStyle w:val="Textoennegrita"/>
                <w:rFonts w:ascii="Arial" w:eastAsia="Calibri" w:hAnsi="Arial" w:cs="Arial"/>
                <w:b w:val="0"/>
                <w:lang w:val="es-EC"/>
              </w:rPr>
              <w:t>Balanza comercial en millones de dólares</w:t>
            </w:r>
          </w:p>
        </w:tc>
        <w:tc>
          <w:tcPr>
            <w:tcW w:w="2145" w:type="dxa"/>
            <w:shd w:val="clear" w:color="auto" w:fill="F2DBDB" w:themeFill="accent2" w:themeFillTint="33"/>
          </w:tcPr>
          <w:p w:rsidR="00A66191" w:rsidRPr="00727475" w:rsidRDefault="00A66191" w:rsidP="004D6466">
            <w:pPr>
              <w:pStyle w:val="NormalWeb"/>
              <w:spacing w:line="360" w:lineRule="auto"/>
              <w:rPr>
                <w:rStyle w:val="Textoennegrita"/>
                <w:rFonts w:ascii="Arial" w:eastAsia="Calibri" w:hAnsi="Arial" w:cs="Arial"/>
                <w:b w:val="0"/>
                <w:lang w:val="es-EC"/>
              </w:rPr>
            </w:pPr>
            <w:r w:rsidRPr="00727475">
              <w:rPr>
                <w:rStyle w:val="Textoennegrita"/>
                <w:rFonts w:ascii="Arial" w:eastAsia="Calibri" w:hAnsi="Arial" w:cs="Arial"/>
                <w:b w:val="0"/>
                <w:lang w:val="es-EC"/>
              </w:rPr>
              <w:t>7.859 déficit</w:t>
            </w:r>
          </w:p>
        </w:tc>
        <w:tc>
          <w:tcPr>
            <w:tcW w:w="2050" w:type="dxa"/>
            <w:shd w:val="clear" w:color="auto" w:fill="F2DBDB" w:themeFill="accent2" w:themeFillTint="33"/>
          </w:tcPr>
          <w:p w:rsidR="00A66191" w:rsidRPr="00727475" w:rsidRDefault="00A66191" w:rsidP="004D6466">
            <w:pPr>
              <w:pStyle w:val="NormalWeb"/>
              <w:spacing w:line="360" w:lineRule="auto"/>
              <w:rPr>
                <w:rStyle w:val="Textoennegrita"/>
                <w:rFonts w:ascii="Arial" w:eastAsia="Calibri" w:hAnsi="Arial" w:cs="Arial"/>
                <w:b w:val="0"/>
                <w:lang w:val="es-EC"/>
              </w:rPr>
            </w:pPr>
            <w:r w:rsidRPr="00727475">
              <w:rPr>
                <w:rFonts w:ascii="Arial" w:hAnsi="Arial" w:cs="Arial"/>
              </w:rPr>
              <w:t>46.463 millones superávit</w:t>
            </w:r>
          </w:p>
        </w:tc>
        <w:tc>
          <w:tcPr>
            <w:tcW w:w="1988" w:type="dxa"/>
            <w:shd w:val="clear" w:color="auto" w:fill="F2DBDB" w:themeFill="accent2" w:themeFillTint="33"/>
          </w:tcPr>
          <w:p w:rsidR="00A66191" w:rsidRPr="00727475" w:rsidRDefault="00A66191" w:rsidP="004D6466">
            <w:pPr>
              <w:pStyle w:val="Default"/>
              <w:rPr>
                <w:rStyle w:val="Textoennegrita"/>
                <w:rFonts w:ascii="Arial" w:hAnsi="Arial" w:cs="Arial"/>
                <w:b w:val="0"/>
                <w:bCs w:val="0"/>
                <w:color w:val="auto"/>
              </w:rPr>
            </w:pPr>
            <w:r w:rsidRPr="00727475">
              <w:rPr>
                <w:rFonts w:ascii="Arial" w:hAnsi="Arial" w:cs="Arial"/>
                <w:color w:val="auto"/>
              </w:rPr>
              <w:t>20.266 millones superávit.</w:t>
            </w:r>
          </w:p>
        </w:tc>
      </w:tr>
      <w:tr w:rsidR="00A66191" w:rsidRPr="00727475" w:rsidTr="004D6466">
        <w:tc>
          <w:tcPr>
            <w:tcW w:w="2537" w:type="dxa"/>
            <w:shd w:val="clear" w:color="auto" w:fill="CCC0D9" w:themeFill="accent4" w:themeFillTint="66"/>
          </w:tcPr>
          <w:p w:rsidR="00A66191" w:rsidRPr="00727475" w:rsidRDefault="00A66191" w:rsidP="004D6466">
            <w:pPr>
              <w:pStyle w:val="NormalWeb"/>
              <w:spacing w:line="360" w:lineRule="auto"/>
              <w:rPr>
                <w:rStyle w:val="Textoennegrita"/>
                <w:rFonts w:ascii="Arial" w:eastAsia="Calibri" w:hAnsi="Arial" w:cs="Arial"/>
                <w:i/>
                <w:lang w:val="es-EC"/>
              </w:rPr>
            </w:pPr>
            <w:r w:rsidRPr="00727475">
              <w:rPr>
                <w:rStyle w:val="Textoennegrita"/>
                <w:rFonts w:ascii="Arial" w:eastAsia="Calibri" w:hAnsi="Arial" w:cs="Arial"/>
                <w:i/>
                <w:lang w:val="es-EC"/>
              </w:rPr>
              <w:t>Sociales</w:t>
            </w:r>
          </w:p>
        </w:tc>
        <w:tc>
          <w:tcPr>
            <w:tcW w:w="2145" w:type="dxa"/>
            <w:shd w:val="clear" w:color="auto" w:fill="CCC0D9" w:themeFill="accent4" w:themeFillTint="66"/>
          </w:tcPr>
          <w:p w:rsidR="00A66191" w:rsidRPr="00727475" w:rsidRDefault="00A66191" w:rsidP="004D6466">
            <w:pPr>
              <w:pStyle w:val="NormalWeb"/>
              <w:spacing w:line="360" w:lineRule="auto"/>
              <w:rPr>
                <w:rStyle w:val="Textoennegrita"/>
                <w:rFonts w:ascii="Arial" w:eastAsia="Calibri" w:hAnsi="Arial" w:cs="Arial"/>
                <w:b w:val="0"/>
                <w:lang w:val="es-EC"/>
              </w:rPr>
            </w:pPr>
          </w:p>
        </w:tc>
        <w:tc>
          <w:tcPr>
            <w:tcW w:w="2050" w:type="dxa"/>
            <w:shd w:val="clear" w:color="auto" w:fill="CCC0D9" w:themeFill="accent4" w:themeFillTint="66"/>
          </w:tcPr>
          <w:p w:rsidR="00A66191" w:rsidRPr="00727475" w:rsidRDefault="00A66191" w:rsidP="004D6466">
            <w:pPr>
              <w:pStyle w:val="NormalWeb"/>
              <w:spacing w:line="360" w:lineRule="auto"/>
              <w:rPr>
                <w:rStyle w:val="Textoennegrita"/>
                <w:rFonts w:ascii="Arial" w:eastAsia="Calibri" w:hAnsi="Arial" w:cs="Arial"/>
                <w:b w:val="0"/>
                <w:lang w:val="es-EC"/>
              </w:rPr>
            </w:pPr>
          </w:p>
        </w:tc>
        <w:tc>
          <w:tcPr>
            <w:tcW w:w="1988" w:type="dxa"/>
            <w:shd w:val="clear" w:color="auto" w:fill="CCC0D9" w:themeFill="accent4" w:themeFillTint="66"/>
          </w:tcPr>
          <w:p w:rsidR="00A66191" w:rsidRPr="00727475" w:rsidRDefault="00A66191" w:rsidP="004D6466">
            <w:pPr>
              <w:pStyle w:val="NormalWeb"/>
              <w:spacing w:line="360" w:lineRule="auto"/>
              <w:rPr>
                <w:rStyle w:val="Textoennegrita"/>
                <w:rFonts w:ascii="Arial" w:eastAsia="Calibri" w:hAnsi="Arial" w:cs="Arial"/>
                <w:b w:val="0"/>
                <w:lang w:val="es-EC"/>
              </w:rPr>
            </w:pPr>
          </w:p>
        </w:tc>
      </w:tr>
      <w:tr w:rsidR="00A66191" w:rsidRPr="00727475" w:rsidTr="004D6466">
        <w:tc>
          <w:tcPr>
            <w:tcW w:w="2537" w:type="dxa"/>
            <w:shd w:val="clear" w:color="auto" w:fill="E5DFEC" w:themeFill="accent4" w:themeFillTint="33"/>
          </w:tcPr>
          <w:p w:rsidR="00A66191" w:rsidRPr="00727475" w:rsidRDefault="00A66191" w:rsidP="004D6466">
            <w:pPr>
              <w:pStyle w:val="NormalWeb"/>
              <w:spacing w:line="360" w:lineRule="auto"/>
              <w:rPr>
                <w:rStyle w:val="Textoennegrita"/>
                <w:rFonts w:ascii="Arial" w:eastAsia="Calibri" w:hAnsi="Arial" w:cs="Arial"/>
                <w:b w:val="0"/>
                <w:lang w:val="es-EC"/>
              </w:rPr>
            </w:pPr>
            <w:r w:rsidRPr="00727475">
              <w:rPr>
                <w:rStyle w:val="Textoennegrita"/>
                <w:rFonts w:ascii="Arial" w:eastAsia="Calibri" w:hAnsi="Arial" w:cs="Arial"/>
                <w:b w:val="0"/>
                <w:lang w:val="es-EC"/>
              </w:rPr>
              <w:t>Pobreza</w:t>
            </w:r>
          </w:p>
        </w:tc>
        <w:tc>
          <w:tcPr>
            <w:tcW w:w="2145" w:type="dxa"/>
            <w:shd w:val="clear" w:color="auto" w:fill="E5DFEC" w:themeFill="accent4" w:themeFillTint="33"/>
          </w:tcPr>
          <w:p w:rsidR="00A66191" w:rsidRPr="00727475" w:rsidRDefault="00A66191" w:rsidP="004D6466">
            <w:pPr>
              <w:pStyle w:val="NormalWeb"/>
              <w:spacing w:line="360" w:lineRule="auto"/>
              <w:rPr>
                <w:rStyle w:val="Textoennegrita"/>
                <w:rFonts w:ascii="Arial" w:eastAsia="Calibri" w:hAnsi="Arial" w:cs="Arial"/>
                <w:b w:val="0"/>
                <w:lang w:val="es-EC"/>
              </w:rPr>
            </w:pPr>
            <w:r w:rsidRPr="00727475">
              <w:rPr>
                <w:rStyle w:val="Textoennegrita"/>
                <w:rFonts w:ascii="Arial" w:eastAsia="Calibri" w:hAnsi="Arial" w:cs="Arial"/>
                <w:b w:val="0"/>
                <w:lang w:val="es-EC"/>
              </w:rPr>
              <w:t>37,5%</w:t>
            </w:r>
          </w:p>
        </w:tc>
        <w:tc>
          <w:tcPr>
            <w:tcW w:w="2050" w:type="dxa"/>
            <w:shd w:val="clear" w:color="auto" w:fill="E5DFEC" w:themeFill="accent4" w:themeFillTint="33"/>
          </w:tcPr>
          <w:p w:rsidR="00A66191" w:rsidRPr="00727475" w:rsidRDefault="00A66191" w:rsidP="004D6466">
            <w:pPr>
              <w:pStyle w:val="NormalWeb"/>
              <w:spacing w:line="360" w:lineRule="auto"/>
              <w:rPr>
                <w:rStyle w:val="Textoennegrita"/>
                <w:rFonts w:ascii="Arial" w:eastAsia="Calibri" w:hAnsi="Arial" w:cs="Arial"/>
                <w:b w:val="0"/>
                <w:lang w:val="es-EC"/>
              </w:rPr>
            </w:pPr>
            <w:r w:rsidRPr="00727475">
              <w:rPr>
                <w:rStyle w:val="Textoennegrita"/>
                <w:rFonts w:ascii="Arial" w:eastAsia="Calibri" w:hAnsi="Arial" w:cs="Arial"/>
                <w:b w:val="0"/>
                <w:lang w:val="es-EC"/>
              </w:rPr>
              <w:t>22,7%</w:t>
            </w:r>
          </w:p>
        </w:tc>
        <w:tc>
          <w:tcPr>
            <w:tcW w:w="1988" w:type="dxa"/>
            <w:shd w:val="clear" w:color="auto" w:fill="E5DFEC" w:themeFill="accent4" w:themeFillTint="33"/>
          </w:tcPr>
          <w:p w:rsidR="00A66191" w:rsidRPr="00727475" w:rsidRDefault="00A66191" w:rsidP="004D6466">
            <w:pPr>
              <w:pStyle w:val="NormalWeb"/>
              <w:spacing w:line="360" w:lineRule="auto"/>
              <w:rPr>
                <w:rStyle w:val="Textoennegrita"/>
                <w:rFonts w:ascii="Arial" w:eastAsia="Calibri" w:hAnsi="Arial" w:cs="Arial"/>
                <w:b w:val="0"/>
                <w:lang w:val="es-EC"/>
              </w:rPr>
            </w:pPr>
            <w:r w:rsidRPr="00727475">
              <w:rPr>
                <w:rStyle w:val="Textoennegrita"/>
                <w:rFonts w:ascii="Arial" w:eastAsia="Calibri" w:hAnsi="Arial" w:cs="Arial"/>
                <w:b w:val="0"/>
                <w:lang w:val="es-EC"/>
              </w:rPr>
              <w:t>10,5%</w:t>
            </w:r>
          </w:p>
        </w:tc>
      </w:tr>
      <w:tr w:rsidR="00A66191" w:rsidRPr="00727475" w:rsidTr="004D6466">
        <w:tc>
          <w:tcPr>
            <w:tcW w:w="2537" w:type="dxa"/>
            <w:shd w:val="clear" w:color="auto" w:fill="E5DFEC" w:themeFill="accent4" w:themeFillTint="33"/>
          </w:tcPr>
          <w:p w:rsidR="00A66191" w:rsidRPr="00727475" w:rsidRDefault="00A66191" w:rsidP="004D6466">
            <w:pPr>
              <w:pStyle w:val="NormalWeb"/>
              <w:spacing w:line="360" w:lineRule="auto"/>
              <w:rPr>
                <w:rStyle w:val="Textoennegrita"/>
                <w:rFonts w:ascii="Arial" w:eastAsia="Calibri" w:hAnsi="Arial" w:cs="Arial"/>
                <w:b w:val="0"/>
                <w:lang w:val="es-EC"/>
              </w:rPr>
            </w:pPr>
            <w:r w:rsidRPr="00727475">
              <w:rPr>
                <w:rStyle w:val="Textoennegrita"/>
                <w:rFonts w:ascii="Arial" w:eastAsia="Calibri" w:hAnsi="Arial" w:cs="Arial"/>
                <w:b w:val="0"/>
                <w:lang w:val="es-EC"/>
              </w:rPr>
              <w:t>IDH</w:t>
            </w:r>
          </w:p>
        </w:tc>
        <w:tc>
          <w:tcPr>
            <w:tcW w:w="2145" w:type="dxa"/>
            <w:shd w:val="clear" w:color="auto" w:fill="E5DFEC" w:themeFill="accent4" w:themeFillTint="33"/>
          </w:tcPr>
          <w:p w:rsidR="00A66191" w:rsidRPr="00727475" w:rsidRDefault="00A66191" w:rsidP="004D6466">
            <w:pPr>
              <w:pStyle w:val="NormalWeb"/>
              <w:spacing w:line="360" w:lineRule="auto"/>
              <w:rPr>
                <w:rStyle w:val="Textoennegrita"/>
                <w:rFonts w:ascii="Arial" w:eastAsia="Calibri" w:hAnsi="Arial" w:cs="Arial"/>
                <w:b w:val="0"/>
                <w:lang w:val="es-EC"/>
              </w:rPr>
            </w:pPr>
            <w:r w:rsidRPr="00727475">
              <w:rPr>
                <w:rFonts w:ascii="Arial" w:hAnsi="Arial" w:cs="Arial"/>
              </w:rPr>
              <w:t>0,665</w:t>
            </w:r>
          </w:p>
        </w:tc>
        <w:tc>
          <w:tcPr>
            <w:tcW w:w="2050" w:type="dxa"/>
            <w:shd w:val="clear" w:color="auto" w:fill="E5DFEC" w:themeFill="accent4" w:themeFillTint="33"/>
          </w:tcPr>
          <w:p w:rsidR="00A66191" w:rsidRPr="00727475" w:rsidRDefault="00A66191" w:rsidP="004D6466">
            <w:pPr>
              <w:pStyle w:val="NormalWeb"/>
              <w:spacing w:line="360" w:lineRule="auto"/>
              <w:rPr>
                <w:rStyle w:val="Textoennegrita"/>
                <w:rFonts w:ascii="Arial" w:eastAsia="Calibri" w:hAnsi="Arial" w:cs="Arial"/>
                <w:b w:val="0"/>
                <w:lang w:val="es-EC"/>
              </w:rPr>
            </w:pPr>
            <w:r w:rsidRPr="00727475">
              <w:rPr>
                <w:rFonts w:ascii="Arial" w:hAnsi="Arial" w:cs="Arial"/>
              </w:rPr>
              <w:t>0,695</w:t>
            </w:r>
          </w:p>
        </w:tc>
        <w:tc>
          <w:tcPr>
            <w:tcW w:w="1988" w:type="dxa"/>
            <w:shd w:val="clear" w:color="auto" w:fill="E5DFEC" w:themeFill="accent4" w:themeFillTint="33"/>
          </w:tcPr>
          <w:p w:rsidR="00A66191" w:rsidRPr="00727475" w:rsidRDefault="00A66191" w:rsidP="004D6466">
            <w:pPr>
              <w:pStyle w:val="NormalWeb"/>
              <w:spacing w:line="360" w:lineRule="auto"/>
              <w:rPr>
                <w:rStyle w:val="Textoennegrita"/>
                <w:rFonts w:ascii="Arial" w:eastAsia="Calibri" w:hAnsi="Arial" w:cs="Arial"/>
                <w:b w:val="0"/>
                <w:lang w:val="es-EC"/>
              </w:rPr>
            </w:pPr>
            <w:r w:rsidRPr="00727475">
              <w:rPr>
                <w:rStyle w:val="Textoennegrita"/>
                <w:rFonts w:ascii="Arial" w:eastAsia="Calibri" w:hAnsi="Arial" w:cs="Arial"/>
                <w:b w:val="0"/>
                <w:lang w:val="es-EC"/>
              </w:rPr>
              <w:t>0,715</w:t>
            </w:r>
          </w:p>
        </w:tc>
      </w:tr>
      <w:tr w:rsidR="00A66191" w:rsidRPr="00727475" w:rsidTr="004D6466">
        <w:tc>
          <w:tcPr>
            <w:tcW w:w="2537" w:type="dxa"/>
            <w:shd w:val="clear" w:color="auto" w:fill="E5DFEC" w:themeFill="accent4" w:themeFillTint="33"/>
          </w:tcPr>
          <w:p w:rsidR="00A66191" w:rsidRPr="00727475" w:rsidRDefault="00A66191" w:rsidP="004D6466">
            <w:pPr>
              <w:pStyle w:val="NormalWeb"/>
              <w:spacing w:line="360" w:lineRule="auto"/>
              <w:rPr>
                <w:rStyle w:val="Textoennegrita"/>
                <w:rFonts w:ascii="Arial" w:eastAsia="Calibri" w:hAnsi="Arial" w:cs="Arial"/>
                <w:b w:val="0"/>
                <w:lang w:val="es-EC"/>
              </w:rPr>
            </w:pPr>
            <w:r w:rsidRPr="00727475">
              <w:rPr>
                <w:rStyle w:val="Textoennegrita"/>
                <w:rFonts w:ascii="Arial" w:eastAsia="Calibri" w:hAnsi="Arial" w:cs="Arial"/>
                <w:b w:val="0"/>
                <w:lang w:val="es-EC"/>
              </w:rPr>
              <w:lastRenderedPageBreak/>
              <w:t>Tasa de analfabetismo</w:t>
            </w:r>
          </w:p>
        </w:tc>
        <w:tc>
          <w:tcPr>
            <w:tcW w:w="2145" w:type="dxa"/>
            <w:shd w:val="clear" w:color="auto" w:fill="E5DFEC" w:themeFill="accent4" w:themeFillTint="33"/>
          </w:tcPr>
          <w:p w:rsidR="00A66191" w:rsidRPr="00727475" w:rsidRDefault="00A66191" w:rsidP="004D6466">
            <w:pPr>
              <w:pStyle w:val="NormalWeb"/>
              <w:spacing w:line="360" w:lineRule="auto"/>
              <w:rPr>
                <w:rStyle w:val="Textoennegrita"/>
                <w:rFonts w:ascii="Arial" w:eastAsia="Calibri" w:hAnsi="Arial" w:cs="Arial"/>
                <w:b w:val="0"/>
                <w:lang w:val="es-EC"/>
              </w:rPr>
            </w:pPr>
            <w:r w:rsidRPr="00727475">
              <w:rPr>
                <w:rStyle w:val="Textoennegrita"/>
                <w:rFonts w:ascii="Arial" w:eastAsia="Calibri" w:hAnsi="Arial" w:cs="Arial"/>
                <w:b w:val="0"/>
                <w:lang w:val="es-EC"/>
              </w:rPr>
              <w:t>13.6%</w:t>
            </w:r>
          </w:p>
        </w:tc>
        <w:tc>
          <w:tcPr>
            <w:tcW w:w="2050" w:type="dxa"/>
            <w:shd w:val="clear" w:color="auto" w:fill="E5DFEC" w:themeFill="accent4" w:themeFillTint="33"/>
          </w:tcPr>
          <w:p w:rsidR="00A66191" w:rsidRPr="00727475" w:rsidRDefault="00A66191" w:rsidP="004D6466">
            <w:pPr>
              <w:pStyle w:val="NormalWeb"/>
              <w:spacing w:line="360" w:lineRule="auto"/>
              <w:rPr>
                <w:rStyle w:val="Textoennegrita"/>
                <w:rFonts w:ascii="Arial" w:eastAsia="Calibri" w:hAnsi="Arial" w:cs="Arial"/>
                <w:b w:val="0"/>
                <w:lang w:val="es-EC"/>
              </w:rPr>
            </w:pPr>
          </w:p>
        </w:tc>
        <w:tc>
          <w:tcPr>
            <w:tcW w:w="1988" w:type="dxa"/>
            <w:shd w:val="clear" w:color="auto" w:fill="E5DFEC" w:themeFill="accent4" w:themeFillTint="33"/>
          </w:tcPr>
          <w:p w:rsidR="00A66191" w:rsidRPr="00727475" w:rsidRDefault="00A66191" w:rsidP="004D6466">
            <w:pPr>
              <w:pStyle w:val="NormalWeb"/>
              <w:spacing w:line="360" w:lineRule="auto"/>
              <w:rPr>
                <w:rStyle w:val="Textoennegrita"/>
                <w:rFonts w:ascii="Arial" w:eastAsia="Calibri" w:hAnsi="Arial" w:cs="Arial"/>
                <w:b w:val="0"/>
                <w:lang w:val="es-EC"/>
              </w:rPr>
            </w:pPr>
            <w:r w:rsidRPr="00727475">
              <w:rPr>
                <w:rStyle w:val="Textoennegrita"/>
                <w:rFonts w:ascii="Arial" w:eastAsia="Calibri" w:hAnsi="Arial" w:cs="Arial"/>
                <w:b w:val="0"/>
                <w:lang w:val="es-EC"/>
              </w:rPr>
              <w:t>5.2%</w:t>
            </w:r>
          </w:p>
        </w:tc>
      </w:tr>
      <w:tr w:rsidR="00A66191" w:rsidRPr="00727475" w:rsidTr="004D6466">
        <w:tc>
          <w:tcPr>
            <w:tcW w:w="2537" w:type="dxa"/>
            <w:shd w:val="clear" w:color="auto" w:fill="E5DFEC" w:themeFill="accent4" w:themeFillTint="33"/>
          </w:tcPr>
          <w:p w:rsidR="00A66191" w:rsidRPr="00727475" w:rsidRDefault="00A66191" w:rsidP="004D6466">
            <w:pPr>
              <w:pStyle w:val="NormalWeb"/>
              <w:spacing w:line="360" w:lineRule="auto"/>
              <w:rPr>
                <w:rStyle w:val="Textoennegrita"/>
                <w:rFonts w:ascii="Arial" w:eastAsia="Calibri" w:hAnsi="Arial" w:cs="Arial"/>
                <w:b w:val="0"/>
                <w:lang w:val="es-EC"/>
              </w:rPr>
            </w:pPr>
            <w:r w:rsidRPr="00727475">
              <w:rPr>
                <w:rStyle w:val="Textoennegrita"/>
                <w:rFonts w:ascii="Arial" w:eastAsia="Calibri" w:hAnsi="Arial" w:cs="Arial"/>
                <w:b w:val="0"/>
                <w:lang w:val="es-EC"/>
              </w:rPr>
              <w:t>Tasa de desnutrición crónica</w:t>
            </w:r>
          </w:p>
        </w:tc>
        <w:tc>
          <w:tcPr>
            <w:tcW w:w="2145" w:type="dxa"/>
            <w:shd w:val="clear" w:color="auto" w:fill="E5DFEC" w:themeFill="accent4" w:themeFillTint="33"/>
          </w:tcPr>
          <w:p w:rsidR="00A66191" w:rsidRPr="00727475" w:rsidRDefault="00A66191" w:rsidP="004D6466">
            <w:pPr>
              <w:pStyle w:val="NormalWeb"/>
              <w:spacing w:line="360" w:lineRule="auto"/>
              <w:rPr>
                <w:rStyle w:val="Textoennegrita"/>
                <w:rFonts w:ascii="Arial" w:eastAsia="Calibri" w:hAnsi="Arial" w:cs="Arial"/>
                <w:b w:val="0"/>
                <w:lang w:val="es-EC"/>
              </w:rPr>
            </w:pPr>
            <w:r w:rsidRPr="00727475">
              <w:rPr>
                <w:rStyle w:val="Textoennegrita"/>
                <w:rFonts w:ascii="Arial" w:eastAsia="Calibri" w:hAnsi="Arial" w:cs="Arial"/>
                <w:b w:val="0"/>
                <w:lang w:val="es-EC"/>
              </w:rPr>
              <w:t>50%</w:t>
            </w:r>
          </w:p>
        </w:tc>
        <w:tc>
          <w:tcPr>
            <w:tcW w:w="2050" w:type="dxa"/>
            <w:shd w:val="clear" w:color="auto" w:fill="E5DFEC" w:themeFill="accent4" w:themeFillTint="33"/>
          </w:tcPr>
          <w:p w:rsidR="00A66191" w:rsidRPr="00727475" w:rsidRDefault="00A66191" w:rsidP="004D6466">
            <w:pPr>
              <w:pStyle w:val="NormalWeb"/>
              <w:spacing w:line="360" w:lineRule="auto"/>
              <w:rPr>
                <w:rStyle w:val="Textoennegrita"/>
                <w:rFonts w:ascii="Arial" w:eastAsia="Calibri" w:hAnsi="Arial" w:cs="Arial"/>
                <w:b w:val="0"/>
                <w:lang w:val="es-EC"/>
              </w:rPr>
            </w:pPr>
            <w:r w:rsidRPr="00727475">
              <w:rPr>
                <w:rStyle w:val="Textoennegrita"/>
                <w:rFonts w:ascii="Arial" w:eastAsia="Calibri" w:hAnsi="Arial" w:cs="Arial"/>
                <w:b w:val="0"/>
                <w:lang w:val="es-EC"/>
              </w:rPr>
              <w:t>44 %</w:t>
            </w:r>
          </w:p>
        </w:tc>
        <w:tc>
          <w:tcPr>
            <w:tcW w:w="1988" w:type="dxa"/>
            <w:shd w:val="clear" w:color="auto" w:fill="E5DFEC" w:themeFill="accent4" w:themeFillTint="33"/>
          </w:tcPr>
          <w:p w:rsidR="00A66191" w:rsidRPr="00727475" w:rsidRDefault="00A66191" w:rsidP="004D6466">
            <w:pPr>
              <w:pStyle w:val="NormalWeb"/>
              <w:spacing w:line="360" w:lineRule="auto"/>
              <w:rPr>
                <w:rStyle w:val="Textoennegrita"/>
                <w:rFonts w:ascii="Arial" w:eastAsia="Calibri" w:hAnsi="Arial" w:cs="Arial"/>
                <w:b w:val="0"/>
                <w:lang w:val="es-EC"/>
              </w:rPr>
            </w:pPr>
            <w:r w:rsidRPr="00727475">
              <w:rPr>
                <w:rStyle w:val="Textoennegrita"/>
                <w:rFonts w:ascii="Arial" w:eastAsia="Calibri" w:hAnsi="Arial" w:cs="Arial"/>
                <w:b w:val="0"/>
                <w:lang w:val="es-EC"/>
              </w:rPr>
              <w:t>10.5%</w:t>
            </w:r>
          </w:p>
        </w:tc>
      </w:tr>
      <w:tr w:rsidR="00A66191" w:rsidRPr="00727475" w:rsidTr="004D6466">
        <w:tc>
          <w:tcPr>
            <w:tcW w:w="2537" w:type="dxa"/>
            <w:shd w:val="clear" w:color="auto" w:fill="E5DFEC" w:themeFill="accent4" w:themeFillTint="33"/>
          </w:tcPr>
          <w:p w:rsidR="00A66191" w:rsidRPr="00727475" w:rsidRDefault="00A66191" w:rsidP="004D6466">
            <w:pPr>
              <w:pStyle w:val="NormalWeb"/>
              <w:spacing w:line="360" w:lineRule="auto"/>
              <w:rPr>
                <w:rStyle w:val="Textoennegrita"/>
                <w:rFonts w:ascii="Arial" w:eastAsia="Calibri" w:hAnsi="Arial" w:cs="Arial"/>
                <w:b w:val="0"/>
                <w:lang w:val="es-EC"/>
              </w:rPr>
            </w:pPr>
            <w:r w:rsidRPr="00727475">
              <w:rPr>
                <w:rStyle w:val="Textoennegrita"/>
                <w:rFonts w:ascii="Arial" w:eastAsia="Calibri" w:hAnsi="Arial" w:cs="Arial"/>
                <w:b w:val="0"/>
                <w:lang w:val="es-EC"/>
              </w:rPr>
              <w:t>Tasa de Mortalidad infantil</w:t>
            </w:r>
          </w:p>
        </w:tc>
        <w:tc>
          <w:tcPr>
            <w:tcW w:w="2145" w:type="dxa"/>
            <w:shd w:val="clear" w:color="auto" w:fill="E5DFEC" w:themeFill="accent4" w:themeFillTint="33"/>
          </w:tcPr>
          <w:p w:rsidR="00A66191" w:rsidRPr="00727475" w:rsidRDefault="00A66191" w:rsidP="004D6466">
            <w:pPr>
              <w:pStyle w:val="NormalWeb"/>
              <w:spacing w:line="360" w:lineRule="auto"/>
              <w:rPr>
                <w:rStyle w:val="Textoennegrita"/>
                <w:rFonts w:ascii="Arial" w:eastAsia="Calibri" w:hAnsi="Arial" w:cs="Arial"/>
                <w:b w:val="0"/>
                <w:lang w:val="es-EC"/>
              </w:rPr>
            </w:pPr>
            <w:r w:rsidRPr="00727475">
              <w:rPr>
                <w:rStyle w:val="Textoennegrita"/>
                <w:rFonts w:ascii="Arial" w:eastAsia="Calibri" w:hAnsi="Arial" w:cs="Arial"/>
                <w:b w:val="0"/>
                <w:lang w:val="es-EC"/>
              </w:rPr>
              <w:t>38.04</w:t>
            </w:r>
          </w:p>
        </w:tc>
        <w:tc>
          <w:tcPr>
            <w:tcW w:w="2050" w:type="dxa"/>
            <w:shd w:val="clear" w:color="auto" w:fill="E5DFEC" w:themeFill="accent4" w:themeFillTint="33"/>
          </w:tcPr>
          <w:p w:rsidR="00A66191" w:rsidRPr="00727475" w:rsidRDefault="00A66191" w:rsidP="004D6466">
            <w:pPr>
              <w:pStyle w:val="NormalWeb"/>
              <w:spacing w:line="360" w:lineRule="auto"/>
              <w:rPr>
                <w:rStyle w:val="Textoennegrita"/>
                <w:rFonts w:ascii="Arial" w:eastAsia="Calibri" w:hAnsi="Arial" w:cs="Arial"/>
                <w:b w:val="0"/>
                <w:lang w:val="es-EC"/>
              </w:rPr>
            </w:pPr>
            <w:r w:rsidRPr="00727475">
              <w:rPr>
                <w:rStyle w:val="Textoennegrita"/>
                <w:rFonts w:ascii="Arial" w:eastAsia="Calibri" w:hAnsi="Arial" w:cs="Arial"/>
                <w:b w:val="0"/>
                <w:lang w:val="es-EC"/>
              </w:rPr>
              <w:t>28.6</w:t>
            </w:r>
          </w:p>
        </w:tc>
        <w:tc>
          <w:tcPr>
            <w:tcW w:w="1988" w:type="dxa"/>
            <w:shd w:val="clear" w:color="auto" w:fill="E5DFEC" w:themeFill="accent4" w:themeFillTint="33"/>
          </w:tcPr>
          <w:p w:rsidR="00A66191" w:rsidRPr="00727475" w:rsidRDefault="00A66191" w:rsidP="004D6466">
            <w:pPr>
              <w:pStyle w:val="NormalWeb"/>
              <w:spacing w:line="360" w:lineRule="auto"/>
              <w:rPr>
                <w:rStyle w:val="Textoennegrita"/>
                <w:rFonts w:ascii="Arial" w:eastAsia="Calibri" w:hAnsi="Arial" w:cs="Arial"/>
                <w:b w:val="0"/>
                <w:lang w:val="es-EC"/>
              </w:rPr>
            </w:pPr>
            <w:r w:rsidRPr="00727475">
              <w:rPr>
                <w:rStyle w:val="Textoennegrita"/>
                <w:rFonts w:ascii="Arial" w:eastAsia="Calibri" w:hAnsi="Arial" w:cs="Arial"/>
                <w:b w:val="0"/>
                <w:lang w:val="es-EC"/>
              </w:rPr>
              <w:t>21.86</w:t>
            </w:r>
          </w:p>
        </w:tc>
      </w:tr>
      <w:tr w:rsidR="00A66191" w:rsidRPr="00727475" w:rsidTr="004D6466">
        <w:tc>
          <w:tcPr>
            <w:tcW w:w="2537" w:type="dxa"/>
            <w:shd w:val="clear" w:color="auto" w:fill="95B3D7" w:themeFill="accent1" w:themeFillTint="99"/>
          </w:tcPr>
          <w:p w:rsidR="00A66191" w:rsidRPr="00727475" w:rsidRDefault="00A66191" w:rsidP="004D6466">
            <w:pPr>
              <w:pStyle w:val="NormalWeb"/>
              <w:spacing w:line="360" w:lineRule="auto"/>
              <w:rPr>
                <w:rStyle w:val="Textoennegrita"/>
                <w:rFonts w:ascii="Arial" w:eastAsia="Calibri" w:hAnsi="Arial" w:cs="Arial"/>
                <w:i/>
                <w:lang w:val="es-EC"/>
              </w:rPr>
            </w:pPr>
            <w:r w:rsidRPr="00727475">
              <w:rPr>
                <w:rStyle w:val="Textoennegrita"/>
                <w:rFonts w:ascii="Arial" w:eastAsia="Calibri" w:hAnsi="Arial" w:cs="Arial"/>
                <w:i/>
                <w:lang w:val="es-EC"/>
              </w:rPr>
              <w:t>Ambientales</w:t>
            </w:r>
          </w:p>
        </w:tc>
        <w:tc>
          <w:tcPr>
            <w:tcW w:w="2145" w:type="dxa"/>
            <w:shd w:val="clear" w:color="auto" w:fill="95B3D7" w:themeFill="accent1" w:themeFillTint="99"/>
          </w:tcPr>
          <w:p w:rsidR="00A66191" w:rsidRPr="00727475" w:rsidRDefault="00A66191" w:rsidP="004D6466">
            <w:pPr>
              <w:pStyle w:val="NormalWeb"/>
              <w:spacing w:line="360" w:lineRule="auto"/>
              <w:rPr>
                <w:rStyle w:val="Textoennegrita"/>
                <w:rFonts w:ascii="Arial" w:eastAsia="Calibri" w:hAnsi="Arial" w:cs="Arial"/>
                <w:b w:val="0"/>
                <w:lang w:val="es-EC"/>
              </w:rPr>
            </w:pPr>
          </w:p>
        </w:tc>
        <w:tc>
          <w:tcPr>
            <w:tcW w:w="2050" w:type="dxa"/>
            <w:shd w:val="clear" w:color="auto" w:fill="95B3D7" w:themeFill="accent1" w:themeFillTint="99"/>
          </w:tcPr>
          <w:p w:rsidR="00A66191" w:rsidRPr="00727475" w:rsidRDefault="00A66191" w:rsidP="004D6466">
            <w:pPr>
              <w:pStyle w:val="NormalWeb"/>
              <w:spacing w:line="360" w:lineRule="auto"/>
              <w:rPr>
                <w:rStyle w:val="Textoennegrita"/>
                <w:rFonts w:ascii="Arial" w:eastAsia="Calibri" w:hAnsi="Arial" w:cs="Arial"/>
                <w:b w:val="0"/>
                <w:lang w:val="es-EC"/>
              </w:rPr>
            </w:pPr>
          </w:p>
        </w:tc>
        <w:tc>
          <w:tcPr>
            <w:tcW w:w="1988" w:type="dxa"/>
            <w:shd w:val="clear" w:color="auto" w:fill="95B3D7" w:themeFill="accent1" w:themeFillTint="99"/>
          </w:tcPr>
          <w:p w:rsidR="00A66191" w:rsidRPr="00727475" w:rsidRDefault="00A66191" w:rsidP="004D6466">
            <w:pPr>
              <w:pStyle w:val="NormalWeb"/>
              <w:spacing w:line="360" w:lineRule="auto"/>
              <w:rPr>
                <w:rStyle w:val="Textoennegrita"/>
                <w:rFonts w:ascii="Arial" w:eastAsia="Calibri" w:hAnsi="Arial" w:cs="Arial"/>
                <w:b w:val="0"/>
                <w:lang w:val="es-EC"/>
              </w:rPr>
            </w:pPr>
          </w:p>
        </w:tc>
      </w:tr>
      <w:tr w:rsidR="00A66191" w:rsidRPr="00727475" w:rsidTr="004D6466">
        <w:tc>
          <w:tcPr>
            <w:tcW w:w="2537" w:type="dxa"/>
            <w:shd w:val="clear" w:color="auto" w:fill="DBE5F1" w:themeFill="accent1" w:themeFillTint="33"/>
          </w:tcPr>
          <w:p w:rsidR="00A66191" w:rsidRPr="00727475" w:rsidRDefault="00A66191" w:rsidP="004D6466">
            <w:pPr>
              <w:pStyle w:val="NormalWeb"/>
              <w:spacing w:line="360" w:lineRule="auto"/>
              <w:rPr>
                <w:rStyle w:val="Textoennegrita"/>
                <w:rFonts w:ascii="Arial" w:eastAsia="Calibri" w:hAnsi="Arial" w:cs="Arial"/>
                <w:b w:val="0"/>
                <w:lang w:val="es-EC"/>
              </w:rPr>
            </w:pPr>
            <w:r w:rsidRPr="00727475">
              <w:rPr>
                <w:rStyle w:val="Textoennegrita"/>
                <w:rFonts w:ascii="Arial" w:eastAsia="Calibri" w:hAnsi="Arial" w:cs="Arial"/>
                <w:b w:val="0"/>
                <w:lang w:val="es-EC"/>
              </w:rPr>
              <w:t>superficie cubierta por bosques (Ha)</w:t>
            </w:r>
          </w:p>
        </w:tc>
        <w:tc>
          <w:tcPr>
            <w:tcW w:w="2145" w:type="dxa"/>
            <w:shd w:val="clear" w:color="auto" w:fill="DBE5F1" w:themeFill="accent1" w:themeFillTint="33"/>
          </w:tcPr>
          <w:p w:rsidR="00A66191" w:rsidRPr="00727475" w:rsidRDefault="00A66191" w:rsidP="004D6466">
            <w:pPr>
              <w:pStyle w:val="Default"/>
              <w:rPr>
                <w:rStyle w:val="Textoennegrita"/>
                <w:rFonts w:ascii="Arial" w:hAnsi="Arial" w:cs="Arial"/>
                <w:b w:val="0"/>
                <w:color w:val="auto"/>
                <w:lang w:val="es-EC"/>
              </w:rPr>
            </w:pPr>
            <w:r w:rsidRPr="00727475">
              <w:rPr>
                <w:rFonts w:ascii="Arial" w:hAnsi="Arial" w:cs="Arial"/>
                <w:color w:val="auto"/>
              </w:rPr>
              <w:t>493,213</w:t>
            </w:r>
          </w:p>
        </w:tc>
        <w:tc>
          <w:tcPr>
            <w:tcW w:w="2050" w:type="dxa"/>
            <w:shd w:val="clear" w:color="auto" w:fill="DBE5F1" w:themeFill="accent1" w:themeFillTint="33"/>
          </w:tcPr>
          <w:p w:rsidR="00A66191" w:rsidRPr="00727475" w:rsidRDefault="00A66191" w:rsidP="004D6466">
            <w:pPr>
              <w:pStyle w:val="Default"/>
              <w:rPr>
                <w:rFonts w:ascii="Arial" w:hAnsi="Arial" w:cs="Arial"/>
                <w:color w:val="auto"/>
              </w:rPr>
            </w:pPr>
            <w:r w:rsidRPr="00727475">
              <w:rPr>
                <w:rFonts w:ascii="Arial" w:hAnsi="Arial" w:cs="Arial"/>
                <w:color w:val="auto"/>
              </w:rPr>
              <w:t>477,698</w:t>
            </w:r>
          </w:p>
          <w:p w:rsidR="00A66191" w:rsidRPr="00727475" w:rsidRDefault="00A66191" w:rsidP="004D6466">
            <w:pPr>
              <w:pStyle w:val="NormalWeb"/>
              <w:spacing w:line="360" w:lineRule="auto"/>
              <w:rPr>
                <w:rStyle w:val="Textoennegrita"/>
                <w:rFonts w:ascii="Arial" w:eastAsia="Calibri" w:hAnsi="Arial" w:cs="Arial"/>
                <w:b w:val="0"/>
                <w:lang w:val="es-EC"/>
              </w:rPr>
            </w:pPr>
          </w:p>
        </w:tc>
        <w:tc>
          <w:tcPr>
            <w:tcW w:w="1988" w:type="dxa"/>
            <w:shd w:val="clear" w:color="auto" w:fill="DBE5F1" w:themeFill="accent1" w:themeFillTint="33"/>
          </w:tcPr>
          <w:p w:rsidR="00A66191" w:rsidRPr="00727475" w:rsidRDefault="00A66191" w:rsidP="004D6466">
            <w:pPr>
              <w:pStyle w:val="Default"/>
              <w:rPr>
                <w:rFonts w:ascii="Arial" w:hAnsi="Arial" w:cs="Arial"/>
                <w:color w:val="auto"/>
              </w:rPr>
            </w:pPr>
          </w:p>
          <w:p w:rsidR="00A66191" w:rsidRPr="00727475" w:rsidRDefault="00A66191" w:rsidP="004D6466">
            <w:pPr>
              <w:pStyle w:val="NormalWeb"/>
              <w:spacing w:line="360" w:lineRule="auto"/>
              <w:rPr>
                <w:rStyle w:val="Textoennegrita"/>
                <w:rFonts w:ascii="Arial" w:eastAsia="Calibri" w:hAnsi="Arial" w:cs="Arial"/>
                <w:b w:val="0"/>
                <w:lang w:val="es-EC"/>
              </w:rPr>
            </w:pPr>
          </w:p>
        </w:tc>
      </w:tr>
      <w:tr w:rsidR="00A66191" w:rsidRPr="00727475" w:rsidTr="004D6466">
        <w:tc>
          <w:tcPr>
            <w:tcW w:w="2537" w:type="dxa"/>
            <w:shd w:val="clear" w:color="auto" w:fill="DBE5F1" w:themeFill="accent1" w:themeFillTint="33"/>
          </w:tcPr>
          <w:p w:rsidR="00A66191" w:rsidRPr="00727475" w:rsidRDefault="00A66191" w:rsidP="004D6466">
            <w:pPr>
              <w:pStyle w:val="NormalWeb"/>
              <w:spacing w:line="360" w:lineRule="auto"/>
              <w:rPr>
                <w:rStyle w:val="Textoennegrita"/>
                <w:rFonts w:ascii="Arial" w:eastAsia="Calibri" w:hAnsi="Arial" w:cs="Arial"/>
                <w:b w:val="0"/>
                <w:lang w:val="es-EC"/>
              </w:rPr>
            </w:pPr>
            <w:r w:rsidRPr="00727475">
              <w:rPr>
                <w:rStyle w:val="Textoennegrita"/>
                <w:rFonts w:ascii="Arial" w:eastAsia="Calibri" w:hAnsi="Arial" w:cs="Arial"/>
                <w:b w:val="0"/>
                <w:lang w:val="es-EC"/>
              </w:rPr>
              <w:t>Áreas protegidas (Ha)</w:t>
            </w:r>
          </w:p>
        </w:tc>
        <w:tc>
          <w:tcPr>
            <w:tcW w:w="2145" w:type="dxa"/>
            <w:shd w:val="clear" w:color="auto" w:fill="DBE5F1" w:themeFill="accent1" w:themeFillTint="33"/>
          </w:tcPr>
          <w:p w:rsidR="00A66191" w:rsidRPr="00727475" w:rsidRDefault="00A66191" w:rsidP="004D6466">
            <w:pPr>
              <w:pStyle w:val="Default"/>
              <w:rPr>
                <w:rFonts w:ascii="Arial" w:hAnsi="Arial" w:cs="Arial"/>
                <w:color w:val="auto"/>
              </w:rPr>
            </w:pPr>
          </w:p>
          <w:p w:rsidR="00A66191" w:rsidRPr="00727475" w:rsidRDefault="00A66191" w:rsidP="004D6466">
            <w:pPr>
              <w:pStyle w:val="Default"/>
              <w:rPr>
                <w:rFonts w:ascii="Arial" w:hAnsi="Arial" w:cs="Arial"/>
                <w:color w:val="auto"/>
              </w:rPr>
            </w:pPr>
          </w:p>
          <w:p w:rsidR="00A66191" w:rsidRPr="00727475" w:rsidRDefault="00A66191" w:rsidP="004D6466">
            <w:pPr>
              <w:pStyle w:val="NormalWeb"/>
              <w:spacing w:line="360" w:lineRule="auto"/>
              <w:rPr>
                <w:rStyle w:val="Textoennegrita"/>
                <w:rFonts w:ascii="Arial" w:eastAsia="Calibri" w:hAnsi="Arial" w:cs="Arial"/>
                <w:b w:val="0"/>
                <w:lang w:val="es-EC"/>
              </w:rPr>
            </w:pPr>
          </w:p>
        </w:tc>
        <w:tc>
          <w:tcPr>
            <w:tcW w:w="2050" w:type="dxa"/>
            <w:shd w:val="clear" w:color="auto" w:fill="DBE5F1" w:themeFill="accent1" w:themeFillTint="33"/>
          </w:tcPr>
          <w:p w:rsidR="00A66191" w:rsidRPr="00727475" w:rsidRDefault="00A66191" w:rsidP="004D6466">
            <w:pPr>
              <w:pStyle w:val="Default"/>
              <w:rPr>
                <w:rFonts w:ascii="Arial" w:hAnsi="Arial" w:cs="Arial"/>
                <w:color w:val="auto"/>
              </w:rPr>
            </w:pPr>
          </w:p>
          <w:p w:rsidR="00A66191" w:rsidRPr="00727475" w:rsidRDefault="00A66191" w:rsidP="004D6466">
            <w:pPr>
              <w:pStyle w:val="NormalWeb"/>
              <w:spacing w:line="360" w:lineRule="auto"/>
              <w:rPr>
                <w:rStyle w:val="Textoennegrita"/>
                <w:rFonts w:ascii="Arial" w:eastAsia="Calibri" w:hAnsi="Arial" w:cs="Arial"/>
                <w:b w:val="0"/>
                <w:lang w:val="es-EC"/>
              </w:rPr>
            </w:pPr>
          </w:p>
        </w:tc>
        <w:tc>
          <w:tcPr>
            <w:tcW w:w="1988" w:type="dxa"/>
            <w:shd w:val="clear" w:color="auto" w:fill="DBE5F1" w:themeFill="accent1" w:themeFillTint="33"/>
          </w:tcPr>
          <w:p w:rsidR="00A66191" w:rsidRPr="00727475" w:rsidRDefault="00A66191" w:rsidP="004D6466">
            <w:pPr>
              <w:pStyle w:val="NormalWeb"/>
              <w:spacing w:line="360" w:lineRule="auto"/>
              <w:rPr>
                <w:rStyle w:val="Textoennegrita"/>
                <w:rFonts w:ascii="Arial" w:eastAsia="Calibri" w:hAnsi="Arial" w:cs="Arial"/>
                <w:b w:val="0"/>
                <w:lang w:val="es-EC"/>
              </w:rPr>
            </w:pPr>
            <w:r w:rsidRPr="00727475">
              <w:rPr>
                <w:rStyle w:val="Textoennegrita"/>
                <w:rFonts w:ascii="Arial" w:eastAsia="Calibri" w:hAnsi="Arial" w:cs="Arial"/>
                <w:b w:val="0"/>
                <w:lang w:val="es-EC"/>
              </w:rPr>
              <w:t>551.487.700</w:t>
            </w:r>
          </w:p>
        </w:tc>
      </w:tr>
    </w:tbl>
    <w:p w:rsidR="00A66191" w:rsidRPr="004D6466" w:rsidRDefault="00A66191" w:rsidP="00A66191">
      <w:pPr>
        <w:pStyle w:val="Sinespaciado"/>
        <w:rPr>
          <w:rFonts w:ascii="Arial" w:hAnsi="Arial" w:cs="Arial"/>
          <w:sz w:val="16"/>
          <w:szCs w:val="16"/>
        </w:rPr>
      </w:pPr>
      <w:r w:rsidRPr="004D6466">
        <w:rPr>
          <w:rFonts w:ascii="Arial" w:hAnsi="Arial" w:cs="Arial"/>
          <w:sz w:val="16"/>
          <w:szCs w:val="16"/>
        </w:rPr>
        <w:t xml:space="preserve">Tabla Nº 3           fuente: Instituto Brasilero de Geografía y Estadísticas IBGE               elaborada por María José Ponce         </w:t>
      </w:r>
    </w:p>
    <w:p w:rsidR="00A66191" w:rsidRPr="004D6466" w:rsidRDefault="00A66191" w:rsidP="00A66191">
      <w:pPr>
        <w:spacing w:before="100" w:beforeAutospacing="1" w:after="100" w:afterAutospacing="1" w:line="360" w:lineRule="auto"/>
        <w:jc w:val="both"/>
        <w:rPr>
          <w:rFonts w:ascii="Arial" w:hAnsi="Arial" w:cs="Arial"/>
          <w:sz w:val="24"/>
          <w:szCs w:val="24"/>
        </w:rPr>
      </w:pPr>
      <w:r w:rsidRPr="004D6466">
        <w:rPr>
          <w:rFonts w:ascii="Arial" w:hAnsi="Arial" w:cs="Arial"/>
          <w:sz w:val="24"/>
          <w:szCs w:val="24"/>
        </w:rPr>
        <w:t>En esta ficha se observa que Brasil tiene problemas de pobreza al igual que el Ecuador, y además tiene la particularidad de que es el quinto país más grande del mundo y esto hace que sus problemas de pobreza sean mucho más graves aunque los esfuerzos realizados con los programas “Bolsa Familia” y “Hambre Cero” le hayan permitido un desarrollo sistemático de ese país.</w:t>
      </w:r>
    </w:p>
    <w:p w:rsidR="00A66191" w:rsidRPr="004D6466" w:rsidRDefault="00A66191" w:rsidP="00A66191">
      <w:pPr>
        <w:spacing w:before="100" w:beforeAutospacing="1" w:after="100" w:afterAutospacing="1" w:line="360" w:lineRule="auto"/>
        <w:jc w:val="both"/>
        <w:rPr>
          <w:rFonts w:ascii="Arial" w:hAnsi="Arial" w:cs="Arial"/>
          <w:b/>
          <w:sz w:val="24"/>
          <w:szCs w:val="24"/>
        </w:rPr>
      </w:pPr>
      <w:r w:rsidRPr="004D6466">
        <w:rPr>
          <w:rFonts w:ascii="Arial" w:hAnsi="Arial" w:cs="Arial"/>
          <w:b/>
          <w:sz w:val="24"/>
          <w:szCs w:val="24"/>
        </w:rPr>
        <w:t>2.4 Características del modelo de desarrollo del Brasil</w:t>
      </w:r>
    </w:p>
    <w:p w:rsidR="00A66191" w:rsidRPr="004D6466" w:rsidRDefault="00A66191" w:rsidP="00A66191">
      <w:pPr>
        <w:spacing w:before="100" w:beforeAutospacing="1" w:after="100" w:afterAutospacing="1" w:line="360" w:lineRule="auto"/>
        <w:jc w:val="both"/>
        <w:rPr>
          <w:rFonts w:ascii="Arial" w:hAnsi="Arial" w:cs="Arial"/>
          <w:b/>
          <w:sz w:val="24"/>
          <w:szCs w:val="24"/>
        </w:rPr>
      </w:pPr>
      <w:r w:rsidRPr="004D6466">
        <w:rPr>
          <w:rFonts w:ascii="Arial" w:hAnsi="Arial" w:cs="Arial"/>
          <w:sz w:val="24"/>
          <w:szCs w:val="24"/>
        </w:rPr>
        <w:t>El modelo de desarrollo aplicado por el presidente Luis Ignacio da Silva en el Brasil es endógeno al que se le adicionó características del modelo de servicios</w:t>
      </w:r>
      <w:r w:rsidRPr="004D6466">
        <w:rPr>
          <w:rFonts w:ascii="Arial" w:hAnsi="Arial" w:cs="Arial"/>
          <w:b/>
          <w:sz w:val="24"/>
          <w:szCs w:val="24"/>
        </w:rPr>
        <w:t>.</w:t>
      </w:r>
    </w:p>
    <w:p w:rsidR="00A66191" w:rsidRPr="004D6466" w:rsidRDefault="00A66191" w:rsidP="00A66191">
      <w:pPr>
        <w:spacing w:line="360" w:lineRule="auto"/>
        <w:jc w:val="both"/>
        <w:rPr>
          <w:rFonts w:ascii="Arial" w:hAnsi="Arial" w:cs="Arial"/>
          <w:sz w:val="24"/>
          <w:szCs w:val="24"/>
        </w:rPr>
      </w:pPr>
      <w:r w:rsidRPr="004D6466">
        <w:rPr>
          <w:rFonts w:ascii="Arial" w:hAnsi="Arial" w:cs="Arial"/>
          <w:sz w:val="24"/>
          <w:szCs w:val="24"/>
        </w:rPr>
        <w:t xml:space="preserve">Se puede explicar mejor el modelo de desarrollo endógeno de Brasil con un ejemplo: en el 2010 el sector agropecuario representó el 5.8% del PIB. La agricultura y ganadería son sectores importantes para Brasil así pues, representaron el 31% del total exportado en este año. Brasil posee el 22% de tierras cultivables del planeta y destina a la agricultura 64 millones de hectáreas convirtiéndose en el tercer exportador mundial de productos agrícolas. En 2010 las exportaciones brasileñas del sector primario se situaron en torno a los 62.500 millones de dólares, lo que supone un 31% del total de las exportaciones (incluyendo carne). La cifra viene incrementándose de año en </w:t>
      </w:r>
      <w:r w:rsidRPr="004D6466">
        <w:rPr>
          <w:rFonts w:ascii="Arial" w:hAnsi="Arial" w:cs="Arial"/>
          <w:sz w:val="24"/>
          <w:szCs w:val="24"/>
        </w:rPr>
        <w:lastRenderedPageBreak/>
        <w:t>año, a la vez que se diversifican los mercados de destino, fruto del esfuerzo exportador que se ha realizado en ese país.</w:t>
      </w:r>
    </w:p>
    <w:p w:rsidR="00A66191" w:rsidRPr="004D6466" w:rsidRDefault="00A66191" w:rsidP="00A66191">
      <w:pPr>
        <w:tabs>
          <w:tab w:val="left" w:pos="142"/>
        </w:tabs>
        <w:spacing w:line="360" w:lineRule="auto"/>
        <w:jc w:val="both"/>
        <w:rPr>
          <w:rFonts w:ascii="Arial" w:hAnsi="Arial" w:cs="Arial"/>
          <w:sz w:val="24"/>
          <w:szCs w:val="24"/>
        </w:rPr>
      </w:pPr>
      <w:r w:rsidRPr="004D6466">
        <w:rPr>
          <w:rFonts w:ascii="Arial" w:hAnsi="Arial" w:cs="Arial"/>
          <w:sz w:val="24"/>
          <w:szCs w:val="24"/>
        </w:rPr>
        <w:t>La forma de implementación de este  modelo de desarrollo fue conciliadora y no generó muchas resistencias a nivel internacional.</w:t>
      </w:r>
    </w:p>
    <w:p w:rsidR="00A66191" w:rsidRPr="004D6466" w:rsidRDefault="00A66191" w:rsidP="00A66191">
      <w:pPr>
        <w:tabs>
          <w:tab w:val="left" w:pos="142"/>
        </w:tabs>
        <w:spacing w:line="360" w:lineRule="auto"/>
        <w:jc w:val="both"/>
        <w:rPr>
          <w:rFonts w:ascii="Arial" w:hAnsi="Arial" w:cs="Arial"/>
          <w:sz w:val="24"/>
          <w:szCs w:val="24"/>
        </w:rPr>
      </w:pPr>
      <w:r w:rsidRPr="004D6466">
        <w:rPr>
          <w:rFonts w:ascii="Arial" w:hAnsi="Arial" w:cs="Arial"/>
          <w:sz w:val="24"/>
          <w:szCs w:val="24"/>
        </w:rPr>
        <w:t>Lula da Silva al ser parte de la clase obrera y debido a su origen humilde supo muy bien que es de suma importancia para el Brasil una reforma social, en salud, educativa, laboral, económica y creyó firmemente en revolucionar al Brasil y poner en marcha dichas reformas, se hicieron de acuerdo con el estilo de gobierno del Presidente Lula, que aunque perteneció a una izquierda más fuerte debido al sindicalismo y por haber sido fundador del Partido de los Trabajadores, en la práctica tomó una orientación más pragmática y moderada.</w:t>
      </w:r>
    </w:p>
    <w:p w:rsidR="00A66191" w:rsidRPr="004D6466" w:rsidRDefault="00A66191" w:rsidP="00A66191">
      <w:pPr>
        <w:spacing w:before="100" w:beforeAutospacing="1" w:after="100" w:afterAutospacing="1" w:line="360" w:lineRule="auto"/>
        <w:jc w:val="both"/>
        <w:rPr>
          <w:rFonts w:ascii="Arial" w:hAnsi="Arial" w:cs="Arial"/>
          <w:sz w:val="24"/>
          <w:szCs w:val="24"/>
        </w:rPr>
      </w:pPr>
      <w:r w:rsidRPr="004D6466">
        <w:rPr>
          <w:rFonts w:ascii="Arial" w:hAnsi="Arial" w:cs="Arial"/>
          <w:sz w:val="24"/>
          <w:szCs w:val="24"/>
        </w:rPr>
        <w:t>Las principales características de este modelo de desarrollo fueron:</w:t>
      </w:r>
    </w:p>
    <w:p w:rsidR="00A66191" w:rsidRPr="004D6466" w:rsidRDefault="00A66191" w:rsidP="00A66191">
      <w:pPr>
        <w:pStyle w:val="Prrafodelista"/>
        <w:numPr>
          <w:ilvl w:val="0"/>
          <w:numId w:val="17"/>
        </w:numPr>
        <w:spacing w:before="100" w:beforeAutospacing="1" w:after="100" w:afterAutospacing="1" w:line="360" w:lineRule="auto"/>
        <w:jc w:val="both"/>
        <w:rPr>
          <w:rFonts w:ascii="Arial" w:hAnsi="Arial" w:cs="Arial"/>
          <w:sz w:val="24"/>
          <w:szCs w:val="24"/>
        </w:rPr>
      </w:pPr>
      <w:r w:rsidRPr="004D6466">
        <w:rPr>
          <w:rFonts w:ascii="Arial" w:hAnsi="Arial" w:cs="Arial"/>
          <w:sz w:val="24"/>
          <w:szCs w:val="24"/>
        </w:rPr>
        <w:t xml:space="preserve">Una planificación a largo plazo </w:t>
      </w:r>
    </w:p>
    <w:p w:rsidR="00A66191" w:rsidRPr="004D6466" w:rsidRDefault="00A66191" w:rsidP="00A66191">
      <w:pPr>
        <w:pStyle w:val="Prrafodelista"/>
        <w:numPr>
          <w:ilvl w:val="0"/>
          <w:numId w:val="17"/>
        </w:numPr>
        <w:spacing w:before="100" w:beforeAutospacing="1" w:after="100" w:afterAutospacing="1" w:line="360" w:lineRule="auto"/>
        <w:jc w:val="both"/>
        <w:rPr>
          <w:rFonts w:ascii="Arial" w:hAnsi="Arial" w:cs="Arial"/>
          <w:sz w:val="24"/>
          <w:szCs w:val="24"/>
        </w:rPr>
      </w:pPr>
      <w:r w:rsidRPr="004D6466">
        <w:rPr>
          <w:rFonts w:ascii="Arial" w:hAnsi="Arial" w:cs="Arial"/>
          <w:sz w:val="24"/>
          <w:szCs w:val="24"/>
        </w:rPr>
        <w:t>Liderazgo regional</w:t>
      </w:r>
    </w:p>
    <w:p w:rsidR="00A66191" w:rsidRPr="004D6466" w:rsidRDefault="00A66191" w:rsidP="00A66191">
      <w:pPr>
        <w:pStyle w:val="Prrafodelista"/>
        <w:numPr>
          <w:ilvl w:val="0"/>
          <w:numId w:val="17"/>
        </w:numPr>
        <w:spacing w:before="100" w:beforeAutospacing="1" w:after="100" w:afterAutospacing="1" w:line="360" w:lineRule="auto"/>
        <w:jc w:val="both"/>
        <w:rPr>
          <w:rFonts w:ascii="Arial" w:hAnsi="Arial" w:cs="Arial"/>
          <w:sz w:val="24"/>
          <w:szCs w:val="24"/>
        </w:rPr>
      </w:pPr>
      <w:r w:rsidRPr="004D6466">
        <w:rPr>
          <w:rFonts w:ascii="Arial" w:hAnsi="Arial" w:cs="Arial"/>
          <w:sz w:val="24"/>
          <w:szCs w:val="24"/>
        </w:rPr>
        <w:t>Fortalecimiento de las relaciones internacionales</w:t>
      </w:r>
    </w:p>
    <w:p w:rsidR="00A66191" w:rsidRPr="004D6466" w:rsidRDefault="00A66191" w:rsidP="00A66191">
      <w:pPr>
        <w:spacing w:before="100" w:beforeAutospacing="1" w:after="100" w:afterAutospacing="1" w:line="360" w:lineRule="auto"/>
        <w:jc w:val="both"/>
        <w:rPr>
          <w:rFonts w:ascii="Arial" w:hAnsi="Arial" w:cs="Arial"/>
          <w:sz w:val="24"/>
          <w:szCs w:val="24"/>
        </w:rPr>
      </w:pPr>
      <w:r w:rsidRPr="004D6466">
        <w:rPr>
          <w:rFonts w:ascii="Arial" w:hAnsi="Arial" w:cs="Arial"/>
          <w:sz w:val="24"/>
          <w:szCs w:val="24"/>
        </w:rPr>
        <w:t xml:space="preserve">Una </w:t>
      </w:r>
      <w:r w:rsidRPr="004D6466">
        <w:rPr>
          <w:rFonts w:ascii="Arial" w:hAnsi="Arial" w:cs="Arial"/>
          <w:b/>
          <w:i/>
          <w:sz w:val="24"/>
          <w:szCs w:val="24"/>
        </w:rPr>
        <w:t>planificación a largo plazo</w:t>
      </w:r>
      <w:r w:rsidRPr="004D6466">
        <w:rPr>
          <w:rFonts w:ascii="Arial" w:hAnsi="Arial" w:cs="Arial"/>
          <w:sz w:val="24"/>
          <w:szCs w:val="24"/>
        </w:rPr>
        <w:t xml:space="preserve"> desde el gobierno de Cardoso se ha mantenido una planificación que el gobierno de Lula da Silva mantuvo en sus 2 períodos de gobierno, haciendo de esta política, una política de Estado que se mantiene hasta hoy con la presidenta Rousseff. </w:t>
      </w:r>
    </w:p>
    <w:p w:rsidR="00A66191" w:rsidRPr="004D6466" w:rsidRDefault="00A66191" w:rsidP="00A66191">
      <w:pPr>
        <w:pStyle w:val="Sinespaciado"/>
        <w:spacing w:line="360" w:lineRule="auto"/>
        <w:jc w:val="both"/>
        <w:rPr>
          <w:rFonts w:ascii="Arial" w:hAnsi="Arial" w:cs="Arial"/>
          <w:sz w:val="24"/>
          <w:szCs w:val="24"/>
        </w:rPr>
      </w:pPr>
      <w:r w:rsidRPr="004D6466">
        <w:rPr>
          <w:rFonts w:ascii="Arial" w:hAnsi="Arial" w:cs="Arial"/>
          <w:sz w:val="24"/>
          <w:szCs w:val="24"/>
        </w:rPr>
        <w:t xml:space="preserve">El </w:t>
      </w:r>
      <w:r w:rsidRPr="004D6466">
        <w:rPr>
          <w:rFonts w:ascii="Arial" w:hAnsi="Arial" w:cs="Arial"/>
          <w:b/>
          <w:i/>
          <w:sz w:val="24"/>
          <w:szCs w:val="24"/>
        </w:rPr>
        <w:t>liderazgo regional</w:t>
      </w:r>
      <w:r w:rsidRPr="004D6466">
        <w:rPr>
          <w:rFonts w:ascii="Arial" w:hAnsi="Arial" w:cs="Arial"/>
          <w:sz w:val="24"/>
          <w:szCs w:val="24"/>
        </w:rPr>
        <w:t xml:space="preserve"> de Brasil se puede apreciar en los siguientes temas: La expansión de las empresas brasileñas en el mundo; así como también la utilización del Banco Nacional de Desarrollo Económico y Social (BNDES) para otorgar préstamos para obras de infraestructura en diversos países latinoamericanos, convirtiéndose en acreedor al otorgar créditos para proyectos que serían además aprovechados por empresas brasileñas; La expansión de las compañías privadas, estatales o mixtas en el resto del continente, por ejemplo el arroz en Uruguay y la soja en Paraguay están dominados casi en su totalidad por empresas brasileñas, al igual que la soja y el gas en Bolivia.</w:t>
      </w:r>
      <w:r w:rsidRPr="004D6466">
        <w:rPr>
          <w:rFonts w:ascii="Arial" w:hAnsi="Arial" w:cs="Arial"/>
          <w:sz w:val="24"/>
          <w:szCs w:val="24"/>
        </w:rPr>
        <w:br/>
        <w:t xml:space="preserve">Adicionalmente haber provisto de petróleo y recursos energéticos a los Estados Unidos en los años 2007 y 2008 consolidó su posición. </w:t>
      </w:r>
    </w:p>
    <w:p w:rsidR="00A66191" w:rsidRPr="004D6466" w:rsidRDefault="00A66191" w:rsidP="00A66191">
      <w:pPr>
        <w:spacing w:before="100" w:beforeAutospacing="1" w:after="100" w:afterAutospacing="1" w:line="360" w:lineRule="auto"/>
        <w:jc w:val="both"/>
        <w:rPr>
          <w:rFonts w:ascii="Arial" w:hAnsi="Arial" w:cs="Arial"/>
          <w:sz w:val="24"/>
          <w:szCs w:val="24"/>
        </w:rPr>
      </w:pPr>
      <w:r w:rsidRPr="004D6466">
        <w:rPr>
          <w:rFonts w:ascii="Arial" w:hAnsi="Arial" w:cs="Arial"/>
          <w:sz w:val="24"/>
          <w:szCs w:val="24"/>
        </w:rPr>
        <w:lastRenderedPageBreak/>
        <w:t xml:space="preserve">En lo que a </w:t>
      </w:r>
      <w:r w:rsidRPr="004D6466">
        <w:rPr>
          <w:rFonts w:ascii="Arial" w:hAnsi="Arial" w:cs="Arial"/>
          <w:b/>
          <w:i/>
          <w:sz w:val="24"/>
          <w:szCs w:val="24"/>
        </w:rPr>
        <w:t>fortalecimiento de las relaciones internacionales</w:t>
      </w:r>
      <w:r w:rsidRPr="004D6466">
        <w:rPr>
          <w:rFonts w:ascii="Arial" w:hAnsi="Arial" w:cs="Arial"/>
          <w:sz w:val="24"/>
          <w:szCs w:val="24"/>
        </w:rPr>
        <w:t xml:space="preserve"> se refiere, Brasil participó en la cumbre de la Organización Mundial de Comercio en Cancún en el 2003, en la cual encabezó al G20, el grupo de los países industrializados y emergentes, exigiendo una compensación a las naciones ricas a cambio de que los países subdesarrollados abrieran sus mercados.</w:t>
      </w:r>
    </w:p>
    <w:p w:rsidR="00A66191" w:rsidRPr="004D6466" w:rsidRDefault="00A66191" w:rsidP="00A66191">
      <w:pPr>
        <w:spacing w:before="100" w:beforeAutospacing="1" w:after="100" w:afterAutospacing="1" w:line="360" w:lineRule="auto"/>
        <w:jc w:val="both"/>
        <w:rPr>
          <w:rFonts w:ascii="Arial" w:hAnsi="Arial" w:cs="Arial"/>
          <w:sz w:val="24"/>
          <w:szCs w:val="24"/>
        </w:rPr>
      </w:pPr>
      <w:r w:rsidRPr="004D6466">
        <w:rPr>
          <w:rFonts w:ascii="Arial" w:hAnsi="Arial" w:cs="Arial"/>
          <w:sz w:val="24"/>
          <w:szCs w:val="24"/>
        </w:rPr>
        <w:t>Un aspecto que contribuye a consolidar la importancia del Brasil en el contexto mundial es la apertura de mercados ya que sostuvo relaciones comerciales con China, Irán y demás países, diversificando así su producción.</w:t>
      </w:r>
    </w:p>
    <w:p w:rsidR="00A66191" w:rsidRPr="004D6466" w:rsidRDefault="00A66191" w:rsidP="00A66191">
      <w:pPr>
        <w:spacing w:before="100" w:beforeAutospacing="1" w:after="100" w:afterAutospacing="1" w:line="360" w:lineRule="auto"/>
        <w:jc w:val="both"/>
        <w:rPr>
          <w:rFonts w:ascii="Arial" w:hAnsi="Arial" w:cs="Arial"/>
          <w:sz w:val="24"/>
          <w:szCs w:val="24"/>
        </w:rPr>
      </w:pPr>
      <w:r w:rsidRPr="004D6466">
        <w:rPr>
          <w:rFonts w:ascii="Arial" w:hAnsi="Arial" w:cs="Arial"/>
          <w:sz w:val="24"/>
          <w:szCs w:val="24"/>
        </w:rPr>
        <w:t xml:space="preserve">Otro punto que fortalece su posición es la creación del BRIC, el bloque de países emergentes más importantes (Brasil, Rusia, India y China) en el cual se fomentó el intercambio de tecnología entre ellos, el incremento del comercio y la utilización de sus propias monedas en lugar del dólar en el mediano plazo. </w:t>
      </w:r>
    </w:p>
    <w:p w:rsidR="00A66191" w:rsidRPr="004D6466" w:rsidRDefault="00A66191" w:rsidP="00A66191">
      <w:pPr>
        <w:spacing w:before="100" w:beforeAutospacing="1" w:after="100" w:afterAutospacing="1" w:line="360" w:lineRule="auto"/>
        <w:jc w:val="both"/>
        <w:rPr>
          <w:rFonts w:ascii="Arial" w:hAnsi="Arial" w:cs="Arial"/>
          <w:sz w:val="24"/>
          <w:szCs w:val="24"/>
        </w:rPr>
      </w:pPr>
      <w:r w:rsidRPr="004D6466">
        <w:rPr>
          <w:rFonts w:ascii="Arial" w:hAnsi="Arial" w:cs="Arial"/>
          <w:sz w:val="24"/>
          <w:szCs w:val="24"/>
        </w:rPr>
        <w:t>El objetivo central de este tipo de modelo de desarrollo es buscar altas tasas de crecimiento económico; adicionalmente fue importante desarrollar una política para la inclusión de 32 millones de brasileños que viven en la pobreza absoluta.</w:t>
      </w:r>
    </w:p>
    <w:p w:rsidR="00A66191" w:rsidRPr="004D6466" w:rsidRDefault="00A66191" w:rsidP="00A66191">
      <w:pPr>
        <w:spacing w:before="100" w:beforeAutospacing="1" w:after="100" w:afterAutospacing="1" w:line="360" w:lineRule="auto"/>
        <w:jc w:val="both"/>
        <w:rPr>
          <w:rFonts w:ascii="Arial" w:hAnsi="Arial" w:cs="Arial"/>
          <w:sz w:val="24"/>
          <w:szCs w:val="24"/>
        </w:rPr>
      </w:pPr>
      <w:r w:rsidRPr="004D6466">
        <w:rPr>
          <w:rFonts w:ascii="Arial" w:hAnsi="Arial" w:cs="Arial"/>
          <w:sz w:val="24"/>
          <w:szCs w:val="24"/>
        </w:rPr>
        <w:t xml:space="preserve">El modelo de desarrollo brasileño tienes sus pilares fundamentales en tres reformas: la reforma tributaria, la reforma de la seguridad social y la reforma de la legislación laboral. </w:t>
      </w:r>
    </w:p>
    <w:p w:rsidR="00A66191" w:rsidRPr="004D6466" w:rsidRDefault="00A66191" w:rsidP="00A66191">
      <w:pPr>
        <w:spacing w:line="360" w:lineRule="auto"/>
        <w:jc w:val="both"/>
        <w:rPr>
          <w:rStyle w:val="e07"/>
          <w:rFonts w:ascii="Arial" w:hAnsi="Arial" w:cs="Arial"/>
          <w:sz w:val="24"/>
          <w:szCs w:val="24"/>
        </w:rPr>
      </w:pPr>
      <w:r w:rsidRPr="004D6466">
        <w:rPr>
          <w:rFonts w:ascii="Arial" w:hAnsi="Arial" w:cs="Arial"/>
          <w:sz w:val="24"/>
          <w:szCs w:val="24"/>
        </w:rPr>
        <w:t xml:space="preserve">Por otra parte, aunque Lula fue criticado por su posición, porque no enfrentaba al neoliberalismo norteamericano, fue consistente al tratar de pagar lo más rápido posible la deuda que Brasil tenía con el Banco Mundial y Fondo Monetario Internacional y así tener la posibilidad de negociar tratados comerciales con EEUU en igualdad de condiciones. </w:t>
      </w:r>
      <w:r w:rsidRPr="004D6466">
        <w:rPr>
          <w:rStyle w:val="e07"/>
          <w:rFonts w:ascii="Arial" w:hAnsi="Arial" w:cs="Arial"/>
          <w:sz w:val="24"/>
          <w:szCs w:val="24"/>
        </w:rPr>
        <w:t xml:space="preserve">La deuda brasileña con el FMI llegó a su pico en noviembre de 2003 con 33.700 millones de dólares. En marzo de 2005, Brasil decidió </w:t>
      </w:r>
      <w:r w:rsidRPr="004D6466">
        <w:rPr>
          <w:rStyle w:val="e07"/>
          <w:rFonts w:ascii="Arial" w:hAnsi="Arial" w:cs="Arial"/>
          <w:bCs/>
          <w:sz w:val="24"/>
          <w:szCs w:val="24"/>
        </w:rPr>
        <w:t>no renovar el acuerdo monetario</w:t>
      </w:r>
      <w:r w:rsidRPr="004D6466">
        <w:rPr>
          <w:rStyle w:val="e07"/>
          <w:rFonts w:ascii="Arial" w:hAnsi="Arial" w:cs="Arial"/>
          <w:sz w:val="24"/>
          <w:szCs w:val="24"/>
        </w:rPr>
        <w:t xml:space="preserve"> tras haber devuelto 14.000 millones de dólares, la decisión permitió al gobierno evitar los monitoreos en materia fiscal e inflacionaria del organismo.  El resto de la deuda de US$ 15.500 millones, se ofreció enviar en giro en ese mismo año.</w:t>
      </w:r>
    </w:p>
    <w:p w:rsidR="00A66191" w:rsidRPr="004D6466" w:rsidRDefault="00A66191" w:rsidP="00A66191">
      <w:pPr>
        <w:rPr>
          <w:rStyle w:val="e07"/>
          <w:rFonts w:ascii="Arial" w:hAnsi="Arial" w:cs="Arial"/>
          <w:sz w:val="24"/>
          <w:szCs w:val="24"/>
        </w:rPr>
      </w:pPr>
      <w:r w:rsidRPr="004D6466">
        <w:rPr>
          <w:rStyle w:val="e07"/>
          <w:rFonts w:ascii="Arial" w:hAnsi="Arial" w:cs="Arial"/>
          <w:sz w:val="24"/>
          <w:szCs w:val="24"/>
        </w:rPr>
        <w:br w:type="page"/>
      </w:r>
    </w:p>
    <w:p w:rsidR="00A66191" w:rsidRPr="004D6466" w:rsidRDefault="00A66191" w:rsidP="00A66191">
      <w:pPr>
        <w:spacing w:line="360" w:lineRule="auto"/>
        <w:rPr>
          <w:rFonts w:ascii="Arial" w:hAnsi="Arial" w:cs="Arial"/>
          <w:b/>
          <w:sz w:val="24"/>
          <w:szCs w:val="24"/>
        </w:rPr>
      </w:pPr>
      <w:r w:rsidRPr="004D6466">
        <w:rPr>
          <w:rFonts w:ascii="Arial" w:hAnsi="Arial" w:cs="Arial"/>
          <w:b/>
          <w:sz w:val="24"/>
          <w:szCs w:val="24"/>
        </w:rPr>
        <w:lastRenderedPageBreak/>
        <w:t xml:space="preserve">2.5 Cuadro comparativo de los aspectos generales </w:t>
      </w:r>
    </w:p>
    <w:p w:rsidR="00A66191" w:rsidRPr="004D6466" w:rsidRDefault="00A66191" w:rsidP="00A66191">
      <w:pPr>
        <w:spacing w:line="360" w:lineRule="auto"/>
        <w:jc w:val="both"/>
        <w:rPr>
          <w:rFonts w:ascii="Arial" w:hAnsi="Arial" w:cs="Arial"/>
          <w:sz w:val="24"/>
          <w:szCs w:val="24"/>
        </w:rPr>
      </w:pPr>
      <w:r w:rsidRPr="004D6466">
        <w:rPr>
          <w:rFonts w:ascii="Arial" w:hAnsi="Arial" w:cs="Arial"/>
          <w:sz w:val="24"/>
          <w:szCs w:val="24"/>
        </w:rPr>
        <w:t>A continuación se expone la información de carácter general de Ecuador y Brasil obtenida a diciembre el 2012, para observar las grandes diferencias que existen en los dos países, en aspectos como territorio, población, forma de estado y de gobierno, situación económica y situación social.</w:t>
      </w:r>
    </w:p>
    <w:tbl>
      <w:tblPr>
        <w:tblW w:w="7941" w:type="dxa"/>
        <w:tblInd w:w="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hemeFill="background1"/>
        <w:tblCellMar>
          <w:left w:w="70" w:type="dxa"/>
          <w:right w:w="70" w:type="dxa"/>
        </w:tblCellMar>
        <w:tblLook w:val="04A0"/>
      </w:tblPr>
      <w:tblGrid>
        <w:gridCol w:w="2818"/>
        <w:gridCol w:w="2331"/>
        <w:gridCol w:w="2792"/>
      </w:tblGrid>
      <w:tr w:rsidR="00A66191" w:rsidRPr="004D6466" w:rsidTr="004D6466">
        <w:trPr>
          <w:trHeight w:val="420"/>
        </w:trPr>
        <w:tc>
          <w:tcPr>
            <w:tcW w:w="2818" w:type="dxa"/>
            <w:shd w:val="clear" w:color="auto" w:fill="95B3D7" w:themeFill="accent1" w:themeFillTint="99"/>
            <w:noWrap/>
            <w:vAlign w:val="bottom"/>
            <w:hideMark/>
          </w:tcPr>
          <w:p w:rsidR="00A66191" w:rsidRPr="004D6466" w:rsidRDefault="00A66191" w:rsidP="004D6466">
            <w:pPr>
              <w:spacing w:after="0" w:line="240" w:lineRule="auto"/>
              <w:jc w:val="center"/>
              <w:rPr>
                <w:rFonts w:ascii="Arial" w:eastAsia="Times New Roman" w:hAnsi="Arial" w:cs="Arial"/>
                <w:b/>
                <w:bCs/>
                <w:sz w:val="24"/>
                <w:szCs w:val="24"/>
              </w:rPr>
            </w:pPr>
            <w:r w:rsidRPr="004D6466">
              <w:rPr>
                <w:rFonts w:ascii="Arial" w:eastAsia="Times New Roman" w:hAnsi="Arial" w:cs="Arial"/>
                <w:b/>
                <w:bCs/>
                <w:sz w:val="24"/>
                <w:szCs w:val="24"/>
              </w:rPr>
              <w:t>Rubro</w:t>
            </w:r>
          </w:p>
        </w:tc>
        <w:tc>
          <w:tcPr>
            <w:tcW w:w="2331" w:type="dxa"/>
            <w:shd w:val="clear" w:color="auto" w:fill="95B3D7" w:themeFill="accent1" w:themeFillTint="99"/>
            <w:noWrap/>
            <w:vAlign w:val="bottom"/>
            <w:hideMark/>
          </w:tcPr>
          <w:p w:rsidR="00A66191" w:rsidRPr="004D6466" w:rsidRDefault="00A66191" w:rsidP="004D6466">
            <w:pPr>
              <w:spacing w:after="0" w:line="240" w:lineRule="auto"/>
              <w:jc w:val="center"/>
              <w:rPr>
                <w:rFonts w:ascii="Arial" w:eastAsia="Times New Roman" w:hAnsi="Arial" w:cs="Arial"/>
                <w:b/>
                <w:bCs/>
                <w:sz w:val="24"/>
                <w:szCs w:val="24"/>
              </w:rPr>
            </w:pPr>
            <w:r w:rsidRPr="004D6466">
              <w:rPr>
                <w:rFonts w:ascii="Arial" w:eastAsia="Times New Roman" w:hAnsi="Arial" w:cs="Arial"/>
                <w:b/>
                <w:bCs/>
                <w:sz w:val="24"/>
                <w:szCs w:val="24"/>
              </w:rPr>
              <w:t>Ecuador</w:t>
            </w:r>
          </w:p>
        </w:tc>
        <w:tc>
          <w:tcPr>
            <w:tcW w:w="2792" w:type="dxa"/>
            <w:shd w:val="clear" w:color="auto" w:fill="95B3D7" w:themeFill="accent1" w:themeFillTint="99"/>
            <w:noWrap/>
            <w:vAlign w:val="bottom"/>
            <w:hideMark/>
          </w:tcPr>
          <w:p w:rsidR="00A66191" w:rsidRPr="004D6466" w:rsidRDefault="00A66191" w:rsidP="004D6466">
            <w:pPr>
              <w:spacing w:after="0" w:line="240" w:lineRule="auto"/>
              <w:jc w:val="center"/>
              <w:rPr>
                <w:rFonts w:ascii="Arial" w:eastAsia="Times New Roman" w:hAnsi="Arial" w:cs="Arial"/>
                <w:b/>
                <w:bCs/>
                <w:sz w:val="24"/>
                <w:szCs w:val="24"/>
              </w:rPr>
            </w:pPr>
            <w:r w:rsidRPr="004D6466">
              <w:rPr>
                <w:rFonts w:ascii="Arial" w:eastAsia="Times New Roman" w:hAnsi="Arial" w:cs="Arial"/>
                <w:b/>
                <w:bCs/>
                <w:sz w:val="24"/>
                <w:szCs w:val="24"/>
              </w:rPr>
              <w:t xml:space="preserve">Brasil </w:t>
            </w:r>
          </w:p>
        </w:tc>
      </w:tr>
      <w:tr w:rsidR="00A66191" w:rsidRPr="004D6466" w:rsidTr="004D6466">
        <w:trPr>
          <w:trHeight w:val="420"/>
        </w:trPr>
        <w:tc>
          <w:tcPr>
            <w:tcW w:w="2818" w:type="dxa"/>
            <w:shd w:val="clear" w:color="auto" w:fill="DBE5F1" w:themeFill="accent1" w:themeFillTint="33"/>
            <w:noWrap/>
            <w:vAlign w:val="center"/>
            <w:hideMark/>
          </w:tcPr>
          <w:p w:rsidR="00A66191" w:rsidRPr="004D6466" w:rsidRDefault="00A66191" w:rsidP="004D6466">
            <w:pPr>
              <w:spacing w:after="0" w:line="240" w:lineRule="auto"/>
              <w:rPr>
                <w:rFonts w:ascii="Arial" w:eastAsia="Times New Roman" w:hAnsi="Arial" w:cs="Arial"/>
                <w:sz w:val="24"/>
                <w:szCs w:val="24"/>
              </w:rPr>
            </w:pPr>
            <w:r w:rsidRPr="004D6466">
              <w:rPr>
                <w:rFonts w:ascii="Arial" w:eastAsia="Times New Roman" w:hAnsi="Arial" w:cs="Arial"/>
                <w:sz w:val="24"/>
                <w:szCs w:val="24"/>
              </w:rPr>
              <w:t>Extensión Territorial</w:t>
            </w:r>
          </w:p>
        </w:tc>
        <w:tc>
          <w:tcPr>
            <w:tcW w:w="2331" w:type="dxa"/>
            <w:shd w:val="clear" w:color="auto" w:fill="DBE5F1" w:themeFill="accent1" w:themeFillTint="33"/>
            <w:noWrap/>
            <w:vAlign w:val="center"/>
            <w:hideMark/>
          </w:tcPr>
          <w:p w:rsidR="00A66191" w:rsidRPr="004D6466" w:rsidRDefault="00F613AF" w:rsidP="004D6466">
            <w:pPr>
              <w:spacing w:after="0" w:line="240" w:lineRule="auto"/>
              <w:rPr>
                <w:rFonts w:ascii="Arial" w:eastAsia="Times New Roman" w:hAnsi="Arial" w:cs="Arial"/>
                <w:sz w:val="24"/>
                <w:szCs w:val="24"/>
              </w:rPr>
            </w:pPr>
            <w:hyperlink r:id="rId120" w:tooltip="Kilómetros cuadrados" w:history="1">
              <w:r w:rsidR="00A66191" w:rsidRPr="004D6466">
                <w:rPr>
                  <w:rFonts w:ascii="Arial" w:eastAsia="Times New Roman" w:hAnsi="Arial" w:cs="Arial"/>
                  <w:sz w:val="24"/>
                  <w:szCs w:val="24"/>
                </w:rPr>
                <w:t xml:space="preserve">283 561 </w:t>
              </w:r>
            </w:hyperlink>
            <w:r w:rsidR="00A66191" w:rsidRPr="004D6466">
              <w:t xml:space="preserve"> km²</w:t>
            </w:r>
          </w:p>
        </w:tc>
        <w:tc>
          <w:tcPr>
            <w:tcW w:w="2792" w:type="dxa"/>
            <w:shd w:val="clear" w:color="auto" w:fill="DBE5F1" w:themeFill="accent1" w:themeFillTint="33"/>
            <w:noWrap/>
            <w:vAlign w:val="center"/>
            <w:hideMark/>
          </w:tcPr>
          <w:p w:rsidR="00A66191" w:rsidRPr="004D6466" w:rsidRDefault="00A66191" w:rsidP="004D6466">
            <w:pPr>
              <w:spacing w:after="0" w:line="240" w:lineRule="auto"/>
              <w:rPr>
                <w:rFonts w:ascii="Arial" w:eastAsia="Times New Roman" w:hAnsi="Arial" w:cs="Arial"/>
                <w:sz w:val="24"/>
                <w:szCs w:val="24"/>
              </w:rPr>
            </w:pPr>
            <w:r w:rsidRPr="004D6466">
              <w:rPr>
                <w:rFonts w:ascii="Arial" w:eastAsia="Times New Roman" w:hAnsi="Arial" w:cs="Arial"/>
                <w:sz w:val="24"/>
                <w:szCs w:val="24"/>
              </w:rPr>
              <w:t xml:space="preserve">8.5 millones </w:t>
            </w:r>
            <w:r w:rsidRPr="004D6466">
              <w:t>km²</w:t>
            </w:r>
          </w:p>
        </w:tc>
      </w:tr>
      <w:tr w:rsidR="00A66191" w:rsidRPr="004D6466" w:rsidTr="004D6466">
        <w:trPr>
          <w:trHeight w:val="420"/>
        </w:trPr>
        <w:tc>
          <w:tcPr>
            <w:tcW w:w="2818" w:type="dxa"/>
            <w:shd w:val="clear" w:color="auto" w:fill="DBE5F1" w:themeFill="accent1" w:themeFillTint="33"/>
            <w:noWrap/>
            <w:vAlign w:val="center"/>
            <w:hideMark/>
          </w:tcPr>
          <w:p w:rsidR="00A66191" w:rsidRPr="004D6466" w:rsidRDefault="00A66191" w:rsidP="004D6466">
            <w:pPr>
              <w:spacing w:after="0" w:line="240" w:lineRule="auto"/>
              <w:rPr>
                <w:rFonts w:ascii="Arial" w:eastAsia="Times New Roman" w:hAnsi="Arial" w:cs="Arial"/>
                <w:sz w:val="24"/>
                <w:szCs w:val="24"/>
              </w:rPr>
            </w:pPr>
            <w:r w:rsidRPr="004D6466">
              <w:rPr>
                <w:rFonts w:ascii="Arial" w:eastAsia="Times New Roman" w:hAnsi="Arial" w:cs="Arial"/>
                <w:sz w:val="24"/>
                <w:szCs w:val="24"/>
              </w:rPr>
              <w:t>Población</w:t>
            </w:r>
          </w:p>
        </w:tc>
        <w:tc>
          <w:tcPr>
            <w:tcW w:w="2331" w:type="dxa"/>
            <w:shd w:val="clear" w:color="auto" w:fill="DBE5F1" w:themeFill="accent1" w:themeFillTint="33"/>
            <w:vAlign w:val="center"/>
            <w:hideMark/>
          </w:tcPr>
          <w:p w:rsidR="00A66191" w:rsidRPr="004D6466" w:rsidRDefault="00A66191" w:rsidP="004D6466">
            <w:pPr>
              <w:spacing w:after="0" w:line="240" w:lineRule="auto"/>
              <w:rPr>
                <w:rFonts w:ascii="Arial" w:eastAsia="Times New Roman" w:hAnsi="Arial" w:cs="Arial"/>
                <w:sz w:val="24"/>
                <w:szCs w:val="24"/>
              </w:rPr>
            </w:pPr>
            <w:r w:rsidRPr="004D6466">
              <w:rPr>
                <w:rFonts w:ascii="Arial" w:eastAsia="Times New Roman" w:hAnsi="Arial" w:cs="Arial"/>
                <w:sz w:val="24"/>
                <w:szCs w:val="24"/>
              </w:rPr>
              <w:t>14 483 499</w:t>
            </w:r>
          </w:p>
        </w:tc>
        <w:tc>
          <w:tcPr>
            <w:tcW w:w="2792" w:type="dxa"/>
            <w:shd w:val="clear" w:color="auto" w:fill="DBE5F1" w:themeFill="accent1" w:themeFillTint="33"/>
            <w:noWrap/>
            <w:vAlign w:val="center"/>
            <w:hideMark/>
          </w:tcPr>
          <w:p w:rsidR="00A66191" w:rsidRPr="004D6466" w:rsidRDefault="00A66191" w:rsidP="004D6466">
            <w:pPr>
              <w:spacing w:after="0" w:line="240" w:lineRule="auto"/>
              <w:rPr>
                <w:rFonts w:ascii="Arial" w:eastAsia="Times New Roman" w:hAnsi="Arial" w:cs="Arial"/>
                <w:sz w:val="24"/>
                <w:szCs w:val="24"/>
              </w:rPr>
            </w:pPr>
            <w:r w:rsidRPr="004D6466">
              <w:rPr>
                <w:rFonts w:ascii="Arial" w:eastAsia="Times New Roman" w:hAnsi="Arial" w:cs="Arial"/>
                <w:sz w:val="24"/>
                <w:szCs w:val="24"/>
              </w:rPr>
              <w:t>193 946 886</w:t>
            </w:r>
          </w:p>
        </w:tc>
      </w:tr>
      <w:tr w:rsidR="00A66191" w:rsidRPr="004D6466" w:rsidTr="004D6466">
        <w:trPr>
          <w:trHeight w:val="420"/>
        </w:trPr>
        <w:tc>
          <w:tcPr>
            <w:tcW w:w="2818" w:type="dxa"/>
            <w:shd w:val="clear" w:color="auto" w:fill="DBE5F1" w:themeFill="accent1" w:themeFillTint="33"/>
            <w:noWrap/>
            <w:vAlign w:val="center"/>
            <w:hideMark/>
          </w:tcPr>
          <w:p w:rsidR="00A66191" w:rsidRPr="004D6466" w:rsidRDefault="00A66191" w:rsidP="004D6466">
            <w:pPr>
              <w:spacing w:after="0" w:line="240" w:lineRule="auto"/>
              <w:rPr>
                <w:rFonts w:ascii="Arial" w:eastAsia="Times New Roman" w:hAnsi="Arial" w:cs="Arial"/>
                <w:sz w:val="24"/>
                <w:szCs w:val="24"/>
              </w:rPr>
            </w:pPr>
            <w:r w:rsidRPr="004D6466">
              <w:rPr>
                <w:rFonts w:ascii="Arial" w:eastAsia="Times New Roman" w:hAnsi="Arial" w:cs="Arial"/>
                <w:sz w:val="24"/>
                <w:szCs w:val="24"/>
              </w:rPr>
              <w:t>Forma de Estado</w:t>
            </w:r>
          </w:p>
        </w:tc>
        <w:tc>
          <w:tcPr>
            <w:tcW w:w="2331" w:type="dxa"/>
            <w:shd w:val="clear" w:color="auto" w:fill="DBE5F1" w:themeFill="accent1" w:themeFillTint="33"/>
            <w:vAlign w:val="center"/>
            <w:hideMark/>
          </w:tcPr>
          <w:p w:rsidR="00A66191" w:rsidRPr="004D6466" w:rsidRDefault="00A66191" w:rsidP="004D6466">
            <w:pPr>
              <w:spacing w:after="0" w:line="240" w:lineRule="auto"/>
              <w:rPr>
                <w:rFonts w:ascii="Arial" w:eastAsia="Times New Roman" w:hAnsi="Arial" w:cs="Arial"/>
                <w:sz w:val="24"/>
                <w:szCs w:val="24"/>
              </w:rPr>
            </w:pPr>
            <w:r w:rsidRPr="004D6466">
              <w:rPr>
                <w:rFonts w:ascii="Arial" w:eastAsia="Times New Roman" w:hAnsi="Arial" w:cs="Arial"/>
                <w:sz w:val="24"/>
                <w:szCs w:val="24"/>
              </w:rPr>
              <w:t>Unitario</w:t>
            </w:r>
          </w:p>
        </w:tc>
        <w:tc>
          <w:tcPr>
            <w:tcW w:w="2792" w:type="dxa"/>
            <w:shd w:val="clear" w:color="auto" w:fill="DBE5F1" w:themeFill="accent1" w:themeFillTint="33"/>
            <w:noWrap/>
            <w:vAlign w:val="center"/>
            <w:hideMark/>
          </w:tcPr>
          <w:p w:rsidR="00A66191" w:rsidRPr="004D6466" w:rsidRDefault="00A66191" w:rsidP="004D6466">
            <w:pPr>
              <w:spacing w:after="0" w:line="240" w:lineRule="auto"/>
              <w:rPr>
                <w:rFonts w:ascii="Arial" w:eastAsia="Times New Roman" w:hAnsi="Arial" w:cs="Arial"/>
                <w:sz w:val="24"/>
                <w:szCs w:val="24"/>
              </w:rPr>
            </w:pPr>
            <w:r w:rsidRPr="004D6466">
              <w:rPr>
                <w:rFonts w:ascii="Arial" w:eastAsia="Times New Roman" w:hAnsi="Arial" w:cs="Arial"/>
                <w:sz w:val="24"/>
                <w:szCs w:val="24"/>
              </w:rPr>
              <w:t>Federal</w:t>
            </w:r>
          </w:p>
        </w:tc>
      </w:tr>
      <w:tr w:rsidR="00A66191" w:rsidRPr="004D6466" w:rsidTr="004D6466">
        <w:trPr>
          <w:trHeight w:val="1200"/>
        </w:trPr>
        <w:tc>
          <w:tcPr>
            <w:tcW w:w="2818" w:type="dxa"/>
            <w:shd w:val="clear" w:color="auto" w:fill="DBE5F1" w:themeFill="accent1" w:themeFillTint="33"/>
            <w:noWrap/>
            <w:vAlign w:val="center"/>
            <w:hideMark/>
          </w:tcPr>
          <w:p w:rsidR="00A66191" w:rsidRPr="004D6466" w:rsidRDefault="00A66191" w:rsidP="004D6466">
            <w:pPr>
              <w:spacing w:after="0" w:line="240" w:lineRule="auto"/>
              <w:rPr>
                <w:rFonts w:ascii="Arial" w:eastAsia="Times New Roman" w:hAnsi="Arial" w:cs="Arial"/>
                <w:sz w:val="24"/>
                <w:szCs w:val="24"/>
              </w:rPr>
            </w:pPr>
            <w:r w:rsidRPr="004D6466">
              <w:rPr>
                <w:rFonts w:ascii="Arial" w:eastAsia="Times New Roman" w:hAnsi="Arial" w:cs="Arial"/>
                <w:sz w:val="24"/>
                <w:szCs w:val="24"/>
              </w:rPr>
              <w:t>Forma de Gobierno</w:t>
            </w:r>
          </w:p>
        </w:tc>
        <w:tc>
          <w:tcPr>
            <w:tcW w:w="2331" w:type="dxa"/>
            <w:shd w:val="clear" w:color="auto" w:fill="DBE5F1" w:themeFill="accent1" w:themeFillTint="33"/>
            <w:vAlign w:val="center"/>
            <w:hideMark/>
          </w:tcPr>
          <w:p w:rsidR="00A66191" w:rsidRPr="004D6466" w:rsidRDefault="00A66191" w:rsidP="004D6466">
            <w:pPr>
              <w:spacing w:after="0" w:line="240" w:lineRule="auto"/>
              <w:rPr>
                <w:rFonts w:ascii="Arial" w:eastAsia="Times New Roman" w:hAnsi="Arial" w:cs="Arial"/>
                <w:sz w:val="24"/>
                <w:szCs w:val="24"/>
              </w:rPr>
            </w:pPr>
            <w:r w:rsidRPr="004D6466">
              <w:rPr>
                <w:rFonts w:ascii="Arial" w:eastAsia="Times New Roman" w:hAnsi="Arial" w:cs="Arial"/>
                <w:sz w:val="24"/>
                <w:szCs w:val="24"/>
              </w:rPr>
              <w:t>República Presidencialista</w:t>
            </w:r>
          </w:p>
        </w:tc>
        <w:tc>
          <w:tcPr>
            <w:tcW w:w="2792" w:type="dxa"/>
            <w:shd w:val="clear" w:color="auto" w:fill="DBE5F1" w:themeFill="accent1" w:themeFillTint="33"/>
            <w:vAlign w:val="center"/>
            <w:hideMark/>
          </w:tcPr>
          <w:p w:rsidR="00A66191" w:rsidRPr="004D6466" w:rsidRDefault="00A66191" w:rsidP="004D6466">
            <w:pPr>
              <w:spacing w:after="0" w:line="240" w:lineRule="auto"/>
              <w:rPr>
                <w:rFonts w:ascii="Arial" w:eastAsia="Times New Roman" w:hAnsi="Arial" w:cs="Arial"/>
                <w:sz w:val="24"/>
                <w:szCs w:val="24"/>
              </w:rPr>
            </w:pPr>
            <w:r w:rsidRPr="004D6466">
              <w:rPr>
                <w:rFonts w:ascii="Arial" w:eastAsia="Times New Roman" w:hAnsi="Arial" w:cs="Arial"/>
                <w:sz w:val="24"/>
                <w:szCs w:val="24"/>
              </w:rPr>
              <w:t>República Federal Presidencialista</w:t>
            </w:r>
          </w:p>
        </w:tc>
      </w:tr>
      <w:tr w:rsidR="00A66191" w:rsidRPr="004D6466" w:rsidTr="004D6466">
        <w:trPr>
          <w:trHeight w:val="420"/>
        </w:trPr>
        <w:tc>
          <w:tcPr>
            <w:tcW w:w="2818" w:type="dxa"/>
            <w:shd w:val="clear" w:color="auto" w:fill="DBE5F1" w:themeFill="accent1" w:themeFillTint="33"/>
            <w:noWrap/>
            <w:vAlign w:val="center"/>
            <w:hideMark/>
          </w:tcPr>
          <w:p w:rsidR="00A66191" w:rsidRPr="004D6466" w:rsidRDefault="00A66191" w:rsidP="004D6466">
            <w:pPr>
              <w:spacing w:after="0" w:line="240" w:lineRule="auto"/>
              <w:rPr>
                <w:rFonts w:ascii="Arial" w:eastAsia="Times New Roman" w:hAnsi="Arial" w:cs="Arial"/>
                <w:sz w:val="24"/>
                <w:szCs w:val="24"/>
              </w:rPr>
            </w:pPr>
            <w:r w:rsidRPr="004D6466">
              <w:rPr>
                <w:rFonts w:ascii="Arial" w:eastAsia="Times New Roman" w:hAnsi="Arial" w:cs="Arial"/>
                <w:sz w:val="24"/>
                <w:szCs w:val="24"/>
              </w:rPr>
              <w:t>División Política</w:t>
            </w:r>
          </w:p>
        </w:tc>
        <w:tc>
          <w:tcPr>
            <w:tcW w:w="2331" w:type="dxa"/>
            <w:shd w:val="clear" w:color="auto" w:fill="DBE5F1" w:themeFill="accent1" w:themeFillTint="33"/>
            <w:noWrap/>
            <w:vAlign w:val="center"/>
            <w:hideMark/>
          </w:tcPr>
          <w:p w:rsidR="00A66191" w:rsidRPr="004D6466" w:rsidRDefault="00A66191" w:rsidP="004D6466">
            <w:pPr>
              <w:spacing w:after="0" w:line="240" w:lineRule="auto"/>
              <w:rPr>
                <w:rFonts w:ascii="Arial" w:eastAsia="Times New Roman" w:hAnsi="Arial" w:cs="Arial"/>
                <w:sz w:val="24"/>
                <w:szCs w:val="24"/>
              </w:rPr>
            </w:pPr>
            <w:r w:rsidRPr="004D6466">
              <w:rPr>
                <w:rFonts w:ascii="Arial" w:eastAsia="Times New Roman" w:hAnsi="Arial" w:cs="Arial"/>
                <w:sz w:val="24"/>
                <w:szCs w:val="24"/>
              </w:rPr>
              <w:t>4 regiones, 24 provincias, 221 cantones y 1500 parroquias</w:t>
            </w:r>
          </w:p>
        </w:tc>
        <w:tc>
          <w:tcPr>
            <w:tcW w:w="2792" w:type="dxa"/>
            <w:shd w:val="clear" w:color="auto" w:fill="DBE5F1" w:themeFill="accent1" w:themeFillTint="33"/>
            <w:noWrap/>
            <w:vAlign w:val="center"/>
            <w:hideMark/>
          </w:tcPr>
          <w:p w:rsidR="00A66191" w:rsidRPr="004D6466" w:rsidRDefault="00A66191" w:rsidP="004D6466">
            <w:pPr>
              <w:spacing w:after="0" w:line="240" w:lineRule="auto"/>
              <w:rPr>
                <w:rFonts w:ascii="Arial" w:eastAsia="Times New Roman" w:hAnsi="Arial" w:cs="Arial"/>
                <w:sz w:val="24"/>
                <w:szCs w:val="24"/>
              </w:rPr>
            </w:pPr>
            <w:r w:rsidRPr="004D6466">
              <w:rPr>
                <w:rFonts w:ascii="Arial" w:eastAsia="Times New Roman" w:hAnsi="Arial" w:cs="Arial"/>
                <w:sz w:val="24"/>
                <w:szCs w:val="24"/>
              </w:rPr>
              <w:t xml:space="preserve">5 regiones, 26 estados, 1 distrito federal y </w:t>
            </w:r>
            <w:r w:rsidRPr="004D6466">
              <w:rPr>
                <w:rFonts w:ascii="Arial" w:hAnsi="Arial" w:cs="Arial"/>
                <w:sz w:val="24"/>
                <w:szCs w:val="24"/>
              </w:rPr>
              <w:t>5.564 municipios</w:t>
            </w:r>
          </w:p>
        </w:tc>
      </w:tr>
      <w:tr w:rsidR="00A66191" w:rsidRPr="004D6466" w:rsidTr="004D6466">
        <w:trPr>
          <w:trHeight w:val="420"/>
        </w:trPr>
        <w:tc>
          <w:tcPr>
            <w:tcW w:w="2818" w:type="dxa"/>
            <w:shd w:val="clear" w:color="auto" w:fill="DBE5F1" w:themeFill="accent1" w:themeFillTint="33"/>
            <w:noWrap/>
            <w:vAlign w:val="center"/>
            <w:hideMark/>
          </w:tcPr>
          <w:p w:rsidR="00A66191" w:rsidRPr="004D6466" w:rsidRDefault="00A66191" w:rsidP="004D6466">
            <w:pPr>
              <w:spacing w:after="0" w:line="240" w:lineRule="auto"/>
              <w:rPr>
                <w:rFonts w:ascii="Arial" w:eastAsia="Times New Roman" w:hAnsi="Arial" w:cs="Arial"/>
                <w:sz w:val="24"/>
                <w:szCs w:val="24"/>
              </w:rPr>
            </w:pPr>
            <w:r w:rsidRPr="004D6466">
              <w:rPr>
                <w:rFonts w:ascii="Arial" w:eastAsia="Times New Roman" w:hAnsi="Arial" w:cs="Arial"/>
                <w:sz w:val="24"/>
                <w:szCs w:val="24"/>
              </w:rPr>
              <w:t>PIB</w:t>
            </w:r>
          </w:p>
        </w:tc>
        <w:tc>
          <w:tcPr>
            <w:tcW w:w="2331" w:type="dxa"/>
            <w:shd w:val="clear" w:color="auto" w:fill="DBE5F1" w:themeFill="accent1" w:themeFillTint="33"/>
            <w:noWrap/>
            <w:vAlign w:val="center"/>
            <w:hideMark/>
          </w:tcPr>
          <w:p w:rsidR="00A66191" w:rsidRPr="004D6466" w:rsidRDefault="00A66191" w:rsidP="004D6466">
            <w:pPr>
              <w:spacing w:after="0" w:line="240" w:lineRule="auto"/>
              <w:rPr>
                <w:rFonts w:ascii="Arial" w:eastAsia="Times New Roman" w:hAnsi="Arial" w:cs="Arial"/>
                <w:sz w:val="24"/>
                <w:szCs w:val="24"/>
              </w:rPr>
            </w:pPr>
            <w:r w:rsidRPr="004D6466">
              <w:rPr>
                <w:rFonts w:ascii="Arial" w:hAnsi="Arial" w:cs="Arial"/>
                <w:sz w:val="24"/>
                <w:szCs w:val="24"/>
              </w:rPr>
              <w:t>73 231 millones</w:t>
            </w:r>
          </w:p>
        </w:tc>
        <w:tc>
          <w:tcPr>
            <w:tcW w:w="2792" w:type="dxa"/>
            <w:shd w:val="clear" w:color="auto" w:fill="DBE5F1" w:themeFill="accent1" w:themeFillTint="33"/>
            <w:noWrap/>
            <w:vAlign w:val="center"/>
            <w:hideMark/>
          </w:tcPr>
          <w:p w:rsidR="00A66191" w:rsidRPr="004D6466" w:rsidRDefault="00A66191" w:rsidP="004D6466">
            <w:pPr>
              <w:spacing w:after="0" w:line="240" w:lineRule="auto"/>
              <w:rPr>
                <w:rFonts w:ascii="Arial" w:eastAsia="Times New Roman" w:hAnsi="Arial" w:cs="Arial"/>
                <w:sz w:val="24"/>
                <w:szCs w:val="24"/>
              </w:rPr>
            </w:pPr>
            <w:r w:rsidRPr="004D6466">
              <w:rPr>
                <w:rFonts w:ascii="Arial" w:hAnsi="Arial" w:cs="Arial"/>
                <w:sz w:val="24"/>
                <w:szCs w:val="24"/>
              </w:rPr>
              <w:t>2293,803 mil millones</w:t>
            </w:r>
          </w:p>
        </w:tc>
      </w:tr>
      <w:tr w:rsidR="00A66191" w:rsidRPr="004D6466" w:rsidTr="004D6466">
        <w:trPr>
          <w:trHeight w:val="420"/>
        </w:trPr>
        <w:tc>
          <w:tcPr>
            <w:tcW w:w="2818" w:type="dxa"/>
            <w:shd w:val="clear" w:color="auto" w:fill="DBE5F1" w:themeFill="accent1" w:themeFillTint="33"/>
            <w:noWrap/>
            <w:vAlign w:val="center"/>
            <w:hideMark/>
          </w:tcPr>
          <w:p w:rsidR="00A66191" w:rsidRPr="004D6466" w:rsidRDefault="00A66191" w:rsidP="004D6466">
            <w:pPr>
              <w:spacing w:after="0" w:line="240" w:lineRule="auto"/>
              <w:rPr>
                <w:rFonts w:ascii="Arial" w:eastAsia="Times New Roman" w:hAnsi="Arial" w:cs="Arial"/>
                <w:sz w:val="24"/>
                <w:szCs w:val="24"/>
              </w:rPr>
            </w:pPr>
            <w:r w:rsidRPr="004D6466">
              <w:rPr>
                <w:rFonts w:ascii="Arial" w:eastAsia="Times New Roman" w:hAnsi="Arial" w:cs="Arial"/>
                <w:sz w:val="24"/>
                <w:szCs w:val="24"/>
              </w:rPr>
              <w:t>Deuda Externa</w:t>
            </w:r>
          </w:p>
        </w:tc>
        <w:tc>
          <w:tcPr>
            <w:tcW w:w="2331" w:type="dxa"/>
            <w:shd w:val="clear" w:color="auto" w:fill="DBE5F1" w:themeFill="accent1" w:themeFillTint="33"/>
            <w:noWrap/>
            <w:vAlign w:val="center"/>
            <w:hideMark/>
          </w:tcPr>
          <w:p w:rsidR="00A66191" w:rsidRPr="004D6466" w:rsidRDefault="00A66191" w:rsidP="004D6466">
            <w:pPr>
              <w:spacing w:after="0" w:line="240" w:lineRule="auto"/>
              <w:rPr>
                <w:rFonts w:ascii="Arial" w:eastAsia="Times New Roman" w:hAnsi="Arial" w:cs="Arial"/>
                <w:sz w:val="24"/>
                <w:szCs w:val="24"/>
              </w:rPr>
            </w:pPr>
            <w:r w:rsidRPr="004D6466">
              <w:rPr>
                <w:rFonts w:ascii="Arial" w:hAnsi="Arial" w:cs="Arial"/>
                <w:sz w:val="24"/>
                <w:szCs w:val="24"/>
              </w:rPr>
              <w:t>10.177,7 millones de dólares, que representa el 14,2% del PIB</w:t>
            </w:r>
          </w:p>
        </w:tc>
        <w:tc>
          <w:tcPr>
            <w:tcW w:w="2792" w:type="dxa"/>
            <w:shd w:val="clear" w:color="auto" w:fill="DBE5F1" w:themeFill="accent1" w:themeFillTint="33"/>
            <w:noWrap/>
            <w:vAlign w:val="center"/>
            <w:hideMark/>
          </w:tcPr>
          <w:p w:rsidR="00A66191" w:rsidRPr="004D6466" w:rsidRDefault="00A66191" w:rsidP="004D6466">
            <w:pPr>
              <w:spacing w:after="0" w:line="240" w:lineRule="auto"/>
              <w:rPr>
                <w:rFonts w:ascii="Arial" w:eastAsia="Times New Roman" w:hAnsi="Arial" w:cs="Arial"/>
                <w:sz w:val="24"/>
                <w:szCs w:val="24"/>
              </w:rPr>
            </w:pPr>
            <w:r w:rsidRPr="004D6466">
              <w:rPr>
                <w:rFonts w:ascii="Arial" w:hAnsi="Arial" w:cs="Arial"/>
                <w:sz w:val="24"/>
                <w:szCs w:val="24"/>
              </w:rPr>
              <w:t>405.3 mil millones</w:t>
            </w:r>
          </w:p>
        </w:tc>
      </w:tr>
      <w:tr w:rsidR="00A66191" w:rsidRPr="004D6466" w:rsidTr="004D6466">
        <w:trPr>
          <w:trHeight w:val="420"/>
        </w:trPr>
        <w:tc>
          <w:tcPr>
            <w:tcW w:w="2818" w:type="dxa"/>
            <w:shd w:val="clear" w:color="auto" w:fill="DBE5F1" w:themeFill="accent1" w:themeFillTint="33"/>
            <w:noWrap/>
            <w:vAlign w:val="center"/>
            <w:hideMark/>
          </w:tcPr>
          <w:p w:rsidR="00A66191" w:rsidRPr="004D6466" w:rsidRDefault="00A66191" w:rsidP="004D6466">
            <w:pPr>
              <w:spacing w:after="0" w:line="240" w:lineRule="auto"/>
              <w:rPr>
                <w:rFonts w:ascii="Arial" w:eastAsia="Times New Roman" w:hAnsi="Arial" w:cs="Arial"/>
                <w:sz w:val="24"/>
                <w:szCs w:val="24"/>
              </w:rPr>
            </w:pPr>
            <w:r w:rsidRPr="004D6466">
              <w:rPr>
                <w:rFonts w:ascii="Arial" w:eastAsia="Times New Roman" w:hAnsi="Arial" w:cs="Arial"/>
                <w:sz w:val="24"/>
                <w:szCs w:val="24"/>
              </w:rPr>
              <w:t>Pobreza</w:t>
            </w:r>
          </w:p>
        </w:tc>
        <w:tc>
          <w:tcPr>
            <w:tcW w:w="2331" w:type="dxa"/>
            <w:shd w:val="clear" w:color="auto" w:fill="DBE5F1" w:themeFill="accent1" w:themeFillTint="33"/>
            <w:noWrap/>
            <w:vAlign w:val="center"/>
            <w:hideMark/>
          </w:tcPr>
          <w:p w:rsidR="00A66191" w:rsidRPr="004D6466" w:rsidRDefault="00A66191" w:rsidP="004D6466">
            <w:pPr>
              <w:spacing w:after="0" w:line="240" w:lineRule="auto"/>
              <w:rPr>
                <w:rFonts w:ascii="Arial" w:hAnsi="Arial" w:cs="Arial"/>
                <w:sz w:val="24"/>
                <w:szCs w:val="24"/>
              </w:rPr>
            </w:pPr>
            <w:r w:rsidRPr="004D6466">
              <w:rPr>
                <w:rFonts w:ascii="Arial" w:hAnsi="Arial" w:cs="Arial"/>
                <w:sz w:val="24"/>
                <w:szCs w:val="24"/>
              </w:rPr>
              <w:t>32,4%</w:t>
            </w:r>
          </w:p>
        </w:tc>
        <w:tc>
          <w:tcPr>
            <w:tcW w:w="2792" w:type="dxa"/>
            <w:shd w:val="clear" w:color="auto" w:fill="DBE5F1" w:themeFill="accent1" w:themeFillTint="33"/>
            <w:noWrap/>
            <w:vAlign w:val="center"/>
            <w:hideMark/>
          </w:tcPr>
          <w:p w:rsidR="00A66191" w:rsidRPr="004D6466" w:rsidRDefault="00A66191" w:rsidP="004D6466">
            <w:pPr>
              <w:spacing w:after="0" w:line="240" w:lineRule="auto"/>
              <w:rPr>
                <w:rFonts w:ascii="Arial" w:hAnsi="Arial" w:cs="Arial"/>
                <w:sz w:val="24"/>
                <w:szCs w:val="24"/>
              </w:rPr>
            </w:pPr>
            <w:r w:rsidRPr="004D6466">
              <w:rPr>
                <w:rFonts w:ascii="Arial" w:hAnsi="Arial" w:cs="Arial"/>
                <w:sz w:val="24"/>
                <w:szCs w:val="24"/>
              </w:rPr>
              <w:t>21.4%</w:t>
            </w:r>
          </w:p>
        </w:tc>
      </w:tr>
      <w:tr w:rsidR="00A66191" w:rsidRPr="004D6466" w:rsidTr="004D6466">
        <w:trPr>
          <w:trHeight w:val="420"/>
        </w:trPr>
        <w:tc>
          <w:tcPr>
            <w:tcW w:w="2818" w:type="dxa"/>
            <w:shd w:val="clear" w:color="auto" w:fill="DBE5F1" w:themeFill="accent1" w:themeFillTint="33"/>
            <w:noWrap/>
            <w:vAlign w:val="center"/>
            <w:hideMark/>
          </w:tcPr>
          <w:p w:rsidR="00A66191" w:rsidRPr="004D6466" w:rsidRDefault="00A66191" w:rsidP="004D6466">
            <w:pPr>
              <w:spacing w:after="0" w:line="240" w:lineRule="auto"/>
              <w:rPr>
                <w:rFonts w:ascii="Arial" w:eastAsia="Times New Roman" w:hAnsi="Arial" w:cs="Arial"/>
                <w:sz w:val="24"/>
                <w:szCs w:val="24"/>
              </w:rPr>
            </w:pPr>
            <w:r w:rsidRPr="004D6466">
              <w:rPr>
                <w:rFonts w:ascii="Arial" w:eastAsia="Times New Roman" w:hAnsi="Arial" w:cs="Arial"/>
                <w:sz w:val="24"/>
                <w:szCs w:val="24"/>
              </w:rPr>
              <w:t>Desempleo</w:t>
            </w:r>
          </w:p>
        </w:tc>
        <w:tc>
          <w:tcPr>
            <w:tcW w:w="2331" w:type="dxa"/>
            <w:shd w:val="clear" w:color="auto" w:fill="DBE5F1" w:themeFill="accent1" w:themeFillTint="33"/>
            <w:noWrap/>
            <w:vAlign w:val="center"/>
            <w:hideMark/>
          </w:tcPr>
          <w:p w:rsidR="00A66191" w:rsidRPr="004D6466" w:rsidRDefault="00A66191" w:rsidP="004D6466">
            <w:pPr>
              <w:spacing w:after="0" w:line="240" w:lineRule="auto"/>
              <w:rPr>
                <w:rFonts w:ascii="Arial" w:hAnsi="Arial" w:cs="Arial"/>
                <w:sz w:val="24"/>
                <w:szCs w:val="24"/>
              </w:rPr>
            </w:pPr>
            <w:r w:rsidRPr="004D6466">
              <w:rPr>
                <w:rFonts w:ascii="Arial" w:hAnsi="Arial" w:cs="Arial"/>
                <w:sz w:val="24"/>
                <w:szCs w:val="24"/>
              </w:rPr>
              <w:t>5%</w:t>
            </w:r>
          </w:p>
        </w:tc>
        <w:tc>
          <w:tcPr>
            <w:tcW w:w="2792" w:type="dxa"/>
            <w:shd w:val="clear" w:color="auto" w:fill="DBE5F1" w:themeFill="accent1" w:themeFillTint="33"/>
            <w:noWrap/>
            <w:vAlign w:val="center"/>
            <w:hideMark/>
          </w:tcPr>
          <w:p w:rsidR="00A66191" w:rsidRPr="004D6466" w:rsidRDefault="00A66191" w:rsidP="004D6466">
            <w:pPr>
              <w:spacing w:after="0" w:line="240" w:lineRule="auto"/>
              <w:rPr>
                <w:rFonts w:ascii="Arial" w:hAnsi="Arial" w:cs="Arial"/>
                <w:sz w:val="24"/>
                <w:szCs w:val="24"/>
              </w:rPr>
            </w:pPr>
            <w:r w:rsidRPr="004D6466">
              <w:rPr>
                <w:rFonts w:ascii="Arial" w:hAnsi="Arial" w:cs="Arial"/>
                <w:sz w:val="24"/>
                <w:szCs w:val="24"/>
              </w:rPr>
              <w:t>5.4%</w:t>
            </w:r>
          </w:p>
        </w:tc>
      </w:tr>
    </w:tbl>
    <w:p w:rsidR="00A66191" w:rsidRPr="004D6466" w:rsidRDefault="00A66191" w:rsidP="00A66191">
      <w:pPr>
        <w:spacing w:line="360" w:lineRule="auto"/>
        <w:rPr>
          <w:rFonts w:ascii="Arial" w:hAnsi="Arial" w:cs="Arial"/>
          <w:sz w:val="16"/>
          <w:szCs w:val="16"/>
        </w:rPr>
      </w:pPr>
      <w:r w:rsidRPr="004D6466">
        <w:rPr>
          <w:rFonts w:ascii="Arial" w:hAnsi="Arial" w:cs="Arial"/>
          <w:sz w:val="16"/>
          <w:szCs w:val="16"/>
        </w:rPr>
        <w:t xml:space="preserve"> Tabla Nº 4                                          fuente: CEPAL                                     Elaborado por María José Ponce</w:t>
      </w:r>
    </w:p>
    <w:p w:rsidR="00A66191" w:rsidRPr="004D6466" w:rsidRDefault="00A66191" w:rsidP="00A66191">
      <w:pPr>
        <w:spacing w:after="0" w:line="360" w:lineRule="auto"/>
        <w:jc w:val="both"/>
        <w:rPr>
          <w:rFonts w:ascii="Arial" w:eastAsia="Times New Roman" w:hAnsi="Arial" w:cs="Arial"/>
          <w:sz w:val="24"/>
          <w:szCs w:val="24"/>
        </w:rPr>
      </w:pPr>
    </w:p>
    <w:p w:rsidR="00A66191" w:rsidRPr="004D6466" w:rsidRDefault="00A66191" w:rsidP="00A66191">
      <w:pPr>
        <w:spacing w:before="100" w:beforeAutospacing="1" w:after="100" w:afterAutospacing="1" w:line="360" w:lineRule="auto"/>
        <w:jc w:val="both"/>
        <w:rPr>
          <w:rFonts w:ascii="Arial" w:hAnsi="Arial" w:cs="Arial"/>
          <w:sz w:val="24"/>
          <w:szCs w:val="24"/>
        </w:rPr>
      </w:pPr>
    </w:p>
    <w:p w:rsidR="00A66191" w:rsidRPr="004D6466" w:rsidRDefault="00A66191" w:rsidP="00A66191">
      <w:pPr>
        <w:spacing w:before="100" w:beforeAutospacing="1" w:after="100" w:afterAutospacing="1" w:line="360" w:lineRule="auto"/>
        <w:jc w:val="both"/>
        <w:rPr>
          <w:rFonts w:ascii="Arial" w:hAnsi="Arial" w:cs="Arial"/>
          <w:sz w:val="24"/>
          <w:szCs w:val="24"/>
        </w:rPr>
      </w:pPr>
      <w:r w:rsidRPr="004D6466">
        <w:rPr>
          <w:rFonts w:ascii="Arial" w:hAnsi="Arial" w:cs="Arial"/>
          <w:sz w:val="24"/>
          <w:szCs w:val="24"/>
        </w:rPr>
        <w:br w:type="page"/>
      </w:r>
    </w:p>
    <w:p w:rsidR="00A66191" w:rsidRPr="004D6466" w:rsidRDefault="00A66191" w:rsidP="00A66191">
      <w:pPr>
        <w:spacing w:line="360" w:lineRule="auto"/>
        <w:ind w:firstLine="525"/>
        <w:jc w:val="center"/>
        <w:rPr>
          <w:rFonts w:ascii="Arial" w:hAnsi="Arial" w:cs="Arial"/>
          <w:b/>
          <w:sz w:val="28"/>
          <w:szCs w:val="28"/>
        </w:rPr>
      </w:pPr>
      <w:r w:rsidRPr="004D6466">
        <w:rPr>
          <w:rFonts w:ascii="Arial" w:hAnsi="Arial" w:cs="Arial"/>
          <w:b/>
          <w:sz w:val="28"/>
          <w:szCs w:val="28"/>
        </w:rPr>
        <w:lastRenderedPageBreak/>
        <w:t>3. CAPÍTULO III: DEFINICIÓN DEL MODELO DE DESARROLLO DE LULA</w:t>
      </w:r>
    </w:p>
    <w:p w:rsidR="00A66191" w:rsidRPr="004D6466" w:rsidRDefault="00A66191" w:rsidP="00A66191">
      <w:pPr>
        <w:spacing w:line="360" w:lineRule="auto"/>
        <w:jc w:val="both"/>
        <w:rPr>
          <w:rFonts w:ascii="Arial" w:hAnsi="Arial" w:cs="Arial"/>
          <w:b/>
          <w:sz w:val="24"/>
          <w:szCs w:val="24"/>
        </w:rPr>
      </w:pPr>
      <w:r w:rsidRPr="004D6466">
        <w:rPr>
          <w:rFonts w:ascii="Arial" w:hAnsi="Arial" w:cs="Arial"/>
          <w:b/>
          <w:sz w:val="24"/>
          <w:szCs w:val="24"/>
        </w:rPr>
        <w:t>3.1 Principales medidas del modelo de desarrollo brasileño</w:t>
      </w:r>
    </w:p>
    <w:p w:rsidR="00A66191" w:rsidRPr="004D6466" w:rsidRDefault="00A66191" w:rsidP="00A66191">
      <w:pPr>
        <w:spacing w:line="360" w:lineRule="auto"/>
        <w:jc w:val="both"/>
        <w:rPr>
          <w:rFonts w:ascii="Arial" w:hAnsi="Arial" w:cs="Arial"/>
          <w:sz w:val="24"/>
          <w:szCs w:val="24"/>
        </w:rPr>
      </w:pPr>
      <w:r w:rsidRPr="004D6466">
        <w:rPr>
          <w:rFonts w:ascii="Arial" w:hAnsi="Arial" w:cs="Arial"/>
          <w:sz w:val="24"/>
          <w:szCs w:val="24"/>
        </w:rPr>
        <w:t xml:space="preserve">El modelo de desarrollo de Brasil, a partir de la presidencia de Luis Ignacio Lula da Silva, se basó en conseguir y acentuar el sostenimiento de los niveles de demanda a partir del aumento del salario mínimo y de las transferencias sociales, la reducción del gasto público y facilidades de crédito para el consumo y para la producción. </w:t>
      </w:r>
    </w:p>
    <w:p w:rsidR="00A66191" w:rsidRPr="004D6466" w:rsidRDefault="00A66191" w:rsidP="00A66191">
      <w:pPr>
        <w:spacing w:line="360" w:lineRule="auto"/>
        <w:jc w:val="both"/>
        <w:rPr>
          <w:rFonts w:ascii="Arial" w:hAnsi="Arial" w:cs="Arial"/>
          <w:sz w:val="24"/>
          <w:szCs w:val="24"/>
        </w:rPr>
      </w:pPr>
      <w:r w:rsidRPr="004D6466">
        <w:rPr>
          <w:rFonts w:ascii="Arial" w:hAnsi="Arial" w:cs="Arial"/>
          <w:sz w:val="24"/>
          <w:szCs w:val="24"/>
        </w:rPr>
        <w:t xml:space="preserve">También se trabajó con mucho énfasis para mejorar la situación de la población en condiciones de pobreza. </w:t>
      </w:r>
    </w:p>
    <w:p w:rsidR="00A66191" w:rsidRPr="004D6466" w:rsidRDefault="00A66191" w:rsidP="00A66191">
      <w:pPr>
        <w:spacing w:line="360" w:lineRule="auto"/>
        <w:jc w:val="both"/>
        <w:rPr>
          <w:rFonts w:ascii="Arial" w:hAnsi="Arial" w:cs="Arial"/>
          <w:b/>
          <w:sz w:val="24"/>
          <w:szCs w:val="24"/>
        </w:rPr>
      </w:pPr>
      <w:r w:rsidRPr="004D6466">
        <w:rPr>
          <w:rFonts w:ascii="Arial" w:hAnsi="Arial" w:cs="Arial"/>
          <w:b/>
          <w:sz w:val="24"/>
          <w:szCs w:val="24"/>
        </w:rPr>
        <w:t>3.2 Ámbito de bienestar social</w:t>
      </w:r>
    </w:p>
    <w:p w:rsidR="00A66191" w:rsidRPr="004D6466" w:rsidRDefault="00A66191" w:rsidP="00A66191">
      <w:pPr>
        <w:spacing w:line="360" w:lineRule="auto"/>
        <w:jc w:val="both"/>
        <w:rPr>
          <w:rFonts w:ascii="Arial" w:hAnsi="Arial" w:cs="Arial"/>
          <w:sz w:val="24"/>
          <w:szCs w:val="24"/>
        </w:rPr>
      </w:pPr>
      <w:r w:rsidRPr="004D6466">
        <w:rPr>
          <w:rFonts w:ascii="Arial" w:hAnsi="Arial" w:cs="Arial"/>
          <w:sz w:val="24"/>
          <w:szCs w:val="24"/>
        </w:rPr>
        <w:t>Para lograr que se reduzca la pobreza en Brasil el presidente Luis Ignacio Lula da Silva tomó algunas decisiones claves: una, fue bancarizar la población pobre: en un año, 45.000.000 de brasileros tenían cuentas bancarias activas, y esto ayudó a hacer posible. La segunda, tiene que ver en no dejar a intermediarios la administración ni la entrega de estos recursos públicos, de tal manera que el dinero llegue a quien tiene que llegar y no se quede en manos de unos pocos. La tercera estrategia que garantizó el éxito, fue tener registros de calidad y hacer seguimiento a los programas y beneficiarios. Por ejemplo: se organizaron equipos del gobierno que viajaron a lugares remotos en donde encontraron habitantes que ni siquiera tenían actas de nacimiento; por tanto eran ciudadanos que no existían. Ellos son hoy beneficiarios del programa Bolsa Familia, que entrega tarjetas a las mujeres del hogar para que cuenten con el dinero para la alimentación y la educación de su familia.</w:t>
      </w:r>
    </w:p>
    <w:p w:rsidR="00A66191" w:rsidRPr="004D6466" w:rsidRDefault="00A66191" w:rsidP="00A66191">
      <w:pPr>
        <w:spacing w:line="360" w:lineRule="auto"/>
        <w:jc w:val="both"/>
        <w:rPr>
          <w:rFonts w:ascii="Arial" w:hAnsi="Arial" w:cs="Arial"/>
          <w:sz w:val="24"/>
          <w:szCs w:val="24"/>
        </w:rPr>
      </w:pPr>
      <w:r w:rsidRPr="004D6466">
        <w:rPr>
          <w:rFonts w:ascii="Arial" w:hAnsi="Arial" w:cs="Arial"/>
          <w:sz w:val="24"/>
          <w:szCs w:val="24"/>
        </w:rPr>
        <w:t xml:space="preserve">Los programas </w:t>
      </w:r>
      <w:r w:rsidR="00830DFF" w:rsidRPr="004D6466">
        <w:rPr>
          <w:rFonts w:ascii="Arial" w:hAnsi="Arial" w:cs="Arial"/>
          <w:sz w:val="24"/>
          <w:szCs w:val="24"/>
        </w:rPr>
        <w:t>más representativos</w:t>
      </w:r>
      <w:r w:rsidRPr="004D6466">
        <w:rPr>
          <w:rFonts w:ascii="Arial" w:hAnsi="Arial" w:cs="Arial"/>
          <w:sz w:val="24"/>
          <w:szCs w:val="24"/>
        </w:rPr>
        <w:t xml:space="preserve"> del gobierno de Lula da Silva en el ámbito de bienestar social fueron: “Hambre Cero”, “Bolsa Familia” y Programa Nacional de Fortalecimiento de la Agricultura Familiar, por ser las que directamente incidieron en el prosperidad de las familias brasileñas.</w:t>
      </w:r>
    </w:p>
    <w:p w:rsidR="00A66191" w:rsidRPr="004D6466" w:rsidRDefault="00A66191" w:rsidP="00A66191">
      <w:pPr>
        <w:spacing w:line="360" w:lineRule="auto"/>
        <w:jc w:val="both"/>
        <w:rPr>
          <w:rFonts w:ascii="Arial" w:hAnsi="Arial" w:cs="Arial"/>
          <w:sz w:val="24"/>
          <w:szCs w:val="24"/>
        </w:rPr>
      </w:pPr>
    </w:p>
    <w:p w:rsidR="00A66191" w:rsidRPr="004D6466" w:rsidRDefault="00A66191" w:rsidP="00A66191">
      <w:pPr>
        <w:autoSpaceDE w:val="0"/>
        <w:autoSpaceDN w:val="0"/>
        <w:adjustRightInd w:val="0"/>
        <w:spacing w:after="0" w:line="360" w:lineRule="auto"/>
        <w:jc w:val="both"/>
        <w:rPr>
          <w:rFonts w:ascii="Arial" w:hAnsi="Arial" w:cs="Arial"/>
          <w:i/>
          <w:sz w:val="24"/>
          <w:szCs w:val="24"/>
        </w:rPr>
      </w:pPr>
      <w:r w:rsidRPr="004D6466">
        <w:rPr>
          <w:rFonts w:ascii="Arial" w:hAnsi="Arial" w:cs="Arial"/>
          <w:b/>
          <w:i/>
          <w:sz w:val="24"/>
          <w:szCs w:val="24"/>
        </w:rPr>
        <w:lastRenderedPageBreak/>
        <w:t>3.2.1 “Hambre Cero”</w:t>
      </w:r>
    </w:p>
    <w:p w:rsidR="00A66191" w:rsidRPr="004D6466" w:rsidRDefault="00A66191" w:rsidP="00A66191">
      <w:pPr>
        <w:spacing w:line="360" w:lineRule="auto"/>
        <w:jc w:val="both"/>
        <w:rPr>
          <w:rFonts w:ascii="Arial" w:hAnsi="Arial" w:cs="Arial"/>
          <w:sz w:val="24"/>
          <w:szCs w:val="24"/>
        </w:rPr>
      </w:pPr>
      <w:r w:rsidRPr="004D6466">
        <w:rPr>
          <w:rFonts w:ascii="Arial" w:hAnsi="Arial" w:cs="Arial"/>
          <w:sz w:val="24"/>
          <w:szCs w:val="24"/>
        </w:rPr>
        <w:t>El programa “Hambre Cero” se centró en un punto clave que era hacer de este programa una política pública de inserción social y era de suma importancia para el gobierno que no se convierta en una política asistencialista.</w:t>
      </w:r>
    </w:p>
    <w:p w:rsidR="00A66191" w:rsidRPr="004D6466" w:rsidRDefault="00A66191" w:rsidP="00A66191">
      <w:pPr>
        <w:spacing w:line="360" w:lineRule="auto"/>
        <w:jc w:val="both"/>
        <w:rPr>
          <w:rFonts w:ascii="Arial" w:hAnsi="Arial" w:cs="Arial"/>
          <w:sz w:val="24"/>
          <w:szCs w:val="24"/>
        </w:rPr>
      </w:pPr>
      <w:r w:rsidRPr="004D6466">
        <w:rPr>
          <w:rFonts w:ascii="Arial" w:eastAsia="Times New Roman" w:hAnsi="Arial" w:cs="Arial"/>
          <w:sz w:val="24"/>
          <w:szCs w:val="24"/>
          <w:lang w:val="es-EC"/>
        </w:rPr>
        <w:t>En 2003, “Hambre Cero” contaba con un presupuesto de 700 millones de dólares, que en términos del PIB era relativamente poco ya que Brasil contaba con un PIB de 500 mil millones de dólares.</w:t>
      </w:r>
    </w:p>
    <w:p w:rsidR="00A66191" w:rsidRPr="004D6466" w:rsidRDefault="00A66191" w:rsidP="00A66191">
      <w:pPr>
        <w:spacing w:line="360" w:lineRule="auto"/>
        <w:jc w:val="both"/>
        <w:rPr>
          <w:rFonts w:ascii="Arial" w:eastAsia="Times New Roman" w:hAnsi="Arial" w:cs="Arial"/>
          <w:sz w:val="24"/>
          <w:szCs w:val="24"/>
          <w:lang w:val="es-EC"/>
        </w:rPr>
      </w:pPr>
      <w:r w:rsidRPr="004D6466">
        <w:rPr>
          <w:rFonts w:ascii="Arial" w:eastAsia="Times New Roman" w:hAnsi="Arial" w:cs="Arial"/>
          <w:sz w:val="24"/>
          <w:szCs w:val="24"/>
          <w:lang w:val="es-EC"/>
        </w:rPr>
        <w:t>Los primeros beneficiarios del programa fueron: los “Sin Tierra”, alrededor de cuatro millones de familias, entre acampados en las carreteras y los asentados; las aldeas indígenas en situación de desnutrición (cerca de 700 mil indígenas); la gente que vive de la basura; los quilombos, que están compuestos por personas descendientes de esclavos (más o menos mil comunidades que viven en mucha pobreza); y las zonas del nordeste, la más pobre del país, que comprende 10 Estados de Brasil (</w:t>
      </w:r>
      <w:hyperlink r:id="rId121" w:tooltip="Alagoas" w:history="1">
        <w:r w:rsidRPr="004D6466">
          <w:rPr>
            <w:rStyle w:val="Hipervnculo"/>
            <w:rFonts w:ascii="Arial" w:hAnsi="Arial" w:cs="Arial"/>
            <w:color w:val="auto"/>
            <w:sz w:val="24"/>
            <w:szCs w:val="24"/>
            <w:u w:val="none"/>
          </w:rPr>
          <w:t>Alagoas</w:t>
        </w:r>
      </w:hyperlink>
      <w:r w:rsidRPr="004D6466">
        <w:rPr>
          <w:rFonts w:ascii="Arial" w:hAnsi="Arial" w:cs="Arial"/>
          <w:sz w:val="24"/>
          <w:szCs w:val="24"/>
        </w:rPr>
        <w:t xml:space="preserve">, </w:t>
      </w:r>
      <w:hyperlink r:id="rId122" w:tooltip="Bahía (Brasil)" w:history="1">
        <w:r w:rsidRPr="004D6466">
          <w:rPr>
            <w:rStyle w:val="Hipervnculo"/>
            <w:rFonts w:ascii="Arial" w:hAnsi="Arial" w:cs="Arial"/>
            <w:color w:val="auto"/>
            <w:sz w:val="24"/>
            <w:szCs w:val="24"/>
            <w:u w:val="none"/>
          </w:rPr>
          <w:t>Bahía</w:t>
        </w:r>
      </w:hyperlink>
      <w:r w:rsidRPr="004D6466">
        <w:rPr>
          <w:rFonts w:ascii="Arial" w:hAnsi="Arial" w:cs="Arial"/>
          <w:sz w:val="24"/>
          <w:szCs w:val="24"/>
        </w:rPr>
        <w:t xml:space="preserve">, </w:t>
      </w:r>
      <w:hyperlink r:id="rId123" w:tooltip="Ceará" w:history="1">
        <w:r w:rsidRPr="004D6466">
          <w:rPr>
            <w:rStyle w:val="Hipervnculo"/>
            <w:rFonts w:ascii="Arial" w:hAnsi="Arial" w:cs="Arial"/>
            <w:color w:val="auto"/>
            <w:sz w:val="24"/>
            <w:szCs w:val="24"/>
            <w:u w:val="none"/>
          </w:rPr>
          <w:t>Ceará</w:t>
        </w:r>
      </w:hyperlink>
      <w:r w:rsidRPr="004D6466">
        <w:rPr>
          <w:rFonts w:ascii="Arial" w:hAnsi="Arial" w:cs="Arial"/>
          <w:sz w:val="24"/>
          <w:szCs w:val="24"/>
        </w:rPr>
        <w:t xml:space="preserve">, </w:t>
      </w:r>
      <w:hyperlink r:id="rId124" w:tooltip="Maranhão" w:history="1">
        <w:r w:rsidRPr="004D6466">
          <w:rPr>
            <w:rStyle w:val="Hipervnculo"/>
            <w:rFonts w:ascii="Arial" w:hAnsi="Arial" w:cs="Arial"/>
            <w:color w:val="auto"/>
            <w:sz w:val="24"/>
            <w:szCs w:val="24"/>
            <w:u w:val="none"/>
          </w:rPr>
          <w:t>Maranhão</w:t>
        </w:r>
      </w:hyperlink>
      <w:r w:rsidRPr="004D6466">
        <w:rPr>
          <w:rFonts w:ascii="Arial" w:hAnsi="Arial" w:cs="Arial"/>
          <w:sz w:val="24"/>
          <w:szCs w:val="24"/>
        </w:rPr>
        <w:t xml:space="preserve">, </w:t>
      </w:r>
      <w:hyperlink r:id="rId125" w:tooltip="Paraíba" w:history="1">
        <w:r w:rsidRPr="004D6466">
          <w:rPr>
            <w:rStyle w:val="Hipervnculo"/>
            <w:rFonts w:ascii="Arial" w:hAnsi="Arial" w:cs="Arial"/>
            <w:color w:val="auto"/>
            <w:sz w:val="24"/>
            <w:szCs w:val="24"/>
            <w:u w:val="none"/>
          </w:rPr>
          <w:t>Paraíba</w:t>
        </w:r>
      </w:hyperlink>
      <w:r w:rsidRPr="004D6466">
        <w:rPr>
          <w:rFonts w:ascii="Arial" w:hAnsi="Arial" w:cs="Arial"/>
          <w:sz w:val="24"/>
          <w:szCs w:val="24"/>
        </w:rPr>
        <w:t xml:space="preserve">, </w:t>
      </w:r>
      <w:hyperlink r:id="rId126" w:tooltip="Piauí" w:history="1">
        <w:r w:rsidRPr="004D6466">
          <w:rPr>
            <w:rStyle w:val="Hipervnculo"/>
            <w:rFonts w:ascii="Arial" w:hAnsi="Arial" w:cs="Arial"/>
            <w:color w:val="auto"/>
            <w:sz w:val="24"/>
            <w:szCs w:val="24"/>
            <w:u w:val="none"/>
          </w:rPr>
          <w:t>Piauí</w:t>
        </w:r>
      </w:hyperlink>
      <w:r w:rsidRPr="004D6466">
        <w:rPr>
          <w:rFonts w:ascii="Arial" w:hAnsi="Arial" w:cs="Arial"/>
          <w:sz w:val="24"/>
          <w:szCs w:val="24"/>
        </w:rPr>
        <w:t xml:space="preserve">, </w:t>
      </w:r>
      <w:hyperlink r:id="rId127" w:tooltip="Pernambuco" w:history="1">
        <w:r w:rsidRPr="004D6466">
          <w:rPr>
            <w:rStyle w:val="Hipervnculo"/>
            <w:rFonts w:ascii="Arial" w:hAnsi="Arial" w:cs="Arial"/>
            <w:color w:val="auto"/>
            <w:sz w:val="24"/>
            <w:szCs w:val="24"/>
            <w:u w:val="none"/>
          </w:rPr>
          <w:t>Pernambuco</w:t>
        </w:r>
      </w:hyperlink>
      <w:r w:rsidRPr="004D6466">
        <w:rPr>
          <w:rFonts w:ascii="Arial" w:hAnsi="Arial" w:cs="Arial"/>
          <w:sz w:val="24"/>
          <w:szCs w:val="24"/>
        </w:rPr>
        <w:t xml:space="preserve">, </w:t>
      </w:r>
      <w:hyperlink r:id="rId128" w:tooltip="Fernando de Noronha (islas)" w:history="1">
        <w:r w:rsidRPr="004D6466">
          <w:rPr>
            <w:rStyle w:val="Hipervnculo"/>
            <w:rFonts w:ascii="Arial" w:hAnsi="Arial" w:cs="Arial"/>
            <w:color w:val="auto"/>
            <w:sz w:val="24"/>
            <w:szCs w:val="24"/>
            <w:u w:val="none"/>
          </w:rPr>
          <w:t>Fernando de Noronha</w:t>
        </w:r>
      </w:hyperlink>
      <w:r w:rsidRPr="004D6466">
        <w:rPr>
          <w:rFonts w:ascii="Arial" w:hAnsi="Arial" w:cs="Arial"/>
          <w:sz w:val="24"/>
          <w:szCs w:val="24"/>
        </w:rPr>
        <w:t xml:space="preserve">, </w:t>
      </w:r>
      <w:hyperlink r:id="rId129" w:tooltip="Río Grande del Norte" w:history="1">
        <w:r w:rsidRPr="004D6466">
          <w:rPr>
            <w:rStyle w:val="Hipervnculo"/>
            <w:rFonts w:ascii="Arial" w:hAnsi="Arial" w:cs="Arial"/>
            <w:color w:val="auto"/>
            <w:sz w:val="24"/>
            <w:szCs w:val="24"/>
            <w:u w:val="none"/>
          </w:rPr>
          <w:t>Río Grande del Norte</w:t>
        </w:r>
      </w:hyperlink>
      <w:r w:rsidRPr="004D6466">
        <w:rPr>
          <w:rFonts w:ascii="Arial" w:hAnsi="Arial" w:cs="Arial"/>
          <w:sz w:val="24"/>
          <w:szCs w:val="24"/>
        </w:rPr>
        <w:t xml:space="preserve"> y </w:t>
      </w:r>
      <w:hyperlink r:id="rId130" w:tooltip="Sergipe" w:history="1">
        <w:r w:rsidRPr="004D6466">
          <w:rPr>
            <w:rStyle w:val="Hipervnculo"/>
            <w:rFonts w:ascii="Arial" w:hAnsi="Arial" w:cs="Arial"/>
            <w:color w:val="auto"/>
            <w:sz w:val="24"/>
            <w:szCs w:val="24"/>
            <w:u w:val="none"/>
          </w:rPr>
          <w:t>Sergipe</w:t>
        </w:r>
      </w:hyperlink>
      <w:r w:rsidRPr="004D6466">
        <w:rPr>
          <w:rFonts w:ascii="Arial" w:hAnsi="Arial" w:cs="Arial"/>
          <w:sz w:val="24"/>
          <w:szCs w:val="24"/>
        </w:rPr>
        <w:t>.</w:t>
      </w:r>
      <w:r w:rsidRPr="004D6466">
        <w:rPr>
          <w:rFonts w:ascii="Arial" w:eastAsia="Times New Roman" w:hAnsi="Arial" w:cs="Arial"/>
          <w:sz w:val="24"/>
          <w:szCs w:val="24"/>
          <w:lang w:val="es-EC"/>
        </w:rPr>
        <w:t>)</w:t>
      </w:r>
    </w:p>
    <w:p w:rsidR="00A66191" w:rsidRPr="004D6466" w:rsidRDefault="00A66191" w:rsidP="00A66191">
      <w:pPr>
        <w:spacing w:line="360" w:lineRule="auto"/>
        <w:jc w:val="both"/>
        <w:rPr>
          <w:rFonts w:ascii="Arial" w:eastAsia="Times New Roman" w:hAnsi="Arial" w:cs="Arial"/>
          <w:sz w:val="24"/>
          <w:szCs w:val="24"/>
          <w:lang w:val="es-EC"/>
        </w:rPr>
      </w:pPr>
      <w:r w:rsidRPr="004D6466">
        <w:rPr>
          <w:rFonts w:ascii="Arial" w:eastAsia="Times New Roman" w:hAnsi="Arial" w:cs="Arial"/>
          <w:sz w:val="24"/>
          <w:szCs w:val="24"/>
          <w:lang w:val="es-EC"/>
        </w:rPr>
        <w:t>Según Frei Betto</w:t>
      </w:r>
      <w:r w:rsidRPr="004D6466">
        <w:rPr>
          <w:rStyle w:val="Refdenotaalpie"/>
          <w:rFonts w:ascii="Arial" w:eastAsia="Times New Roman" w:hAnsi="Arial" w:cs="Arial"/>
          <w:sz w:val="24"/>
          <w:szCs w:val="24"/>
          <w:lang w:val="es-EC"/>
        </w:rPr>
        <w:footnoteReference w:id="29"/>
      </w:r>
      <w:r w:rsidRPr="004D6466">
        <w:rPr>
          <w:rFonts w:ascii="Arial" w:eastAsia="Times New Roman" w:hAnsi="Arial" w:cs="Arial"/>
          <w:sz w:val="24"/>
          <w:szCs w:val="24"/>
          <w:lang w:val="es-EC"/>
        </w:rPr>
        <w:t xml:space="preserve"> para iniciar con este programa, se tomó en cuenta el catastro de la computadora del Gobierno Central, en el cual se obtuvieron datos de las personas que viven con menos de treinta dólares por mes, que son once millones aproximadamente. A continuación en todas las comunidades de Brasil se organizaron acciones prioritarias entre ellas: la creación de un “Comité Hambre Cero”; es decir dos mil trescientos grupos, cada uno con nueve personas, esta acción fue de suma importancia ya que fue el primer gobierno en realizar  trabajo de organización de base. </w:t>
      </w:r>
    </w:p>
    <w:p w:rsidR="00A66191" w:rsidRPr="004D6466" w:rsidRDefault="00A66191" w:rsidP="00A66191">
      <w:pPr>
        <w:spacing w:line="360" w:lineRule="auto"/>
        <w:jc w:val="both"/>
        <w:rPr>
          <w:rFonts w:ascii="Arial" w:eastAsia="Times New Roman" w:hAnsi="Arial" w:cs="Arial"/>
          <w:sz w:val="24"/>
          <w:szCs w:val="24"/>
          <w:lang w:val="es-EC"/>
        </w:rPr>
      </w:pPr>
      <w:r w:rsidRPr="004D6466">
        <w:rPr>
          <w:rFonts w:ascii="Arial" w:eastAsia="Times New Roman" w:hAnsi="Arial" w:cs="Arial"/>
          <w:sz w:val="24"/>
          <w:szCs w:val="24"/>
          <w:lang w:val="es-EC"/>
        </w:rPr>
        <w:t>“En cada municipio se organizó un comité de nueve personas, tres de ellas propuestas por el poder público: una por el poder federal, otra por el poder departamental y otra por el poder municipal.</w:t>
      </w:r>
      <w:r w:rsidRPr="004D6466">
        <w:rPr>
          <w:rFonts w:ascii="Arial" w:eastAsia="Times New Roman" w:hAnsi="Arial" w:cs="Arial"/>
          <w:sz w:val="24"/>
          <w:szCs w:val="24"/>
          <w:lang w:val="es-EC"/>
        </w:rPr>
        <w:br/>
        <w:t>Los otros seis son elegidos por los grupos organizados de la ciudad: religiosos, sindicatos, asociaciones, los “Sin Tierra”, movimientos organizados muchas veces conformados por mil o dos mil personas para discutir quiénes serían estas seis personas. </w:t>
      </w:r>
    </w:p>
    <w:p w:rsidR="00A66191" w:rsidRPr="004D6466" w:rsidRDefault="00A66191" w:rsidP="00A66191">
      <w:pPr>
        <w:spacing w:line="360" w:lineRule="auto"/>
        <w:jc w:val="both"/>
        <w:rPr>
          <w:rFonts w:ascii="Arial" w:eastAsia="Times New Roman" w:hAnsi="Arial" w:cs="Arial"/>
          <w:sz w:val="24"/>
          <w:szCs w:val="24"/>
          <w:lang w:val="es-EC"/>
        </w:rPr>
      </w:pPr>
      <w:r w:rsidRPr="004D6466">
        <w:rPr>
          <w:rFonts w:ascii="Arial" w:eastAsia="Times New Roman" w:hAnsi="Arial" w:cs="Arial"/>
          <w:sz w:val="24"/>
          <w:szCs w:val="24"/>
          <w:lang w:val="es-EC"/>
        </w:rPr>
        <w:lastRenderedPageBreak/>
        <w:t>Este comité hizo investigaciones para corroborar si las familias asentadas en el catastro merecían o no seguir allí; más o menos hubo una corrección del 30%. De cada cien familias, treinta no merecían estar en el catastro, muchas veces por el mal trabajo de quienes tuvieron a su cargo incluirlas en la lista y algunas veces por corrupción”</w:t>
      </w:r>
      <w:r w:rsidRPr="004D6466">
        <w:rPr>
          <w:rStyle w:val="Refdenotaalpie"/>
          <w:rFonts w:ascii="Arial" w:eastAsia="Times New Roman" w:hAnsi="Arial" w:cs="Arial"/>
          <w:sz w:val="24"/>
          <w:szCs w:val="24"/>
          <w:lang w:val="es-EC"/>
        </w:rPr>
        <w:footnoteReference w:id="30"/>
      </w:r>
      <w:r w:rsidRPr="004D6466">
        <w:rPr>
          <w:rFonts w:ascii="Arial" w:eastAsia="Times New Roman" w:hAnsi="Arial" w:cs="Arial"/>
          <w:sz w:val="24"/>
          <w:szCs w:val="24"/>
          <w:lang w:val="es-EC"/>
        </w:rPr>
        <w:t>.</w:t>
      </w:r>
    </w:p>
    <w:p w:rsidR="00A66191" w:rsidRPr="004D6466" w:rsidRDefault="00A66191" w:rsidP="00A66191">
      <w:pPr>
        <w:spacing w:line="360" w:lineRule="auto"/>
        <w:jc w:val="both"/>
        <w:rPr>
          <w:rFonts w:ascii="Arial" w:eastAsia="Times New Roman" w:hAnsi="Arial" w:cs="Arial"/>
          <w:sz w:val="24"/>
          <w:szCs w:val="24"/>
          <w:lang w:val="es-EC"/>
        </w:rPr>
      </w:pPr>
      <w:r w:rsidRPr="004D6466">
        <w:rPr>
          <w:rFonts w:ascii="Arial" w:eastAsia="Times New Roman" w:hAnsi="Arial" w:cs="Arial"/>
          <w:sz w:val="24"/>
          <w:szCs w:val="24"/>
          <w:lang w:val="es-EC"/>
        </w:rPr>
        <w:t xml:space="preserve">Dentro del proceso del programa “Hambre Cero” se unificaron todos los mecanismos federales de transferencia de renta a los más pobres. Hubo diferentes criterios y mecanismos y todos se juntaron en un solo programa que tomó el nombre de “Beca Familia”. </w:t>
      </w:r>
    </w:p>
    <w:p w:rsidR="00A66191" w:rsidRPr="004D6466" w:rsidRDefault="00A66191" w:rsidP="00A66191">
      <w:pPr>
        <w:spacing w:line="360" w:lineRule="auto"/>
        <w:jc w:val="both"/>
        <w:rPr>
          <w:rFonts w:ascii="Arial" w:eastAsia="Times New Roman" w:hAnsi="Arial" w:cs="Arial"/>
          <w:sz w:val="24"/>
          <w:szCs w:val="24"/>
          <w:lang w:val="es-EC"/>
        </w:rPr>
      </w:pPr>
      <w:r w:rsidRPr="004D6466">
        <w:rPr>
          <w:rFonts w:ascii="Arial" w:eastAsia="Times New Roman" w:hAnsi="Arial" w:cs="Arial"/>
          <w:sz w:val="24"/>
          <w:szCs w:val="24"/>
          <w:lang w:val="es-EC"/>
        </w:rPr>
        <w:t xml:space="preserve">El programa “Hambre Cero” se sustenta en tres pilares: </w:t>
      </w:r>
    </w:p>
    <w:p w:rsidR="00A66191" w:rsidRPr="004D6466" w:rsidRDefault="00A66191" w:rsidP="00A66191">
      <w:pPr>
        <w:pStyle w:val="Prrafodelista"/>
        <w:numPr>
          <w:ilvl w:val="0"/>
          <w:numId w:val="46"/>
        </w:numPr>
        <w:spacing w:line="360" w:lineRule="auto"/>
        <w:jc w:val="both"/>
        <w:rPr>
          <w:rFonts w:ascii="Arial" w:eastAsia="Times New Roman" w:hAnsi="Arial" w:cs="Arial"/>
          <w:sz w:val="24"/>
          <w:szCs w:val="24"/>
          <w:lang w:val="es-EC"/>
        </w:rPr>
      </w:pPr>
      <w:r w:rsidRPr="004D6466">
        <w:rPr>
          <w:rFonts w:ascii="Arial" w:eastAsia="Times New Roman" w:hAnsi="Arial" w:cs="Arial"/>
          <w:sz w:val="24"/>
          <w:szCs w:val="24"/>
          <w:lang w:val="es-EC"/>
        </w:rPr>
        <w:t xml:space="preserve">La política de transferencia de renta a cada una de las familias, en la cual, el dinero no pasa por las manos del alcalde, sino que va directamente a la familia. Cada familia tiene una tarjeta ciudadana y cada mes va al banco federal y saca su dinero. Esta tarjeta se entrega de preferencia a las mujeres. Estas transferencias son de alrededor de veinticinco dólares (considerando que el salario mínimo en Brasil es de alrededor de ochenta y cinco dólares, la familia tiene veinticinco dólares para comprar comida para todo el mes). </w:t>
      </w:r>
    </w:p>
    <w:p w:rsidR="00A66191" w:rsidRPr="004D6466" w:rsidRDefault="00A66191" w:rsidP="00A66191">
      <w:pPr>
        <w:pStyle w:val="Prrafodelista"/>
        <w:spacing w:line="360" w:lineRule="auto"/>
        <w:jc w:val="both"/>
        <w:rPr>
          <w:rFonts w:ascii="Arial" w:eastAsia="Times New Roman" w:hAnsi="Arial" w:cs="Arial"/>
          <w:sz w:val="24"/>
          <w:szCs w:val="24"/>
          <w:lang w:val="es-EC"/>
        </w:rPr>
      </w:pPr>
      <w:r w:rsidRPr="004D6466">
        <w:rPr>
          <w:rFonts w:ascii="Arial" w:eastAsia="Times New Roman" w:hAnsi="Arial" w:cs="Arial"/>
          <w:sz w:val="24"/>
          <w:szCs w:val="24"/>
          <w:lang w:val="es-EC"/>
        </w:rPr>
        <w:t>Estos 25 dólares solo son entregados si la familia cumple tres condiciones, la primera, no puede haber analfabetos; y en caso de que los hubiera tienen que asistir a un curso de alfabetización que está contemplado dentro del programa; la segunda condición es, que todos los hijos tienen que estar en la escuela hasta los quince años de edad; y finalmente la tercera, es que tienen que seguir un programa de salud.</w:t>
      </w:r>
    </w:p>
    <w:p w:rsidR="00A66191" w:rsidRPr="004D6466" w:rsidRDefault="00A66191" w:rsidP="00A66191">
      <w:pPr>
        <w:pStyle w:val="Prrafodelista"/>
        <w:spacing w:line="360" w:lineRule="auto"/>
        <w:jc w:val="both"/>
        <w:rPr>
          <w:rFonts w:ascii="Arial" w:eastAsia="Times New Roman" w:hAnsi="Arial" w:cs="Arial"/>
          <w:sz w:val="24"/>
          <w:szCs w:val="24"/>
          <w:lang w:val="es-EC"/>
        </w:rPr>
      </w:pPr>
      <w:r w:rsidRPr="004D6466">
        <w:rPr>
          <w:rFonts w:ascii="Arial" w:eastAsia="Times New Roman" w:hAnsi="Arial" w:cs="Arial"/>
          <w:sz w:val="24"/>
          <w:szCs w:val="24"/>
          <w:lang w:val="es-EC"/>
        </w:rPr>
        <w:t>Si la familia tiene hijos en edad escolar, tiene derecho a cinco dólares más por hijo, hasta un máximo de tres hijos por familia. La familia puede acceder hasta un salario de alrededor de ochenta dólares ya que el gobierno estatal y el municipal tienen la facultad de otorgar una cuota adicional de dinero.</w:t>
      </w:r>
    </w:p>
    <w:p w:rsidR="00A66191" w:rsidRPr="004D6466" w:rsidRDefault="00A66191" w:rsidP="00A66191">
      <w:pPr>
        <w:pStyle w:val="Prrafodelista"/>
        <w:spacing w:line="360" w:lineRule="auto"/>
        <w:jc w:val="both"/>
        <w:rPr>
          <w:rFonts w:ascii="Arial" w:eastAsia="Times New Roman" w:hAnsi="Arial" w:cs="Arial"/>
          <w:sz w:val="24"/>
          <w:szCs w:val="24"/>
          <w:lang w:val="es-EC"/>
        </w:rPr>
      </w:pPr>
      <w:r w:rsidRPr="004D6466">
        <w:rPr>
          <w:rFonts w:ascii="Arial" w:eastAsia="Times New Roman" w:hAnsi="Arial" w:cs="Arial"/>
          <w:sz w:val="24"/>
          <w:szCs w:val="24"/>
          <w:lang w:val="es-EC"/>
        </w:rPr>
        <w:t xml:space="preserve">Otro grupo que está bien atendido dentro del programa “Hambre Cero” es el de los adultos mayores ya que aquellos que tienen más de 65 años </w:t>
      </w:r>
      <w:r w:rsidRPr="004D6466">
        <w:rPr>
          <w:rFonts w:ascii="Arial" w:eastAsia="Times New Roman" w:hAnsi="Arial" w:cs="Arial"/>
          <w:sz w:val="24"/>
          <w:szCs w:val="24"/>
          <w:lang w:val="es-EC"/>
        </w:rPr>
        <w:lastRenderedPageBreak/>
        <w:t xml:space="preserve">de edad y viven en la zona rural, tienen derecho a un salario mínimo por mes. </w:t>
      </w:r>
    </w:p>
    <w:p w:rsidR="00A66191" w:rsidRPr="004D6466" w:rsidRDefault="00A66191" w:rsidP="00A66191">
      <w:pPr>
        <w:pStyle w:val="Prrafodelista"/>
        <w:numPr>
          <w:ilvl w:val="0"/>
          <w:numId w:val="46"/>
        </w:numPr>
        <w:spacing w:line="360" w:lineRule="auto"/>
        <w:jc w:val="both"/>
        <w:rPr>
          <w:rFonts w:ascii="Arial" w:eastAsia="Times New Roman" w:hAnsi="Arial" w:cs="Arial"/>
          <w:sz w:val="24"/>
          <w:szCs w:val="24"/>
          <w:lang w:val="es-EC"/>
        </w:rPr>
      </w:pPr>
      <w:r w:rsidRPr="004D6466">
        <w:rPr>
          <w:rFonts w:ascii="Arial" w:eastAsia="Times New Roman" w:hAnsi="Arial" w:cs="Arial"/>
          <w:sz w:val="24"/>
          <w:szCs w:val="24"/>
          <w:lang w:val="es-EC"/>
        </w:rPr>
        <w:t xml:space="preserve">Las políticas estructurales, tres de la cuales son la seguridad social, la tributaria y la agraria; la reforma agraria consiste en asentar quinientas treinta mil familias en cuatro años es decir que estas familias tengan un lugar fijo en donde quedarse. </w:t>
      </w:r>
    </w:p>
    <w:p w:rsidR="00A66191" w:rsidRPr="004D6466" w:rsidRDefault="00A66191" w:rsidP="00A66191">
      <w:pPr>
        <w:pStyle w:val="Prrafodelista"/>
        <w:numPr>
          <w:ilvl w:val="0"/>
          <w:numId w:val="46"/>
        </w:numPr>
        <w:spacing w:line="360" w:lineRule="auto"/>
        <w:jc w:val="both"/>
        <w:rPr>
          <w:rFonts w:ascii="Arial" w:eastAsia="Times New Roman" w:hAnsi="Arial" w:cs="Arial"/>
          <w:sz w:val="24"/>
          <w:szCs w:val="24"/>
          <w:lang w:val="es-EC"/>
        </w:rPr>
      </w:pPr>
      <w:r w:rsidRPr="004D6466">
        <w:rPr>
          <w:rFonts w:ascii="Arial" w:eastAsia="Times New Roman" w:hAnsi="Arial" w:cs="Arial"/>
          <w:sz w:val="24"/>
          <w:szCs w:val="24"/>
          <w:lang w:val="es-EC"/>
        </w:rPr>
        <w:t>La educación popular que consiste en hacer un equipo que congrega siete centros de educadores en todo el país llamado “Taller”, éste trabaja con cada una de las familias de “Hambre Cero”; es decir: produce mecanismos de educación para llegar a todas ellas, de manera que cada una pueda cambiar su forma de ver la vida y asumir su autoestima y su protagonismo social y político.</w:t>
      </w:r>
    </w:p>
    <w:p w:rsidR="00A66191" w:rsidRPr="004D6466" w:rsidRDefault="00A66191" w:rsidP="00A66191">
      <w:pPr>
        <w:spacing w:line="360" w:lineRule="auto"/>
        <w:jc w:val="both"/>
        <w:rPr>
          <w:rFonts w:ascii="Arial" w:eastAsia="Times New Roman" w:hAnsi="Arial" w:cs="Arial"/>
          <w:sz w:val="24"/>
          <w:szCs w:val="24"/>
          <w:lang w:val="es-EC"/>
        </w:rPr>
      </w:pPr>
      <w:r w:rsidRPr="004D6466">
        <w:rPr>
          <w:rFonts w:ascii="Arial" w:eastAsia="Times New Roman" w:hAnsi="Arial" w:cs="Arial"/>
          <w:sz w:val="24"/>
          <w:szCs w:val="24"/>
          <w:lang w:val="es-EC"/>
        </w:rPr>
        <w:t xml:space="preserve"> Adicionalmente dentro de “Hambre Cero”  hay un programa muy importante que se llama “Sed Cero” que consiste en </w:t>
      </w:r>
      <w:r w:rsidRPr="004D6466">
        <w:rPr>
          <w:rFonts w:ascii="Arial" w:eastAsia="Times New Roman" w:hAnsi="Arial" w:cs="Arial"/>
          <w:sz w:val="24"/>
          <w:szCs w:val="24"/>
        </w:rPr>
        <w:t xml:space="preserve">construir un millón de cisternas. Una cisterna de éstas cuesta doscientos cincuenta dólares, dura cuarenta años y libera a la familia, política, social y económicamente. Políticamente, porque retira a todos los políticos que viven del comercio del agua; socialmente, porque mujeres y niños ya no tienen que caminar kilómetros cada día para buscar agua de mala calidad; la mujer puede dedicarse con su marido a la agricultura familiar y a otros trabajos y los niños pueden ir a la escuela; y económicamente, porque mueve la agricultura familiar. Cada una de estas cisternas tiene capacidad para seis mil litros de agua. Suficiente para que una familia promedio pueda pasar nueve meses (una familia de hasta cinco personas) con agua todo el tiempo. </w:t>
      </w:r>
    </w:p>
    <w:p w:rsidR="00A66191" w:rsidRPr="004D6466" w:rsidRDefault="00A66191" w:rsidP="00A66191">
      <w:pPr>
        <w:spacing w:after="0" w:line="360" w:lineRule="auto"/>
        <w:jc w:val="both"/>
        <w:rPr>
          <w:rFonts w:ascii="Arial" w:eastAsia="Times New Roman" w:hAnsi="Arial" w:cs="Arial"/>
          <w:sz w:val="24"/>
          <w:szCs w:val="24"/>
          <w:lang w:val="es-EC"/>
        </w:rPr>
      </w:pPr>
      <w:r w:rsidRPr="004D6466">
        <w:rPr>
          <w:rFonts w:ascii="Arial" w:eastAsia="Times New Roman" w:hAnsi="Arial" w:cs="Arial"/>
          <w:sz w:val="24"/>
          <w:szCs w:val="24"/>
        </w:rPr>
        <w:t>Dentro del Programa “Hambre Cero” hay una serie de programas de movilización; alrededor de cuatrocientas empresas participan en dicho programa. Hay empresas que adoptan un</w:t>
      </w:r>
      <w:r w:rsidRPr="004D6466">
        <w:rPr>
          <w:rFonts w:ascii="Arial" w:eastAsia="Times New Roman" w:hAnsi="Arial" w:cs="Arial"/>
          <w:sz w:val="24"/>
          <w:szCs w:val="24"/>
        </w:rPr>
        <w:br/>
        <w:t>municipio “Hambre Cero” y van al Comité, con el alcalde, a debatir en qué rubro van a invertir: en la educación, en la salud o en la capacitación laboral; después, se toma una decisión. Así, las empresas van cumpliendo con su responsabilidad social.</w:t>
      </w:r>
      <w:r w:rsidRPr="004D6466">
        <w:rPr>
          <w:rFonts w:ascii="Arial" w:eastAsia="Times New Roman" w:hAnsi="Arial" w:cs="Arial"/>
          <w:sz w:val="24"/>
          <w:szCs w:val="24"/>
        </w:rPr>
        <w:br/>
        <w:t> </w:t>
      </w:r>
    </w:p>
    <w:p w:rsidR="00A66191" w:rsidRPr="004D6466" w:rsidRDefault="00A66191" w:rsidP="00A66191">
      <w:pPr>
        <w:spacing w:line="360" w:lineRule="auto"/>
        <w:jc w:val="both"/>
        <w:rPr>
          <w:rFonts w:ascii="Arial" w:hAnsi="Arial" w:cs="Arial"/>
          <w:i/>
          <w:sz w:val="24"/>
          <w:szCs w:val="24"/>
          <w:lang w:val="es-EC"/>
        </w:rPr>
      </w:pPr>
      <w:r w:rsidRPr="004D6466">
        <w:rPr>
          <w:rFonts w:ascii="Arial" w:hAnsi="Arial" w:cs="Arial"/>
          <w:sz w:val="24"/>
          <w:szCs w:val="24"/>
        </w:rPr>
        <w:lastRenderedPageBreak/>
        <w:t>Además, hay un programa que se llama “Escuelas Hermanas”, que funciona de esta manera: una escuela de Sao Paulo o de Río de Janeiro se convierte en hermana de una escuela de niños pobres de “Hambre Cero”, y a través de cartas se comunican. Durante las vacaciones viajan, hacen intercambios, etcétera; también hay programas de participación de iglesias, sindicatos y organizaciones no gubernamentales (ONG´S).</w:t>
      </w:r>
    </w:p>
    <w:p w:rsidR="00A66191" w:rsidRPr="004D6466" w:rsidRDefault="00A66191" w:rsidP="00A66191">
      <w:pPr>
        <w:spacing w:line="360" w:lineRule="auto"/>
        <w:jc w:val="both"/>
        <w:rPr>
          <w:rFonts w:ascii="Arial" w:hAnsi="Arial" w:cs="Arial"/>
          <w:b/>
          <w:sz w:val="24"/>
          <w:szCs w:val="24"/>
        </w:rPr>
      </w:pPr>
      <w:r w:rsidRPr="004D6466">
        <w:rPr>
          <w:rFonts w:ascii="Arial" w:hAnsi="Arial" w:cs="Arial"/>
          <w:b/>
          <w:sz w:val="24"/>
          <w:szCs w:val="24"/>
        </w:rPr>
        <w:t>Resultados del programa “Hambre Cero”</w:t>
      </w:r>
    </w:p>
    <w:p w:rsidR="00A66191" w:rsidRPr="004D6466" w:rsidRDefault="00A66191" w:rsidP="00A66191">
      <w:pPr>
        <w:spacing w:line="360" w:lineRule="auto"/>
        <w:jc w:val="both"/>
        <w:rPr>
          <w:rFonts w:ascii="Arial" w:hAnsi="Arial" w:cs="Arial"/>
          <w:b/>
          <w:sz w:val="24"/>
          <w:szCs w:val="24"/>
        </w:rPr>
      </w:pPr>
      <w:r w:rsidRPr="004D6466">
        <w:rPr>
          <w:rFonts w:ascii="Arial" w:hAnsi="Arial" w:cs="Arial"/>
          <w:sz w:val="24"/>
          <w:szCs w:val="24"/>
        </w:rPr>
        <w:t>E</w:t>
      </w:r>
      <w:r w:rsidRPr="004D6466">
        <w:rPr>
          <w:rFonts w:ascii="Arial" w:hAnsi="Arial" w:cs="Arial"/>
          <w:sz w:val="24"/>
          <w:szCs w:val="24"/>
          <w:lang w:val="es-EC"/>
        </w:rPr>
        <w:t>l programa “Hambre Cero” ha llegado a 6 millones y medio de familias; la meta es reducir drásticamente la miseria en el Brasil, extrapolando la familia promedio del Brasil para el 2003 tuvo 3 miembros, es decir, que el programa “Hambre Cero” benefició a 19 millones y medio de personas.</w:t>
      </w:r>
    </w:p>
    <w:p w:rsidR="00A66191" w:rsidRPr="004D6466" w:rsidRDefault="00A66191" w:rsidP="00A66191">
      <w:pPr>
        <w:spacing w:line="360" w:lineRule="auto"/>
        <w:jc w:val="both"/>
        <w:rPr>
          <w:rFonts w:ascii="Arial" w:hAnsi="Arial" w:cs="Arial"/>
          <w:sz w:val="24"/>
          <w:szCs w:val="24"/>
        </w:rPr>
      </w:pPr>
      <w:r w:rsidRPr="004D6466">
        <w:rPr>
          <w:rFonts w:ascii="Arial" w:hAnsi="Arial" w:cs="Arial"/>
          <w:sz w:val="24"/>
          <w:szCs w:val="24"/>
        </w:rPr>
        <w:t xml:space="preserve">El gobierno de Lula da Silva estuvo comprometido en combatir el hambre y  así creó un ministerio dedicado exclusivamente a esta tarea. En seis años la desnutrición de Brasil se redujo un 73% y la mortalidad infantil en un 45%. </w:t>
      </w:r>
    </w:p>
    <w:p w:rsidR="00A66191" w:rsidRPr="004D6466" w:rsidRDefault="00A66191" w:rsidP="00A66191">
      <w:pPr>
        <w:rPr>
          <w:rFonts w:ascii="Arial" w:eastAsia="Times New Roman" w:hAnsi="Arial" w:cs="Arial"/>
          <w:i/>
          <w:sz w:val="24"/>
          <w:szCs w:val="24"/>
          <w:lang w:val="es-EC"/>
        </w:rPr>
      </w:pPr>
      <w:r w:rsidRPr="004D6466">
        <w:rPr>
          <w:rFonts w:ascii="Arial" w:eastAsia="Times New Roman" w:hAnsi="Arial" w:cs="Arial"/>
          <w:b/>
          <w:i/>
          <w:sz w:val="24"/>
          <w:szCs w:val="24"/>
          <w:lang w:val="es-EC"/>
        </w:rPr>
        <w:t>3.2.2 “Bolsa Familia”</w:t>
      </w:r>
    </w:p>
    <w:p w:rsidR="00A66191" w:rsidRPr="004D6466" w:rsidRDefault="00A66191" w:rsidP="00A66191">
      <w:pPr>
        <w:spacing w:line="360" w:lineRule="auto"/>
        <w:jc w:val="both"/>
        <w:rPr>
          <w:rFonts w:ascii="Arial" w:hAnsi="Arial" w:cs="Arial"/>
          <w:sz w:val="24"/>
          <w:szCs w:val="24"/>
        </w:rPr>
      </w:pPr>
      <w:r w:rsidRPr="004D6466">
        <w:rPr>
          <w:rFonts w:ascii="Arial" w:hAnsi="Arial" w:cs="Arial"/>
          <w:sz w:val="24"/>
          <w:szCs w:val="24"/>
          <w:lang w:val="es-EC"/>
        </w:rPr>
        <w:t xml:space="preserve">Se designa con el nombre de “Bolsa Familia” al programa de bienestar social para las familias brasileñas que forma parte del programa “Hambre Cero” y en el cual </w:t>
      </w:r>
      <w:r w:rsidRPr="004D6466">
        <w:rPr>
          <w:rFonts w:ascii="Arial" w:hAnsi="Arial" w:cs="Arial"/>
          <w:sz w:val="24"/>
          <w:szCs w:val="24"/>
        </w:rPr>
        <w:t>se ofrece ayuda financiera a familias pobres, si tienen hijos, las familias deben asegurarse de que los niños asistan a la escuela y estén vacunados. El programa intenta reducir, la pobreza a corto plazo por las transferencias directas de dinero y a largo plazo mediante el aumento de capital humano entre los pobres a través de transferencias condicionales de efectivo. También trabaja para dar educación gratuita a niños que no pueden ir a la escuela porque no tienen recursos.</w:t>
      </w:r>
    </w:p>
    <w:p w:rsidR="00A66191" w:rsidRPr="004D6466" w:rsidRDefault="00A66191" w:rsidP="00A66191">
      <w:pPr>
        <w:spacing w:line="360" w:lineRule="auto"/>
        <w:jc w:val="both"/>
        <w:rPr>
          <w:rFonts w:ascii="Arial" w:hAnsi="Arial" w:cs="Arial"/>
          <w:sz w:val="24"/>
          <w:szCs w:val="24"/>
        </w:rPr>
      </w:pPr>
      <w:r w:rsidRPr="004D6466">
        <w:rPr>
          <w:rFonts w:ascii="Arial" w:hAnsi="Arial" w:cs="Arial"/>
          <w:sz w:val="24"/>
          <w:szCs w:val="24"/>
        </w:rPr>
        <w:t>Unos 12 millones de brasileños reciben fondos del “Bolsa Familia” haciendo de este programa el más grande del mundo en su tipo.</w:t>
      </w:r>
    </w:p>
    <w:p w:rsidR="00A66191" w:rsidRPr="004D6466" w:rsidRDefault="00A66191" w:rsidP="00A66191">
      <w:pPr>
        <w:spacing w:after="0" w:line="360" w:lineRule="auto"/>
        <w:jc w:val="both"/>
        <w:rPr>
          <w:rFonts w:ascii="Arial" w:hAnsi="Arial" w:cs="Arial"/>
          <w:sz w:val="24"/>
          <w:szCs w:val="24"/>
        </w:rPr>
      </w:pPr>
      <w:r w:rsidRPr="004D6466">
        <w:rPr>
          <w:rFonts w:ascii="Arial" w:hAnsi="Arial" w:cs="Arial"/>
          <w:sz w:val="24"/>
          <w:szCs w:val="24"/>
        </w:rPr>
        <w:t xml:space="preserve">“Bolsa Familia” en la actualidad ofrece un estipendio mensual de 22 </w:t>
      </w:r>
      <w:hyperlink r:id="rId131" w:tooltip="Reales" w:history="1">
        <w:r w:rsidRPr="004D6466">
          <w:rPr>
            <w:rStyle w:val="Hipervnculo"/>
            <w:rFonts w:ascii="Arial" w:hAnsi="Arial" w:cs="Arial"/>
            <w:color w:val="auto"/>
            <w:sz w:val="24"/>
            <w:szCs w:val="24"/>
            <w:u w:val="none"/>
          </w:rPr>
          <w:t>reales</w:t>
        </w:r>
      </w:hyperlink>
      <w:r w:rsidRPr="004D6466">
        <w:rPr>
          <w:rFonts w:ascii="Arial" w:hAnsi="Arial" w:cs="Arial"/>
          <w:sz w:val="24"/>
          <w:szCs w:val="24"/>
        </w:rPr>
        <w:t xml:space="preserve"> (cerca de $ 12 USD) por niño que asiste a la escuela, hasta un máximo de tres hijos, a todas las familias con </w:t>
      </w:r>
      <w:hyperlink r:id="rId132" w:tooltip="El ingreso per cápita" w:history="1">
        <w:r w:rsidRPr="004D6466">
          <w:rPr>
            <w:rStyle w:val="Hipervnculo"/>
            <w:rFonts w:ascii="Arial" w:hAnsi="Arial" w:cs="Arial"/>
            <w:color w:val="auto"/>
            <w:sz w:val="24"/>
            <w:szCs w:val="24"/>
            <w:u w:val="none"/>
          </w:rPr>
          <w:t>renta per cápita</w:t>
        </w:r>
      </w:hyperlink>
      <w:r w:rsidRPr="004D6466">
        <w:rPr>
          <w:rFonts w:ascii="Arial" w:hAnsi="Arial" w:cs="Arial"/>
          <w:sz w:val="24"/>
          <w:szCs w:val="24"/>
        </w:rPr>
        <w:t xml:space="preserve"> inferior a 140 reales al mes (es decir que viven en la pobreza). Por otra parte, a las familias cuyos ingresos per cápita es inferior a setenta reales por mes (lo cual se traduce en pobreza </w:t>
      </w:r>
      <w:r w:rsidRPr="004D6466">
        <w:rPr>
          <w:rFonts w:ascii="Arial" w:hAnsi="Arial" w:cs="Arial"/>
          <w:sz w:val="24"/>
          <w:szCs w:val="24"/>
        </w:rPr>
        <w:lastRenderedPageBreak/>
        <w:t>extrema), el programa da una suma fija adicional de 68 reales por mes. Esto se conoce como la prestación básica, y no tiene condiciones.</w:t>
      </w:r>
    </w:p>
    <w:p w:rsidR="00A66191" w:rsidRPr="004D6466" w:rsidRDefault="00A66191" w:rsidP="00A66191">
      <w:pPr>
        <w:autoSpaceDE w:val="0"/>
        <w:autoSpaceDN w:val="0"/>
        <w:adjustRightInd w:val="0"/>
        <w:spacing w:after="0" w:line="360" w:lineRule="auto"/>
        <w:jc w:val="both"/>
        <w:rPr>
          <w:rFonts w:ascii="Arial" w:hAnsi="Arial" w:cs="Arial"/>
          <w:sz w:val="24"/>
          <w:szCs w:val="24"/>
        </w:rPr>
      </w:pPr>
      <w:r w:rsidRPr="004D6466">
        <w:rPr>
          <w:rFonts w:ascii="Arial" w:hAnsi="Arial" w:cs="Arial"/>
          <w:sz w:val="24"/>
          <w:szCs w:val="24"/>
        </w:rPr>
        <w:t>El programa “</w:t>
      </w:r>
      <w:r w:rsidRPr="004D6466">
        <w:rPr>
          <w:rFonts w:ascii="Arial" w:hAnsi="Arial" w:cs="Arial"/>
          <w:iCs/>
          <w:sz w:val="24"/>
          <w:szCs w:val="24"/>
        </w:rPr>
        <w:t xml:space="preserve">Bolsa Familia” </w:t>
      </w:r>
      <w:r w:rsidRPr="004D6466">
        <w:rPr>
          <w:rFonts w:ascii="Arial" w:hAnsi="Arial" w:cs="Arial"/>
          <w:sz w:val="24"/>
          <w:szCs w:val="24"/>
        </w:rPr>
        <w:t>se basa en una estrategia de cooperación y coordinación entre los organismos del Gobierno Federal, los organismos nacionales y regionales/locales. Reúne cuatro programas de transferencia de fondos condicionales anteriores: becas escolares, subvenciones alimentarias, cupón de alimentación y subvención del gas de cocina en un único programa de transferencias monetarias.</w:t>
      </w:r>
    </w:p>
    <w:p w:rsidR="00A66191" w:rsidRPr="004D6466" w:rsidRDefault="00A66191" w:rsidP="00A66191">
      <w:pPr>
        <w:autoSpaceDE w:val="0"/>
        <w:autoSpaceDN w:val="0"/>
        <w:adjustRightInd w:val="0"/>
        <w:spacing w:after="0" w:line="240" w:lineRule="auto"/>
        <w:rPr>
          <w:rFonts w:ascii="Times New Roman" w:hAnsi="Times New Roman" w:cs="Times New Roman"/>
          <w:sz w:val="24"/>
          <w:szCs w:val="24"/>
        </w:rPr>
      </w:pPr>
    </w:p>
    <w:p w:rsidR="00A66191" w:rsidRPr="004D6466" w:rsidRDefault="00A66191" w:rsidP="00A66191">
      <w:pPr>
        <w:autoSpaceDE w:val="0"/>
        <w:autoSpaceDN w:val="0"/>
        <w:adjustRightInd w:val="0"/>
        <w:spacing w:after="0" w:line="360" w:lineRule="auto"/>
        <w:jc w:val="both"/>
        <w:rPr>
          <w:rFonts w:ascii="Arial" w:hAnsi="Arial" w:cs="Arial"/>
          <w:sz w:val="24"/>
          <w:szCs w:val="24"/>
        </w:rPr>
      </w:pPr>
      <w:r w:rsidRPr="004D6466">
        <w:rPr>
          <w:rFonts w:ascii="Arial" w:hAnsi="Arial" w:cs="Arial"/>
          <w:sz w:val="24"/>
          <w:szCs w:val="24"/>
        </w:rPr>
        <w:t>Las principales características de “</w:t>
      </w:r>
      <w:r w:rsidRPr="004D6466">
        <w:rPr>
          <w:rFonts w:ascii="Arial" w:hAnsi="Arial" w:cs="Arial"/>
          <w:iCs/>
          <w:sz w:val="24"/>
          <w:szCs w:val="24"/>
        </w:rPr>
        <w:t xml:space="preserve">Bolsa </w:t>
      </w:r>
      <w:r w:rsidR="00830DFF" w:rsidRPr="004D6466">
        <w:rPr>
          <w:rFonts w:ascii="Arial" w:hAnsi="Arial" w:cs="Arial"/>
          <w:iCs/>
          <w:sz w:val="24"/>
          <w:szCs w:val="24"/>
        </w:rPr>
        <w:t xml:space="preserve">Familia </w:t>
      </w:r>
      <w:r w:rsidR="00830DFF" w:rsidRPr="004D6466">
        <w:rPr>
          <w:rFonts w:ascii="Arial" w:hAnsi="Arial" w:cs="Arial"/>
          <w:sz w:val="24"/>
          <w:szCs w:val="24"/>
        </w:rPr>
        <w:t>“son</w:t>
      </w:r>
      <w:r w:rsidRPr="004D6466">
        <w:rPr>
          <w:rFonts w:ascii="Arial" w:hAnsi="Arial" w:cs="Arial"/>
          <w:sz w:val="24"/>
          <w:szCs w:val="24"/>
        </w:rPr>
        <w:t xml:space="preserve"> las siguientes:</w:t>
      </w:r>
    </w:p>
    <w:p w:rsidR="00A66191" w:rsidRPr="004D6466" w:rsidRDefault="00A66191" w:rsidP="00A66191">
      <w:pPr>
        <w:pStyle w:val="Prrafodelista"/>
        <w:numPr>
          <w:ilvl w:val="0"/>
          <w:numId w:val="24"/>
        </w:numPr>
        <w:autoSpaceDE w:val="0"/>
        <w:autoSpaceDN w:val="0"/>
        <w:adjustRightInd w:val="0"/>
        <w:spacing w:after="0" w:line="360" w:lineRule="auto"/>
        <w:jc w:val="both"/>
        <w:rPr>
          <w:rFonts w:ascii="Arial" w:hAnsi="Arial" w:cs="Arial"/>
          <w:sz w:val="24"/>
          <w:szCs w:val="24"/>
        </w:rPr>
      </w:pPr>
      <w:r w:rsidRPr="004D6466">
        <w:rPr>
          <w:rFonts w:ascii="Arial" w:hAnsi="Arial" w:cs="Arial"/>
          <w:sz w:val="24"/>
          <w:szCs w:val="24"/>
        </w:rPr>
        <w:t>“El beneficiario directo de este programa es la unidad familiar y no los miembros por separado; para beneficiarse de la transferencia de fondos, la familia debe respetar ciertas condiciones que tienen que ver con: educación, supervisión nutricional, vacunación y utilización de servicios sociales complementarios;</w:t>
      </w:r>
    </w:p>
    <w:p w:rsidR="00A66191" w:rsidRPr="004D6466" w:rsidRDefault="00A66191" w:rsidP="00A66191">
      <w:pPr>
        <w:pStyle w:val="Prrafodelista"/>
        <w:numPr>
          <w:ilvl w:val="0"/>
          <w:numId w:val="24"/>
        </w:numPr>
        <w:autoSpaceDE w:val="0"/>
        <w:autoSpaceDN w:val="0"/>
        <w:adjustRightInd w:val="0"/>
        <w:spacing w:after="0" w:line="360" w:lineRule="auto"/>
        <w:jc w:val="both"/>
        <w:rPr>
          <w:rFonts w:ascii="Arial" w:hAnsi="Arial" w:cs="Arial"/>
          <w:sz w:val="24"/>
          <w:szCs w:val="24"/>
        </w:rPr>
      </w:pPr>
      <w:r w:rsidRPr="004D6466">
        <w:rPr>
          <w:rFonts w:ascii="Arial" w:hAnsi="Arial" w:cs="Arial"/>
          <w:sz w:val="24"/>
          <w:szCs w:val="24"/>
        </w:rPr>
        <w:t>Pago directo a la familia sin ningún intermediario;</w:t>
      </w:r>
    </w:p>
    <w:p w:rsidR="00A66191" w:rsidRPr="004D6466" w:rsidRDefault="00A66191" w:rsidP="00A66191">
      <w:pPr>
        <w:pStyle w:val="Prrafodelista"/>
        <w:numPr>
          <w:ilvl w:val="0"/>
          <w:numId w:val="24"/>
        </w:numPr>
        <w:autoSpaceDE w:val="0"/>
        <w:autoSpaceDN w:val="0"/>
        <w:adjustRightInd w:val="0"/>
        <w:spacing w:after="0" w:line="360" w:lineRule="auto"/>
        <w:jc w:val="both"/>
        <w:rPr>
          <w:rFonts w:ascii="Arial" w:hAnsi="Arial" w:cs="Arial"/>
          <w:sz w:val="24"/>
          <w:szCs w:val="24"/>
        </w:rPr>
      </w:pPr>
      <w:r w:rsidRPr="004D6466">
        <w:rPr>
          <w:rFonts w:ascii="Arial" w:hAnsi="Arial" w:cs="Arial"/>
          <w:sz w:val="24"/>
          <w:szCs w:val="24"/>
        </w:rPr>
        <w:t>Prestaciones pagadas preferentemente al ama de casa;</w:t>
      </w:r>
    </w:p>
    <w:p w:rsidR="00A66191" w:rsidRPr="004D6466" w:rsidRDefault="00A66191" w:rsidP="00A66191">
      <w:pPr>
        <w:pStyle w:val="Prrafodelista"/>
        <w:numPr>
          <w:ilvl w:val="0"/>
          <w:numId w:val="24"/>
        </w:numPr>
        <w:autoSpaceDE w:val="0"/>
        <w:autoSpaceDN w:val="0"/>
        <w:adjustRightInd w:val="0"/>
        <w:spacing w:after="0" w:line="360" w:lineRule="auto"/>
        <w:jc w:val="both"/>
        <w:rPr>
          <w:rFonts w:ascii="Arial" w:hAnsi="Arial" w:cs="Arial"/>
          <w:sz w:val="24"/>
          <w:szCs w:val="24"/>
        </w:rPr>
      </w:pPr>
      <w:r w:rsidRPr="004D6466">
        <w:rPr>
          <w:rFonts w:ascii="Arial" w:hAnsi="Arial" w:cs="Arial"/>
          <w:sz w:val="24"/>
          <w:szCs w:val="24"/>
        </w:rPr>
        <w:t>Libertad de la familia para utilizar la ayuda financiera;</w:t>
      </w:r>
    </w:p>
    <w:p w:rsidR="00A66191" w:rsidRPr="004D6466" w:rsidRDefault="00A66191" w:rsidP="00A66191">
      <w:pPr>
        <w:pStyle w:val="Prrafodelista"/>
        <w:numPr>
          <w:ilvl w:val="0"/>
          <w:numId w:val="24"/>
        </w:numPr>
        <w:autoSpaceDE w:val="0"/>
        <w:autoSpaceDN w:val="0"/>
        <w:adjustRightInd w:val="0"/>
        <w:spacing w:after="0" w:line="360" w:lineRule="auto"/>
        <w:jc w:val="both"/>
        <w:rPr>
          <w:rFonts w:ascii="Arial" w:hAnsi="Arial" w:cs="Arial"/>
          <w:sz w:val="24"/>
          <w:szCs w:val="24"/>
        </w:rPr>
      </w:pPr>
      <w:r w:rsidRPr="004D6466">
        <w:rPr>
          <w:rFonts w:ascii="Arial" w:hAnsi="Arial" w:cs="Arial"/>
          <w:sz w:val="24"/>
          <w:szCs w:val="24"/>
        </w:rPr>
        <w:t>Descentralización, es decir, gestión compartida entre el Gobierno federal, los estados y los municipios, y</w:t>
      </w:r>
    </w:p>
    <w:p w:rsidR="00A66191" w:rsidRPr="004D6466" w:rsidRDefault="00A66191" w:rsidP="00A66191">
      <w:pPr>
        <w:pStyle w:val="Prrafodelista"/>
        <w:numPr>
          <w:ilvl w:val="0"/>
          <w:numId w:val="24"/>
        </w:numPr>
        <w:autoSpaceDE w:val="0"/>
        <w:autoSpaceDN w:val="0"/>
        <w:adjustRightInd w:val="0"/>
        <w:spacing w:after="0" w:line="360" w:lineRule="auto"/>
        <w:jc w:val="both"/>
        <w:rPr>
          <w:rFonts w:ascii="Arial" w:hAnsi="Arial" w:cs="Arial"/>
          <w:sz w:val="24"/>
          <w:szCs w:val="24"/>
        </w:rPr>
      </w:pPr>
      <w:r w:rsidRPr="004D6466">
        <w:rPr>
          <w:rFonts w:ascii="Arial" w:hAnsi="Arial" w:cs="Arial"/>
          <w:sz w:val="24"/>
          <w:szCs w:val="24"/>
        </w:rPr>
        <w:t>Cobertura nacional (5.564 municipios), sobre la base de la estimación de las familias pobres”</w:t>
      </w:r>
      <w:r w:rsidRPr="004D6466">
        <w:rPr>
          <w:rStyle w:val="Refdenotaalpie"/>
          <w:rFonts w:ascii="Arial" w:hAnsi="Arial" w:cs="Arial"/>
          <w:sz w:val="24"/>
          <w:szCs w:val="24"/>
        </w:rPr>
        <w:footnoteReference w:id="31"/>
      </w:r>
      <w:r w:rsidRPr="004D6466">
        <w:rPr>
          <w:rFonts w:ascii="Arial" w:hAnsi="Arial" w:cs="Arial"/>
          <w:sz w:val="24"/>
          <w:szCs w:val="24"/>
        </w:rPr>
        <w:t>.</w:t>
      </w:r>
    </w:p>
    <w:p w:rsidR="00A66191" w:rsidRPr="004D6466" w:rsidRDefault="00A66191" w:rsidP="00A66191">
      <w:pPr>
        <w:autoSpaceDE w:val="0"/>
        <w:autoSpaceDN w:val="0"/>
        <w:adjustRightInd w:val="0"/>
        <w:spacing w:after="0" w:line="360" w:lineRule="auto"/>
        <w:ind w:left="360"/>
        <w:jc w:val="both"/>
        <w:rPr>
          <w:rFonts w:ascii="Arial" w:hAnsi="Arial" w:cs="Arial"/>
          <w:sz w:val="24"/>
          <w:szCs w:val="24"/>
        </w:rPr>
      </w:pPr>
    </w:p>
    <w:p w:rsidR="00A66191" w:rsidRPr="004D6466" w:rsidRDefault="00A66191" w:rsidP="00A66191">
      <w:pPr>
        <w:spacing w:line="360" w:lineRule="auto"/>
        <w:jc w:val="both"/>
        <w:rPr>
          <w:rFonts w:ascii="Arial" w:hAnsi="Arial" w:cs="Arial"/>
          <w:sz w:val="24"/>
          <w:szCs w:val="24"/>
        </w:rPr>
      </w:pPr>
      <w:r w:rsidRPr="004D6466">
        <w:rPr>
          <w:rFonts w:ascii="Arial" w:hAnsi="Arial" w:cs="Arial"/>
          <w:sz w:val="24"/>
          <w:szCs w:val="24"/>
        </w:rPr>
        <w:t>El hecho de que los 4 programas se hayan reunido en uno solo, ha resultado en una mejor utilización de los recursos públicos (equivalente a alrededor del 0,4 por ciento del PIB). Esto se convierte en la reducción de los gastos administrativos y en la mejora del sistema de selección de los grupos beneficiarios. La integración de “</w:t>
      </w:r>
      <w:r w:rsidRPr="004D6466">
        <w:rPr>
          <w:rFonts w:ascii="Arial" w:hAnsi="Arial" w:cs="Arial"/>
          <w:iCs/>
          <w:sz w:val="24"/>
          <w:szCs w:val="24"/>
        </w:rPr>
        <w:t>Bolsa Familia</w:t>
      </w:r>
      <w:r w:rsidRPr="004D6466">
        <w:rPr>
          <w:rFonts w:ascii="Arial" w:hAnsi="Arial" w:cs="Arial"/>
          <w:i/>
          <w:iCs/>
          <w:sz w:val="24"/>
          <w:szCs w:val="24"/>
        </w:rPr>
        <w:t xml:space="preserve">” </w:t>
      </w:r>
      <w:r w:rsidRPr="004D6466">
        <w:rPr>
          <w:rFonts w:ascii="Arial" w:hAnsi="Arial" w:cs="Arial"/>
          <w:sz w:val="24"/>
          <w:szCs w:val="24"/>
        </w:rPr>
        <w:t>en los programas sociales de los estados y municipios ha permitido ampliar, reforzar y mejorar la coordinación del régimen de seguridad social.</w:t>
      </w:r>
    </w:p>
    <w:p w:rsidR="00A66191" w:rsidRPr="004D6466" w:rsidRDefault="00A66191" w:rsidP="00A66191">
      <w:pPr>
        <w:spacing w:line="360" w:lineRule="auto"/>
        <w:jc w:val="both"/>
        <w:rPr>
          <w:rFonts w:ascii="Arial" w:hAnsi="Arial" w:cs="Arial"/>
          <w:sz w:val="24"/>
          <w:szCs w:val="24"/>
        </w:rPr>
      </w:pPr>
      <w:r w:rsidRPr="004D6466">
        <w:rPr>
          <w:rFonts w:ascii="Arial" w:hAnsi="Arial" w:cs="Arial"/>
          <w:sz w:val="24"/>
          <w:szCs w:val="24"/>
        </w:rPr>
        <w:lastRenderedPageBreak/>
        <w:t>El aparato burocrático relacionado con los programas sociales se ha reducido gracias a la normalización de los indicadores de los resultados y de los procedimientos administrativos dentro de un único programa.</w:t>
      </w:r>
    </w:p>
    <w:p w:rsidR="00A66191" w:rsidRPr="004D6466" w:rsidRDefault="00A66191" w:rsidP="00A66191">
      <w:pPr>
        <w:spacing w:line="360" w:lineRule="auto"/>
        <w:jc w:val="both"/>
        <w:rPr>
          <w:rFonts w:ascii="Arial" w:hAnsi="Arial" w:cs="Arial"/>
          <w:sz w:val="24"/>
          <w:szCs w:val="24"/>
        </w:rPr>
      </w:pPr>
      <w:r w:rsidRPr="004D6466">
        <w:rPr>
          <w:rFonts w:ascii="Arial" w:hAnsi="Arial" w:cs="Arial"/>
          <w:sz w:val="24"/>
          <w:szCs w:val="24"/>
        </w:rPr>
        <w:t>Las transferencias efectuadas en el marco del programa “</w:t>
      </w:r>
      <w:r w:rsidRPr="004D6466">
        <w:rPr>
          <w:rFonts w:ascii="Arial" w:hAnsi="Arial" w:cs="Arial"/>
          <w:iCs/>
          <w:sz w:val="24"/>
          <w:szCs w:val="24"/>
        </w:rPr>
        <w:t xml:space="preserve">Bolsa </w:t>
      </w:r>
      <w:r w:rsidR="00830DFF" w:rsidRPr="004D6466">
        <w:rPr>
          <w:rFonts w:ascii="Arial" w:hAnsi="Arial" w:cs="Arial"/>
          <w:iCs/>
          <w:sz w:val="24"/>
          <w:szCs w:val="24"/>
        </w:rPr>
        <w:t>Familia”</w:t>
      </w:r>
      <w:r w:rsidR="00830DFF" w:rsidRPr="004D6466">
        <w:rPr>
          <w:rFonts w:ascii="Arial" w:hAnsi="Arial" w:cs="Arial"/>
          <w:sz w:val="24"/>
          <w:szCs w:val="24"/>
        </w:rPr>
        <w:t xml:space="preserve"> representan</w:t>
      </w:r>
      <w:r w:rsidRPr="004D6466">
        <w:rPr>
          <w:rFonts w:ascii="Arial" w:hAnsi="Arial" w:cs="Arial"/>
          <w:sz w:val="24"/>
          <w:szCs w:val="24"/>
        </w:rPr>
        <w:t xml:space="preserve"> alrededor del 40% de los ingresos de los beneficiarios.</w:t>
      </w:r>
    </w:p>
    <w:p w:rsidR="00A66191" w:rsidRPr="004D6466" w:rsidRDefault="00A66191" w:rsidP="00A66191">
      <w:pPr>
        <w:spacing w:line="360" w:lineRule="auto"/>
        <w:jc w:val="both"/>
        <w:rPr>
          <w:rFonts w:ascii="Arial" w:hAnsi="Arial" w:cs="Arial"/>
          <w:sz w:val="24"/>
          <w:szCs w:val="24"/>
        </w:rPr>
      </w:pPr>
      <w:r w:rsidRPr="004D6466">
        <w:rPr>
          <w:rFonts w:ascii="Arial" w:hAnsi="Arial" w:cs="Arial"/>
          <w:sz w:val="24"/>
          <w:szCs w:val="24"/>
        </w:rPr>
        <w:t>Los objetivos del programa “Bolsa Familia” están establecidos en el art. 4 del decreto Nº 5209 de la Presidencia de la república del Brasil</w:t>
      </w:r>
      <w:r w:rsidRPr="004D6466">
        <w:rPr>
          <w:rStyle w:val="Refdenotaalpie"/>
          <w:rFonts w:ascii="Arial" w:hAnsi="Arial" w:cs="Arial"/>
          <w:sz w:val="24"/>
          <w:szCs w:val="24"/>
        </w:rPr>
        <w:footnoteReference w:id="32"/>
      </w:r>
      <w:r w:rsidRPr="004D6466">
        <w:rPr>
          <w:rFonts w:ascii="Arial" w:hAnsi="Arial" w:cs="Arial"/>
          <w:sz w:val="24"/>
          <w:szCs w:val="24"/>
        </w:rPr>
        <w:t xml:space="preserve"> y son los siguientes:</w:t>
      </w:r>
    </w:p>
    <w:p w:rsidR="00A66191" w:rsidRPr="004D6466" w:rsidRDefault="00A66191" w:rsidP="00A66191">
      <w:pPr>
        <w:pStyle w:val="Prrafodelista"/>
        <w:numPr>
          <w:ilvl w:val="0"/>
          <w:numId w:val="38"/>
        </w:numPr>
        <w:spacing w:line="360" w:lineRule="auto"/>
        <w:jc w:val="both"/>
        <w:rPr>
          <w:rFonts w:ascii="Arial" w:hAnsi="Arial" w:cs="Arial"/>
          <w:sz w:val="24"/>
          <w:szCs w:val="24"/>
        </w:rPr>
      </w:pPr>
      <w:r w:rsidRPr="004D6466">
        <w:rPr>
          <w:rFonts w:ascii="Arial" w:hAnsi="Arial" w:cs="Arial"/>
          <w:sz w:val="24"/>
          <w:szCs w:val="24"/>
        </w:rPr>
        <w:t>Promover el acceso a la red de servicios públicos, en especial, salud, educación y asistencia social.</w:t>
      </w:r>
    </w:p>
    <w:p w:rsidR="00A66191" w:rsidRPr="004D6466" w:rsidRDefault="00A66191" w:rsidP="00A66191">
      <w:pPr>
        <w:pStyle w:val="Prrafodelista"/>
        <w:numPr>
          <w:ilvl w:val="0"/>
          <w:numId w:val="38"/>
        </w:numPr>
        <w:spacing w:line="360" w:lineRule="auto"/>
        <w:jc w:val="both"/>
        <w:rPr>
          <w:rFonts w:ascii="Arial" w:hAnsi="Arial" w:cs="Arial"/>
          <w:sz w:val="24"/>
          <w:szCs w:val="24"/>
        </w:rPr>
      </w:pPr>
      <w:r w:rsidRPr="004D6466">
        <w:rPr>
          <w:rFonts w:ascii="Arial" w:hAnsi="Arial" w:cs="Arial"/>
          <w:sz w:val="24"/>
          <w:szCs w:val="24"/>
        </w:rPr>
        <w:t>Combatir el hambre y promover la seguridad alimentaria y nutricional.</w:t>
      </w:r>
    </w:p>
    <w:p w:rsidR="00A66191" w:rsidRPr="004D6466" w:rsidRDefault="00A66191" w:rsidP="00A66191">
      <w:pPr>
        <w:pStyle w:val="Prrafodelista"/>
        <w:numPr>
          <w:ilvl w:val="0"/>
          <w:numId w:val="38"/>
        </w:numPr>
        <w:spacing w:line="360" w:lineRule="auto"/>
        <w:jc w:val="both"/>
        <w:rPr>
          <w:rFonts w:ascii="Arial" w:hAnsi="Arial" w:cs="Arial"/>
          <w:sz w:val="24"/>
          <w:szCs w:val="24"/>
        </w:rPr>
      </w:pPr>
      <w:r w:rsidRPr="004D6466">
        <w:rPr>
          <w:rFonts w:ascii="Arial" w:hAnsi="Arial" w:cs="Arial"/>
          <w:sz w:val="24"/>
          <w:szCs w:val="24"/>
        </w:rPr>
        <w:t>Estimular la emancipación de las familias que viven en situación de pobreza y extrema pobreza.</w:t>
      </w:r>
    </w:p>
    <w:p w:rsidR="00A66191" w:rsidRPr="004D6466" w:rsidRDefault="00A66191" w:rsidP="00A66191">
      <w:pPr>
        <w:pStyle w:val="Prrafodelista"/>
        <w:numPr>
          <w:ilvl w:val="0"/>
          <w:numId w:val="38"/>
        </w:numPr>
        <w:spacing w:line="360" w:lineRule="auto"/>
        <w:jc w:val="both"/>
        <w:rPr>
          <w:rFonts w:ascii="Arial" w:hAnsi="Arial" w:cs="Arial"/>
          <w:sz w:val="24"/>
          <w:szCs w:val="24"/>
        </w:rPr>
      </w:pPr>
      <w:r w:rsidRPr="004D6466">
        <w:rPr>
          <w:rFonts w:ascii="Arial" w:hAnsi="Arial" w:cs="Arial"/>
          <w:sz w:val="24"/>
          <w:szCs w:val="24"/>
        </w:rPr>
        <w:t>Combatir la pobreza</w:t>
      </w:r>
    </w:p>
    <w:p w:rsidR="00A66191" w:rsidRPr="004D6466" w:rsidRDefault="00A66191" w:rsidP="00A66191">
      <w:pPr>
        <w:pStyle w:val="Prrafodelista"/>
        <w:numPr>
          <w:ilvl w:val="0"/>
          <w:numId w:val="38"/>
        </w:numPr>
        <w:spacing w:line="360" w:lineRule="auto"/>
        <w:jc w:val="both"/>
        <w:rPr>
          <w:rFonts w:ascii="Arial" w:hAnsi="Arial" w:cs="Arial"/>
          <w:sz w:val="24"/>
          <w:szCs w:val="24"/>
        </w:rPr>
      </w:pPr>
      <w:r w:rsidRPr="004D6466">
        <w:rPr>
          <w:rFonts w:ascii="Arial" w:hAnsi="Arial" w:cs="Arial"/>
          <w:sz w:val="24"/>
          <w:szCs w:val="24"/>
        </w:rPr>
        <w:t>Promover la intersectorialidad, la complementariedad y sinergia de las acciones sociales del poder público.</w:t>
      </w:r>
    </w:p>
    <w:p w:rsidR="00A66191" w:rsidRPr="004D6466" w:rsidRDefault="00A66191" w:rsidP="00A66191">
      <w:pPr>
        <w:spacing w:line="360" w:lineRule="auto"/>
        <w:jc w:val="both"/>
        <w:rPr>
          <w:rFonts w:ascii="Arial" w:hAnsi="Arial" w:cs="Arial"/>
          <w:sz w:val="24"/>
          <w:szCs w:val="24"/>
        </w:rPr>
      </w:pPr>
      <w:r w:rsidRPr="004D6466">
        <w:rPr>
          <w:rFonts w:ascii="Arial" w:hAnsi="Arial" w:cs="Arial"/>
          <w:sz w:val="24"/>
          <w:szCs w:val="24"/>
        </w:rPr>
        <w:t>El programa Bolsa Familia está destinado a garantizar el derecho a la alimentación, a la educación y a la salud.</w:t>
      </w:r>
    </w:p>
    <w:p w:rsidR="00A66191" w:rsidRPr="004D6466" w:rsidRDefault="00A66191" w:rsidP="00A66191">
      <w:pPr>
        <w:spacing w:line="360" w:lineRule="auto"/>
        <w:jc w:val="both"/>
        <w:rPr>
          <w:rFonts w:ascii="Arial" w:hAnsi="Arial" w:cs="Arial"/>
          <w:sz w:val="24"/>
          <w:szCs w:val="24"/>
        </w:rPr>
      </w:pPr>
      <w:r w:rsidRPr="004D6466">
        <w:rPr>
          <w:rFonts w:ascii="Arial" w:hAnsi="Arial" w:cs="Arial"/>
          <w:sz w:val="24"/>
          <w:szCs w:val="24"/>
        </w:rPr>
        <w:t>El objetivo de todo programa de asistencia social como “Bolsa Familia” es que los beneficiarios que reciben la atención de éste, dejen de ser sus beneficiarios y para esto se han desarrollando programas complementarios,  a saber: programas de alfabetización y agricultura.</w:t>
      </w:r>
    </w:p>
    <w:p w:rsidR="00A66191" w:rsidRPr="004D6466" w:rsidRDefault="00A66191" w:rsidP="00A66191">
      <w:pPr>
        <w:spacing w:line="360" w:lineRule="auto"/>
        <w:jc w:val="both"/>
        <w:rPr>
          <w:rFonts w:ascii="Arial" w:eastAsia="Times New Roman" w:hAnsi="Arial" w:cs="Arial"/>
          <w:b/>
          <w:sz w:val="24"/>
          <w:szCs w:val="24"/>
          <w:lang w:val="es-EC"/>
        </w:rPr>
      </w:pPr>
      <w:r w:rsidRPr="004D6466">
        <w:rPr>
          <w:rFonts w:ascii="Arial" w:hAnsi="Arial" w:cs="Arial"/>
          <w:b/>
          <w:sz w:val="24"/>
          <w:szCs w:val="24"/>
        </w:rPr>
        <w:t>Resultados del programa “Bolsa Familia”</w:t>
      </w:r>
    </w:p>
    <w:p w:rsidR="00A66191" w:rsidRPr="004D6466" w:rsidRDefault="00A66191" w:rsidP="00A66191">
      <w:pPr>
        <w:spacing w:line="360" w:lineRule="auto"/>
        <w:jc w:val="both"/>
        <w:rPr>
          <w:rFonts w:ascii="Arial" w:hAnsi="Arial" w:cs="Arial"/>
          <w:sz w:val="24"/>
          <w:szCs w:val="24"/>
        </w:rPr>
      </w:pPr>
      <w:r w:rsidRPr="004D6466">
        <w:rPr>
          <w:rFonts w:ascii="Arial" w:hAnsi="Arial" w:cs="Arial"/>
          <w:sz w:val="24"/>
          <w:szCs w:val="24"/>
        </w:rPr>
        <w:t>“Tras los ocho años de gobierno, 29 millones de brasileños ingresaron en la clase media y otros 20 millones salieron de la pobreza gracias a programas como “</w:t>
      </w:r>
      <w:r w:rsidRPr="00CC2DA8">
        <w:rPr>
          <w:rStyle w:val="nfasis"/>
          <w:rFonts w:ascii="Arial" w:hAnsi="Arial" w:cs="Arial"/>
          <w:sz w:val="24"/>
          <w:szCs w:val="24"/>
        </w:rPr>
        <w:t>Hambre Cero”</w:t>
      </w:r>
      <w:r w:rsidRPr="00CC2DA8">
        <w:rPr>
          <w:rFonts w:ascii="Arial" w:hAnsi="Arial" w:cs="Arial"/>
          <w:sz w:val="24"/>
          <w:szCs w:val="24"/>
        </w:rPr>
        <w:t xml:space="preserve"> o “</w:t>
      </w:r>
      <w:r w:rsidRPr="00CC2DA8">
        <w:rPr>
          <w:rStyle w:val="nfasis"/>
          <w:rFonts w:ascii="Arial" w:hAnsi="Arial" w:cs="Arial"/>
          <w:sz w:val="24"/>
          <w:szCs w:val="24"/>
        </w:rPr>
        <w:t>Bolsa Familia”</w:t>
      </w:r>
      <w:r w:rsidRPr="00CC2DA8">
        <w:rPr>
          <w:rStyle w:val="Refdenotaalpie"/>
          <w:rFonts w:ascii="Arial" w:hAnsi="Arial" w:cs="Arial"/>
          <w:sz w:val="24"/>
          <w:szCs w:val="24"/>
        </w:rPr>
        <w:footnoteReference w:id="33"/>
      </w:r>
    </w:p>
    <w:p w:rsidR="00A66191" w:rsidRPr="004D6466" w:rsidRDefault="00A66191" w:rsidP="00A66191">
      <w:pPr>
        <w:spacing w:line="360" w:lineRule="auto"/>
        <w:jc w:val="both"/>
        <w:rPr>
          <w:rFonts w:ascii="Arial" w:eastAsia="Times New Roman" w:hAnsi="Arial" w:cs="Arial"/>
          <w:sz w:val="24"/>
          <w:szCs w:val="24"/>
          <w:lang w:val="es-EC"/>
        </w:rPr>
      </w:pPr>
      <w:r w:rsidRPr="004D6466">
        <w:rPr>
          <w:rFonts w:ascii="Arial" w:eastAsia="Times New Roman" w:hAnsi="Arial" w:cs="Arial"/>
          <w:sz w:val="24"/>
          <w:szCs w:val="24"/>
        </w:rPr>
        <w:lastRenderedPageBreak/>
        <w:t>En el 2006 el programa “Bolsa Familia” benefició a 8 millones de familias, las cuales han podido acceder con mayor facilidad a alimentación, salud y educación, al igual que en el programa “Hambre Cero” se extrapoló la familia promedio a su número de miembros que son 3 y dio como resultado que el programa “Bolsa familia”, benefició a 24 millones de personas.</w:t>
      </w:r>
    </w:p>
    <w:p w:rsidR="00A66191" w:rsidRPr="004D6466" w:rsidRDefault="00A66191" w:rsidP="00A66191">
      <w:pPr>
        <w:spacing w:line="360" w:lineRule="auto"/>
        <w:jc w:val="both"/>
        <w:rPr>
          <w:rFonts w:ascii="Arial" w:eastAsia="Times New Roman" w:hAnsi="Arial" w:cs="Arial"/>
          <w:sz w:val="24"/>
          <w:szCs w:val="24"/>
        </w:rPr>
      </w:pPr>
      <w:r w:rsidRPr="004D6466">
        <w:rPr>
          <w:rFonts w:ascii="Arial" w:eastAsia="Times New Roman" w:hAnsi="Arial" w:cs="Arial"/>
          <w:sz w:val="24"/>
          <w:szCs w:val="24"/>
        </w:rPr>
        <w:t xml:space="preserve">“En el mismo año 5 millones y medio de personas participaron del programa de obtención de alimentos y 430 mil personas obtuvieron agua limpia proveniente de 105 mil cisternas. </w:t>
      </w:r>
      <w:r w:rsidRPr="004D6466">
        <w:rPr>
          <w:rFonts w:ascii="Arial" w:hAnsi="Arial" w:cs="Arial"/>
          <w:sz w:val="24"/>
          <w:szCs w:val="24"/>
        </w:rPr>
        <w:t>14 millones de familias han sido beneficiadas en todo Brasil.”</w:t>
      </w:r>
      <w:r w:rsidRPr="004D6466">
        <w:rPr>
          <w:rStyle w:val="Refdenotaalpie"/>
          <w:rFonts w:ascii="Arial" w:hAnsi="Arial" w:cs="Arial"/>
          <w:sz w:val="24"/>
          <w:szCs w:val="24"/>
        </w:rPr>
        <w:footnoteReference w:id="34"/>
      </w:r>
    </w:p>
    <w:p w:rsidR="00A66191" w:rsidRPr="004D6466" w:rsidRDefault="00A66191" w:rsidP="00A66191">
      <w:pPr>
        <w:spacing w:before="100" w:beforeAutospacing="1" w:after="100" w:afterAutospacing="1" w:line="360" w:lineRule="auto"/>
        <w:jc w:val="both"/>
        <w:rPr>
          <w:rFonts w:ascii="Arial" w:eastAsia="Times New Roman" w:hAnsi="Arial" w:cs="Arial"/>
          <w:b/>
          <w:i/>
          <w:sz w:val="24"/>
          <w:szCs w:val="24"/>
        </w:rPr>
      </w:pPr>
      <w:r w:rsidRPr="004D6466">
        <w:rPr>
          <w:rFonts w:ascii="Arial" w:eastAsia="Times New Roman" w:hAnsi="Arial" w:cs="Arial"/>
          <w:b/>
          <w:i/>
          <w:sz w:val="24"/>
          <w:szCs w:val="24"/>
        </w:rPr>
        <w:t>3.2.3</w:t>
      </w:r>
      <w:r w:rsidR="003860AB">
        <w:rPr>
          <w:rFonts w:ascii="Arial" w:eastAsia="Times New Roman" w:hAnsi="Arial" w:cs="Arial"/>
          <w:b/>
          <w:i/>
          <w:sz w:val="24"/>
          <w:szCs w:val="24"/>
        </w:rPr>
        <w:t xml:space="preserve"> </w:t>
      </w:r>
      <w:r w:rsidRPr="004D6466">
        <w:rPr>
          <w:rFonts w:ascii="Arial" w:eastAsia="Times New Roman" w:hAnsi="Arial" w:cs="Arial"/>
          <w:b/>
          <w:i/>
          <w:sz w:val="24"/>
          <w:szCs w:val="24"/>
        </w:rPr>
        <w:t>Programa Nacional de Fortalecimiento de la Agricultura Familiar (PRONAF)</w:t>
      </w:r>
    </w:p>
    <w:p w:rsidR="00A66191" w:rsidRPr="004D6466" w:rsidRDefault="00A66191" w:rsidP="00A66191">
      <w:pPr>
        <w:autoSpaceDE w:val="0"/>
        <w:autoSpaceDN w:val="0"/>
        <w:adjustRightInd w:val="0"/>
        <w:spacing w:after="0" w:line="360" w:lineRule="auto"/>
        <w:jc w:val="both"/>
        <w:rPr>
          <w:rFonts w:ascii="Arial" w:eastAsia="Times New Roman" w:hAnsi="Arial" w:cs="Arial"/>
          <w:sz w:val="24"/>
          <w:szCs w:val="24"/>
        </w:rPr>
      </w:pPr>
      <w:r w:rsidRPr="004D6466">
        <w:rPr>
          <w:rFonts w:ascii="Arial" w:eastAsia="Times New Roman" w:hAnsi="Arial" w:cs="Arial"/>
          <w:sz w:val="24"/>
          <w:szCs w:val="24"/>
        </w:rPr>
        <w:t>Dentro de los programas sociales se encuentran los programas de agricultura como el Programa Nacional de Fortalecimiento de la Agricultura Familiar (PRONAF) cuyo objetivo es</w:t>
      </w:r>
      <w:r w:rsidRPr="004D6466">
        <w:rPr>
          <w:rFonts w:ascii="Arial" w:hAnsi="Arial" w:cs="Arial"/>
          <w:sz w:val="24"/>
          <w:szCs w:val="24"/>
        </w:rPr>
        <w:t xml:space="preserve"> combatir la pobreza en el medio rural, a través de la concesión de micro créditos a las familias pobres, lo que posibilita que éstas desarrollen actividades productivas necesarias para generar su propia renta.</w:t>
      </w:r>
    </w:p>
    <w:p w:rsidR="00A66191" w:rsidRPr="004D6466" w:rsidRDefault="00A66191" w:rsidP="00A66191">
      <w:pPr>
        <w:pStyle w:val="NormalWeb"/>
        <w:spacing w:line="360" w:lineRule="auto"/>
        <w:jc w:val="both"/>
        <w:rPr>
          <w:rFonts w:ascii="Arial" w:hAnsi="Arial" w:cs="Arial"/>
        </w:rPr>
      </w:pPr>
      <w:r w:rsidRPr="004D6466">
        <w:rPr>
          <w:rFonts w:ascii="Arial" w:hAnsi="Arial" w:cs="Arial"/>
        </w:rPr>
        <w:t xml:space="preserve">El PRONAF se aplica a la ayuda financiera de las actividades agrícolas y no agrícolas negociadas a través del empleo directo de mano de obra para el agricultor y su familia. </w:t>
      </w:r>
    </w:p>
    <w:p w:rsidR="00A66191" w:rsidRPr="004D6466" w:rsidRDefault="00A66191" w:rsidP="00A66191">
      <w:pPr>
        <w:pStyle w:val="NormalWeb"/>
        <w:spacing w:line="360" w:lineRule="auto"/>
        <w:jc w:val="both"/>
        <w:rPr>
          <w:rFonts w:ascii="Arial" w:hAnsi="Arial" w:cs="Arial"/>
        </w:rPr>
      </w:pPr>
      <w:r w:rsidRPr="004D6466">
        <w:rPr>
          <w:rFonts w:ascii="Arial" w:hAnsi="Arial" w:cs="Arial"/>
        </w:rPr>
        <w:t xml:space="preserve">Se entiende por actividades no agrícolas a aquellas relacionadas con los servicios de turismo rural, la producción de artesanías, la agroindustria y los servicios de otros familiares en las zonas rurales, que son compatibles con la naturaleza rural de la explotación y el mejor uso de mano de obra familiar. </w:t>
      </w:r>
    </w:p>
    <w:p w:rsidR="00A66191" w:rsidRPr="004D6466" w:rsidRDefault="00A66191" w:rsidP="00A66191">
      <w:pPr>
        <w:pStyle w:val="western"/>
        <w:spacing w:after="0" w:afterAutospacing="0" w:line="360" w:lineRule="auto"/>
        <w:jc w:val="both"/>
        <w:rPr>
          <w:rFonts w:ascii="Arial" w:hAnsi="Arial" w:cs="Arial"/>
        </w:rPr>
      </w:pPr>
      <w:r w:rsidRPr="004D6466">
        <w:rPr>
          <w:rFonts w:ascii="Arial" w:hAnsi="Arial" w:cs="Arial"/>
        </w:rPr>
        <w:t xml:space="preserve">El acceso a “PRONAF” se inicia con la discusión familiar acerca de la necesidad del crédito, ya sea por el costo de la actividad agrícola o agroindustrial, destinada para la inversión en maquinaria, equipo e infraestructura de producción y los servicios agrícolas o no agrícolas. </w:t>
      </w:r>
    </w:p>
    <w:p w:rsidR="00A66191" w:rsidRPr="004D6466" w:rsidRDefault="00A66191" w:rsidP="00A66191">
      <w:pPr>
        <w:pStyle w:val="western"/>
        <w:spacing w:after="0" w:afterAutospacing="0" w:line="360" w:lineRule="auto"/>
        <w:jc w:val="both"/>
        <w:rPr>
          <w:rFonts w:ascii="Arial" w:hAnsi="Arial" w:cs="Arial"/>
        </w:rPr>
      </w:pPr>
      <w:r w:rsidRPr="004D6466">
        <w:rPr>
          <w:rFonts w:ascii="Arial" w:hAnsi="Arial" w:cs="Arial"/>
        </w:rPr>
        <w:lastRenderedPageBreak/>
        <w:t xml:space="preserve">Después de decidir qué financiar, la familia debe buscar la unión rural para obtener la Declaración de Aptitud para el PRONAF (DAP), que se publicará de acuerdo con el ingreso anual y actividades llevadas a cabo. Para los beneficiarios de la reforma agraria y el crédito de la tierra, el agricultor debe buscar el Instituto Nacional de Colonización y Reforma Agraria (INCRA) o la Unidad Técnica del Estado (UTE). </w:t>
      </w:r>
    </w:p>
    <w:p w:rsidR="00A66191" w:rsidRPr="004D6466" w:rsidRDefault="00A66191" w:rsidP="00A66191">
      <w:pPr>
        <w:pStyle w:val="western"/>
        <w:spacing w:after="0" w:afterAutospacing="0" w:line="360" w:lineRule="auto"/>
        <w:jc w:val="both"/>
        <w:rPr>
          <w:rFonts w:ascii="Arial" w:hAnsi="Arial" w:cs="Arial"/>
        </w:rPr>
      </w:pPr>
      <w:r w:rsidRPr="004D6466">
        <w:rPr>
          <w:rFonts w:ascii="Arial" w:hAnsi="Arial" w:cs="Arial"/>
        </w:rPr>
        <w:t xml:space="preserve">El agricultor debe estar libre de deudas. Las condiciones de acceso al crédito del PRONAF, el pago y las tasas de interés se fijan anualmente para cada plan familiar de cosecha, dado a conocer entre los meses de junio y julio. </w:t>
      </w:r>
    </w:p>
    <w:p w:rsidR="00A66191" w:rsidRPr="004D6466" w:rsidRDefault="00A66191" w:rsidP="00A66191">
      <w:pPr>
        <w:pStyle w:val="western"/>
        <w:spacing w:after="0" w:afterAutospacing="0" w:line="360" w:lineRule="auto"/>
        <w:jc w:val="both"/>
        <w:rPr>
          <w:rFonts w:ascii="Arial" w:hAnsi="Arial" w:cs="Arial"/>
        </w:rPr>
      </w:pPr>
      <w:r w:rsidRPr="004D6466">
        <w:rPr>
          <w:rFonts w:ascii="Arial" w:hAnsi="Arial" w:cs="Arial"/>
        </w:rPr>
        <w:t>Entre las principales líneas de crédito figuran las siguientes:</w:t>
      </w:r>
    </w:p>
    <w:p w:rsidR="00A66191" w:rsidRPr="004D6466" w:rsidRDefault="00A66191" w:rsidP="00A66191">
      <w:pPr>
        <w:pStyle w:val="Prrafodelista"/>
        <w:numPr>
          <w:ilvl w:val="0"/>
          <w:numId w:val="10"/>
        </w:numPr>
        <w:spacing w:after="240" w:line="360" w:lineRule="auto"/>
        <w:jc w:val="both"/>
        <w:rPr>
          <w:rFonts w:ascii="Arial" w:hAnsi="Arial" w:cs="Arial"/>
          <w:sz w:val="24"/>
          <w:szCs w:val="24"/>
        </w:rPr>
      </w:pPr>
      <w:r w:rsidRPr="004D6466">
        <w:rPr>
          <w:rFonts w:ascii="Arial" w:hAnsi="Arial" w:cs="Arial"/>
          <w:bCs/>
          <w:sz w:val="24"/>
          <w:szCs w:val="24"/>
        </w:rPr>
        <w:t>Grupo A</w:t>
      </w:r>
      <w:r w:rsidRPr="004D6466">
        <w:rPr>
          <w:rFonts w:ascii="Arial" w:hAnsi="Arial" w:cs="Arial"/>
          <w:sz w:val="24"/>
          <w:szCs w:val="24"/>
        </w:rPr>
        <w:t xml:space="preserve">: Es el primer crédito para los asentados de la reforma agraria, y se destina a la estructuración de sus unidades productivas. </w:t>
      </w:r>
    </w:p>
    <w:p w:rsidR="00A66191" w:rsidRPr="004D6466" w:rsidRDefault="00A66191" w:rsidP="00A66191">
      <w:pPr>
        <w:pStyle w:val="Prrafodelista"/>
        <w:numPr>
          <w:ilvl w:val="0"/>
          <w:numId w:val="10"/>
        </w:numPr>
        <w:spacing w:after="240" w:line="360" w:lineRule="auto"/>
        <w:jc w:val="both"/>
        <w:rPr>
          <w:rFonts w:ascii="Arial" w:hAnsi="Arial" w:cs="Arial"/>
          <w:sz w:val="24"/>
          <w:szCs w:val="24"/>
        </w:rPr>
      </w:pPr>
      <w:r w:rsidRPr="004D6466">
        <w:rPr>
          <w:rFonts w:ascii="Arial" w:hAnsi="Arial" w:cs="Arial"/>
          <w:bCs/>
          <w:sz w:val="24"/>
          <w:szCs w:val="24"/>
        </w:rPr>
        <w:t>Grupo B:</w:t>
      </w:r>
      <w:r w:rsidRPr="004D6466">
        <w:rPr>
          <w:rFonts w:ascii="Arial" w:hAnsi="Arial" w:cs="Arial"/>
          <w:sz w:val="24"/>
          <w:szCs w:val="24"/>
        </w:rPr>
        <w:t xml:space="preserve"> Es una línea de microcrédito creada para luchar contra la pobreza rural. Los recursos de inversión se asignan a agricultores con un ingreso familiar anual bruto de hasta 2.000 reales (1.006 dólares), con el fin de financiar toda actividad generadora de ingresos. </w:t>
      </w:r>
    </w:p>
    <w:p w:rsidR="00A66191" w:rsidRPr="004D6466" w:rsidRDefault="00A66191" w:rsidP="00A66191">
      <w:pPr>
        <w:pStyle w:val="Prrafodelista"/>
        <w:numPr>
          <w:ilvl w:val="0"/>
          <w:numId w:val="10"/>
        </w:numPr>
        <w:spacing w:after="240" w:line="360" w:lineRule="auto"/>
        <w:jc w:val="both"/>
        <w:rPr>
          <w:rFonts w:ascii="Arial" w:hAnsi="Arial" w:cs="Arial"/>
          <w:sz w:val="24"/>
          <w:szCs w:val="24"/>
        </w:rPr>
      </w:pPr>
      <w:r w:rsidRPr="004D6466">
        <w:rPr>
          <w:rFonts w:ascii="Arial" w:hAnsi="Arial" w:cs="Arial"/>
          <w:bCs/>
          <w:sz w:val="24"/>
          <w:szCs w:val="24"/>
        </w:rPr>
        <w:t>Grupo C:</w:t>
      </w:r>
      <w:r w:rsidRPr="004D6466">
        <w:rPr>
          <w:rFonts w:ascii="Arial" w:hAnsi="Arial" w:cs="Arial"/>
          <w:sz w:val="24"/>
          <w:szCs w:val="24"/>
        </w:rPr>
        <w:t xml:space="preserve"> es la línea de microcrédito que favorece con créditos de </w:t>
      </w:r>
      <w:r w:rsidR="00830DFF" w:rsidRPr="004D6466">
        <w:rPr>
          <w:rFonts w:ascii="Arial" w:hAnsi="Arial" w:cs="Arial"/>
          <w:sz w:val="24"/>
          <w:szCs w:val="24"/>
        </w:rPr>
        <w:t>costo de</w:t>
      </w:r>
      <w:r w:rsidRPr="004D6466">
        <w:rPr>
          <w:rFonts w:ascii="Arial" w:hAnsi="Arial" w:cs="Arial"/>
          <w:sz w:val="24"/>
          <w:szCs w:val="24"/>
        </w:rPr>
        <w:t xml:space="preserve"> la producción y de inversión a los agricultores con un ingreso familiar anual bruto superior a 2.000 reales (1.006 dólares) e inferior a 14.000 reales (7.042 dólares).</w:t>
      </w:r>
    </w:p>
    <w:p w:rsidR="00A66191" w:rsidRPr="004D6466" w:rsidRDefault="00A66191" w:rsidP="00A66191">
      <w:pPr>
        <w:pStyle w:val="Prrafodelista"/>
        <w:numPr>
          <w:ilvl w:val="0"/>
          <w:numId w:val="10"/>
        </w:numPr>
        <w:spacing w:after="240" w:line="360" w:lineRule="auto"/>
        <w:jc w:val="both"/>
        <w:rPr>
          <w:rFonts w:ascii="Arial" w:hAnsi="Arial" w:cs="Arial"/>
          <w:sz w:val="24"/>
          <w:szCs w:val="24"/>
        </w:rPr>
      </w:pPr>
      <w:r w:rsidRPr="004D6466">
        <w:rPr>
          <w:rFonts w:ascii="Arial" w:hAnsi="Arial" w:cs="Arial"/>
          <w:bCs/>
          <w:sz w:val="24"/>
          <w:szCs w:val="24"/>
        </w:rPr>
        <w:t>Grupo A/C</w:t>
      </w:r>
      <w:r w:rsidRPr="004D6466">
        <w:rPr>
          <w:rFonts w:ascii="Arial" w:hAnsi="Arial" w:cs="Arial"/>
          <w:sz w:val="24"/>
          <w:szCs w:val="24"/>
        </w:rPr>
        <w:t xml:space="preserve">: Es el primer crédito de coste de la </w:t>
      </w:r>
      <w:r w:rsidR="00830DFF" w:rsidRPr="004D6466">
        <w:rPr>
          <w:rFonts w:ascii="Arial" w:hAnsi="Arial" w:cs="Arial"/>
          <w:sz w:val="24"/>
          <w:szCs w:val="24"/>
        </w:rPr>
        <w:t>producción para</w:t>
      </w:r>
      <w:r w:rsidRPr="004D6466">
        <w:rPr>
          <w:rFonts w:ascii="Arial" w:hAnsi="Arial" w:cs="Arial"/>
          <w:sz w:val="24"/>
          <w:szCs w:val="24"/>
        </w:rPr>
        <w:t xml:space="preserve"> las familias asentadas de la reforma agraria que ya habían recibido financiación del Grupo A.</w:t>
      </w:r>
    </w:p>
    <w:p w:rsidR="00A66191" w:rsidRPr="004D6466" w:rsidRDefault="00A66191" w:rsidP="00A66191">
      <w:pPr>
        <w:pStyle w:val="Prrafodelista"/>
        <w:numPr>
          <w:ilvl w:val="0"/>
          <w:numId w:val="10"/>
        </w:numPr>
        <w:spacing w:after="240" w:line="360" w:lineRule="auto"/>
        <w:jc w:val="both"/>
        <w:rPr>
          <w:rFonts w:ascii="Arial" w:hAnsi="Arial" w:cs="Arial"/>
          <w:sz w:val="24"/>
          <w:szCs w:val="24"/>
        </w:rPr>
      </w:pPr>
      <w:r w:rsidRPr="004D6466">
        <w:rPr>
          <w:rFonts w:ascii="Arial" w:hAnsi="Arial" w:cs="Arial"/>
          <w:bCs/>
          <w:sz w:val="24"/>
          <w:szCs w:val="24"/>
        </w:rPr>
        <w:t>Grupo D</w:t>
      </w:r>
      <w:r w:rsidRPr="004D6466">
        <w:rPr>
          <w:rFonts w:ascii="Arial" w:hAnsi="Arial" w:cs="Arial"/>
          <w:sz w:val="24"/>
          <w:szCs w:val="24"/>
        </w:rPr>
        <w:t xml:space="preserve">: Favorece con créditos de </w:t>
      </w:r>
      <w:r w:rsidR="00830DFF">
        <w:rPr>
          <w:rFonts w:ascii="Arial" w:hAnsi="Arial" w:cs="Arial"/>
          <w:sz w:val="24"/>
          <w:szCs w:val="24"/>
        </w:rPr>
        <w:t xml:space="preserve">costo </w:t>
      </w:r>
      <w:r w:rsidR="00830DFF" w:rsidRPr="004D6466">
        <w:rPr>
          <w:rFonts w:ascii="Arial" w:hAnsi="Arial" w:cs="Arial"/>
          <w:sz w:val="24"/>
          <w:szCs w:val="24"/>
        </w:rPr>
        <w:t>de</w:t>
      </w:r>
      <w:r w:rsidRPr="004D6466">
        <w:rPr>
          <w:rFonts w:ascii="Arial" w:hAnsi="Arial" w:cs="Arial"/>
          <w:sz w:val="24"/>
          <w:szCs w:val="24"/>
        </w:rPr>
        <w:t xml:space="preserve"> la producción y de inversión a los agricultores con un ingreso familiar anual bruto superior a 14. 000 reales e inferior a 40. 000 reales. </w:t>
      </w:r>
    </w:p>
    <w:p w:rsidR="00A66191" w:rsidRPr="004D6466" w:rsidRDefault="00A66191" w:rsidP="00A66191">
      <w:pPr>
        <w:pStyle w:val="Prrafodelista"/>
        <w:numPr>
          <w:ilvl w:val="0"/>
          <w:numId w:val="10"/>
        </w:numPr>
        <w:spacing w:after="240" w:line="360" w:lineRule="auto"/>
        <w:jc w:val="both"/>
        <w:rPr>
          <w:rFonts w:ascii="Arial" w:hAnsi="Arial" w:cs="Arial"/>
          <w:sz w:val="24"/>
          <w:szCs w:val="24"/>
        </w:rPr>
      </w:pPr>
      <w:r w:rsidRPr="004D6466">
        <w:rPr>
          <w:rFonts w:ascii="Arial" w:hAnsi="Arial" w:cs="Arial"/>
          <w:bCs/>
          <w:sz w:val="24"/>
          <w:szCs w:val="24"/>
        </w:rPr>
        <w:t xml:space="preserve">Grupo E </w:t>
      </w:r>
      <w:r w:rsidRPr="004D6466">
        <w:rPr>
          <w:rFonts w:ascii="Arial" w:hAnsi="Arial" w:cs="Arial"/>
          <w:sz w:val="24"/>
          <w:szCs w:val="24"/>
        </w:rPr>
        <w:t>Beneficia a los agricultores con un ingreso familiar anual bruto de entre 40.000 (20.121 dólares) y 60.000 reales (30.182 dólares), que pasan a tener derecho a líneas de crédito para financiamiento y costos de producción.</w:t>
      </w:r>
    </w:p>
    <w:p w:rsidR="00A66191" w:rsidRPr="004D6466" w:rsidRDefault="00A66191" w:rsidP="00A66191">
      <w:pPr>
        <w:pStyle w:val="Sangra2detindependiente"/>
        <w:spacing w:after="240" w:line="360" w:lineRule="auto"/>
        <w:ind w:left="0"/>
        <w:jc w:val="both"/>
        <w:rPr>
          <w:rFonts w:ascii="Arial" w:hAnsi="Arial" w:cs="Arial"/>
        </w:rPr>
      </w:pPr>
      <w:r w:rsidRPr="004D6466">
        <w:rPr>
          <w:rFonts w:ascii="Arial" w:hAnsi="Arial" w:cs="Arial"/>
        </w:rPr>
        <w:lastRenderedPageBreak/>
        <w:t>Además de estas líneas, el plan de cosecha de la agricultura familiar de 2004-2005 reforzó la tendencia a destinar recursos específicos a grupos especiales. Estas líneas son las que se describen a continuación:</w:t>
      </w:r>
    </w:p>
    <w:p w:rsidR="00A66191" w:rsidRPr="004D6466" w:rsidRDefault="00A66191" w:rsidP="00A66191">
      <w:pPr>
        <w:spacing w:after="240" w:line="360" w:lineRule="auto"/>
        <w:jc w:val="both"/>
        <w:rPr>
          <w:rFonts w:ascii="Arial" w:hAnsi="Arial" w:cs="Arial"/>
          <w:sz w:val="24"/>
          <w:szCs w:val="24"/>
        </w:rPr>
      </w:pPr>
      <w:r w:rsidRPr="004D6466">
        <w:rPr>
          <w:rFonts w:ascii="Arial" w:hAnsi="Arial" w:cs="Arial"/>
          <w:bCs/>
          <w:sz w:val="24"/>
          <w:szCs w:val="24"/>
        </w:rPr>
        <w:t>Alimentos</w:t>
      </w:r>
      <w:r w:rsidRPr="004D6466">
        <w:rPr>
          <w:rFonts w:ascii="Arial" w:hAnsi="Arial" w:cs="Arial"/>
          <w:sz w:val="24"/>
          <w:szCs w:val="24"/>
        </w:rPr>
        <w:t>: Crédito especial para incentivar la producción de cinco rubros básicos de la dieta de los brasileños: arroz, fríjol, mandioca, maíz y trigo. Los agricultores reciben 50% más de crédito con respeto a la cosecha anterior para trabajar en estos cultivos.</w:t>
      </w:r>
    </w:p>
    <w:p w:rsidR="00A66191" w:rsidRPr="004D6466" w:rsidRDefault="00A66191" w:rsidP="00A66191">
      <w:pPr>
        <w:spacing w:after="240" w:line="360" w:lineRule="auto"/>
        <w:jc w:val="both"/>
        <w:rPr>
          <w:rFonts w:ascii="Arial" w:hAnsi="Arial" w:cs="Arial"/>
          <w:sz w:val="24"/>
          <w:szCs w:val="24"/>
        </w:rPr>
      </w:pPr>
      <w:r w:rsidRPr="004D6466">
        <w:rPr>
          <w:rFonts w:ascii="Arial" w:hAnsi="Arial" w:cs="Arial"/>
          <w:bCs/>
          <w:sz w:val="24"/>
          <w:szCs w:val="24"/>
        </w:rPr>
        <w:t>Semiárido:</w:t>
      </w:r>
      <w:r w:rsidRPr="004D6466">
        <w:rPr>
          <w:rFonts w:ascii="Arial" w:hAnsi="Arial" w:cs="Arial"/>
          <w:sz w:val="24"/>
          <w:szCs w:val="24"/>
        </w:rPr>
        <w:t xml:space="preserve"> Crédito especial para los agricultores de la región semiárida. Los agricultores obtienen recursos para construir pequeñas obras hídricas, como cisternas, diques para irrigación, cacimbas (tipo de dique que retiene el agua subterránea) y plantas de desalinización del agua. </w:t>
      </w:r>
    </w:p>
    <w:p w:rsidR="00A66191" w:rsidRPr="004D6466" w:rsidRDefault="00A66191" w:rsidP="00A66191">
      <w:pPr>
        <w:spacing w:after="240" w:line="360" w:lineRule="auto"/>
        <w:jc w:val="both"/>
        <w:rPr>
          <w:rFonts w:ascii="Arial" w:hAnsi="Arial" w:cs="Arial"/>
          <w:sz w:val="24"/>
          <w:szCs w:val="24"/>
        </w:rPr>
      </w:pPr>
      <w:r w:rsidRPr="004D6466">
        <w:rPr>
          <w:rFonts w:ascii="Arial" w:hAnsi="Arial" w:cs="Arial"/>
          <w:bCs/>
          <w:sz w:val="24"/>
          <w:szCs w:val="24"/>
        </w:rPr>
        <w:t>Mujer:</w:t>
      </w:r>
      <w:r w:rsidRPr="004D6466">
        <w:rPr>
          <w:rFonts w:ascii="Arial" w:hAnsi="Arial" w:cs="Arial"/>
          <w:sz w:val="24"/>
          <w:szCs w:val="24"/>
        </w:rPr>
        <w:t xml:space="preserve"> Las agricultoras podrán acceder a un crédito hasta 50% superiores a los de financiamiento de inversiones de los grupos C y D, a fin de hacer viables sus proyectos en el campo.</w:t>
      </w:r>
    </w:p>
    <w:p w:rsidR="00A66191" w:rsidRPr="004D6466" w:rsidRDefault="00A66191" w:rsidP="00A66191">
      <w:pPr>
        <w:spacing w:after="240" w:line="360" w:lineRule="auto"/>
        <w:jc w:val="both"/>
        <w:rPr>
          <w:rFonts w:ascii="Arial" w:hAnsi="Arial" w:cs="Arial"/>
          <w:sz w:val="24"/>
          <w:szCs w:val="24"/>
        </w:rPr>
      </w:pPr>
      <w:r w:rsidRPr="004D6466">
        <w:rPr>
          <w:rFonts w:ascii="Arial" w:hAnsi="Arial" w:cs="Arial"/>
          <w:bCs/>
          <w:sz w:val="24"/>
          <w:szCs w:val="24"/>
        </w:rPr>
        <w:t>Joven Rural:</w:t>
      </w:r>
      <w:r w:rsidRPr="004D6466">
        <w:rPr>
          <w:rFonts w:ascii="Arial" w:hAnsi="Arial" w:cs="Arial"/>
          <w:sz w:val="24"/>
          <w:szCs w:val="24"/>
        </w:rPr>
        <w:t xml:space="preserve"> Los jóvenes de entre 16 y 25 años que estén cursando el último año en escuelas técnicas agrícolas de nivel medio podrán acceder a un crédito hasta 50% superior a los de financiamiento de inversiones de los grupos C y D. Esta es una línea de gran importancia, pues ofrece opciones frente a la migración de los jóvenes hacia el medio urbano.</w:t>
      </w:r>
    </w:p>
    <w:p w:rsidR="00A66191" w:rsidRPr="004D6466" w:rsidRDefault="00A66191" w:rsidP="00A66191">
      <w:pPr>
        <w:spacing w:after="240" w:line="360" w:lineRule="auto"/>
        <w:jc w:val="both"/>
        <w:rPr>
          <w:rFonts w:ascii="Arial" w:hAnsi="Arial" w:cs="Arial"/>
          <w:sz w:val="24"/>
          <w:szCs w:val="24"/>
        </w:rPr>
      </w:pPr>
      <w:r w:rsidRPr="004D6466">
        <w:rPr>
          <w:rFonts w:ascii="Arial" w:hAnsi="Arial" w:cs="Arial"/>
          <w:bCs/>
          <w:sz w:val="24"/>
          <w:szCs w:val="24"/>
        </w:rPr>
        <w:t>Pesca</w:t>
      </w:r>
      <w:r w:rsidRPr="004D6466">
        <w:rPr>
          <w:rFonts w:ascii="Arial" w:hAnsi="Arial" w:cs="Arial"/>
          <w:sz w:val="24"/>
          <w:szCs w:val="24"/>
        </w:rPr>
        <w:t>: Línea de inversión para pescadores artesanales con un ingreso familiar anual bruto de hasta 40.500 reales (20.121 dólares), que les permite modernizar y ampliar sus actividades productivas.</w:t>
      </w:r>
    </w:p>
    <w:p w:rsidR="00A66191" w:rsidRPr="004D6466" w:rsidRDefault="00A66191" w:rsidP="00A66191">
      <w:pPr>
        <w:spacing w:after="240" w:line="360" w:lineRule="auto"/>
        <w:jc w:val="both"/>
        <w:rPr>
          <w:rFonts w:ascii="Arial" w:hAnsi="Arial" w:cs="Arial"/>
          <w:sz w:val="24"/>
          <w:szCs w:val="24"/>
        </w:rPr>
      </w:pPr>
      <w:r w:rsidRPr="004D6466">
        <w:rPr>
          <w:rFonts w:ascii="Arial" w:hAnsi="Arial" w:cs="Arial"/>
          <w:bCs/>
          <w:sz w:val="24"/>
          <w:szCs w:val="24"/>
        </w:rPr>
        <w:t>Forestal:</w:t>
      </w:r>
      <w:r w:rsidRPr="004D6466">
        <w:rPr>
          <w:rFonts w:ascii="Arial" w:hAnsi="Arial" w:cs="Arial"/>
          <w:sz w:val="24"/>
          <w:szCs w:val="24"/>
        </w:rPr>
        <w:t xml:space="preserve"> Incentiva la siembra de especies forestales, apoyando a los agricultores familiares en la ejecución de proyectos de manejo sostenible de uso múltiple, de reforestación y de sistemas agroforestales.</w:t>
      </w:r>
    </w:p>
    <w:p w:rsidR="00A66191" w:rsidRPr="004D6466" w:rsidRDefault="00A66191" w:rsidP="00A66191">
      <w:pPr>
        <w:spacing w:after="240" w:line="360" w:lineRule="auto"/>
        <w:jc w:val="both"/>
        <w:rPr>
          <w:rFonts w:ascii="Arial" w:hAnsi="Arial" w:cs="Arial"/>
          <w:sz w:val="24"/>
          <w:szCs w:val="24"/>
        </w:rPr>
      </w:pPr>
      <w:r w:rsidRPr="004D6466">
        <w:rPr>
          <w:rFonts w:ascii="Arial" w:hAnsi="Arial" w:cs="Arial"/>
          <w:bCs/>
          <w:sz w:val="24"/>
          <w:szCs w:val="24"/>
        </w:rPr>
        <w:t>Agro ecología:</w:t>
      </w:r>
      <w:r w:rsidRPr="004D6466">
        <w:rPr>
          <w:rFonts w:ascii="Arial" w:hAnsi="Arial" w:cs="Arial"/>
          <w:sz w:val="24"/>
          <w:szCs w:val="24"/>
        </w:rPr>
        <w:t xml:space="preserve"> Impulsará proyectos para la producción agroecológica o para la transición hacia una agricultura sostenible. Por medio de esta línea, el gobierno pretende fomentar el uso adecuado de los recursos naturales, añadiendo ingresos y calidad de vida a los agricultores familiares.</w:t>
      </w:r>
    </w:p>
    <w:p w:rsidR="00A66191" w:rsidRPr="004D6466" w:rsidRDefault="00A66191" w:rsidP="00A66191">
      <w:pPr>
        <w:spacing w:after="240" w:line="360" w:lineRule="auto"/>
        <w:jc w:val="both"/>
        <w:rPr>
          <w:rFonts w:ascii="Arial" w:hAnsi="Arial" w:cs="Arial"/>
          <w:sz w:val="24"/>
          <w:szCs w:val="24"/>
        </w:rPr>
      </w:pPr>
      <w:r w:rsidRPr="004D6466">
        <w:rPr>
          <w:rFonts w:ascii="Arial" w:hAnsi="Arial" w:cs="Arial"/>
          <w:bCs/>
          <w:sz w:val="24"/>
          <w:szCs w:val="24"/>
        </w:rPr>
        <w:lastRenderedPageBreak/>
        <w:t>Pecuario Familiar:</w:t>
      </w:r>
      <w:r w:rsidRPr="004D6466">
        <w:rPr>
          <w:rFonts w:ascii="Arial" w:hAnsi="Arial" w:cs="Arial"/>
          <w:sz w:val="24"/>
          <w:szCs w:val="24"/>
        </w:rPr>
        <w:t xml:space="preserve"> Crédito para adquisición de bovinos, caprinos y ovinos. Otra importante fuente de ingresos para la agricultura familiar.</w:t>
      </w:r>
    </w:p>
    <w:p w:rsidR="00A66191" w:rsidRPr="004D6466" w:rsidRDefault="00A66191" w:rsidP="00A66191">
      <w:pPr>
        <w:spacing w:after="240" w:line="360" w:lineRule="auto"/>
        <w:jc w:val="both"/>
        <w:rPr>
          <w:rFonts w:ascii="Arial" w:hAnsi="Arial" w:cs="Arial"/>
          <w:sz w:val="24"/>
          <w:szCs w:val="24"/>
        </w:rPr>
      </w:pPr>
      <w:r w:rsidRPr="004D6466">
        <w:rPr>
          <w:rFonts w:ascii="Arial" w:hAnsi="Arial" w:cs="Arial"/>
          <w:bCs/>
          <w:sz w:val="24"/>
          <w:szCs w:val="24"/>
        </w:rPr>
        <w:t>Turismo de la Agricultura Familiar</w:t>
      </w:r>
      <w:r w:rsidRPr="004D6466">
        <w:rPr>
          <w:rFonts w:ascii="Arial" w:hAnsi="Arial" w:cs="Arial"/>
          <w:sz w:val="24"/>
          <w:szCs w:val="24"/>
        </w:rPr>
        <w:t>: Los agricultores familiares tendrán más recursos para desarrollar proyectos de turismo rural en sus predios, como alojamiento, restaurantes y cafés coloniales.</w:t>
      </w:r>
    </w:p>
    <w:p w:rsidR="00A66191" w:rsidRPr="004D6466" w:rsidRDefault="00A66191" w:rsidP="00A66191">
      <w:pPr>
        <w:spacing w:after="240" w:line="360" w:lineRule="auto"/>
        <w:jc w:val="both"/>
        <w:rPr>
          <w:rFonts w:ascii="Arial" w:hAnsi="Arial" w:cs="Arial"/>
          <w:sz w:val="24"/>
          <w:szCs w:val="24"/>
        </w:rPr>
      </w:pPr>
      <w:r w:rsidRPr="004D6466">
        <w:rPr>
          <w:rFonts w:ascii="Arial" w:hAnsi="Arial" w:cs="Arial"/>
          <w:bCs/>
          <w:sz w:val="24"/>
          <w:szCs w:val="24"/>
        </w:rPr>
        <w:t>Máquinas y Equipamientos</w:t>
      </w:r>
      <w:r w:rsidRPr="004D6466">
        <w:rPr>
          <w:rFonts w:ascii="Arial" w:hAnsi="Arial" w:cs="Arial"/>
          <w:sz w:val="24"/>
          <w:szCs w:val="24"/>
        </w:rPr>
        <w:t>: Crédito para que los agricultores familiares puedan modernizar sus propiedades, mejorando así la producción y la productividad.</w:t>
      </w:r>
    </w:p>
    <w:p w:rsidR="00A66191" w:rsidRPr="004D6466" w:rsidRDefault="00A66191" w:rsidP="00A66191">
      <w:pPr>
        <w:rPr>
          <w:rFonts w:ascii="Arial" w:hAnsi="Arial" w:cs="Arial"/>
          <w:b/>
          <w:sz w:val="24"/>
          <w:szCs w:val="24"/>
        </w:rPr>
      </w:pPr>
      <w:r w:rsidRPr="004D6466">
        <w:rPr>
          <w:rFonts w:ascii="Arial" w:hAnsi="Arial" w:cs="Arial"/>
          <w:b/>
          <w:sz w:val="24"/>
          <w:szCs w:val="24"/>
        </w:rPr>
        <w:t>Resultados del “</w:t>
      </w:r>
      <w:r w:rsidRPr="004D6466">
        <w:rPr>
          <w:rFonts w:ascii="Arial" w:eastAsia="Times New Roman" w:hAnsi="Arial" w:cs="Arial"/>
          <w:b/>
          <w:sz w:val="24"/>
          <w:szCs w:val="24"/>
        </w:rPr>
        <w:t>Programa Nacional de Fortalecimiento de la Agricultura Familiar-</w:t>
      </w:r>
      <w:r w:rsidRPr="004D6466">
        <w:rPr>
          <w:rFonts w:ascii="Arial" w:hAnsi="Arial" w:cs="Arial"/>
          <w:b/>
          <w:sz w:val="24"/>
          <w:szCs w:val="24"/>
        </w:rPr>
        <w:t xml:space="preserve"> PRONAF”</w:t>
      </w:r>
    </w:p>
    <w:p w:rsidR="00A66191" w:rsidRPr="004D6466" w:rsidRDefault="00A66191" w:rsidP="00A66191">
      <w:pPr>
        <w:spacing w:line="360" w:lineRule="auto"/>
        <w:jc w:val="both"/>
        <w:rPr>
          <w:rFonts w:ascii="Arial" w:hAnsi="Arial" w:cs="Arial"/>
          <w:sz w:val="24"/>
          <w:szCs w:val="24"/>
        </w:rPr>
      </w:pPr>
      <w:r w:rsidRPr="004D6466">
        <w:rPr>
          <w:rFonts w:ascii="Arial" w:hAnsi="Arial" w:cs="Arial"/>
          <w:sz w:val="24"/>
          <w:szCs w:val="24"/>
        </w:rPr>
        <w:t xml:space="preserve">La política social del gobierno, apuntó a la creación de restaurantes populares, programas de lactancia materna, promoción de la agricultura familiar, distribución de alimentos a los más pobres, la entrega de microcréditos y fomento de la economía local, a través de la compra al pequeño productor para abastecer los programas de alimentación del gobierno, entre otros. </w:t>
      </w:r>
      <w:r w:rsidRPr="004D6466">
        <w:rPr>
          <w:rFonts w:ascii="Arial" w:hAnsi="Arial" w:cs="Arial"/>
          <w:sz w:val="24"/>
          <w:szCs w:val="24"/>
        </w:rPr>
        <w:br/>
        <w:t>“Así pues, en el 2006, 1 millón y medio de familias de campesinos, extrapolando a los 3 miembros por familia da como resultado 4 millones y medio de personas, que recibieron 11 millones de reales (5.289.224 dólares.)”</w:t>
      </w:r>
      <w:r w:rsidRPr="004D6466">
        <w:rPr>
          <w:rStyle w:val="Refdenotaalpie"/>
          <w:rFonts w:ascii="Arial" w:hAnsi="Arial" w:cs="Arial"/>
          <w:sz w:val="24"/>
          <w:szCs w:val="24"/>
        </w:rPr>
        <w:footnoteReference w:id="35"/>
      </w:r>
    </w:p>
    <w:p w:rsidR="00A66191" w:rsidRPr="004D6466" w:rsidRDefault="00A66191" w:rsidP="00A66191">
      <w:pPr>
        <w:spacing w:line="360" w:lineRule="auto"/>
        <w:jc w:val="both"/>
        <w:rPr>
          <w:rFonts w:ascii="Arial" w:hAnsi="Arial" w:cs="Arial"/>
          <w:b/>
          <w:sz w:val="24"/>
          <w:szCs w:val="24"/>
        </w:rPr>
      </w:pPr>
      <w:r w:rsidRPr="004D6466">
        <w:rPr>
          <w:rFonts w:ascii="Arial" w:hAnsi="Arial" w:cs="Arial"/>
          <w:b/>
          <w:sz w:val="24"/>
          <w:szCs w:val="24"/>
        </w:rPr>
        <w:t>3.3 Ámbito Salud</w:t>
      </w:r>
    </w:p>
    <w:p w:rsidR="00A66191" w:rsidRPr="004D6466" w:rsidRDefault="00A66191" w:rsidP="00A66191">
      <w:pPr>
        <w:pStyle w:val="NormalWeb"/>
        <w:spacing w:line="360" w:lineRule="auto"/>
        <w:jc w:val="both"/>
        <w:rPr>
          <w:rFonts w:ascii="Arial" w:hAnsi="Arial" w:cs="Arial"/>
        </w:rPr>
      </w:pPr>
      <w:r w:rsidRPr="004D6466">
        <w:rPr>
          <w:rFonts w:ascii="Arial" w:hAnsi="Arial" w:cs="Arial"/>
        </w:rPr>
        <w:t>Dentro del ámbito de salud existen 3 programas importantes:</w:t>
      </w:r>
      <w:r w:rsidR="003860AB">
        <w:rPr>
          <w:rFonts w:ascii="Arial" w:hAnsi="Arial" w:cs="Arial"/>
        </w:rPr>
        <w:t xml:space="preserve"> Programa Nacional de Alimentación Escolar (PNAE)</w:t>
      </w:r>
      <w:r w:rsidRPr="004D6466">
        <w:rPr>
          <w:rFonts w:ascii="Arial" w:hAnsi="Arial" w:cs="Arial"/>
        </w:rPr>
        <w:t>, Proyecto de Expansión y Consolidación de la Salud de la Familia (PROESF) y Sistema Único de Salud.</w:t>
      </w:r>
    </w:p>
    <w:p w:rsidR="00A66191" w:rsidRPr="004D6466" w:rsidRDefault="00A66191" w:rsidP="00A66191">
      <w:pPr>
        <w:pStyle w:val="NormalWeb"/>
        <w:spacing w:line="360" w:lineRule="auto"/>
        <w:jc w:val="both"/>
        <w:rPr>
          <w:rFonts w:ascii="Arial" w:hAnsi="Arial" w:cs="Arial"/>
          <w:b/>
          <w:i/>
        </w:rPr>
      </w:pPr>
      <w:r w:rsidRPr="004D6466">
        <w:rPr>
          <w:rFonts w:ascii="Arial" w:hAnsi="Arial" w:cs="Arial"/>
          <w:b/>
          <w:i/>
        </w:rPr>
        <w:t>3.3.1 Programa Nacional de Alimentación Escolar (PNAE)</w:t>
      </w:r>
    </w:p>
    <w:p w:rsidR="00A66191" w:rsidRPr="004D6466" w:rsidRDefault="00A66191" w:rsidP="00A66191">
      <w:pPr>
        <w:spacing w:line="360" w:lineRule="auto"/>
        <w:jc w:val="both"/>
        <w:rPr>
          <w:rFonts w:ascii="Arial" w:hAnsi="Arial" w:cs="Arial"/>
          <w:sz w:val="24"/>
          <w:szCs w:val="24"/>
        </w:rPr>
      </w:pPr>
      <w:r w:rsidRPr="004D6466">
        <w:rPr>
          <w:rFonts w:ascii="Arial" w:hAnsi="Arial" w:cs="Arial"/>
          <w:sz w:val="24"/>
          <w:szCs w:val="24"/>
        </w:rPr>
        <w:t>El Programa Nacional de Alimentación Escolar (PNAE), atiende las necesidades nutricionales de los alumnos durante su estancia en la escuela, con esto se busca contribuir al crecimiento, desarrollo, aprendizaje y rendimiento escolar de los estudiantes; y promover la formación de hábitos alimenticios saludables.</w:t>
      </w:r>
    </w:p>
    <w:p w:rsidR="00A66191" w:rsidRPr="004D6466" w:rsidRDefault="00A66191" w:rsidP="00A66191">
      <w:pPr>
        <w:spacing w:line="360" w:lineRule="auto"/>
        <w:jc w:val="both"/>
        <w:rPr>
          <w:rFonts w:ascii="Arial" w:hAnsi="Arial" w:cs="Arial"/>
          <w:sz w:val="24"/>
          <w:szCs w:val="24"/>
        </w:rPr>
      </w:pPr>
      <w:r w:rsidRPr="004D6466">
        <w:rPr>
          <w:rFonts w:ascii="Arial" w:hAnsi="Arial" w:cs="Arial"/>
          <w:sz w:val="24"/>
          <w:szCs w:val="24"/>
        </w:rPr>
        <w:lastRenderedPageBreak/>
        <w:t xml:space="preserve">En 2004, el valor de la alimentación escolar de los alumnos de preescolar y enseñanza básica tuvo un aumento del 15.38%, pasando de 0.06 centavos de dólar a 0.07 centavos por alumno/día. El valor de la alimentación escolar de las guarderías permaneció en 0.09 centavos de dólar y el de las escuelas indígenas en 0.17 centavos de dólar. En este período, los recursos del PNAE, provenientes del presupuesto de la Seguridad Social y otras fuentes totalizaban R$ 1.025 mil millones (521.495.802 dólares) y pasaron a atender cerca de 36 millones de estudiantes. </w:t>
      </w:r>
    </w:p>
    <w:p w:rsidR="00A66191" w:rsidRPr="004D6466" w:rsidRDefault="00A66191" w:rsidP="00A66191">
      <w:pPr>
        <w:spacing w:line="360" w:lineRule="auto"/>
        <w:jc w:val="both"/>
        <w:rPr>
          <w:rFonts w:ascii="Arial" w:hAnsi="Arial" w:cs="Arial"/>
          <w:sz w:val="24"/>
          <w:szCs w:val="24"/>
        </w:rPr>
      </w:pPr>
      <w:r w:rsidRPr="004D6466">
        <w:rPr>
          <w:rFonts w:ascii="Arial" w:hAnsi="Arial" w:cs="Arial"/>
          <w:sz w:val="24"/>
          <w:szCs w:val="24"/>
        </w:rPr>
        <w:t xml:space="preserve">En marzo de 2006, con la Resolución/FNDE/CD nº 5, el Ministerio de Educación y Cultura ajustó los días de atención de la alimentación escolar y el valor per cápita de los recursos transferidos a la cuenta del PNAE, esto corresponde a 200 días lectivos para preescolar y enseñanza básica y el per cápita pasó de 0.09 centavos de dólar a 0.11 centavos de dólar.  Para los alumnos de escuelas y guarderías indígenas y de áreas restantes de quilombos, el per cápita pasó de 0.17 centavos de dólar a 0.21 centavos de dólar/día.  En 2007, el PNAE alcanza cerca de 36 millones de niños y jóvenes atendidos, con un presupuesto de R$ 1.6 mil millones (814.042.228 dólares). </w:t>
      </w:r>
    </w:p>
    <w:p w:rsidR="00A66191" w:rsidRPr="004D6466" w:rsidRDefault="00A66191" w:rsidP="00A66191">
      <w:pPr>
        <w:spacing w:line="360" w:lineRule="auto"/>
        <w:jc w:val="both"/>
        <w:rPr>
          <w:rFonts w:ascii="Arial" w:hAnsi="Arial" w:cs="Arial"/>
          <w:b/>
          <w:sz w:val="24"/>
          <w:szCs w:val="24"/>
        </w:rPr>
      </w:pPr>
      <w:r w:rsidRPr="004D6466">
        <w:rPr>
          <w:rFonts w:ascii="Arial" w:hAnsi="Arial" w:cs="Arial"/>
          <w:b/>
          <w:sz w:val="24"/>
          <w:szCs w:val="24"/>
        </w:rPr>
        <w:t>Resultados del Programa Nacional de Alimentación Escolar</w:t>
      </w:r>
    </w:p>
    <w:p w:rsidR="00A66191" w:rsidRPr="00727475" w:rsidRDefault="00A66191" w:rsidP="00830DFF">
      <w:pPr>
        <w:spacing w:line="360" w:lineRule="auto"/>
        <w:jc w:val="both"/>
        <w:rPr>
          <w:rFonts w:ascii="Arial" w:hAnsi="Arial" w:cs="Arial"/>
          <w:sz w:val="24"/>
          <w:szCs w:val="24"/>
        </w:rPr>
      </w:pPr>
      <w:r w:rsidRPr="00727475">
        <w:rPr>
          <w:rStyle w:val="Textoennegrita"/>
          <w:rFonts w:ascii="Arial" w:hAnsi="Arial" w:cs="Arial"/>
          <w:b w:val="0"/>
          <w:sz w:val="24"/>
          <w:szCs w:val="24"/>
        </w:rPr>
        <w:t>En cuanto a la cobertura, en número de beneficiados por año, tenemos</w:t>
      </w:r>
      <w:r w:rsidR="003860AB">
        <w:rPr>
          <w:rStyle w:val="Textoennegrita"/>
          <w:rFonts w:ascii="Arial" w:hAnsi="Arial" w:cs="Arial"/>
          <w:b w:val="0"/>
          <w:sz w:val="24"/>
          <w:szCs w:val="24"/>
        </w:rPr>
        <w:t xml:space="preserve"> </w:t>
      </w:r>
      <w:r w:rsidRPr="00727475">
        <w:rPr>
          <w:rFonts w:ascii="Arial" w:hAnsi="Arial" w:cs="Arial"/>
          <w:sz w:val="24"/>
          <w:szCs w:val="24"/>
        </w:rPr>
        <w:t>35.700.000  alumnos beneficiados de la red pública de educación escolar y pre-escolar.</w:t>
      </w:r>
      <w:r w:rsidRPr="00727475">
        <w:rPr>
          <w:rFonts w:ascii="Arial" w:hAnsi="Arial" w:cs="Arial"/>
          <w:sz w:val="24"/>
          <w:szCs w:val="24"/>
        </w:rPr>
        <w:br/>
      </w:r>
      <w:r w:rsidRPr="00727475">
        <w:rPr>
          <w:rStyle w:val="Textoennegrita"/>
          <w:rFonts w:ascii="Arial" w:hAnsi="Arial" w:cs="Arial"/>
          <w:b w:val="0"/>
          <w:sz w:val="24"/>
          <w:szCs w:val="24"/>
        </w:rPr>
        <w:t>Si tenemos en cuenta la cobertura relativa  (población total/ población beneficiada) que nos da un resultado del</w:t>
      </w:r>
      <w:r w:rsidRPr="00727475">
        <w:rPr>
          <w:rFonts w:ascii="Arial" w:hAnsi="Arial" w:cs="Arial"/>
          <w:sz w:val="24"/>
          <w:szCs w:val="24"/>
        </w:rPr>
        <w:t xml:space="preserve"> 19.4% (183.987.291 habitantes/ 35.700.000 mil alumnos beneficiados)</w:t>
      </w:r>
    </w:p>
    <w:p w:rsidR="00A66191" w:rsidRPr="004D6466" w:rsidRDefault="00A66191" w:rsidP="00A66191">
      <w:pPr>
        <w:spacing w:line="360" w:lineRule="auto"/>
        <w:jc w:val="both"/>
        <w:rPr>
          <w:rFonts w:ascii="Arial" w:hAnsi="Arial" w:cs="Arial"/>
          <w:b/>
          <w:i/>
          <w:sz w:val="24"/>
          <w:szCs w:val="24"/>
        </w:rPr>
      </w:pPr>
      <w:r w:rsidRPr="004D6466">
        <w:rPr>
          <w:rFonts w:ascii="Arial" w:hAnsi="Arial" w:cs="Arial"/>
          <w:b/>
          <w:i/>
          <w:sz w:val="24"/>
          <w:szCs w:val="24"/>
        </w:rPr>
        <w:t>3.3.2 Proyecto de Expansión y Consolidación de la Salud de la Familia (PROESF)</w:t>
      </w:r>
    </w:p>
    <w:p w:rsidR="00A66191" w:rsidRPr="004D6466" w:rsidRDefault="00A66191" w:rsidP="00A66191">
      <w:pPr>
        <w:spacing w:line="360" w:lineRule="auto"/>
        <w:jc w:val="both"/>
        <w:rPr>
          <w:rFonts w:ascii="Arial" w:hAnsi="Arial" w:cs="Arial"/>
          <w:sz w:val="24"/>
          <w:szCs w:val="24"/>
        </w:rPr>
      </w:pPr>
      <w:r w:rsidRPr="004D6466">
        <w:rPr>
          <w:rFonts w:ascii="Arial" w:hAnsi="Arial" w:cs="Arial"/>
          <w:sz w:val="24"/>
          <w:szCs w:val="24"/>
        </w:rPr>
        <w:t>El Proyecto de Expansión y Consolidación de la Salud de la Familia (PROESF</w:t>
      </w:r>
      <w:r w:rsidR="00830DFF" w:rsidRPr="004D6466">
        <w:rPr>
          <w:rFonts w:ascii="Arial" w:hAnsi="Arial" w:cs="Arial"/>
          <w:sz w:val="24"/>
          <w:szCs w:val="24"/>
        </w:rPr>
        <w:t>) es</w:t>
      </w:r>
      <w:r w:rsidRPr="004D6466">
        <w:rPr>
          <w:rFonts w:ascii="Arial" w:hAnsi="Arial" w:cs="Arial"/>
          <w:sz w:val="24"/>
          <w:szCs w:val="24"/>
        </w:rPr>
        <w:t xml:space="preserve"> una iniciativa del Ministerio de Salud del Brasil financiada por medio del Banco Interamericano de Desarrollo (BID). Este acuerdo apoya, a través de la transferencia de fondos para financiar la ampliación de la cobertura, la clasificación y la consolidación de la Estrategia de Salud Familiar.</w:t>
      </w:r>
    </w:p>
    <w:p w:rsidR="00A66191" w:rsidRPr="004D6466" w:rsidRDefault="00A66191" w:rsidP="00A66191">
      <w:pPr>
        <w:spacing w:line="360" w:lineRule="auto"/>
        <w:jc w:val="both"/>
        <w:rPr>
          <w:rFonts w:ascii="Arial" w:hAnsi="Arial" w:cs="Arial"/>
          <w:sz w:val="24"/>
          <w:szCs w:val="24"/>
        </w:rPr>
      </w:pPr>
      <w:r w:rsidRPr="004D6466">
        <w:rPr>
          <w:rFonts w:ascii="Arial" w:hAnsi="Arial" w:cs="Arial"/>
          <w:sz w:val="24"/>
          <w:szCs w:val="24"/>
        </w:rPr>
        <w:lastRenderedPageBreak/>
        <w:t>Este programa se dividió en 2 fases: l</w:t>
      </w:r>
      <w:r w:rsidRPr="004D6466">
        <w:rPr>
          <w:rStyle w:val="hps"/>
          <w:rFonts w:ascii="Arial" w:hAnsi="Arial" w:cs="Arial"/>
          <w:sz w:val="24"/>
          <w:szCs w:val="24"/>
        </w:rPr>
        <w:t>a primera etapa se inició en diciembre del 2003 y</w:t>
      </w:r>
      <w:r w:rsidR="00830DFF">
        <w:rPr>
          <w:rStyle w:val="hps"/>
          <w:rFonts w:ascii="Arial" w:hAnsi="Arial" w:cs="Arial"/>
          <w:sz w:val="24"/>
          <w:szCs w:val="24"/>
        </w:rPr>
        <w:t xml:space="preserve"> </w:t>
      </w:r>
      <w:r w:rsidRPr="004D6466">
        <w:rPr>
          <w:rStyle w:val="hps"/>
          <w:rFonts w:ascii="Arial" w:hAnsi="Arial" w:cs="Arial"/>
          <w:sz w:val="24"/>
          <w:szCs w:val="24"/>
        </w:rPr>
        <w:t>terminó en</w:t>
      </w:r>
      <w:r w:rsidR="00830DFF">
        <w:rPr>
          <w:rStyle w:val="hps"/>
          <w:rFonts w:ascii="Arial" w:hAnsi="Arial" w:cs="Arial"/>
          <w:sz w:val="24"/>
          <w:szCs w:val="24"/>
        </w:rPr>
        <w:t xml:space="preserve"> </w:t>
      </w:r>
      <w:r w:rsidRPr="004D6466">
        <w:rPr>
          <w:rStyle w:val="hps"/>
          <w:rFonts w:ascii="Arial" w:hAnsi="Arial" w:cs="Arial"/>
          <w:sz w:val="24"/>
          <w:szCs w:val="24"/>
        </w:rPr>
        <w:t xml:space="preserve">junio de 2007, la segunda etapa </w:t>
      </w:r>
      <w:r w:rsidRPr="004D6466">
        <w:rPr>
          <w:rFonts w:ascii="Arial" w:hAnsi="Arial" w:cs="Arial"/>
          <w:sz w:val="24"/>
          <w:szCs w:val="24"/>
        </w:rPr>
        <w:t>inició en noviembre 2008 y durará hasta noviembre del 2013. Se aprueba la Política Nacional de Atención Primaria, el establecimiento de directrices y la revisión de normas para la organización de la atención primaria y la estrategia de salud de la familia.</w:t>
      </w:r>
    </w:p>
    <w:p w:rsidR="00A66191" w:rsidRPr="004D6466" w:rsidRDefault="00A66191" w:rsidP="00A66191">
      <w:pPr>
        <w:pStyle w:val="Sinespaciado"/>
        <w:spacing w:line="360" w:lineRule="auto"/>
        <w:jc w:val="both"/>
        <w:rPr>
          <w:rStyle w:val="hps"/>
          <w:rFonts w:ascii="Arial" w:hAnsi="Arial" w:cs="Arial"/>
          <w:sz w:val="24"/>
          <w:szCs w:val="24"/>
        </w:rPr>
      </w:pPr>
      <w:r w:rsidRPr="004D6466">
        <w:rPr>
          <w:rStyle w:val="hps"/>
          <w:rFonts w:ascii="Arial" w:hAnsi="Arial" w:cs="Arial"/>
          <w:sz w:val="24"/>
          <w:szCs w:val="24"/>
        </w:rPr>
        <w:t>El total de fondos</w:t>
      </w:r>
      <w:r w:rsidR="00830DFF">
        <w:rPr>
          <w:rStyle w:val="hps"/>
          <w:rFonts w:ascii="Arial" w:hAnsi="Arial" w:cs="Arial"/>
          <w:sz w:val="24"/>
          <w:szCs w:val="24"/>
        </w:rPr>
        <w:t xml:space="preserve"> </w:t>
      </w:r>
      <w:r w:rsidRPr="004D6466">
        <w:rPr>
          <w:rStyle w:val="hps"/>
          <w:rFonts w:ascii="Arial" w:hAnsi="Arial" w:cs="Arial"/>
          <w:sz w:val="24"/>
          <w:szCs w:val="24"/>
        </w:rPr>
        <w:t>establecidos en</w:t>
      </w:r>
      <w:r w:rsidR="00830DFF">
        <w:rPr>
          <w:rStyle w:val="hps"/>
          <w:rFonts w:ascii="Arial" w:hAnsi="Arial" w:cs="Arial"/>
          <w:sz w:val="24"/>
          <w:szCs w:val="24"/>
        </w:rPr>
        <w:t xml:space="preserve"> </w:t>
      </w:r>
      <w:r w:rsidRPr="004D6466">
        <w:rPr>
          <w:rStyle w:val="hps"/>
          <w:rFonts w:ascii="Arial" w:hAnsi="Arial" w:cs="Arial"/>
          <w:sz w:val="24"/>
          <w:szCs w:val="24"/>
        </w:rPr>
        <w:t>el contrato de préstamo</w:t>
      </w:r>
      <w:r w:rsidR="00830DFF">
        <w:rPr>
          <w:rStyle w:val="hps"/>
          <w:rFonts w:ascii="Arial" w:hAnsi="Arial" w:cs="Arial"/>
          <w:sz w:val="24"/>
          <w:szCs w:val="24"/>
        </w:rPr>
        <w:t xml:space="preserve"> </w:t>
      </w:r>
      <w:r w:rsidRPr="004D6466">
        <w:rPr>
          <w:rStyle w:val="hps"/>
          <w:rFonts w:ascii="Arial" w:hAnsi="Arial" w:cs="Arial"/>
          <w:sz w:val="24"/>
          <w:szCs w:val="24"/>
        </w:rPr>
        <w:t>para el componente</w:t>
      </w:r>
      <w:r w:rsidR="00830DFF">
        <w:rPr>
          <w:rStyle w:val="hps"/>
          <w:rFonts w:ascii="Arial" w:hAnsi="Arial" w:cs="Arial"/>
          <w:sz w:val="24"/>
          <w:szCs w:val="24"/>
        </w:rPr>
        <w:t xml:space="preserve"> </w:t>
      </w:r>
      <w:r w:rsidRPr="004D6466">
        <w:rPr>
          <w:rStyle w:val="hps"/>
          <w:rFonts w:ascii="Arial" w:hAnsi="Arial" w:cs="Arial"/>
          <w:sz w:val="24"/>
          <w:szCs w:val="24"/>
        </w:rPr>
        <w:t>II es</w:t>
      </w:r>
      <w:r w:rsidRPr="004D6466">
        <w:rPr>
          <w:rFonts w:ascii="Arial" w:hAnsi="Arial" w:cs="Arial"/>
          <w:sz w:val="24"/>
          <w:szCs w:val="24"/>
        </w:rPr>
        <w:t xml:space="preserve"> de 12.450.000 </w:t>
      </w:r>
      <w:r w:rsidRPr="004D6466">
        <w:rPr>
          <w:rStyle w:val="hps"/>
          <w:rFonts w:ascii="Arial" w:hAnsi="Arial" w:cs="Arial"/>
          <w:sz w:val="24"/>
          <w:szCs w:val="24"/>
        </w:rPr>
        <w:t>dólares de los Estados</w:t>
      </w:r>
      <w:r w:rsidR="00830DFF">
        <w:rPr>
          <w:rStyle w:val="hps"/>
          <w:rFonts w:ascii="Arial" w:hAnsi="Arial" w:cs="Arial"/>
          <w:sz w:val="24"/>
          <w:szCs w:val="24"/>
        </w:rPr>
        <w:t xml:space="preserve"> </w:t>
      </w:r>
      <w:r w:rsidRPr="004D6466">
        <w:rPr>
          <w:rStyle w:val="hps"/>
          <w:rFonts w:ascii="Arial" w:hAnsi="Arial" w:cs="Arial"/>
          <w:sz w:val="24"/>
          <w:szCs w:val="24"/>
        </w:rPr>
        <w:t>Unidos de</w:t>
      </w:r>
      <w:r w:rsidR="00830DFF">
        <w:rPr>
          <w:rStyle w:val="hps"/>
          <w:rFonts w:ascii="Arial" w:hAnsi="Arial" w:cs="Arial"/>
          <w:sz w:val="24"/>
          <w:szCs w:val="24"/>
        </w:rPr>
        <w:t xml:space="preserve"> </w:t>
      </w:r>
      <w:r w:rsidRPr="004D6466">
        <w:rPr>
          <w:rStyle w:val="hps"/>
          <w:rFonts w:ascii="Arial" w:hAnsi="Arial" w:cs="Arial"/>
          <w:sz w:val="24"/>
          <w:szCs w:val="24"/>
        </w:rPr>
        <w:t>América)</w:t>
      </w:r>
      <w:r w:rsidR="00830DFF" w:rsidRPr="004D6466">
        <w:rPr>
          <w:rStyle w:val="hps"/>
          <w:rFonts w:ascii="Arial" w:hAnsi="Arial" w:cs="Arial"/>
          <w:sz w:val="24"/>
          <w:szCs w:val="24"/>
        </w:rPr>
        <w:t>, que</w:t>
      </w:r>
      <w:r w:rsidRPr="004D6466">
        <w:rPr>
          <w:rStyle w:val="hps"/>
          <w:rFonts w:ascii="Arial" w:hAnsi="Arial" w:cs="Arial"/>
          <w:sz w:val="24"/>
          <w:szCs w:val="24"/>
        </w:rPr>
        <w:t xml:space="preserve"> se sometió a</w:t>
      </w:r>
      <w:r w:rsidR="00830DFF">
        <w:rPr>
          <w:rStyle w:val="hps"/>
          <w:rFonts w:ascii="Arial" w:hAnsi="Arial" w:cs="Arial"/>
          <w:sz w:val="24"/>
          <w:szCs w:val="24"/>
        </w:rPr>
        <w:t xml:space="preserve"> </w:t>
      </w:r>
      <w:r w:rsidRPr="004D6466">
        <w:rPr>
          <w:rStyle w:val="hps"/>
          <w:rFonts w:ascii="Arial" w:hAnsi="Arial" w:cs="Arial"/>
          <w:sz w:val="24"/>
          <w:szCs w:val="24"/>
        </w:rPr>
        <w:t>tasa</w:t>
      </w:r>
      <w:r w:rsidR="00830DFF">
        <w:rPr>
          <w:rStyle w:val="hps"/>
          <w:rFonts w:ascii="Arial" w:hAnsi="Arial" w:cs="Arial"/>
          <w:sz w:val="24"/>
          <w:szCs w:val="24"/>
        </w:rPr>
        <w:t xml:space="preserve"> </w:t>
      </w:r>
      <w:r w:rsidRPr="004D6466">
        <w:rPr>
          <w:rStyle w:val="hps"/>
          <w:rFonts w:ascii="Arial" w:hAnsi="Arial" w:cs="Arial"/>
          <w:sz w:val="24"/>
          <w:szCs w:val="24"/>
        </w:rPr>
        <w:t>de conversión de divisas</w:t>
      </w:r>
      <w:r w:rsidR="00830DFF">
        <w:rPr>
          <w:rStyle w:val="hps"/>
          <w:rFonts w:ascii="Arial" w:hAnsi="Arial" w:cs="Arial"/>
          <w:sz w:val="24"/>
          <w:szCs w:val="24"/>
        </w:rPr>
        <w:t xml:space="preserve"> </w:t>
      </w:r>
      <w:r w:rsidRPr="004D6466">
        <w:rPr>
          <w:rStyle w:val="hps"/>
          <w:rFonts w:ascii="Arial" w:hAnsi="Arial" w:cs="Arial"/>
          <w:sz w:val="24"/>
          <w:szCs w:val="24"/>
        </w:rPr>
        <w:t>a partir de</w:t>
      </w:r>
      <w:r w:rsidR="00830DFF">
        <w:rPr>
          <w:rStyle w:val="hps"/>
          <w:rFonts w:ascii="Arial" w:hAnsi="Arial" w:cs="Arial"/>
          <w:sz w:val="24"/>
          <w:szCs w:val="24"/>
        </w:rPr>
        <w:t xml:space="preserve"> </w:t>
      </w:r>
      <w:r w:rsidRPr="004D6466">
        <w:rPr>
          <w:rStyle w:val="hps"/>
          <w:rFonts w:ascii="Arial" w:hAnsi="Arial" w:cs="Arial"/>
          <w:sz w:val="24"/>
          <w:szCs w:val="24"/>
        </w:rPr>
        <w:t>julio de 2011 a</w:t>
      </w:r>
      <w:r w:rsidR="00830DFF">
        <w:rPr>
          <w:rStyle w:val="hps"/>
          <w:rFonts w:ascii="Arial" w:hAnsi="Arial" w:cs="Arial"/>
          <w:sz w:val="24"/>
          <w:szCs w:val="24"/>
        </w:rPr>
        <w:t xml:space="preserve"> </w:t>
      </w:r>
      <w:r w:rsidRPr="004D6466">
        <w:rPr>
          <w:rStyle w:val="hps"/>
          <w:rFonts w:ascii="Arial" w:hAnsi="Arial" w:cs="Arial"/>
          <w:sz w:val="24"/>
          <w:szCs w:val="24"/>
        </w:rPr>
        <w:t>R $1.60 (</w:t>
      </w:r>
      <w:r w:rsidRPr="004D6466">
        <w:rPr>
          <w:rFonts w:ascii="Arial" w:hAnsi="Arial" w:cs="Arial"/>
          <w:sz w:val="24"/>
          <w:szCs w:val="24"/>
        </w:rPr>
        <w:t xml:space="preserve">un </w:t>
      </w:r>
      <w:r w:rsidRPr="004D6466">
        <w:rPr>
          <w:rStyle w:val="hps"/>
          <w:rFonts w:ascii="Arial" w:hAnsi="Arial" w:cs="Arial"/>
          <w:sz w:val="24"/>
          <w:szCs w:val="24"/>
        </w:rPr>
        <w:t>real y</w:t>
      </w:r>
      <w:r w:rsidR="00830DFF">
        <w:rPr>
          <w:rStyle w:val="hps"/>
          <w:rFonts w:ascii="Arial" w:hAnsi="Arial" w:cs="Arial"/>
          <w:sz w:val="24"/>
          <w:szCs w:val="24"/>
        </w:rPr>
        <w:t xml:space="preserve"> </w:t>
      </w:r>
      <w:r w:rsidRPr="004D6466">
        <w:rPr>
          <w:rStyle w:val="hps"/>
          <w:rFonts w:ascii="Arial" w:hAnsi="Arial" w:cs="Arial"/>
          <w:sz w:val="24"/>
          <w:szCs w:val="24"/>
        </w:rPr>
        <w:t>sesenta</w:t>
      </w:r>
      <w:r w:rsidR="00830DFF">
        <w:rPr>
          <w:rStyle w:val="hps"/>
          <w:rFonts w:ascii="Arial" w:hAnsi="Arial" w:cs="Arial"/>
          <w:sz w:val="24"/>
          <w:szCs w:val="24"/>
        </w:rPr>
        <w:t xml:space="preserve"> </w:t>
      </w:r>
      <w:r w:rsidRPr="004D6466">
        <w:rPr>
          <w:rStyle w:val="hps"/>
          <w:rFonts w:ascii="Arial" w:hAnsi="Arial" w:cs="Arial"/>
          <w:sz w:val="24"/>
          <w:szCs w:val="24"/>
        </w:rPr>
        <w:t>céntimos</w:t>
      </w:r>
      <w:r w:rsidRPr="004D6466">
        <w:rPr>
          <w:rFonts w:ascii="Arial" w:hAnsi="Arial" w:cs="Arial"/>
          <w:sz w:val="24"/>
          <w:szCs w:val="24"/>
        </w:rPr>
        <w:t xml:space="preserve">), resultando en </w:t>
      </w:r>
      <w:r w:rsidRPr="004D6466">
        <w:rPr>
          <w:rStyle w:val="hps"/>
          <w:rFonts w:ascii="Arial" w:hAnsi="Arial" w:cs="Arial"/>
          <w:sz w:val="24"/>
          <w:szCs w:val="24"/>
        </w:rPr>
        <w:t>un valor real</w:t>
      </w:r>
      <w:r w:rsidR="00830DFF">
        <w:rPr>
          <w:rStyle w:val="hps"/>
          <w:rFonts w:ascii="Arial" w:hAnsi="Arial" w:cs="Arial"/>
          <w:sz w:val="24"/>
          <w:szCs w:val="24"/>
        </w:rPr>
        <w:t xml:space="preserve"> </w:t>
      </w:r>
      <w:r w:rsidRPr="004D6466">
        <w:rPr>
          <w:rStyle w:val="hps"/>
          <w:rFonts w:ascii="Arial" w:hAnsi="Arial" w:cs="Arial"/>
          <w:sz w:val="24"/>
          <w:szCs w:val="24"/>
        </w:rPr>
        <w:t>de</w:t>
      </w:r>
      <w:r w:rsidR="00830DFF">
        <w:rPr>
          <w:rStyle w:val="hps"/>
          <w:rFonts w:ascii="Arial" w:hAnsi="Arial" w:cs="Arial"/>
          <w:sz w:val="24"/>
          <w:szCs w:val="24"/>
        </w:rPr>
        <w:t xml:space="preserve"> </w:t>
      </w:r>
      <w:r w:rsidRPr="004D6466">
        <w:rPr>
          <w:rStyle w:val="hps"/>
          <w:rFonts w:ascii="Arial" w:hAnsi="Arial" w:cs="Arial"/>
          <w:sz w:val="24"/>
          <w:szCs w:val="24"/>
        </w:rPr>
        <w:t>R$ 19.92 millones</w:t>
      </w:r>
      <w:r w:rsidR="00830DFF">
        <w:rPr>
          <w:rStyle w:val="hps"/>
          <w:rFonts w:ascii="Arial" w:hAnsi="Arial" w:cs="Arial"/>
          <w:sz w:val="24"/>
          <w:szCs w:val="24"/>
        </w:rPr>
        <w:t xml:space="preserve"> </w:t>
      </w:r>
      <w:r w:rsidRPr="004D6466">
        <w:rPr>
          <w:rStyle w:val="hps"/>
          <w:rFonts w:ascii="Arial" w:hAnsi="Arial" w:cs="Arial"/>
          <w:sz w:val="24"/>
          <w:szCs w:val="24"/>
        </w:rPr>
        <w:t>(9.835.580millones de dólares</w:t>
      </w:r>
      <w:r w:rsidRPr="004D6466">
        <w:rPr>
          <w:rFonts w:ascii="Arial" w:hAnsi="Arial" w:cs="Arial"/>
          <w:sz w:val="24"/>
          <w:szCs w:val="24"/>
        </w:rPr>
        <w:t xml:space="preserve">). </w:t>
      </w:r>
      <w:r w:rsidRPr="004D6466">
        <w:rPr>
          <w:rStyle w:val="hps"/>
          <w:rFonts w:ascii="Arial" w:hAnsi="Arial" w:cs="Arial"/>
          <w:sz w:val="24"/>
          <w:szCs w:val="24"/>
        </w:rPr>
        <w:t>De</w:t>
      </w:r>
      <w:r w:rsidR="00830DFF">
        <w:rPr>
          <w:rStyle w:val="hps"/>
          <w:rFonts w:ascii="Arial" w:hAnsi="Arial" w:cs="Arial"/>
          <w:sz w:val="24"/>
          <w:szCs w:val="24"/>
        </w:rPr>
        <w:t xml:space="preserve"> </w:t>
      </w:r>
      <w:r w:rsidRPr="004D6466">
        <w:rPr>
          <w:rStyle w:val="hps"/>
          <w:rFonts w:ascii="Arial" w:hAnsi="Arial" w:cs="Arial"/>
          <w:sz w:val="24"/>
          <w:szCs w:val="24"/>
        </w:rPr>
        <w:t>este valor</w:t>
      </w:r>
      <w:r w:rsidR="00830DFF">
        <w:rPr>
          <w:rStyle w:val="hps"/>
          <w:rFonts w:ascii="Arial" w:hAnsi="Arial" w:cs="Arial"/>
          <w:sz w:val="24"/>
          <w:szCs w:val="24"/>
        </w:rPr>
        <w:t xml:space="preserve"> R</w:t>
      </w:r>
      <w:r w:rsidRPr="004D6466">
        <w:rPr>
          <w:rStyle w:val="hps"/>
          <w:rFonts w:ascii="Arial" w:hAnsi="Arial" w:cs="Arial"/>
          <w:sz w:val="24"/>
          <w:szCs w:val="24"/>
        </w:rPr>
        <w:t>$13.863.839</w:t>
      </w:r>
      <w:r w:rsidRPr="004D6466">
        <w:rPr>
          <w:rFonts w:ascii="Arial" w:hAnsi="Arial" w:cs="Arial"/>
          <w:sz w:val="24"/>
          <w:szCs w:val="24"/>
        </w:rPr>
        <w:t xml:space="preserve"> ya han sido </w:t>
      </w:r>
      <w:r w:rsidRPr="004D6466">
        <w:rPr>
          <w:rStyle w:val="hps"/>
          <w:rFonts w:ascii="Arial" w:hAnsi="Arial" w:cs="Arial"/>
          <w:sz w:val="24"/>
          <w:szCs w:val="24"/>
        </w:rPr>
        <w:t>aprobados en</w:t>
      </w:r>
      <w:r w:rsidR="00830DFF">
        <w:rPr>
          <w:rStyle w:val="hps"/>
          <w:rFonts w:ascii="Arial" w:hAnsi="Arial" w:cs="Arial"/>
          <w:sz w:val="24"/>
          <w:szCs w:val="24"/>
        </w:rPr>
        <w:t xml:space="preserve"> </w:t>
      </w:r>
      <w:r w:rsidRPr="004D6466">
        <w:rPr>
          <w:rStyle w:val="hps"/>
          <w:rFonts w:ascii="Arial" w:hAnsi="Arial" w:cs="Arial"/>
          <w:sz w:val="24"/>
          <w:szCs w:val="24"/>
        </w:rPr>
        <w:t>el</w:t>
      </w:r>
      <w:r w:rsidR="00830DFF">
        <w:rPr>
          <w:rStyle w:val="hps"/>
          <w:rFonts w:ascii="Arial" w:hAnsi="Arial" w:cs="Arial"/>
          <w:sz w:val="24"/>
          <w:szCs w:val="24"/>
        </w:rPr>
        <w:t xml:space="preserve"> </w:t>
      </w:r>
      <w:r w:rsidRPr="004D6466">
        <w:rPr>
          <w:rStyle w:val="hps"/>
          <w:rFonts w:ascii="Arial" w:hAnsi="Arial" w:cs="Arial"/>
          <w:sz w:val="24"/>
          <w:szCs w:val="24"/>
        </w:rPr>
        <w:t>primer año del</w:t>
      </w:r>
      <w:r w:rsidR="00830DFF">
        <w:rPr>
          <w:rStyle w:val="hps"/>
          <w:rFonts w:ascii="Arial" w:hAnsi="Arial" w:cs="Arial"/>
          <w:sz w:val="24"/>
          <w:szCs w:val="24"/>
        </w:rPr>
        <w:t xml:space="preserve"> </w:t>
      </w:r>
      <w:r w:rsidRPr="004D6466">
        <w:rPr>
          <w:rStyle w:val="hps"/>
          <w:rFonts w:ascii="Arial" w:hAnsi="Arial" w:cs="Arial"/>
          <w:sz w:val="24"/>
          <w:szCs w:val="24"/>
        </w:rPr>
        <w:t>proyecto</w:t>
      </w:r>
      <w:r w:rsidR="00830DFF">
        <w:rPr>
          <w:rStyle w:val="hps"/>
          <w:rFonts w:ascii="Arial" w:hAnsi="Arial" w:cs="Arial"/>
          <w:sz w:val="24"/>
          <w:szCs w:val="24"/>
        </w:rPr>
        <w:t xml:space="preserve"> </w:t>
      </w:r>
      <w:r w:rsidRPr="004D6466">
        <w:rPr>
          <w:rStyle w:val="hps"/>
          <w:rFonts w:ascii="Arial" w:hAnsi="Arial" w:cs="Arial"/>
          <w:sz w:val="24"/>
          <w:szCs w:val="24"/>
        </w:rPr>
        <w:t>en 26</w:t>
      </w:r>
      <w:r w:rsidR="00830DFF">
        <w:rPr>
          <w:rStyle w:val="hps"/>
          <w:rFonts w:ascii="Arial" w:hAnsi="Arial" w:cs="Arial"/>
          <w:sz w:val="24"/>
          <w:szCs w:val="24"/>
        </w:rPr>
        <w:t xml:space="preserve"> </w:t>
      </w:r>
      <w:r w:rsidRPr="004D6466">
        <w:rPr>
          <w:rStyle w:val="hps"/>
          <w:rFonts w:ascii="Arial" w:hAnsi="Arial" w:cs="Arial"/>
          <w:sz w:val="24"/>
          <w:szCs w:val="24"/>
        </w:rPr>
        <w:t>estados.</w:t>
      </w:r>
      <w:r w:rsidR="00830DFF">
        <w:rPr>
          <w:rStyle w:val="hps"/>
          <w:rFonts w:ascii="Arial" w:hAnsi="Arial" w:cs="Arial"/>
          <w:sz w:val="24"/>
          <w:szCs w:val="24"/>
        </w:rPr>
        <w:t xml:space="preserve"> </w:t>
      </w:r>
      <w:r w:rsidRPr="004D6466">
        <w:rPr>
          <w:rStyle w:val="hps"/>
          <w:rFonts w:ascii="Arial" w:hAnsi="Arial" w:cs="Arial"/>
          <w:sz w:val="24"/>
          <w:szCs w:val="24"/>
        </w:rPr>
        <w:t>Dejando el</w:t>
      </w:r>
      <w:r w:rsidR="00830DFF">
        <w:rPr>
          <w:rStyle w:val="hps"/>
          <w:rFonts w:ascii="Arial" w:hAnsi="Arial" w:cs="Arial"/>
          <w:sz w:val="24"/>
          <w:szCs w:val="24"/>
        </w:rPr>
        <w:t xml:space="preserve"> </w:t>
      </w:r>
      <w:r w:rsidRPr="004D6466">
        <w:rPr>
          <w:rStyle w:val="hps"/>
          <w:rFonts w:ascii="Arial" w:hAnsi="Arial" w:cs="Arial"/>
          <w:sz w:val="24"/>
          <w:szCs w:val="24"/>
        </w:rPr>
        <w:t>valor</w:t>
      </w:r>
      <w:r w:rsidR="00830DFF">
        <w:rPr>
          <w:rStyle w:val="hps"/>
          <w:rFonts w:ascii="Arial" w:hAnsi="Arial" w:cs="Arial"/>
          <w:sz w:val="24"/>
          <w:szCs w:val="24"/>
        </w:rPr>
        <w:t xml:space="preserve"> </w:t>
      </w:r>
      <w:r w:rsidRPr="004D6466">
        <w:rPr>
          <w:rStyle w:val="hps"/>
          <w:rFonts w:ascii="Arial" w:hAnsi="Arial" w:cs="Arial"/>
          <w:sz w:val="24"/>
          <w:szCs w:val="24"/>
        </w:rPr>
        <w:t>de</w:t>
      </w:r>
      <w:r w:rsidR="00830DFF">
        <w:rPr>
          <w:rStyle w:val="hps"/>
          <w:rFonts w:ascii="Arial" w:hAnsi="Arial" w:cs="Arial"/>
          <w:sz w:val="24"/>
          <w:szCs w:val="24"/>
        </w:rPr>
        <w:t xml:space="preserve"> R</w:t>
      </w:r>
      <w:r w:rsidRPr="004D6466">
        <w:rPr>
          <w:rStyle w:val="hps"/>
          <w:rFonts w:ascii="Arial" w:hAnsi="Arial" w:cs="Arial"/>
          <w:sz w:val="24"/>
          <w:szCs w:val="24"/>
        </w:rPr>
        <w:t>$6.056.160 para ser distribuido utilizando los</w:t>
      </w:r>
      <w:r w:rsidR="00830DFF">
        <w:rPr>
          <w:rStyle w:val="hps"/>
          <w:rFonts w:ascii="Arial" w:hAnsi="Arial" w:cs="Arial"/>
          <w:sz w:val="24"/>
          <w:szCs w:val="24"/>
        </w:rPr>
        <w:t xml:space="preserve"> </w:t>
      </w:r>
      <w:r w:rsidRPr="004D6466">
        <w:rPr>
          <w:rStyle w:val="hps"/>
          <w:rFonts w:ascii="Arial" w:hAnsi="Arial" w:cs="Arial"/>
          <w:sz w:val="24"/>
          <w:szCs w:val="24"/>
        </w:rPr>
        <w:t>siguientes</w:t>
      </w:r>
      <w:r w:rsidR="00830DFF">
        <w:rPr>
          <w:rStyle w:val="hps"/>
          <w:rFonts w:ascii="Arial" w:hAnsi="Arial" w:cs="Arial"/>
          <w:sz w:val="24"/>
          <w:szCs w:val="24"/>
        </w:rPr>
        <w:t xml:space="preserve"> </w:t>
      </w:r>
      <w:r w:rsidRPr="004D6466">
        <w:rPr>
          <w:rStyle w:val="hps"/>
          <w:rFonts w:ascii="Arial" w:hAnsi="Arial" w:cs="Arial"/>
          <w:sz w:val="24"/>
          <w:szCs w:val="24"/>
        </w:rPr>
        <w:t>criterios de distribución</w:t>
      </w:r>
      <w:r w:rsidR="00830DFF">
        <w:rPr>
          <w:rStyle w:val="hps"/>
          <w:rFonts w:ascii="Arial" w:hAnsi="Arial" w:cs="Arial"/>
          <w:sz w:val="24"/>
          <w:szCs w:val="24"/>
        </w:rPr>
        <w:t xml:space="preserve"> </w:t>
      </w:r>
      <w:r w:rsidRPr="004D6466">
        <w:rPr>
          <w:rStyle w:val="hps"/>
          <w:rFonts w:ascii="Arial" w:hAnsi="Arial" w:cs="Arial"/>
          <w:sz w:val="24"/>
          <w:szCs w:val="24"/>
        </w:rPr>
        <w:t>y sólo se</w:t>
      </w:r>
      <w:r w:rsidR="00830DFF">
        <w:rPr>
          <w:rStyle w:val="hps"/>
          <w:rFonts w:ascii="Arial" w:hAnsi="Arial" w:cs="Arial"/>
          <w:sz w:val="24"/>
          <w:szCs w:val="24"/>
        </w:rPr>
        <w:t xml:space="preserve"> </w:t>
      </w:r>
      <w:r w:rsidRPr="004D6466">
        <w:rPr>
          <w:rStyle w:val="hps"/>
          <w:rFonts w:ascii="Arial" w:hAnsi="Arial" w:cs="Arial"/>
          <w:sz w:val="24"/>
          <w:szCs w:val="24"/>
        </w:rPr>
        <w:t>pasa</w:t>
      </w:r>
      <w:r w:rsidR="00830DFF">
        <w:rPr>
          <w:rStyle w:val="hps"/>
          <w:rFonts w:ascii="Arial" w:hAnsi="Arial" w:cs="Arial"/>
          <w:sz w:val="24"/>
          <w:szCs w:val="24"/>
        </w:rPr>
        <w:t xml:space="preserve"> </w:t>
      </w:r>
      <w:r w:rsidRPr="004D6466">
        <w:rPr>
          <w:rStyle w:val="hps"/>
          <w:rFonts w:ascii="Arial" w:hAnsi="Arial" w:cs="Arial"/>
          <w:sz w:val="24"/>
          <w:szCs w:val="24"/>
        </w:rPr>
        <w:t>después de la confirmación</w:t>
      </w:r>
      <w:r w:rsidR="00830DFF">
        <w:rPr>
          <w:rStyle w:val="hps"/>
          <w:rFonts w:ascii="Arial" w:hAnsi="Arial" w:cs="Arial"/>
          <w:sz w:val="24"/>
          <w:szCs w:val="24"/>
        </w:rPr>
        <w:t xml:space="preserve"> </w:t>
      </w:r>
      <w:r w:rsidRPr="004D6466">
        <w:rPr>
          <w:rStyle w:val="hps"/>
          <w:rFonts w:ascii="Arial" w:hAnsi="Arial" w:cs="Arial"/>
          <w:sz w:val="24"/>
          <w:szCs w:val="24"/>
        </w:rPr>
        <w:t>de</w:t>
      </w:r>
      <w:r w:rsidR="00830DFF">
        <w:rPr>
          <w:rStyle w:val="hps"/>
          <w:rFonts w:ascii="Arial" w:hAnsi="Arial" w:cs="Arial"/>
          <w:sz w:val="24"/>
          <w:szCs w:val="24"/>
        </w:rPr>
        <w:t xml:space="preserve"> </w:t>
      </w:r>
      <w:r w:rsidRPr="004D6466">
        <w:rPr>
          <w:rStyle w:val="hps"/>
          <w:rFonts w:ascii="Arial" w:hAnsi="Arial" w:cs="Arial"/>
          <w:sz w:val="24"/>
          <w:szCs w:val="24"/>
        </w:rPr>
        <w:t>la</w:t>
      </w:r>
      <w:r w:rsidR="00830DFF">
        <w:rPr>
          <w:rStyle w:val="hps"/>
          <w:rFonts w:ascii="Arial" w:hAnsi="Arial" w:cs="Arial"/>
          <w:sz w:val="24"/>
          <w:szCs w:val="24"/>
        </w:rPr>
        <w:t xml:space="preserve"> </w:t>
      </w:r>
      <w:r w:rsidRPr="004D6466">
        <w:rPr>
          <w:rStyle w:val="hps"/>
          <w:rFonts w:ascii="Arial" w:hAnsi="Arial" w:cs="Arial"/>
          <w:sz w:val="24"/>
          <w:szCs w:val="24"/>
        </w:rPr>
        <w:t>ejecución de al menos</w:t>
      </w:r>
      <w:r w:rsidR="00830DFF">
        <w:rPr>
          <w:rStyle w:val="hps"/>
          <w:rFonts w:ascii="Arial" w:hAnsi="Arial" w:cs="Arial"/>
          <w:sz w:val="24"/>
          <w:szCs w:val="24"/>
        </w:rPr>
        <w:t xml:space="preserve"> </w:t>
      </w:r>
      <w:r w:rsidRPr="004D6466">
        <w:rPr>
          <w:rStyle w:val="hps"/>
          <w:rFonts w:ascii="Arial" w:hAnsi="Arial" w:cs="Arial"/>
          <w:sz w:val="24"/>
          <w:szCs w:val="24"/>
        </w:rPr>
        <w:t>50</w:t>
      </w:r>
      <w:r w:rsidRPr="004D6466">
        <w:rPr>
          <w:rFonts w:ascii="Arial" w:hAnsi="Arial" w:cs="Arial"/>
          <w:sz w:val="24"/>
          <w:szCs w:val="24"/>
        </w:rPr>
        <w:t xml:space="preserve">% del </w:t>
      </w:r>
      <w:r w:rsidRPr="004D6466">
        <w:rPr>
          <w:rStyle w:val="hps"/>
          <w:rFonts w:ascii="Arial" w:hAnsi="Arial" w:cs="Arial"/>
          <w:sz w:val="24"/>
          <w:szCs w:val="24"/>
        </w:rPr>
        <w:t>límite financiero</w:t>
      </w:r>
      <w:r w:rsidR="00830DFF">
        <w:rPr>
          <w:rStyle w:val="hps"/>
          <w:rFonts w:ascii="Arial" w:hAnsi="Arial" w:cs="Arial"/>
          <w:sz w:val="24"/>
          <w:szCs w:val="24"/>
        </w:rPr>
        <w:t xml:space="preserve"> </w:t>
      </w:r>
      <w:r w:rsidRPr="004D6466">
        <w:rPr>
          <w:rStyle w:val="hps"/>
          <w:rFonts w:ascii="Arial" w:hAnsi="Arial" w:cs="Arial"/>
          <w:sz w:val="24"/>
          <w:szCs w:val="24"/>
        </w:rPr>
        <w:t>inicial:</w:t>
      </w:r>
    </w:p>
    <w:p w:rsidR="00A66191" w:rsidRPr="004D6466" w:rsidRDefault="00A66191" w:rsidP="00A66191">
      <w:pPr>
        <w:pStyle w:val="Sinespaciado"/>
        <w:numPr>
          <w:ilvl w:val="0"/>
          <w:numId w:val="33"/>
        </w:numPr>
        <w:spacing w:line="360" w:lineRule="auto"/>
        <w:rPr>
          <w:rFonts w:ascii="Arial" w:hAnsi="Arial" w:cs="Arial"/>
          <w:sz w:val="24"/>
          <w:szCs w:val="24"/>
        </w:rPr>
      </w:pPr>
      <w:r w:rsidRPr="004D6466">
        <w:rPr>
          <w:rStyle w:val="hps"/>
          <w:rFonts w:ascii="Arial" w:hAnsi="Arial" w:cs="Arial"/>
          <w:b/>
          <w:sz w:val="24"/>
          <w:szCs w:val="24"/>
        </w:rPr>
        <w:t xml:space="preserve">Monto fijo </w:t>
      </w:r>
    </w:p>
    <w:p w:rsidR="00A66191" w:rsidRPr="004D6466" w:rsidRDefault="00A66191" w:rsidP="00A66191">
      <w:pPr>
        <w:pStyle w:val="Sinespaciado"/>
        <w:spacing w:line="360" w:lineRule="auto"/>
        <w:rPr>
          <w:rFonts w:ascii="Arial" w:hAnsi="Arial" w:cs="Arial"/>
          <w:sz w:val="24"/>
          <w:szCs w:val="24"/>
        </w:rPr>
      </w:pPr>
      <w:r w:rsidRPr="004D6466">
        <w:rPr>
          <w:rStyle w:val="hps"/>
          <w:rFonts w:ascii="Arial" w:hAnsi="Arial" w:cs="Arial"/>
          <w:sz w:val="24"/>
          <w:szCs w:val="24"/>
        </w:rPr>
        <w:t>El 50</w:t>
      </w:r>
      <w:r w:rsidRPr="004D6466">
        <w:rPr>
          <w:rFonts w:ascii="Arial" w:hAnsi="Arial" w:cs="Arial"/>
          <w:sz w:val="24"/>
          <w:szCs w:val="24"/>
        </w:rPr>
        <w:t xml:space="preserve">% distribuido </w:t>
      </w:r>
      <w:r w:rsidRPr="004D6466">
        <w:rPr>
          <w:rStyle w:val="hps"/>
          <w:rFonts w:ascii="Arial" w:hAnsi="Arial" w:cs="Arial"/>
          <w:sz w:val="24"/>
          <w:szCs w:val="24"/>
        </w:rPr>
        <w:t>en partes iguales entre</w:t>
      </w:r>
      <w:r w:rsidR="00830DFF">
        <w:rPr>
          <w:rStyle w:val="hps"/>
          <w:rFonts w:ascii="Arial" w:hAnsi="Arial" w:cs="Arial"/>
          <w:sz w:val="24"/>
          <w:szCs w:val="24"/>
        </w:rPr>
        <w:t xml:space="preserve"> </w:t>
      </w:r>
      <w:r w:rsidRPr="004D6466">
        <w:rPr>
          <w:rStyle w:val="hps"/>
          <w:rFonts w:ascii="Arial" w:hAnsi="Arial" w:cs="Arial"/>
          <w:sz w:val="24"/>
          <w:szCs w:val="24"/>
        </w:rPr>
        <w:t>los 26</w:t>
      </w:r>
      <w:r w:rsidR="00830DFF">
        <w:rPr>
          <w:rStyle w:val="hps"/>
          <w:rFonts w:ascii="Arial" w:hAnsi="Arial" w:cs="Arial"/>
          <w:sz w:val="24"/>
          <w:szCs w:val="24"/>
        </w:rPr>
        <w:t xml:space="preserve"> </w:t>
      </w:r>
      <w:r w:rsidRPr="004D6466">
        <w:rPr>
          <w:rStyle w:val="hps"/>
          <w:rFonts w:ascii="Arial" w:hAnsi="Arial" w:cs="Arial"/>
          <w:sz w:val="24"/>
          <w:szCs w:val="24"/>
        </w:rPr>
        <w:t>estados brasileños</w:t>
      </w:r>
      <w:r w:rsidR="00830DFF">
        <w:rPr>
          <w:rStyle w:val="hps"/>
          <w:rFonts w:ascii="Arial" w:hAnsi="Arial" w:cs="Arial"/>
          <w:sz w:val="24"/>
          <w:szCs w:val="24"/>
        </w:rPr>
        <w:t xml:space="preserve"> </w:t>
      </w:r>
      <w:r w:rsidRPr="004D6466">
        <w:rPr>
          <w:rStyle w:val="hps"/>
          <w:rFonts w:ascii="Arial" w:hAnsi="Arial" w:cs="Arial"/>
          <w:sz w:val="24"/>
          <w:szCs w:val="24"/>
        </w:rPr>
        <w:t>y en el Distrito</w:t>
      </w:r>
      <w:r w:rsidR="00830DFF">
        <w:rPr>
          <w:rStyle w:val="hps"/>
          <w:rFonts w:ascii="Arial" w:hAnsi="Arial" w:cs="Arial"/>
          <w:sz w:val="24"/>
          <w:szCs w:val="24"/>
        </w:rPr>
        <w:t xml:space="preserve"> </w:t>
      </w:r>
      <w:r w:rsidRPr="004D6466">
        <w:rPr>
          <w:rStyle w:val="hps"/>
          <w:rFonts w:ascii="Arial" w:hAnsi="Arial" w:cs="Arial"/>
          <w:sz w:val="24"/>
          <w:szCs w:val="24"/>
        </w:rPr>
        <w:t>Federal.</w:t>
      </w:r>
    </w:p>
    <w:p w:rsidR="00A66191" w:rsidRPr="004D6466" w:rsidRDefault="00A66191" w:rsidP="00A66191">
      <w:pPr>
        <w:pStyle w:val="Sinespaciado"/>
        <w:numPr>
          <w:ilvl w:val="0"/>
          <w:numId w:val="33"/>
        </w:numPr>
        <w:spacing w:line="360" w:lineRule="auto"/>
        <w:rPr>
          <w:rFonts w:ascii="Arial" w:hAnsi="Arial" w:cs="Arial"/>
          <w:sz w:val="24"/>
          <w:szCs w:val="24"/>
        </w:rPr>
      </w:pPr>
      <w:r w:rsidRPr="004D6466">
        <w:rPr>
          <w:rStyle w:val="hps"/>
          <w:rFonts w:ascii="Arial" w:hAnsi="Arial" w:cs="Arial"/>
          <w:b/>
          <w:sz w:val="24"/>
          <w:szCs w:val="24"/>
        </w:rPr>
        <w:t>Monto Variable</w:t>
      </w:r>
    </w:p>
    <w:p w:rsidR="00A66191" w:rsidRPr="004D6466" w:rsidRDefault="00A66191" w:rsidP="00A66191">
      <w:pPr>
        <w:pStyle w:val="Sinespaciado"/>
        <w:spacing w:line="360" w:lineRule="auto"/>
        <w:rPr>
          <w:rFonts w:ascii="Arial" w:hAnsi="Arial" w:cs="Arial"/>
          <w:sz w:val="24"/>
          <w:szCs w:val="24"/>
        </w:rPr>
      </w:pPr>
      <w:r w:rsidRPr="004D6466">
        <w:rPr>
          <w:rStyle w:val="hps"/>
          <w:rFonts w:ascii="Arial" w:hAnsi="Arial" w:cs="Arial"/>
          <w:sz w:val="24"/>
          <w:szCs w:val="24"/>
        </w:rPr>
        <w:t>25</w:t>
      </w:r>
      <w:r w:rsidRPr="004D6466">
        <w:rPr>
          <w:rFonts w:ascii="Arial" w:hAnsi="Arial" w:cs="Arial"/>
          <w:sz w:val="24"/>
          <w:szCs w:val="24"/>
        </w:rPr>
        <w:t xml:space="preserve">%  </w:t>
      </w:r>
      <w:r w:rsidRPr="004D6466">
        <w:rPr>
          <w:rStyle w:val="hps"/>
          <w:rFonts w:ascii="Arial" w:hAnsi="Arial" w:cs="Arial"/>
          <w:sz w:val="24"/>
          <w:szCs w:val="24"/>
        </w:rPr>
        <w:t>de acuerdo con</w:t>
      </w:r>
      <w:r w:rsidR="00830DFF">
        <w:rPr>
          <w:rStyle w:val="hps"/>
          <w:rFonts w:ascii="Arial" w:hAnsi="Arial" w:cs="Arial"/>
          <w:sz w:val="24"/>
          <w:szCs w:val="24"/>
        </w:rPr>
        <w:t xml:space="preserve"> </w:t>
      </w:r>
      <w:r w:rsidRPr="004D6466">
        <w:rPr>
          <w:rStyle w:val="hps"/>
          <w:rFonts w:ascii="Arial" w:hAnsi="Arial" w:cs="Arial"/>
          <w:sz w:val="24"/>
          <w:szCs w:val="24"/>
        </w:rPr>
        <w:t>el</w:t>
      </w:r>
      <w:r w:rsidR="00830DFF">
        <w:rPr>
          <w:rStyle w:val="hps"/>
          <w:rFonts w:ascii="Arial" w:hAnsi="Arial" w:cs="Arial"/>
          <w:sz w:val="24"/>
          <w:szCs w:val="24"/>
        </w:rPr>
        <w:t xml:space="preserve"> </w:t>
      </w:r>
      <w:r w:rsidRPr="004D6466">
        <w:rPr>
          <w:rStyle w:val="hps"/>
          <w:rFonts w:ascii="Arial" w:hAnsi="Arial" w:cs="Arial"/>
          <w:sz w:val="24"/>
          <w:szCs w:val="24"/>
        </w:rPr>
        <w:t>tamaño de la población</w:t>
      </w:r>
      <w:r w:rsidR="00830DFF">
        <w:rPr>
          <w:rStyle w:val="hps"/>
          <w:rFonts w:ascii="Arial" w:hAnsi="Arial" w:cs="Arial"/>
          <w:sz w:val="24"/>
          <w:szCs w:val="24"/>
        </w:rPr>
        <w:t xml:space="preserve"> de cada </w:t>
      </w:r>
      <w:r w:rsidRPr="004D6466">
        <w:rPr>
          <w:rStyle w:val="hps"/>
          <w:rFonts w:ascii="Arial" w:hAnsi="Arial" w:cs="Arial"/>
          <w:sz w:val="24"/>
          <w:szCs w:val="24"/>
        </w:rPr>
        <w:t>Unidad Federal</w:t>
      </w:r>
    </w:p>
    <w:p w:rsidR="00A66191" w:rsidRPr="004D6466" w:rsidRDefault="00A66191" w:rsidP="00A66191">
      <w:pPr>
        <w:pStyle w:val="Sinespaciado"/>
        <w:spacing w:line="360" w:lineRule="auto"/>
        <w:rPr>
          <w:rStyle w:val="hps"/>
          <w:rFonts w:ascii="Arial" w:hAnsi="Arial" w:cs="Arial"/>
          <w:sz w:val="24"/>
          <w:szCs w:val="24"/>
        </w:rPr>
      </w:pPr>
      <w:r w:rsidRPr="004D6466">
        <w:rPr>
          <w:rStyle w:val="hps"/>
          <w:rFonts w:ascii="Arial" w:hAnsi="Arial" w:cs="Arial"/>
          <w:sz w:val="24"/>
          <w:szCs w:val="24"/>
        </w:rPr>
        <w:t>25</w:t>
      </w:r>
      <w:r w:rsidRPr="004D6466">
        <w:rPr>
          <w:rFonts w:ascii="Arial" w:hAnsi="Arial" w:cs="Arial"/>
          <w:sz w:val="24"/>
          <w:szCs w:val="24"/>
        </w:rPr>
        <w:t xml:space="preserve">% - </w:t>
      </w:r>
      <w:r w:rsidRPr="004D6466">
        <w:rPr>
          <w:rStyle w:val="hps"/>
          <w:rFonts w:ascii="Arial" w:hAnsi="Arial" w:cs="Arial"/>
          <w:sz w:val="24"/>
          <w:szCs w:val="24"/>
        </w:rPr>
        <w:t>a partir del análisis</w:t>
      </w:r>
      <w:r w:rsidR="00830DFF">
        <w:rPr>
          <w:rStyle w:val="hps"/>
          <w:rFonts w:ascii="Arial" w:hAnsi="Arial" w:cs="Arial"/>
          <w:sz w:val="24"/>
          <w:szCs w:val="24"/>
        </w:rPr>
        <w:t xml:space="preserve"> </w:t>
      </w:r>
      <w:r w:rsidRPr="004D6466">
        <w:rPr>
          <w:rStyle w:val="hps"/>
          <w:rFonts w:ascii="Arial" w:hAnsi="Arial" w:cs="Arial"/>
          <w:sz w:val="24"/>
          <w:szCs w:val="24"/>
        </w:rPr>
        <w:t>reflexivo</w:t>
      </w:r>
      <w:r w:rsidR="00830DFF">
        <w:rPr>
          <w:rStyle w:val="hps"/>
          <w:rFonts w:ascii="Arial" w:hAnsi="Arial" w:cs="Arial"/>
          <w:sz w:val="24"/>
          <w:szCs w:val="24"/>
        </w:rPr>
        <w:t xml:space="preserve"> </w:t>
      </w:r>
      <w:r w:rsidRPr="004D6466">
        <w:rPr>
          <w:rStyle w:val="hps"/>
          <w:rFonts w:ascii="Arial" w:hAnsi="Arial" w:cs="Arial"/>
          <w:sz w:val="24"/>
          <w:szCs w:val="24"/>
        </w:rPr>
        <w:t>de tres</w:t>
      </w:r>
      <w:r w:rsidR="00830DFF">
        <w:rPr>
          <w:rStyle w:val="hps"/>
          <w:rFonts w:ascii="Arial" w:hAnsi="Arial" w:cs="Arial"/>
          <w:sz w:val="24"/>
          <w:szCs w:val="24"/>
        </w:rPr>
        <w:t xml:space="preserve"> </w:t>
      </w:r>
      <w:r w:rsidRPr="004D6466">
        <w:rPr>
          <w:rStyle w:val="hps"/>
          <w:rFonts w:ascii="Arial" w:hAnsi="Arial" w:cs="Arial"/>
          <w:sz w:val="24"/>
          <w:szCs w:val="24"/>
        </w:rPr>
        <w:t>variables:</w:t>
      </w:r>
    </w:p>
    <w:p w:rsidR="00A66191" w:rsidRPr="004D6466" w:rsidRDefault="00A66191" w:rsidP="00A66191">
      <w:pPr>
        <w:pStyle w:val="Sinespaciado"/>
        <w:spacing w:line="360" w:lineRule="auto"/>
        <w:rPr>
          <w:rStyle w:val="hps"/>
          <w:rFonts w:ascii="Arial" w:hAnsi="Arial" w:cs="Arial"/>
          <w:sz w:val="24"/>
          <w:szCs w:val="24"/>
        </w:rPr>
      </w:pPr>
      <w:r w:rsidRPr="004D6466">
        <w:rPr>
          <w:rStyle w:val="hps"/>
          <w:rFonts w:ascii="Arial" w:hAnsi="Arial" w:cs="Arial"/>
          <w:sz w:val="24"/>
          <w:szCs w:val="24"/>
        </w:rPr>
        <w:t>Densidad de población</w:t>
      </w:r>
      <w:r w:rsidR="00830DFF">
        <w:rPr>
          <w:rStyle w:val="hps"/>
          <w:rFonts w:ascii="Arial" w:hAnsi="Arial" w:cs="Arial"/>
          <w:sz w:val="24"/>
          <w:szCs w:val="24"/>
        </w:rPr>
        <w:t xml:space="preserve"> </w:t>
      </w:r>
      <w:r w:rsidRPr="004D6466">
        <w:rPr>
          <w:rStyle w:val="hps"/>
          <w:rFonts w:ascii="Arial" w:hAnsi="Arial" w:cs="Arial"/>
          <w:sz w:val="24"/>
          <w:szCs w:val="24"/>
        </w:rPr>
        <w:t>del participante</w:t>
      </w:r>
    </w:p>
    <w:p w:rsidR="00A66191" w:rsidRPr="004D6466" w:rsidRDefault="00A66191" w:rsidP="00A66191">
      <w:pPr>
        <w:pStyle w:val="Sinespaciado"/>
        <w:spacing w:line="360" w:lineRule="auto"/>
        <w:rPr>
          <w:rFonts w:ascii="Arial" w:hAnsi="Arial" w:cs="Arial"/>
          <w:sz w:val="24"/>
          <w:szCs w:val="24"/>
        </w:rPr>
      </w:pPr>
      <w:r w:rsidRPr="004D6466">
        <w:rPr>
          <w:rStyle w:val="hps"/>
          <w:rFonts w:ascii="Arial" w:hAnsi="Arial" w:cs="Arial"/>
          <w:sz w:val="24"/>
          <w:szCs w:val="24"/>
        </w:rPr>
        <w:t xml:space="preserve"> Índice de Desarrollo Humano</w:t>
      </w:r>
      <w:r w:rsidR="00830DFF">
        <w:rPr>
          <w:rStyle w:val="hps"/>
          <w:rFonts w:ascii="Arial" w:hAnsi="Arial" w:cs="Arial"/>
          <w:sz w:val="24"/>
          <w:szCs w:val="24"/>
        </w:rPr>
        <w:t xml:space="preserve"> </w:t>
      </w:r>
      <w:r w:rsidRPr="004D6466">
        <w:rPr>
          <w:rStyle w:val="hps"/>
          <w:rFonts w:ascii="Arial" w:hAnsi="Arial" w:cs="Arial"/>
          <w:sz w:val="24"/>
          <w:szCs w:val="24"/>
        </w:rPr>
        <w:t>(IDH)</w:t>
      </w:r>
      <w:r w:rsidR="00830DFF">
        <w:rPr>
          <w:rStyle w:val="hps"/>
          <w:rFonts w:ascii="Arial" w:hAnsi="Arial" w:cs="Arial"/>
          <w:sz w:val="24"/>
          <w:szCs w:val="24"/>
        </w:rPr>
        <w:t xml:space="preserve"> </w:t>
      </w:r>
      <w:r w:rsidRPr="004D6466">
        <w:rPr>
          <w:rStyle w:val="hps"/>
          <w:rFonts w:ascii="Arial" w:hAnsi="Arial" w:cs="Arial"/>
          <w:sz w:val="24"/>
          <w:szCs w:val="24"/>
        </w:rPr>
        <w:t>del participante,</w:t>
      </w:r>
      <w:r w:rsidR="00830DFF">
        <w:rPr>
          <w:rStyle w:val="hps"/>
          <w:rFonts w:ascii="Arial" w:hAnsi="Arial" w:cs="Arial"/>
          <w:sz w:val="24"/>
          <w:szCs w:val="24"/>
        </w:rPr>
        <w:t xml:space="preserve"> </w:t>
      </w:r>
      <w:r w:rsidRPr="004D6466">
        <w:rPr>
          <w:rStyle w:val="hps"/>
          <w:rFonts w:ascii="Arial" w:hAnsi="Arial" w:cs="Arial"/>
          <w:sz w:val="24"/>
          <w:szCs w:val="24"/>
        </w:rPr>
        <w:t>y</w:t>
      </w:r>
    </w:p>
    <w:p w:rsidR="00A66191" w:rsidRPr="004D6466" w:rsidRDefault="00A66191" w:rsidP="00A66191">
      <w:pPr>
        <w:rPr>
          <w:rFonts w:ascii="Arial" w:hAnsi="Arial" w:cs="Arial"/>
          <w:sz w:val="24"/>
          <w:szCs w:val="24"/>
        </w:rPr>
      </w:pPr>
      <w:r w:rsidRPr="004D6466">
        <w:rPr>
          <w:rStyle w:val="hps"/>
          <w:rFonts w:ascii="Arial" w:hAnsi="Arial" w:cs="Arial"/>
          <w:sz w:val="24"/>
          <w:szCs w:val="24"/>
        </w:rPr>
        <w:t>Porcentaje</w:t>
      </w:r>
      <w:r w:rsidR="00830DFF">
        <w:rPr>
          <w:rStyle w:val="hps"/>
          <w:rFonts w:ascii="Arial" w:hAnsi="Arial" w:cs="Arial"/>
          <w:sz w:val="24"/>
          <w:szCs w:val="24"/>
        </w:rPr>
        <w:t xml:space="preserve"> </w:t>
      </w:r>
      <w:r w:rsidRPr="004D6466">
        <w:rPr>
          <w:rStyle w:val="hps"/>
          <w:rFonts w:ascii="Arial" w:hAnsi="Arial" w:cs="Arial"/>
          <w:sz w:val="24"/>
          <w:szCs w:val="24"/>
        </w:rPr>
        <w:t>de</w:t>
      </w:r>
      <w:r w:rsidR="00830DFF">
        <w:rPr>
          <w:rStyle w:val="hps"/>
          <w:rFonts w:ascii="Arial" w:hAnsi="Arial" w:cs="Arial"/>
          <w:sz w:val="24"/>
          <w:szCs w:val="24"/>
        </w:rPr>
        <w:t xml:space="preserve"> </w:t>
      </w:r>
      <w:r w:rsidRPr="004D6466">
        <w:rPr>
          <w:rStyle w:val="hps"/>
          <w:rFonts w:ascii="Arial" w:hAnsi="Arial" w:cs="Arial"/>
          <w:sz w:val="24"/>
          <w:szCs w:val="24"/>
        </w:rPr>
        <w:t>ejecución financiera</w:t>
      </w:r>
      <w:r w:rsidR="00830DFF">
        <w:rPr>
          <w:rStyle w:val="hps"/>
          <w:rFonts w:ascii="Arial" w:hAnsi="Arial" w:cs="Arial"/>
          <w:sz w:val="24"/>
          <w:szCs w:val="24"/>
        </w:rPr>
        <w:t xml:space="preserve"> </w:t>
      </w:r>
      <w:r w:rsidRPr="004D6466">
        <w:rPr>
          <w:rStyle w:val="hps"/>
          <w:rFonts w:ascii="Arial" w:hAnsi="Arial" w:cs="Arial"/>
          <w:sz w:val="24"/>
          <w:szCs w:val="24"/>
        </w:rPr>
        <w:t>en</w:t>
      </w:r>
      <w:r w:rsidR="00830DFF">
        <w:rPr>
          <w:rStyle w:val="hps"/>
          <w:rFonts w:ascii="Arial" w:hAnsi="Arial" w:cs="Arial"/>
          <w:sz w:val="24"/>
          <w:szCs w:val="24"/>
        </w:rPr>
        <w:t xml:space="preserve"> </w:t>
      </w:r>
      <w:r w:rsidRPr="004D6466">
        <w:rPr>
          <w:rStyle w:val="hps"/>
          <w:rFonts w:ascii="Arial" w:hAnsi="Arial" w:cs="Arial"/>
          <w:sz w:val="24"/>
          <w:szCs w:val="24"/>
        </w:rPr>
        <w:t>PROESF- Fase 1</w:t>
      </w:r>
    </w:p>
    <w:p w:rsidR="00A66191" w:rsidRPr="004D6466" w:rsidRDefault="00A66191" w:rsidP="00A66191">
      <w:pPr>
        <w:spacing w:line="360" w:lineRule="auto"/>
        <w:jc w:val="both"/>
        <w:rPr>
          <w:rFonts w:ascii="Arial" w:hAnsi="Arial" w:cs="Arial"/>
          <w:b/>
          <w:sz w:val="24"/>
          <w:szCs w:val="24"/>
        </w:rPr>
      </w:pPr>
      <w:r w:rsidRPr="004D6466">
        <w:rPr>
          <w:rFonts w:ascii="Arial" w:hAnsi="Arial" w:cs="Arial"/>
          <w:b/>
          <w:sz w:val="24"/>
          <w:szCs w:val="24"/>
        </w:rPr>
        <w:t>Resultados del “Proyecto de Expansión y consolidación de la Salud de la Familia- PROESF”</w:t>
      </w:r>
    </w:p>
    <w:p w:rsidR="00A66191" w:rsidRPr="004D6466" w:rsidRDefault="00A66191" w:rsidP="00A66191">
      <w:pPr>
        <w:spacing w:line="360" w:lineRule="auto"/>
        <w:jc w:val="both"/>
        <w:rPr>
          <w:rFonts w:ascii="Arial" w:hAnsi="Arial" w:cs="Arial"/>
          <w:sz w:val="24"/>
          <w:szCs w:val="24"/>
        </w:rPr>
      </w:pPr>
      <w:r w:rsidRPr="004D6466">
        <w:rPr>
          <w:rFonts w:ascii="Arial" w:hAnsi="Arial" w:cs="Arial"/>
          <w:sz w:val="24"/>
          <w:szCs w:val="24"/>
        </w:rPr>
        <w:t>El grupo de 187 municipios que participaron en la Fase 1 demostró un aumento del 43% en el número de Equipos de Salud de la Familia (ESF) desplegado desde diciembre de 2003 hasta junio 2007, ampliando la cobertura promedio de 25,7 % a 34,4% durante este período. Esta expansión fue más intensa en el primer año de ejecución (2004).</w:t>
      </w:r>
    </w:p>
    <w:p w:rsidR="00A66191" w:rsidRPr="004D6466" w:rsidRDefault="00A66191" w:rsidP="00A66191">
      <w:pPr>
        <w:spacing w:line="360" w:lineRule="auto"/>
        <w:jc w:val="both"/>
        <w:rPr>
          <w:rStyle w:val="hps"/>
          <w:rFonts w:ascii="Arial" w:hAnsi="Arial" w:cs="Arial"/>
          <w:sz w:val="24"/>
          <w:szCs w:val="24"/>
        </w:rPr>
      </w:pPr>
    </w:p>
    <w:p w:rsidR="00A66191" w:rsidRPr="004D6466" w:rsidRDefault="00A66191" w:rsidP="00A66191">
      <w:pPr>
        <w:jc w:val="both"/>
        <w:rPr>
          <w:rFonts w:ascii="Arial" w:hAnsi="Arial" w:cs="Arial"/>
          <w:b/>
          <w:i/>
          <w:sz w:val="24"/>
          <w:szCs w:val="24"/>
        </w:rPr>
      </w:pPr>
      <w:r w:rsidRPr="004D6466">
        <w:rPr>
          <w:rFonts w:ascii="Arial" w:hAnsi="Arial" w:cs="Arial"/>
          <w:b/>
          <w:i/>
          <w:sz w:val="24"/>
          <w:szCs w:val="24"/>
        </w:rPr>
        <w:lastRenderedPageBreak/>
        <w:t>3.3.3 “Sistema Único de Salud (SUS)”</w:t>
      </w:r>
    </w:p>
    <w:p w:rsidR="00A66191" w:rsidRPr="004D6466" w:rsidRDefault="00A66191" w:rsidP="00A66191">
      <w:pPr>
        <w:spacing w:line="360" w:lineRule="auto"/>
        <w:jc w:val="both"/>
        <w:rPr>
          <w:rFonts w:ascii="Arial" w:eastAsia="ArialMT" w:hAnsi="Arial" w:cs="Arial"/>
          <w:sz w:val="24"/>
          <w:szCs w:val="24"/>
        </w:rPr>
      </w:pPr>
      <w:r w:rsidRPr="004D6466">
        <w:rPr>
          <w:rFonts w:ascii="Arial" w:hAnsi="Arial" w:cs="Arial"/>
          <w:sz w:val="24"/>
          <w:szCs w:val="24"/>
        </w:rPr>
        <w:t xml:space="preserve">Si bien el Sistema Único de Salud (SUS), se creó originalmente en 1988, </w:t>
      </w:r>
      <w:r w:rsidRPr="004D6466">
        <w:rPr>
          <w:rFonts w:ascii="Arial" w:eastAsia="ArialMT" w:hAnsi="Arial" w:cs="Arial"/>
          <w:sz w:val="24"/>
          <w:szCs w:val="24"/>
        </w:rPr>
        <w:t>desde la primera presidencia de Luis Ignacio Lula da Silva (2003-2007), se logró fortalecer el carácter universal del acceso a la salud, entendido como que todos los ciudadanos sin excepción deben estar incluidos en alguna parte del Sistema Único de Salud.</w:t>
      </w:r>
    </w:p>
    <w:p w:rsidR="00A66191" w:rsidRPr="004D6466" w:rsidRDefault="00A66191" w:rsidP="00A66191">
      <w:pPr>
        <w:spacing w:line="360" w:lineRule="auto"/>
        <w:jc w:val="both"/>
        <w:rPr>
          <w:rFonts w:ascii="Arial" w:eastAsia="ArialMT" w:hAnsi="Arial" w:cs="Arial"/>
          <w:sz w:val="24"/>
          <w:szCs w:val="24"/>
        </w:rPr>
      </w:pPr>
      <w:r w:rsidRPr="004D6466">
        <w:rPr>
          <w:rFonts w:ascii="Arial" w:eastAsia="ArialMT" w:hAnsi="Arial" w:cs="Arial"/>
          <w:sz w:val="24"/>
          <w:szCs w:val="24"/>
        </w:rPr>
        <w:t>“El sistema abarca desde la simple atención ambulatoria hasta el trasplante de órganos, garantizando el acceso completo, universal y gratuito para más de 192 millones de habitantes, distribuidos en 5.564 municipios brasileños. Además de ofrecer consultas, exámenes y hospitalización, el SUS promueve campañas de vacunación, acciones preventivas y de vigilancia sanitaria (como la vigilancia de los alimentos y el registro de medicamentos”</w:t>
      </w:r>
      <w:r w:rsidRPr="004D6466">
        <w:rPr>
          <w:rStyle w:val="Refdenotaalpie"/>
          <w:rFonts w:ascii="Arial" w:eastAsia="ArialMT" w:hAnsi="Arial" w:cs="Arial"/>
          <w:sz w:val="24"/>
          <w:szCs w:val="24"/>
        </w:rPr>
        <w:footnoteReference w:id="36"/>
      </w:r>
    </w:p>
    <w:p w:rsidR="00A66191" w:rsidRPr="004D6466" w:rsidRDefault="00A66191" w:rsidP="00A66191">
      <w:pPr>
        <w:spacing w:line="360" w:lineRule="auto"/>
        <w:jc w:val="both"/>
        <w:rPr>
          <w:rFonts w:ascii="Arial" w:hAnsi="Arial" w:cs="Arial"/>
          <w:sz w:val="24"/>
          <w:szCs w:val="24"/>
        </w:rPr>
      </w:pPr>
      <w:r w:rsidRPr="004D6466">
        <w:rPr>
          <w:rFonts w:ascii="Arial" w:hAnsi="Arial" w:cs="Arial"/>
          <w:sz w:val="24"/>
          <w:szCs w:val="24"/>
        </w:rPr>
        <w:t xml:space="preserve">Según el Ministerio </w:t>
      </w:r>
      <w:r w:rsidRPr="004D6466">
        <w:rPr>
          <w:rStyle w:val="highlightedsearchterm"/>
          <w:rFonts w:ascii="Arial" w:hAnsi="Arial" w:cs="Arial"/>
          <w:sz w:val="24"/>
          <w:szCs w:val="24"/>
        </w:rPr>
        <w:t>de</w:t>
      </w:r>
      <w:r w:rsidR="00830DFF">
        <w:rPr>
          <w:rStyle w:val="highlightedsearchterm"/>
          <w:rFonts w:ascii="Arial" w:hAnsi="Arial" w:cs="Arial"/>
          <w:sz w:val="24"/>
          <w:szCs w:val="24"/>
        </w:rPr>
        <w:t xml:space="preserve"> </w:t>
      </w:r>
      <w:r w:rsidRPr="004D6466">
        <w:rPr>
          <w:rStyle w:val="highlightedsearchterm"/>
          <w:rFonts w:ascii="Arial" w:hAnsi="Arial" w:cs="Arial"/>
          <w:sz w:val="24"/>
          <w:szCs w:val="24"/>
        </w:rPr>
        <w:t>Salud</w:t>
      </w:r>
      <w:r w:rsidRPr="004D6466">
        <w:rPr>
          <w:rFonts w:ascii="Arial" w:hAnsi="Arial" w:cs="Arial"/>
          <w:sz w:val="24"/>
          <w:szCs w:val="24"/>
        </w:rPr>
        <w:t xml:space="preserve"> del Brasil “El SUS tiene 5,9 mil hospitales acreditados, 64 mil unida</w:t>
      </w:r>
      <w:r w:rsidRPr="004D6466">
        <w:rPr>
          <w:rStyle w:val="highlightedsearchterm"/>
          <w:rFonts w:ascii="Arial" w:hAnsi="Arial" w:cs="Arial"/>
          <w:sz w:val="24"/>
          <w:szCs w:val="24"/>
        </w:rPr>
        <w:t>de</w:t>
      </w:r>
      <w:r w:rsidRPr="004D6466">
        <w:rPr>
          <w:rFonts w:ascii="Arial" w:hAnsi="Arial" w:cs="Arial"/>
          <w:sz w:val="24"/>
          <w:szCs w:val="24"/>
        </w:rPr>
        <w:t xml:space="preserve">s </w:t>
      </w:r>
      <w:r w:rsidRPr="004D6466">
        <w:rPr>
          <w:rStyle w:val="highlightedsearchterm"/>
          <w:rFonts w:ascii="Arial" w:hAnsi="Arial" w:cs="Arial"/>
          <w:sz w:val="24"/>
          <w:szCs w:val="24"/>
        </w:rPr>
        <w:t>de</w:t>
      </w:r>
      <w:r w:rsidRPr="004D6466">
        <w:rPr>
          <w:rFonts w:ascii="Arial" w:hAnsi="Arial" w:cs="Arial"/>
          <w:sz w:val="24"/>
          <w:szCs w:val="24"/>
        </w:rPr>
        <w:t xml:space="preserve"> atención primaria y 28 mil Equipos </w:t>
      </w:r>
      <w:r w:rsidRPr="004D6466">
        <w:rPr>
          <w:rStyle w:val="highlightedsearchterm"/>
          <w:rFonts w:ascii="Arial" w:hAnsi="Arial" w:cs="Arial"/>
          <w:sz w:val="24"/>
          <w:szCs w:val="24"/>
        </w:rPr>
        <w:t>de</w:t>
      </w:r>
      <w:r w:rsidR="00830DFF">
        <w:rPr>
          <w:rStyle w:val="highlightedsearchterm"/>
          <w:rFonts w:ascii="Arial" w:hAnsi="Arial" w:cs="Arial"/>
          <w:sz w:val="24"/>
          <w:szCs w:val="24"/>
        </w:rPr>
        <w:t xml:space="preserve"> </w:t>
      </w:r>
      <w:r w:rsidRPr="004D6466">
        <w:rPr>
          <w:rStyle w:val="highlightedsearchterm"/>
          <w:rFonts w:ascii="Arial" w:hAnsi="Arial" w:cs="Arial"/>
          <w:sz w:val="24"/>
          <w:szCs w:val="24"/>
        </w:rPr>
        <w:t>Salud</w:t>
      </w:r>
      <w:r w:rsidR="00830DFF">
        <w:rPr>
          <w:rStyle w:val="highlightedsearchterm"/>
          <w:rFonts w:ascii="Arial" w:hAnsi="Arial" w:cs="Arial"/>
          <w:sz w:val="24"/>
          <w:szCs w:val="24"/>
        </w:rPr>
        <w:t xml:space="preserve"> </w:t>
      </w:r>
      <w:r w:rsidRPr="004D6466">
        <w:rPr>
          <w:rStyle w:val="highlightedsearchterm"/>
          <w:rFonts w:ascii="Arial" w:hAnsi="Arial" w:cs="Arial"/>
          <w:sz w:val="24"/>
          <w:szCs w:val="24"/>
        </w:rPr>
        <w:t>de</w:t>
      </w:r>
      <w:r w:rsidRPr="004D6466">
        <w:rPr>
          <w:rFonts w:ascii="Arial" w:hAnsi="Arial" w:cs="Arial"/>
          <w:sz w:val="24"/>
          <w:szCs w:val="24"/>
        </w:rPr>
        <w:t xml:space="preserve"> la Familia (ESF). El </w:t>
      </w:r>
      <w:r w:rsidRPr="004D6466">
        <w:rPr>
          <w:rStyle w:val="highlightedsearchterm"/>
          <w:rFonts w:ascii="Arial" w:hAnsi="Arial" w:cs="Arial"/>
          <w:sz w:val="24"/>
          <w:szCs w:val="24"/>
        </w:rPr>
        <w:t>sistema</w:t>
      </w:r>
      <w:r w:rsidRPr="004D6466">
        <w:rPr>
          <w:rFonts w:ascii="Arial" w:hAnsi="Arial" w:cs="Arial"/>
          <w:sz w:val="24"/>
          <w:szCs w:val="24"/>
        </w:rPr>
        <w:t xml:space="preserve"> realiza 2,3 mil millones </w:t>
      </w:r>
      <w:r w:rsidRPr="004D6466">
        <w:rPr>
          <w:rStyle w:val="highlightedsearchterm"/>
          <w:rFonts w:ascii="Arial" w:hAnsi="Arial" w:cs="Arial"/>
          <w:sz w:val="24"/>
          <w:szCs w:val="24"/>
        </w:rPr>
        <w:t>de</w:t>
      </w:r>
      <w:r w:rsidRPr="004D6466">
        <w:rPr>
          <w:rFonts w:ascii="Arial" w:hAnsi="Arial" w:cs="Arial"/>
          <w:sz w:val="24"/>
          <w:szCs w:val="24"/>
        </w:rPr>
        <w:t xml:space="preserve"> procedimientos ambulatorios anuales, 15,8 mil trasplantes, 215 mil cirugías cardíacas, 9 millones </w:t>
      </w:r>
      <w:r w:rsidRPr="004D6466">
        <w:rPr>
          <w:rStyle w:val="highlightedsearchterm"/>
          <w:rFonts w:ascii="Arial" w:hAnsi="Arial" w:cs="Arial"/>
          <w:sz w:val="24"/>
          <w:szCs w:val="24"/>
        </w:rPr>
        <w:t>de</w:t>
      </w:r>
      <w:r w:rsidRPr="004D6466">
        <w:rPr>
          <w:rFonts w:ascii="Arial" w:hAnsi="Arial" w:cs="Arial"/>
          <w:sz w:val="24"/>
          <w:szCs w:val="24"/>
        </w:rPr>
        <w:t xml:space="preserve"> procedimientos </w:t>
      </w:r>
      <w:r w:rsidRPr="004D6466">
        <w:rPr>
          <w:rStyle w:val="highlightedsearchterm"/>
          <w:rFonts w:ascii="Arial" w:hAnsi="Arial" w:cs="Arial"/>
          <w:sz w:val="24"/>
          <w:szCs w:val="24"/>
        </w:rPr>
        <w:t>de</w:t>
      </w:r>
      <w:r w:rsidRPr="004D6466">
        <w:rPr>
          <w:rFonts w:ascii="Arial" w:hAnsi="Arial" w:cs="Arial"/>
          <w:sz w:val="24"/>
          <w:szCs w:val="24"/>
        </w:rPr>
        <w:t xml:space="preserve"> quimioterapia y radioterapia y 11,3 millones </w:t>
      </w:r>
      <w:r w:rsidRPr="004D6466">
        <w:rPr>
          <w:rStyle w:val="highlightedsearchterm"/>
          <w:rFonts w:ascii="Arial" w:hAnsi="Arial" w:cs="Arial"/>
          <w:sz w:val="24"/>
          <w:szCs w:val="24"/>
        </w:rPr>
        <w:t>de</w:t>
      </w:r>
      <w:r w:rsidRPr="004D6466">
        <w:rPr>
          <w:rFonts w:ascii="Arial" w:hAnsi="Arial" w:cs="Arial"/>
          <w:sz w:val="24"/>
          <w:szCs w:val="24"/>
        </w:rPr>
        <w:t xml:space="preserve"> internaciones. Entre las acciones más reconocidas </w:t>
      </w:r>
      <w:r w:rsidRPr="004D6466">
        <w:rPr>
          <w:rStyle w:val="highlightedsearchterm"/>
          <w:rFonts w:ascii="Arial" w:hAnsi="Arial" w:cs="Arial"/>
          <w:sz w:val="24"/>
          <w:szCs w:val="24"/>
        </w:rPr>
        <w:t>de</w:t>
      </w:r>
      <w:r w:rsidRPr="004D6466">
        <w:rPr>
          <w:rFonts w:ascii="Arial" w:hAnsi="Arial" w:cs="Arial"/>
          <w:sz w:val="24"/>
          <w:szCs w:val="24"/>
        </w:rPr>
        <w:t xml:space="preserve">l SUS están la creación </w:t>
      </w:r>
      <w:r w:rsidRPr="004D6466">
        <w:rPr>
          <w:rStyle w:val="highlightedsearchterm"/>
          <w:rFonts w:ascii="Arial" w:hAnsi="Arial" w:cs="Arial"/>
          <w:sz w:val="24"/>
          <w:szCs w:val="24"/>
        </w:rPr>
        <w:t>de</w:t>
      </w:r>
      <w:r w:rsidRPr="004D6466">
        <w:rPr>
          <w:rFonts w:ascii="Arial" w:hAnsi="Arial" w:cs="Arial"/>
          <w:sz w:val="24"/>
          <w:szCs w:val="24"/>
        </w:rPr>
        <w:t xml:space="preserve">l Servicio </w:t>
      </w:r>
      <w:r w:rsidRPr="004D6466">
        <w:rPr>
          <w:rStyle w:val="highlightedsearchterm"/>
          <w:rFonts w:ascii="Arial" w:hAnsi="Arial" w:cs="Arial"/>
          <w:sz w:val="24"/>
          <w:szCs w:val="24"/>
        </w:rPr>
        <w:t>de</w:t>
      </w:r>
      <w:r w:rsidRPr="004D6466">
        <w:rPr>
          <w:rFonts w:ascii="Arial" w:hAnsi="Arial" w:cs="Arial"/>
          <w:sz w:val="24"/>
          <w:szCs w:val="24"/>
        </w:rPr>
        <w:t xml:space="preserve"> Atención Móvil </w:t>
      </w:r>
      <w:r w:rsidRPr="004D6466">
        <w:rPr>
          <w:rStyle w:val="highlightedsearchterm"/>
          <w:rFonts w:ascii="Arial" w:hAnsi="Arial" w:cs="Arial"/>
          <w:sz w:val="24"/>
          <w:szCs w:val="24"/>
        </w:rPr>
        <w:t>de</w:t>
      </w:r>
      <w:r w:rsidRPr="004D6466">
        <w:rPr>
          <w:rFonts w:ascii="Arial" w:hAnsi="Arial" w:cs="Arial"/>
          <w:sz w:val="24"/>
          <w:szCs w:val="24"/>
        </w:rPr>
        <w:t xml:space="preserve"> Urgencia (SAMU), Políticas Nacionales </w:t>
      </w:r>
      <w:r w:rsidRPr="004D6466">
        <w:rPr>
          <w:rStyle w:val="highlightedsearchterm"/>
          <w:rFonts w:ascii="Arial" w:hAnsi="Arial" w:cs="Arial"/>
          <w:sz w:val="24"/>
          <w:szCs w:val="24"/>
        </w:rPr>
        <w:t>de</w:t>
      </w:r>
      <w:r w:rsidRPr="004D6466">
        <w:rPr>
          <w:rFonts w:ascii="Arial" w:hAnsi="Arial" w:cs="Arial"/>
          <w:sz w:val="24"/>
          <w:szCs w:val="24"/>
        </w:rPr>
        <w:t xml:space="preserve"> Atención Integral a la </w:t>
      </w:r>
      <w:r w:rsidRPr="004D6466">
        <w:rPr>
          <w:rStyle w:val="highlightedsearchterm"/>
          <w:rFonts w:ascii="Arial" w:hAnsi="Arial" w:cs="Arial"/>
          <w:sz w:val="24"/>
          <w:szCs w:val="24"/>
        </w:rPr>
        <w:t>Salud</w:t>
      </w:r>
      <w:r w:rsidR="00830DFF">
        <w:rPr>
          <w:rStyle w:val="highlightedsearchterm"/>
          <w:rFonts w:ascii="Arial" w:hAnsi="Arial" w:cs="Arial"/>
          <w:sz w:val="24"/>
          <w:szCs w:val="24"/>
        </w:rPr>
        <w:t xml:space="preserve"> </w:t>
      </w:r>
      <w:r w:rsidRPr="004D6466">
        <w:rPr>
          <w:rStyle w:val="highlightedsearchterm"/>
          <w:rFonts w:ascii="Arial" w:hAnsi="Arial" w:cs="Arial"/>
          <w:sz w:val="24"/>
          <w:szCs w:val="24"/>
        </w:rPr>
        <w:t>de</w:t>
      </w:r>
      <w:r w:rsidRPr="004D6466">
        <w:rPr>
          <w:rFonts w:ascii="Arial" w:hAnsi="Arial" w:cs="Arial"/>
          <w:sz w:val="24"/>
          <w:szCs w:val="24"/>
        </w:rPr>
        <w:t xml:space="preserve"> la Mujer, </w:t>
      </w:r>
      <w:r w:rsidRPr="004D6466">
        <w:rPr>
          <w:rStyle w:val="highlightedsearchterm"/>
          <w:rFonts w:ascii="Arial" w:hAnsi="Arial" w:cs="Arial"/>
          <w:sz w:val="24"/>
          <w:szCs w:val="24"/>
        </w:rPr>
        <w:t>de</w:t>
      </w:r>
      <w:r w:rsidRPr="004D6466">
        <w:rPr>
          <w:rFonts w:ascii="Arial" w:hAnsi="Arial" w:cs="Arial"/>
          <w:sz w:val="24"/>
          <w:szCs w:val="24"/>
        </w:rPr>
        <w:t xml:space="preserve"> Humanización </w:t>
      </w:r>
      <w:r w:rsidRPr="004D6466">
        <w:rPr>
          <w:rStyle w:val="highlightedsearchterm"/>
          <w:rFonts w:ascii="Arial" w:hAnsi="Arial" w:cs="Arial"/>
          <w:sz w:val="24"/>
          <w:szCs w:val="24"/>
        </w:rPr>
        <w:t>de</w:t>
      </w:r>
      <w:r w:rsidRPr="004D6466">
        <w:rPr>
          <w:rFonts w:ascii="Arial" w:hAnsi="Arial" w:cs="Arial"/>
          <w:sz w:val="24"/>
          <w:szCs w:val="24"/>
        </w:rPr>
        <w:t xml:space="preserve">l SUS y </w:t>
      </w:r>
      <w:r w:rsidRPr="004D6466">
        <w:rPr>
          <w:rStyle w:val="highlightedsearchterm"/>
          <w:rFonts w:ascii="Arial" w:hAnsi="Arial" w:cs="Arial"/>
          <w:sz w:val="24"/>
          <w:szCs w:val="24"/>
        </w:rPr>
        <w:t>de</w:t>
      </w:r>
      <w:r w:rsidR="00830DFF">
        <w:rPr>
          <w:rStyle w:val="highlightedsearchterm"/>
          <w:rFonts w:ascii="Arial" w:hAnsi="Arial" w:cs="Arial"/>
          <w:sz w:val="24"/>
          <w:szCs w:val="24"/>
        </w:rPr>
        <w:t xml:space="preserve"> </w:t>
      </w:r>
      <w:r w:rsidRPr="004D6466">
        <w:rPr>
          <w:rStyle w:val="highlightedsearchterm"/>
          <w:rFonts w:ascii="Arial" w:hAnsi="Arial" w:cs="Arial"/>
          <w:sz w:val="24"/>
          <w:szCs w:val="24"/>
        </w:rPr>
        <w:t>Salud</w:t>
      </w:r>
      <w:r w:rsidR="00830DFF">
        <w:rPr>
          <w:rStyle w:val="highlightedsearchterm"/>
          <w:rFonts w:ascii="Arial" w:hAnsi="Arial" w:cs="Arial"/>
          <w:sz w:val="24"/>
          <w:szCs w:val="24"/>
        </w:rPr>
        <w:t xml:space="preserve"> </w:t>
      </w:r>
      <w:r w:rsidRPr="004D6466">
        <w:rPr>
          <w:rStyle w:val="highlightedsearchterm"/>
          <w:rFonts w:ascii="Arial" w:hAnsi="Arial" w:cs="Arial"/>
          <w:sz w:val="24"/>
          <w:szCs w:val="24"/>
        </w:rPr>
        <w:t>de</w:t>
      </w:r>
      <w:r w:rsidRPr="004D6466">
        <w:rPr>
          <w:rFonts w:ascii="Arial" w:hAnsi="Arial" w:cs="Arial"/>
          <w:sz w:val="24"/>
          <w:szCs w:val="24"/>
        </w:rPr>
        <w:t>l Trabajador, a</w:t>
      </w:r>
      <w:r w:rsidRPr="004D6466">
        <w:rPr>
          <w:rStyle w:val="highlightedsearchterm"/>
          <w:rFonts w:ascii="Arial" w:hAnsi="Arial" w:cs="Arial"/>
          <w:sz w:val="24"/>
          <w:szCs w:val="24"/>
        </w:rPr>
        <w:t>de</w:t>
      </w:r>
      <w:r w:rsidRPr="004D6466">
        <w:rPr>
          <w:rFonts w:ascii="Arial" w:hAnsi="Arial" w:cs="Arial"/>
          <w:sz w:val="24"/>
          <w:szCs w:val="24"/>
        </w:rPr>
        <w:t xml:space="preserve">más </w:t>
      </w:r>
      <w:r w:rsidRPr="004D6466">
        <w:rPr>
          <w:rStyle w:val="highlightedsearchterm"/>
          <w:rFonts w:ascii="Arial" w:hAnsi="Arial" w:cs="Arial"/>
          <w:sz w:val="24"/>
          <w:szCs w:val="24"/>
        </w:rPr>
        <w:t>de</w:t>
      </w:r>
      <w:r w:rsidRPr="004D6466">
        <w:rPr>
          <w:rFonts w:ascii="Arial" w:hAnsi="Arial" w:cs="Arial"/>
          <w:sz w:val="24"/>
          <w:szCs w:val="24"/>
        </w:rPr>
        <w:t xml:space="preserve"> programas </w:t>
      </w:r>
      <w:r w:rsidRPr="004D6466">
        <w:rPr>
          <w:rStyle w:val="highlightedsearchterm"/>
          <w:rFonts w:ascii="Arial" w:hAnsi="Arial" w:cs="Arial"/>
          <w:sz w:val="24"/>
          <w:szCs w:val="24"/>
        </w:rPr>
        <w:t>de</w:t>
      </w:r>
      <w:r w:rsidRPr="004D6466">
        <w:rPr>
          <w:rFonts w:ascii="Arial" w:hAnsi="Arial" w:cs="Arial"/>
          <w:sz w:val="24"/>
          <w:szCs w:val="24"/>
        </w:rPr>
        <w:t xml:space="preserve"> vacunación en masa </w:t>
      </w:r>
      <w:r w:rsidRPr="004D6466">
        <w:rPr>
          <w:rStyle w:val="highlightedsearchterm"/>
          <w:rFonts w:ascii="Arial" w:hAnsi="Arial" w:cs="Arial"/>
          <w:sz w:val="24"/>
          <w:szCs w:val="24"/>
        </w:rPr>
        <w:t>de</w:t>
      </w:r>
      <w:r w:rsidRPr="004D6466">
        <w:rPr>
          <w:rFonts w:ascii="Arial" w:hAnsi="Arial" w:cs="Arial"/>
          <w:sz w:val="24"/>
          <w:szCs w:val="24"/>
        </w:rPr>
        <w:t xml:space="preserve"> niños y ancianos en todo el país y </w:t>
      </w:r>
      <w:r w:rsidRPr="004D6466">
        <w:rPr>
          <w:rStyle w:val="highlightedsearchterm"/>
          <w:rFonts w:ascii="Arial" w:hAnsi="Arial" w:cs="Arial"/>
          <w:sz w:val="24"/>
          <w:szCs w:val="24"/>
        </w:rPr>
        <w:t>de</w:t>
      </w:r>
      <w:r w:rsidRPr="004D6466">
        <w:rPr>
          <w:rFonts w:ascii="Arial" w:hAnsi="Arial" w:cs="Arial"/>
          <w:sz w:val="24"/>
          <w:szCs w:val="24"/>
        </w:rPr>
        <w:t xml:space="preserve"> la realización </w:t>
      </w:r>
      <w:r w:rsidRPr="004D6466">
        <w:rPr>
          <w:rStyle w:val="highlightedsearchterm"/>
          <w:rFonts w:ascii="Arial" w:hAnsi="Arial" w:cs="Arial"/>
          <w:sz w:val="24"/>
          <w:szCs w:val="24"/>
        </w:rPr>
        <w:t>de</w:t>
      </w:r>
      <w:r w:rsidRPr="004D6466">
        <w:rPr>
          <w:rFonts w:ascii="Arial" w:hAnsi="Arial" w:cs="Arial"/>
          <w:sz w:val="24"/>
          <w:szCs w:val="24"/>
        </w:rPr>
        <w:t xml:space="preserve"> trasplantes por la red pública”</w:t>
      </w:r>
      <w:r w:rsidRPr="004D6466">
        <w:rPr>
          <w:rStyle w:val="Refdenotaalpie"/>
          <w:rFonts w:ascii="Arial" w:hAnsi="Arial" w:cs="Arial"/>
          <w:sz w:val="24"/>
          <w:szCs w:val="24"/>
        </w:rPr>
        <w:footnoteReference w:id="37"/>
      </w:r>
      <w:r w:rsidRPr="004D6466">
        <w:rPr>
          <w:rFonts w:ascii="Arial" w:hAnsi="Arial" w:cs="Arial"/>
          <w:sz w:val="24"/>
          <w:szCs w:val="24"/>
        </w:rPr>
        <w:t>.</w:t>
      </w:r>
    </w:p>
    <w:p w:rsidR="00A66191" w:rsidRPr="004D6466" w:rsidRDefault="00A66191" w:rsidP="00A66191">
      <w:pPr>
        <w:spacing w:line="360" w:lineRule="auto"/>
        <w:jc w:val="both"/>
        <w:rPr>
          <w:rFonts w:ascii="Arial" w:hAnsi="Arial" w:cs="Arial"/>
          <w:b/>
          <w:sz w:val="24"/>
          <w:szCs w:val="24"/>
        </w:rPr>
      </w:pPr>
      <w:r w:rsidRPr="004D6466">
        <w:rPr>
          <w:rFonts w:ascii="Arial" w:hAnsi="Arial" w:cs="Arial"/>
          <w:b/>
          <w:sz w:val="24"/>
          <w:szCs w:val="24"/>
        </w:rPr>
        <w:t>Resultados del “Sistema Único de Salud (SUS)”</w:t>
      </w:r>
    </w:p>
    <w:p w:rsidR="00A66191" w:rsidRPr="004D6466" w:rsidRDefault="00A66191" w:rsidP="00A66191">
      <w:pPr>
        <w:spacing w:line="360" w:lineRule="auto"/>
        <w:jc w:val="both"/>
        <w:rPr>
          <w:rFonts w:ascii="Arial" w:hAnsi="Arial" w:cs="Arial"/>
          <w:sz w:val="24"/>
          <w:szCs w:val="24"/>
        </w:rPr>
      </w:pPr>
      <w:r w:rsidRPr="004D6466">
        <w:rPr>
          <w:rFonts w:ascii="Arial" w:hAnsi="Arial" w:cs="Arial"/>
          <w:sz w:val="24"/>
          <w:szCs w:val="24"/>
        </w:rPr>
        <w:t xml:space="preserve">Según Armando De Negris, experto brasilero en temas de salud “el 65% de la población brasilera utiliza sólo el Sistema Único Nacional de Salud Pública (SUNSP), que es gratuito; el 20% está cubierto por un mercado de planes y seguros privados de salud, aunque también eventualmente es usuario del sistema público. Y el restante 15% es mixto, es decir, tiene algunos seguros de </w:t>
      </w:r>
      <w:r w:rsidRPr="004D6466">
        <w:rPr>
          <w:rFonts w:ascii="Arial" w:hAnsi="Arial" w:cs="Arial"/>
          <w:sz w:val="24"/>
          <w:szCs w:val="24"/>
        </w:rPr>
        <w:lastRenderedPageBreak/>
        <w:t>régimen especial, como los funcionarios públicos, pero también acude al SUNSP para las atenciones y procedimientos más costosos.”</w:t>
      </w:r>
      <w:r w:rsidRPr="004D6466">
        <w:rPr>
          <w:rStyle w:val="Refdenotaalpie"/>
          <w:rFonts w:ascii="Arial" w:hAnsi="Arial" w:cs="Arial"/>
          <w:sz w:val="24"/>
          <w:szCs w:val="24"/>
        </w:rPr>
        <w:footnoteReference w:id="38"/>
      </w:r>
    </w:p>
    <w:p w:rsidR="00A66191" w:rsidRPr="004D6466" w:rsidRDefault="00A66191" w:rsidP="00A66191">
      <w:pPr>
        <w:jc w:val="both"/>
        <w:rPr>
          <w:rFonts w:ascii="Arial" w:hAnsi="Arial" w:cs="Arial"/>
          <w:b/>
          <w:sz w:val="24"/>
          <w:szCs w:val="24"/>
        </w:rPr>
      </w:pPr>
      <w:r w:rsidRPr="004D6466">
        <w:rPr>
          <w:rFonts w:ascii="Arial" w:hAnsi="Arial" w:cs="Arial"/>
          <w:b/>
          <w:sz w:val="24"/>
          <w:szCs w:val="24"/>
        </w:rPr>
        <w:t>3.4 Ámbito de educación</w:t>
      </w:r>
    </w:p>
    <w:p w:rsidR="00A66191" w:rsidRPr="004D6466" w:rsidRDefault="00A66191" w:rsidP="00A66191">
      <w:pPr>
        <w:spacing w:line="360" w:lineRule="auto"/>
        <w:jc w:val="both"/>
        <w:rPr>
          <w:rFonts w:ascii="Arial" w:hAnsi="Arial" w:cs="Arial"/>
          <w:sz w:val="24"/>
          <w:szCs w:val="24"/>
        </w:rPr>
      </w:pPr>
      <w:r w:rsidRPr="004D6466">
        <w:rPr>
          <w:rFonts w:ascii="Arial" w:hAnsi="Arial" w:cs="Arial"/>
          <w:sz w:val="24"/>
          <w:szCs w:val="24"/>
        </w:rPr>
        <w:t>La generación de millones de empleos formales para padres de familia buscó reducir el trabajo infantil y por el contrario, llevar a estos niños y jóvenes a las 214 escuelas de educación básica nuevas, así como a las 14 universidades federales construidas durante su período. Hoy los hijos de albañiles estudian carreras como medicina en estas universidades.</w:t>
      </w:r>
    </w:p>
    <w:p w:rsidR="00A66191" w:rsidRPr="004D6466" w:rsidRDefault="00A66191" w:rsidP="00A66191">
      <w:pPr>
        <w:spacing w:line="360" w:lineRule="auto"/>
        <w:jc w:val="both"/>
        <w:rPr>
          <w:rFonts w:ascii="Arial" w:hAnsi="Arial" w:cs="Arial"/>
          <w:sz w:val="24"/>
          <w:szCs w:val="24"/>
        </w:rPr>
      </w:pPr>
      <w:r w:rsidRPr="004D6466">
        <w:rPr>
          <w:rFonts w:ascii="Arial" w:hAnsi="Arial" w:cs="Arial"/>
          <w:sz w:val="24"/>
          <w:szCs w:val="24"/>
        </w:rPr>
        <w:t>A continuación se presenta los 3 programas emblemáticos y sus resultados:</w:t>
      </w:r>
    </w:p>
    <w:p w:rsidR="00A66191" w:rsidRPr="004D6466" w:rsidRDefault="00A66191" w:rsidP="00A66191">
      <w:pPr>
        <w:spacing w:line="360" w:lineRule="auto"/>
        <w:jc w:val="both"/>
        <w:rPr>
          <w:rFonts w:ascii="Arial" w:hAnsi="Arial" w:cs="Arial"/>
          <w:i/>
          <w:sz w:val="24"/>
          <w:szCs w:val="24"/>
        </w:rPr>
      </w:pPr>
      <w:r w:rsidRPr="004D6466">
        <w:rPr>
          <w:rFonts w:ascii="Arial" w:hAnsi="Arial" w:cs="Arial"/>
          <w:b/>
          <w:i/>
          <w:sz w:val="24"/>
          <w:szCs w:val="24"/>
        </w:rPr>
        <w:t>3.4.1 “Brasil Alfabetizado”</w:t>
      </w:r>
    </w:p>
    <w:p w:rsidR="00A66191" w:rsidRPr="004D6466" w:rsidRDefault="00A66191" w:rsidP="00A66191">
      <w:pPr>
        <w:spacing w:line="360" w:lineRule="auto"/>
        <w:jc w:val="both"/>
        <w:rPr>
          <w:rFonts w:ascii="Arial" w:hAnsi="Arial" w:cs="Arial"/>
          <w:sz w:val="24"/>
          <w:szCs w:val="24"/>
        </w:rPr>
      </w:pPr>
      <w:r w:rsidRPr="004D6466">
        <w:rPr>
          <w:rFonts w:ascii="Arial" w:hAnsi="Arial" w:cs="Arial"/>
          <w:sz w:val="24"/>
          <w:szCs w:val="24"/>
        </w:rPr>
        <w:t>El Programa “</w:t>
      </w:r>
      <w:r w:rsidR="00830DFF" w:rsidRPr="004D6466">
        <w:rPr>
          <w:rStyle w:val="highlightedsearchterm"/>
          <w:rFonts w:ascii="Arial" w:hAnsi="Arial" w:cs="Arial"/>
          <w:sz w:val="24"/>
          <w:szCs w:val="24"/>
        </w:rPr>
        <w:t>Brasil Alfabetizado</w:t>
      </w:r>
      <w:r w:rsidRPr="004D6466">
        <w:rPr>
          <w:rStyle w:val="highlightedsearchterm"/>
          <w:rFonts w:ascii="Arial" w:hAnsi="Arial" w:cs="Arial"/>
          <w:sz w:val="24"/>
          <w:szCs w:val="24"/>
        </w:rPr>
        <w:t>”</w:t>
      </w:r>
      <w:r w:rsidRPr="004D6466">
        <w:rPr>
          <w:rFonts w:ascii="Arial" w:hAnsi="Arial" w:cs="Arial"/>
          <w:sz w:val="24"/>
          <w:szCs w:val="24"/>
        </w:rPr>
        <w:t xml:space="preserve"> fue creado para erradicar el analfabetismo hasta el 2017 y atender progresivamente a jóvenes y adultos en la enseñanza primaria. Desde el 2003, el programa buscó despertar el interés de los jóvenes para aumentar la escolaridad. Además de los estudiantes, también los  profesores que están asociados al sistema público de enseñanza pueden beneficiarse por medio de becas concedidas a los profesionales involucrados en el programa.</w:t>
      </w:r>
    </w:p>
    <w:p w:rsidR="00A66191" w:rsidRPr="004D6466" w:rsidRDefault="00A66191" w:rsidP="00A66191">
      <w:pPr>
        <w:spacing w:line="360" w:lineRule="auto"/>
        <w:jc w:val="both"/>
        <w:rPr>
          <w:rFonts w:ascii="Arial" w:hAnsi="Arial" w:cs="Arial"/>
          <w:sz w:val="24"/>
          <w:szCs w:val="24"/>
        </w:rPr>
      </w:pPr>
      <w:r w:rsidRPr="004D6466">
        <w:rPr>
          <w:rFonts w:ascii="Arial" w:hAnsi="Arial" w:cs="Arial"/>
          <w:sz w:val="24"/>
          <w:szCs w:val="24"/>
        </w:rPr>
        <w:t xml:space="preserve">Este programa alcanza todo el territorio </w:t>
      </w:r>
      <w:r w:rsidRPr="004D6466">
        <w:rPr>
          <w:rStyle w:val="highlightedsearchterm"/>
          <w:rFonts w:ascii="Arial" w:hAnsi="Arial" w:cs="Arial"/>
          <w:sz w:val="24"/>
          <w:szCs w:val="24"/>
        </w:rPr>
        <w:t>brasil</w:t>
      </w:r>
      <w:r w:rsidRPr="004D6466">
        <w:rPr>
          <w:rFonts w:ascii="Arial" w:hAnsi="Arial" w:cs="Arial"/>
          <w:sz w:val="24"/>
          <w:szCs w:val="24"/>
        </w:rPr>
        <w:t xml:space="preserve">eño, incluidos municipios, estados, y Distrito Federal, en los cuales se pudo implementar acciones para garantizar la continuidad de los estudios de jóvenes y adultos en proceso de alfabetización. El programa priorizó municipios con tasa de analfabetismo igual o superior al 35% de la población. Cerca del 90% de las ciudades </w:t>
      </w:r>
      <w:r w:rsidRPr="004D6466">
        <w:rPr>
          <w:rStyle w:val="highlightedsearchterm"/>
          <w:rFonts w:ascii="Arial" w:hAnsi="Arial" w:cs="Arial"/>
          <w:sz w:val="24"/>
          <w:szCs w:val="24"/>
        </w:rPr>
        <w:t>brasil</w:t>
      </w:r>
      <w:r w:rsidRPr="004D6466">
        <w:rPr>
          <w:rFonts w:ascii="Arial" w:hAnsi="Arial" w:cs="Arial"/>
          <w:sz w:val="24"/>
          <w:szCs w:val="24"/>
        </w:rPr>
        <w:t>eñas con altos índices de analfabetismo están en la región Noreste que es la más pobre del país.</w:t>
      </w:r>
    </w:p>
    <w:p w:rsidR="00A66191" w:rsidRPr="004D6466" w:rsidRDefault="00A66191" w:rsidP="00A66191">
      <w:pPr>
        <w:spacing w:line="360" w:lineRule="auto"/>
        <w:jc w:val="both"/>
        <w:rPr>
          <w:rFonts w:ascii="Arial" w:hAnsi="Arial" w:cs="Arial"/>
          <w:sz w:val="24"/>
          <w:szCs w:val="24"/>
        </w:rPr>
      </w:pPr>
      <w:r w:rsidRPr="004D6466">
        <w:rPr>
          <w:rFonts w:ascii="Arial" w:hAnsi="Arial" w:cs="Arial"/>
          <w:sz w:val="24"/>
          <w:szCs w:val="24"/>
        </w:rPr>
        <w:t xml:space="preserve">En el 2007 hubo una reestructuración en el programa “Brasil Alfabetizado” en la cual, los beneficiarios estuvieron entre los 15 y 29 años. La alfabetización de jóvenes y adultos pasó a ser impartida prioritariamente por profesores de la red pública estatal y municipal (alrededor del 75% del total de </w:t>
      </w:r>
      <w:r w:rsidRPr="004D6466">
        <w:rPr>
          <w:rStyle w:val="highlightedsearchterm"/>
          <w:rFonts w:ascii="Arial" w:hAnsi="Arial" w:cs="Arial"/>
          <w:sz w:val="24"/>
          <w:szCs w:val="24"/>
        </w:rPr>
        <w:t>alfabetizado</w:t>
      </w:r>
      <w:r w:rsidRPr="004D6466">
        <w:rPr>
          <w:rFonts w:ascii="Arial" w:hAnsi="Arial" w:cs="Arial"/>
          <w:sz w:val="24"/>
          <w:szCs w:val="24"/>
        </w:rPr>
        <w:t xml:space="preserve">res), Estos profesores recibieron becas del Ministerio de Educación para educar a </w:t>
      </w:r>
      <w:r w:rsidRPr="004D6466">
        <w:rPr>
          <w:rFonts w:ascii="Arial" w:hAnsi="Arial" w:cs="Arial"/>
          <w:sz w:val="24"/>
          <w:szCs w:val="24"/>
        </w:rPr>
        <w:lastRenderedPageBreak/>
        <w:t>los jóvenes y adultos participantes del programa, lo que es una forma de elevar el nivel salarial principalmente en el Noreste del país.</w:t>
      </w:r>
    </w:p>
    <w:p w:rsidR="00A66191" w:rsidRPr="004D6466" w:rsidRDefault="00A66191" w:rsidP="00A66191">
      <w:pPr>
        <w:spacing w:line="360" w:lineRule="auto"/>
        <w:jc w:val="both"/>
        <w:rPr>
          <w:rFonts w:ascii="Arial" w:hAnsi="Arial" w:cs="Arial"/>
          <w:sz w:val="24"/>
          <w:szCs w:val="24"/>
        </w:rPr>
      </w:pPr>
      <w:r w:rsidRPr="004D6466">
        <w:rPr>
          <w:rFonts w:ascii="Arial" w:hAnsi="Arial" w:cs="Arial"/>
          <w:sz w:val="24"/>
          <w:szCs w:val="24"/>
        </w:rPr>
        <w:t xml:space="preserve">Esa reestructuración fue parte de una responsabilidad solidaria. Así, el gobierno municipal organizó acciones para movilizar al público principal del programa y seleccionar y capacitar a los profesores. Inmediatamente, el Gobierno Federal costeó las becas de los </w:t>
      </w:r>
      <w:r w:rsidRPr="004D6466">
        <w:rPr>
          <w:rStyle w:val="highlightedsearchterm"/>
          <w:rFonts w:ascii="Arial" w:hAnsi="Arial" w:cs="Arial"/>
          <w:sz w:val="24"/>
          <w:szCs w:val="24"/>
        </w:rPr>
        <w:t>alfabetizado</w:t>
      </w:r>
      <w:r w:rsidRPr="004D6466">
        <w:rPr>
          <w:rFonts w:ascii="Arial" w:hAnsi="Arial" w:cs="Arial"/>
          <w:sz w:val="24"/>
          <w:szCs w:val="24"/>
        </w:rPr>
        <w:t>res y destinó recursos para material didáctico, merienda y transporte escolar de los estudiantes, adquisición de gafas y supervisión de las clases, entre otras cosas.</w:t>
      </w:r>
    </w:p>
    <w:p w:rsidR="00A66191" w:rsidRPr="004D6466" w:rsidRDefault="00A66191" w:rsidP="00A66191">
      <w:pPr>
        <w:spacing w:line="360" w:lineRule="auto"/>
        <w:jc w:val="both"/>
        <w:rPr>
          <w:rFonts w:ascii="Arial" w:hAnsi="Arial" w:cs="Arial"/>
          <w:sz w:val="24"/>
          <w:szCs w:val="24"/>
        </w:rPr>
      </w:pPr>
      <w:r w:rsidRPr="004D6466">
        <w:rPr>
          <w:rFonts w:ascii="Arial" w:hAnsi="Arial" w:cs="Arial"/>
          <w:sz w:val="24"/>
          <w:szCs w:val="24"/>
        </w:rPr>
        <w:t>El Programa “</w:t>
      </w:r>
      <w:r w:rsidR="00830DFF" w:rsidRPr="004D6466">
        <w:rPr>
          <w:rStyle w:val="highlightedsearchterm"/>
          <w:rFonts w:ascii="Arial" w:hAnsi="Arial" w:cs="Arial"/>
          <w:sz w:val="24"/>
          <w:szCs w:val="24"/>
        </w:rPr>
        <w:t>Brasil Alfabetizado</w:t>
      </w:r>
      <w:r w:rsidRPr="004D6466">
        <w:rPr>
          <w:rStyle w:val="highlightedsearchterm"/>
          <w:rFonts w:ascii="Arial" w:hAnsi="Arial" w:cs="Arial"/>
          <w:sz w:val="24"/>
          <w:szCs w:val="24"/>
        </w:rPr>
        <w:t>”</w:t>
      </w:r>
      <w:r w:rsidRPr="004D6466">
        <w:rPr>
          <w:rFonts w:ascii="Arial" w:hAnsi="Arial" w:cs="Arial"/>
          <w:sz w:val="24"/>
          <w:szCs w:val="24"/>
        </w:rPr>
        <w:t xml:space="preserve"> se encargó también de los profesores de enseñanza  pública primaria, profesores que no están habilitados para el magisterio pero que estuvieron en ejercicio en la red pública nacional, es decir,  educadores populares con nivel secundario mínimo de escolaridad, coordinadores de grupos y traductores intérpretes de la Lengua </w:t>
      </w:r>
      <w:r w:rsidRPr="004D6466">
        <w:rPr>
          <w:rStyle w:val="highlightedsearchterm"/>
          <w:rFonts w:ascii="Arial" w:hAnsi="Arial" w:cs="Arial"/>
          <w:sz w:val="24"/>
          <w:szCs w:val="24"/>
        </w:rPr>
        <w:t>Brasil</w:t>
      </w:r>
      <w:r w:rsidRPr="004D6466">
        <w:rPr>
          <w:rFonts w:ascii="Arial" w:hAnsi="Arial" w:cs="Arial"/>
          <w:sz w:val="24"/>
          <w:szCs w:val="24"/>
        </w:rPr>
        <w:t>eña de Señales.</w:t>
      </w:r>
    </w:p>
    <w:p w:rsidR="00A66191" w:rsidRPr="004D6466" w:rsidRDefault="00A66191" w:rsidP="00A66191">
      <w:pPr>
        <w:spacing w:line="360" w:lineRule="auto"/>
        <w:jc w:val="both"/>
        <w:rPr>
          <w:rFonts w:ascii="Arial" w:hAnsi="Arial" w:cs="Arial"/>
          <w:sz w:val="24"/>
          <w:szCs w:val="24"/>
        </w:rPr>
      </w:pPr>
      <w:r w:rsidRPr="004D6466">
        <w:rPr>
          <w:rFonts w:ascii="Arial" w:hAnsi="Arial" w:cs="Arial"/>
          <w:sz w:val="24"/>
          <w:szCs w:val="24"/>
        </w:rPr>
        <w:t>El Programa “</w:t>
      </w:r>
      <w:r w:rsidR="00830DFF" w:rsidRPr="004D6466">
        <w:rPr>
          <w:rStyle w:val="highlightedsearchterm"/>
          <w:rFonts w:ascii="Arial" w:hAnsi="Arial" w:cs="Arial"/>
          <w:sz w:val="24"/>
          <w:szCs w:val="24"/>
        </w:rPr>
        <w:t>Brasil Alfabetizado</w:t>
      </w:r>
      <w:r w:rsidRPr="004D6466">
        <w:rPr>
          <w:rStyle w:val="highlightedsearchterm"/>
          <w:rFonts w:ascii="Arial" w:hAnsi="Arial" w:cs="Arial"/>
          <w:sz w:val="24"/>
          <w:szCs w:val="24"/>
        </w:rPr>
        <w:t>”</w:t>
      </w:r>
      <w:r w:rsidRPr="004D6466">
        <w:rPr>
          <w:rFonts w:ascii="Arial" w:hAnsi="Arial" w:cs="Arial"/>
          <w:sz w:val="24"/>
          <w:szCs w:val="24"/>
        </w:rPr>
        <w:t xml:space="preserve"> ofreció 4 tipos de becas mensuales según el trabajo del profesional: R$ 200 (100 dólares) para el </w:t>
      </w:r>
      <w:r w:rsidRPr="004D6466">
        <w:rPr>
          <w:rStyle w:val="highlightedsearchterm"/>
          <w:rFonts w:ascii="Arial" w:hAnsi="Arial" w:cs="Arial"/>
          <w:sz w:val="24"/>
          <w:szCs w:val="24"/>
        </w:rPr>
        <w:t>alfabetizado</w:t>
      </w:r>
      <w:r w:rsidRPr="004D6466">
        <w:rPr>
          <w:rFonts w:ascii="Arial" w:hAnsi="Arial" w:cs="Arial"/>
          <w:sz w:val="24"/>
          <w:szCs w:val="24"/>
        </w:rPr>
        <w:t xml:space="preserve">r; R$ 230 (115 dólares) para el </w:t>
      </w:r>
      <w:r w:rsidRPr="004D6466">
        <w:rPr>
          <w:rStyle w:val="highlightedsearchterm"/>
          <w:rFonts w:ascii="Arial" w:hAnsi="Arial" w:cs="Arial"/>
          <w:sz w:val="24"/>
          <w:szCs w:val="24"/>
        </w:rPr>
        <w:t>alfabetizado</w:t>
      </w:r>
      <w:r w:rsidRPr="004D6466">
        <w:rPr>
          <w:rFonts w:ascii="Arial" w:hAnsi="Arial" w:cs="Arial"/>
          <w:sz w:val="24"/>
          <w:szCs w:val="24"/>
        </w:rPr>
        <w:t xml:space="preserve">r de alumnos con deficiencia; R$ 200 (100 dólares) para el traductor-intérprete de la Lengua </w:t>
      </w:r>
      <w:r w:rsidRPr="004D6466">
        <w:rPr>
          <w:rStyle w:val="highlightedsearchterm"/>
          <w:rFonts w:ascii="Arial" w:hAnsi="Arial" w:cs="Arial"/>
          <w:sz w:val="24"/>
          <w:szCs w:val="24"/>
        </w:rPr>
        <w:t>Brasil</w:t>
      </w:r>
      <w:r w:rsidRPr="004D6466">
        <w:rPr>
          <w:rFonts w:ascii="Arial" w:hAnsi="Arial" w:cs="Arial"/>
          <w:sz w:val="24"/>
          <w:szCs w:val="24"/>
        </w:rPr>
        <w:t xml:space="preserve">eña de Señales (LIBRA) y R$ 300 (151 dólares) para el supervisor (que coordina cada grupo de 15 </w:t>
      </w:r>
      <w:r w:rsidRPr="004D6466">
        <w:rPr>
          <w:rStyle w:val="highlightedsearchterm"/>
          <w:rFonts w:ascii="Arial" w:hAnsi="Arial" w:cs="Arial"/>
          <w:sz w:val="24"/>
          <w:szCs w:val="24"/>
        </w:rPr>
        <w:t>alfabetizado</w:t>
      </w:r>
      <w:r w:rsidRPr="004D6466">
        <w:rPr>
          <w:rFonts w:ascii="Arial" w:hAnsi="Arial" w:cs="Arial"/>
          <w:sz w:val="24"/>
          <w:szCs w:val="24"/>
        </w:rPr>
        <w:t>res).</w:t>
      </w:r>
    </w:p>
    <w:p w:rsidR="00A66191" w:rsidRPr="004D6466" w:rsidRDefault="00A66191" w:rsidP="00A66191">
      <w:pPr>
        <w:spacing w:line="360" w:lineRule="auto"/>
        <w:jc w:val="both"/>
        <w:rPr>
          <w:rFonts w:ascii="Arial" w:hAnsi="Arial" w:cs="Arial"/>
          <w:sz w:val="24"/>
          <w:szCs w:val="24"/>
        </w:rPr>
      </w:pPr>
      <w:r w:rsidRPr="004D6466">
        <w:rPr>
          <w:rFonts w:ascii="Arial" w:hAnsi="Arial" w:cs="Arial"/>
          <w:sz w:val="24"/>
          <w:szCs w:val="24"/>
        </w:rPr>
        <w:t>El Ministerio de Educación implantó, en 2007, el Programa Nacional del Libro Didáctico para la Alfabetización de Jóvenes y Adultos que distribuyó el material a los alumnos del Programa “</w:t>
      </w:r>
      <w:r w:rsidR="00830DFF" w:rsidRPr="004D6466">
        <w:rPr>
          <w:rStyle w:val="highlightedsearchterm"/>
          <w:rFonts w:ascii="Arial" w:hAnsi="Arial" w:cs="Arial"/>
          <w:sz w:val="24"/>
          <w:szCs w:val="24"/>
        </w:rPr>
        <w:t>Brasil Alfabetizado</w:t>
      </w:r>
      <w:r w:rsidRPr="004D6466">
        <w:rPr>
          <w:rStyle w:val="highlightedsearchterm"/>
          <w:rFonts w:ascii="Arial" w:hAnsi="Arial" w:cs="Arial"/>
          <w:sz w:val="24"/>
          <w:szCs w:val="24"/>
        </w:rPr>
        <w:t>” con el objetivo de facilitar el trabajo a los alfabetizadores</w:t>
      </w:r>
      <w:r w:rsidRPr="004D6466">
        <w:rPr>
          <w:rFonts w:ascii="Arial" w:hAnsi="Arial" w:cs="Arial"/>
          <w:sz w:val="24"/>
          <w:szCs w:val="24"/>
        </w:rPr>
        <w:t>.</w:t>
      </w:r>
    </w:p>
    <w:p w:rsidR="00A66191" w:rsidRPr="004D6466" w:rsidRDefault="00A66191" w:rsidP="00A66191">
      <w:pPr>
        <w:spacing w:line="360" w:lineRule="auto"/>
        <w:jc w:val="both"/>
        <w:rPr>
          <w:rFonts w:ascii="Arial" w:hAnsi="Arial" w:cs="Arial"/>
          <w:sz w:val="24"/>
          <w:szCs w:val="24"/>
        </w:rPr>
      </w:pPr>
      <w:r w:rsidRPr="004D6466">
        <w:rPr>
          <w:rFonts w:ascii="Arial" w:hAnsi="Arial" w:cs="Arial"/>
          <w:sz w:val="24"/>
          <w:szCs w:val="24"/>
        </w:rPr>
        <w:t>El Ministerio de Educación también proporcionó recursos a entidades públicas y privadas sin fines de lucro y a instituciones de educación superior que participaron en “</w:t>
      </w:r>
      <w:r w:rsidR="00830DFF" w:rsidRPr="004D6466">
        <w:rPr>
          <w:rStyle w:val="highlightedsearchterm"/>
          <w:rFonts w:ascii="Arial" w:hAnsi="Arial" w:cs="Arial"/>
          <w:sz w:val="24"/>
          <w:szCs w:val="24"/>
        </w:rPr>
        <w:t>Brasil Alfabetizado</w:t>
      </w:r>
      <w:r w:rsidRPr="004D6466">
        <w:rPr>
          <w:rStyle w:val="highlightedsearchterm"/>
          <w:rFonts w:ascii="Arial" w:hAnsi="Arial" w:cs="Arial"/>
          <w:sz w:val="24"/>
          <w:szCs w:val="24"/>
        </w:rPr>
        <w:t>”</w:t>
      </w:r>
      <w:r w:rsidRPr="004D6466">
        <w:rPr>
          <w:rFonts w:ascii="Arial" w:hAnsi="Arial" w:cs="Arial"/>
          <w:sz w:val="24"/>
          <w:szCs w:val="24"/>
        </w:rPr>
        <w:t xml:space="preserve">. El objetivo fue formar </w:t>
      </w:r>
      <w:r w:rsidRPr="004D6466">
        <w:rPr>
          <w:rStyle w:val="highlightedsearchterm"/>
          <w:rFonts w:ascii="Arial" w:hAnsi="Arial" w:cs="Arial"/>
          <w:sz w:val="24"/>
          <w:szCs w:val="24"/>
        </w:rPr>
        <w:t>alfabetizado</w:t>
      </w:r>
      <w:r w:rsidRPr="004D6466">
        <w:rPr>
          <w:rFonts w:ascii="Arial" w:hAnsi="Arial" w:cs="Arial"/>
          <w:sz w:val="24"/>
          <w:szCs w:val="24"/>
        </w:rPr>
        <w:t>res y coordinadores de grupos. Estas entidades e instituciones debieron presentar proyectos y firmar convenios para participar del programa.</w:t>
      </w:r>
    </w:p>
    <w:p w:rsidR="00A66191" w:rsidRPr="004D6466" w:rsidRDefault="00A66191" w:rsidP="00A66191">
      <w:pPr>
        <w:spacing w:line="360" w:lineRule="auto"/>
        <w:jc w:val="both"/>
        <w:rPr>
          <w:rFonts w:ascii="Arial" w:hAnsi="Arial" w:cs="Arial"/>
          <w:sz w:val="24"/>
          <w:szCs w:val="24"/>
        </w:rPr>
      </w:pPr>
    </w:p>
    <w:p w:rsidR="00A66191" w:rsidRPr="004D6466" w:rsidRDefault="00A66191" w:rsidP="00A66191">
      <w:pPr>
        <w:spacing w:line="360" w:lineRule="auto"/>
        <w:jc w:val="both"/>
        <w:rPr>
          <w:rFonts w:ascii="Arial" w:hAnsi="Arial" w:cs="Arial"/>
          <w:b/>
          <w:sz w:val="24"/>
          <w:szCs w:val="24"/>
        </w:rPr>
      </w:pPr>
      <w:r w:rsidRPr="004D6466">
        <w:rPr>
          <w:rFonts w:ascii="Arial" w:hAnsi="Arial" w:cs="Arial"/>
          <w:b/>
          <w:sz w:val="24"/>
          <w:szCs w:val="24"/>
        </w:rPr>
        <w:lastRenderedPageBreak/>
        <w:t>Resultados del programa “Brasil Alfabetizado”</w:t>
      </w:r>
    </w:p>
    <w:p w:rsidR="00A66191" w:rsidRPr="004D6466" w:rsidRDefault="00A66191" w:rsidP="00A66191">
      <w:pPr>
        <w:spacing w:line="360" w:lineRule="auto"/>
        <w:jc w:val="both"/>
        <w:rPr>
          <w:rFonts w:ascii="Arial" w:hAnsi="Arial" w:cs="Arial"/>
          <w:sz w:val="24"/>
          <w:szCs w:val="24"/>
        </w:rPr>
      </w:pPr>
      <w:r w:rsidRPr="004D6466">
        <w:rPr>
          <w:rFonts w:ascii="Arial" w:hAnsi="Arial" w:cs="Arial"/>
          <w:bCs/>
          <w:sz w:val="24"/>
          <w:szCs w:val="24"/>
        </w:rPr>
        <w:t>En cuanto a resultados del programa de alfabetización, e</w:t>
      </w:r>
      <w:r w:rsidRPr="004D6466">
        <w:rPr>
          <w:rFonts w:ascii="Arial" w:hAnsi="Arial" w:cs="Arial"/>
          <w:sz w:val="24"/>
          <w:szCs w:val="24"/>
        </w:rPr>
        <w:t>n 2004, se atendieron cerca de 3000 municipios y se firmaron 23 convenios con gobiernos estatales.</w:t>
      </w:r>
      <w:r w:rsidRPr="004D6466">
        <w:rPr>
          <w:rFonts w:ascii="Arial" w:hAnsi="Arial" w:cs="Arial"/>
          <w:sz w:val="24"/>
          <w:szCs w:val="24"/>
        </w:rPr>
        <w:br/>
        <w:t xml:space="preserve">Al 2005, había un total de 1.551.351 beneficiarios. </w:t>
      </w:r>
    </w:p>
    <w:p w:rsidR="00A66191" w:rsidRPr="004D6466" w:rsidRDefault="00A66191" w:rsidP="00A66191">
      <w:pPr>
        <w:spacing w:line="360" w:lineRule="auto"/>
        <w:jc w:val="both"/>
        <w:rPr>
          <w:rFonts w:ascii="Arial" w:hAnsi="Arial" w:cs="Arial"/>
          <w:sz w:val="24"/>
          <w:szCs w:val="24"/>
        </w:rPr>
      </w:pPr>
      <w:r w:rsidRPr="004D6466">
        <w:rPr>
          <w:rFonts w:ascii="Arial" w:hAnsi="Arial" w:cs="Arial"/>
          <w:sz w:val="24"/>
          <w:szCs w:val="24"/>
        </w:rPr>
        <w:t xml:space="preserve">En el 2004 el porcentaje de alfabetización era del 84% según CEPAL, es decir que había un 16% de población analfabeta y en el 2010 la población analfabeta era de 9.6%, es decir que, en el gobierno de Lula, el analfabetismo se redujo un 6.4%.   </w:t>
      </w:r>
    </w:p>
    <w:p w:rsidR="00A66191" w:rsidRPr="004D6466" w:rsidRDefault="00A66191" w:rsidP="00A66191">
      <w:pPr>
        <w:spacing w:line="360" w:lineRule="auto"/>
        <w:jc w:val="both"/>
        <w:rPr>
          <w:rFonts w:ascii="Arial" w:hAnsi="Arial" w:cs="Arial"/>
          <w:sz w:val="24"/>
          <w:szCs w:val="24"/>
        </w:rPr>
      </w:pPr>
      <w:r w:rsidRPr="004D6466">
        <w:rPr>
          <w:rFonts w:ascii="Arial" w:hAnsi="Arial" w:cs="Arial"/>
          <w:sz w:val="24"/>
          <w:szCs w:val="24"/>
        </w:rPr>
        <w:t>En 2004 se invirtieron R$168 millones (80.760.882 de dólares).</w:t>
      </w:r>
    </w:p>
    <w:p w:rsidR="00A66191" w:rsidRPr="004D6466" w:rsidRDefault="00A66191" w:rsidP="00A66191">
      <w:pPr>
        <w:pStyle w:val="NormalWeb"/>
        <w:spacing w:line="360" w:lineRule="auto"/>
        <w:jc w:val="both"/>
        <w:rPr>
          <w:rFonts w:ascii="Arial" w:hAnsi="Arial" w:cs="Arial"/>
          <w:b/>
          <w:i/>
        </w:rPr>
      </w:pPr>
      <w:r w:rsidRPr="004D6466">
        <w:rPr>
          <w:rFonts w:ascii="Arial" w:hAnsi="Arial" w:cs="Arial"/>
          <w:b/>
          <w:i/>
        </w:rPr>
        <w:t>3.4.2 “PROJOVEM”</w:t>
      </w:r>
    </w:p>
    <w:p w:rsidR="00A66191" w:rsidRPr="004D6466" w:rsidRDefault="00A66191" w:rsidP="00A66191">
      <w:pPr>
        <w:pStyle w:val="NormalWeb"/>
        <w:spacing w:line="360" w:lineRule="auto"/>
        <w:jc w:val="both"/>
        <w:rPr>
          <w:rFonts w:ascii="Arial" w:hAnsi="Arial" w:cs="Arial"/>
        </w:rPr>
      </w:pPr>
      <w:r w:rsidRPr="004D6466">
        <w:rPr>
          <w:rFonts w:ascii="Arial" w:hAnsi="Arial" w:cs="Arial"/>
        </w:rPr>
        <w:t xml:space="preserve">Se conoce con el nombre de “PROJOVEM” al Programa Nacional de Inclusión de Jóvenes el cual es una extensión </w:t>
      </w:r>
      <w:r w:rsidRPr="004D6466">
        <w:rPr>
          <w:rStyle w:val="highlightedsearchterm"/>
          <w:rFonts w:ascii="Arial" w:hAnsi="Arial" w:cs="Arial"/>
        </w:rPr>
        <w:t>de</w:t>
      </w:r>
      <w:r w:rsidRPr="004D6466">
        <w:rPr>
          <w:rFonts w:ascii="Arial" w:hAnsi="Arial" w:cs="Arial"/>
        </w:rPr>
        <w:t xml:space="preserve"> la Política </w:t>
      </w:r>
      <w:r w:rsidR="00830DFF" w:rsidRPr="004D6466">
        <w:rPr>
          <w:rStyle w:val="highlightedsearchterm"/>
          <w:rFonts w:ascii="Arial" w:hAnsi="Arial" w:cs="Arial"/>
        </w:rPr>
        <w:t>Nacional de</w:t>
      </w:r>
      <w:r w:rsidRPr="004D6466">
        <w:rPr>
          <w:rFonts w:ascii="Arial" w:hAnsi="Arial" w:cs="Arial"/>
        </w:rPr>
        <w:t xml:space="preserve"> Juventud y se divi</w:t>
      </w:r>
      <w:r w:rsidRPr="004D6466">
        <w:rPr>
          <w:rStyle w:val="highlightedsearchterm"/>
          <w:rFonts w:ascii="Arial" w:hAnsi="Arial" w:cs="Arial"/>
        </w:rPr>
        <w:t>de</w:t>
      </w:r>
      <w:r w:rsidRPr="004D6466">
        <w:rPr>
          <w:rFonts w:ascii="Arial" w:hAnsi="Arial" w:cs="Arial"/>
        </w:rPr>
        <w:t xml:space="preserve"> en cuatro modalida</w:t>
      </w:r>
      <w:r w:rsidRPr="004D6466">
        <w:rPr>
          <w:rStyle w:val="highlightedsearchterm"/>
          <w:rFonts w:ascii="Arial" w:hAnsi="Arial" w:cs="Arial"/>
        </w:rPr>
        <w:t>de</w:t>
      </w:r>
      <w:r w:rsidRPr="004D6466">
        <w:rPr>
          <w:rFonts w:ascii="Arial" w:hAnsi="Arial" w:cs="Arial"/>
        </w:rPr>
        <w:t xml:space="preserve">s, </w:t>
      </w:r>
      <w:r w:rsidRPr="004D6466">
        <w:rPr>
          <w:rStyle w:val="highlightedsearchterm"/>
          <w:rFonts w:ascii="Arial" w:hAnsi="Arial" w:cs="Arial"/>
        </w:rPr>
        <w:t>de</w:t>
      </w:r>
      <w:r w:rsidRPr="004D6466">
        <w:rPr>
          <w:rFonts w:ascii="Arial" w:hAnsi="Arial" w:cs="Arial"/>
        </w:rPr>
        <w:t xml:space="preserve"> acuerdo con el perfil </w:t>
      </w:r>
      <w:r w:rsidRPr="004D6466">
        <w:rPr>
          <w:rStyle w:val="highlightedsearchterm"/>
          <w:rFonts w:ascii="Arial" w:hAnsi="Arial" w:cs="Arial"/>
        </w:rPr>
        <w:t>de</w:t>
      </w:r>
      <w:r w:rsidRPr="004D6466">
        <w:rPr>
          <w:rFonts w:ascii="Arial" w:hAnsi="Arial" w:cs="Arial"/>
        </w:rPr>
        <w:t>l beneficiado:</w:t>
      </w:r>
    </w:p>
    <w:p w:rsidR="00A66191" w:rsidRPr="004D6466" w:rsidRDefault="00A66191" w:rsidP="00A66191">
      <w:pPr>
        <w:pStyle w:val="NormalWeb"/>
        <w:numPr>
          <w:ilvl w:val="0"/>
          <w:numId w:val="8"/>
        </w:numPr>
        <w:spacing w:line="360" w:lineRule="auto"/>
        <w:jc w:val="both"/>
        <w:rPr>
          <w:rFonts w:ascii="Arial" w:hAnsi="Arial" w:cs="Arial"/>
        </w:rPr>
      </w:pPr>
      <w:r w:rsidRPr="004D6466">
        <w:rPr>
          <w:rFonts w:ascii="Arial" w:hAnsi="Arial" w:cs="Arial"/>
        </w:rPr>
        <w:t xml:space="preserve">Pro Joven Adolescente: </w:t>
      </w:r>
      <w:r w:rsidRPr="004D6466">
        <w:rPr>
          <w:rStyle w:val="highlightedsearchterm"/>
          <w:rFonts w:ascii="Arial" w:hAnsi="Arial" w:cs="Arial"/>
        </w:rPr>
        <w:t>de</w:t>
      </w:r>
      <w:r w:rsidRPr="004D6466">
        <w:rPr>
          <w:rFonts w:ascii="Arial" w:hAnsi="Arial" w:cs="Arial"/>
        </w:rPr>
        <w:t xml:space="preserve">stinado a jóvenes </w:t>
      </w:r>
      <w:r w:rsidRPr="004D6466">
        <w:rPr>
          <w:rStyle w:val="highlightedsearchterm"/>
          <w:rFonts w:ascii="Arial" w:hAnsi="Arial" w:cs="Arial"/>
        </w:rPr>
        <w:t>de</w:t>
      </w:r>
      <w:r w:rsidRPr="004D6466">
        <w:rPr>
          <w:rFonts w:ascii="Arial" w:hAnsi="Arial" w:cs="Arial"/>
        </w:rPr>
        <w:t xml:space="preserve"> 15 a 17 años y crea condiciones para inserción, reinserción y permanencia </w:t>
      </w:r>
      <w:r w:rsidRPr="004D6466">
        <w:rPr>
          <w:rStyle w:val="highlightedsearchterm"/>
          <w:rFonts w:ascii="Arial" w:hAnsi="Arial" w:cs="Arial"/>
        </w:rPr>
        <w:t>de</w:t>
      </w:r>
      <w:r w:rsidRPr="004D6466">
        <w:rPr>
          <w:rFonts w:ascii="Arial" w:hAnsi="Arial" w:cs="Arial"/>
        </w:rPr>
        <w:t>l joven en el sistema educacional.</w:t>
      </w:r>
    </w:p>
    <w:p w:rsidR="00A66191" w:rsidRPr="004D6466" w:rsidRDefault="00A66191" w:rsidP="00A66191">
      <w:pPr>
        <w:pStyle w:val="NormalWeb"/>
        <w:numPr>
          <w:ilvl w:val="0"/>
          <w:numId w:val="8"/>
        </w:numPr>
        <w:spacing w:line="360" w:lineRule="auto"/>
        <w:jc w:val="both"/>
        <w:rPr>
          <w:rFonts w:ascii="Arial" w:hAnsi="Arial" w:cs="Arial"/>
        </w:rPr>
      </w:pPr>
      <w:r w:rsidRPr="004D6466">
        <w:rPr>
          <w:rFonts w:ascii="Arial" w:hAnsi="Arial" w:cs="Arial"/>
        </w:rPr>
        <w:t xml:space="preserve"> Pro Joven Urbano: tiene como finalidad elevar el grado </w:t>
      </w:r>
      <w:r w:rsidRPr="004D6466">
        <w:rPr>
          <w:rStyle w:val="highlightedsearchterm"/>
          <w:rFonts w:ascii="Arial" w:hAnsi="Arial" w:cs="Arial"/>
        </w:rPr>
        <w:t>de</w:t>
      </w:r>
      <w:r w:rsidRPr="004D6466">
        <w:rPr>
          <w:rFonts w:ascii="Arial" w:hAnsi="Arial" w:cs="Arial"/>
        </w:rPr>
        <w:t xml:space="preserve"> escolaridad </w:t>
      </w:r>
      <w:r w:rsidRPr="004D6466">
        <w:rPr>
          <w:rStyle w:val="highlightedsearchterm"/>
          <w:rFonts w:ascii="Arial" w:hAnsi="Arial" w:cs="Arial"/>
        </w:rPr>
        <w:t>de</w:t>
      </w:r>
      <w:r w:rsidRPr="004D6466">
        <w:rPr>
          <w:rFonts w:ascii="Arial" w:hAnsi="Arial" w:cs="Arial"/>
        </w:rPr>
        <w:t>l ciudadano, a través </w:t>
      </w:r>
      <w:r w:rsidRPr="004D6466">
        <w:rPr>
          <w:rStyle w:val="highlightedsearchterm"/>
          <w:rFonts w:ascii="Arial" w:hAnsi="Arial" w:cs="Arial"/>
        </w:rPr>
        <w:t>de</w:t>
      </w:r>
      <w:r w:rsidRPr="004D6466">
        <w:rPr>
          <w:rFonts w:ascii="Arial" w:hAnsi="Arial" w:cs="Arial"/>
        </w:rPr>
        <w:t xml:space="preserve"> la conclusión </w:t>
      </w:r>
      <w:r w:rsidRPr="004D6466">
        <w:rPr>
          <w:rStyle w:val="highlightedsearchterm"/>
          <w:rFonts w:ascii="Arial" w:hAnsi="Arial" w:cs="Arial"/>
        </w:rPr>
        <w:t>de</w:t>
      </w:r>
      <w:r w:rsidRPr="004D6466">
        <w:rPr>
          <w:rFonts w:ascii="Arial" w:hAnsi="Arial" w:cs="Arial"/>
        </w:rPr>
        <w:t xml:space="preserve"> la enseñanza primaria y </w:t>
      </w:r>
      <w:r w:rsidRPr="004D6466">
        <w:rPr>
          <w:rStyle w:val="highlightedsearchterm"/>
          <w:rFonts w:ascii="Arial" w:hAnsi="Arial" w:cs="Arial"/>
        </w:rPr>
        <w:t>de</w:t>
      </w:r>
      <w:r w:rsidRPr="004D6466">
        <w:rPr>
          <w:rFonts w:ascii="Arial" w:hAnsi="Arial" w:cs="Arial"/>
        </w:rPr>
        <w:t xml:space="preserve"> la cualificación profesional.</w:t>
      </w:r>
    </w:p>
    <w:p w:rsidR="00A66191" w:rsidRPr="004D6466" w:rsidRDefault="00A66191" w:rsidP="00A66191">
      <w:pPr>
        <w:pStyle w:val="NormalWeb"/>
        <w:numPr>
          <w:ilvl w:val="0"/>
          <w:numId w:val="8"/>
        </w:numPr>
        <w:spacing w:line="360" w:lineRule="auto"/>
        <w:jc w:val="both"/>
        <w:rPr>
          <w:rFonts w:ascii="Arial" w:hAnsi="Arial" w:cs="Arial"/>
        </w:rPr>
      </w:pPr>
      <w:r w:rsidRPr="004D6466">
        <w:rPr>
          <w:rFonts w:ascii="Arial" w:hAnsi="Arial" w:cs="Arial"/>
        </w:rPr>
        <w:t xml:space="preserve">Pro Joven Campo: invierte en el acceso y en la permanencia </w:t>
      </w:r>
      <w:r w:rsidRPr="004D6466">
        <w:rPr>
          <w:rStyle w:val="highlightedsearchterm"/>
          <w:rFonts w:ascii="Arial" w:hAnsi="Arial" w:cs="Arial"/>
        </w:rPr>
        <w:t>de</w:t>
      </w:r>
      <w:r w:rsidRPr="004D6466">
        <w:rPr>
          <w:rFonts w:ascii="Arial" w:hAnsi="Arial" w:cs="Arial"/>
        </w:rPr>
        <w:t xml:space="preserve"> los jóvenes agricultores familiares en el sistema educacional.</w:t>
      </w:r>
    </w:p>
    <w:p w:rsidR="00A66191" w:rsidRPr="004D6466" w:rsidRDefault="00A66191" w:rsidP="00A66191">
      <w:pPr>
        <w:pStyle w:val="NormalWeb"/>
        <w:numPr>
          <w:ilvl w:val="0"/>
          <w:numId w:val="8"/>
        </w:numPr>
        <w:spacing w:line="360" w:lineRule="auto"/>
        <w:jc w:val="both"/>
        <w:rPr>
          <w:rFonts w:ascii="Arial" w:hAnsi="Arial" w:cs="Arial"/>
        </w:rPr>
      </w:pPr>
      <w:r w:rsidRPr="004D6466">
        <w:rPr>
          <w:rFonts w:ascii="Arial" w:hAnsi="Arial" w:cs="Arial"/>
        </w:rPr>
        <w:t xml:space="preserve">Pro Joven Trabajador: prepara a los jóvenes para el mercado </w:t>
      </w:r>
      <w:r w:rsidRPr="004D6466">
        <w:rPr>
          <w:rStyle w:val="highlightedsearchterm"/>
          <w:rFonts w:ascii="Arial" w:hAnsi="Arial" w:cs="Arial"/>
        </w:rPr>
        <w:t>de</w:t>
      </w:r>
      <w:r w:rsidRPr="004D6466">
        <w:rPr>
          <w:rFonts w:ascii="Arial" w:hAnsi="Arial" w:cs="Arial"/>
        </w:rPr>
        <w:t xml:space="preserve"> trabajo y para ocupaciones alternativas generadoras </w:t>
      </w:r>
      <w:r w:rsidRPr="004D6466">
        <w:rPr>
          <w:rStyle w:val="highlightedsearchterm"/>
          <w:rFonts w:ascii="Arial" w:hAnsi="Arial" w:cs="Arial"/>
        </w:rPr>
        <w:t>de</w:t>
      </w:r>
      <w:r w:rsidRPr="004D6466">
        <w:rPr>
          <w:rFonts w:ascii="Arial" w:hAnsi="Arial" w:cs="Arial"/>
        </w:rPr>
        <w:t xml:space="preserve"> renta.</w:t>
      </w:r>
    </w:p>
    <w:p w:rsidR="00A66191" w:rsidRPr="004D6466" w:rsidRDefault="00A66191" w:rsidP="00A66191">
      <w:pPr>
        <w:spacing w:before="100" w:beforeAutospacing="1" w:after="100" w:afterAutospacing="1" w:line="360" w:lineRule="auto"/>
        <w:jc w:val="both"/>
        <w:rPr>
          <w:rFonts w:ascii="Arial" w:hAnsi="Arial" w:cs="Arial"/>
          <w:sz w:val="24"/>
          <w:szCs w:val="24"/>
        </w:rPr>
      </w:pPr>
      <w:r w:rsidRPr="004D6466">
        <w:rPr>
          <w:rFonts w:ascii="Arial" w:hAnsi="Arial" w:cs="Arial"/>
          <w:sz w:val="24"/>
          <w:szCs w:val="24"/>
        </w:rPr>
        <w:t>Los objetivos específicos del  programa son:</w:t>
      </w:r>
    </w:p>
    <w:p w:rsidR="00A66191" w:rsidRPr="004D6466" w:rsidRDefault="00A66191" w:rsidP="00A66191">
      <w:pPr>
        <w:pStyle w:val="Prrafodelista"/>
        <w:numPr>
          <w:ilvl w:val="0"/>
          <w:numId w:val="9"/>
        </w:numPr>
        <w:spacing w:before="100" w:beforeAutospacing="1" w:after="100" w:afterAutospacing="1" w:line="360" w:lineRule="auto"/>
        <w:jc w:val="both"/>
        <w:rPr>
          <w:rFonts w:ascii="Arial" w:eastAsia="Times New Roman" w:hAnsi="Arial" w:cs="Arial"/>
          <w:sz w:val="24"/>
          <w:szCs w:val="24"/>
        </w:rPr>
      </w:pPr>
      <w:r w:rsidRPr="004D6466">
        <w:rPr>
          <w:rFonts w:ascii="Arial" w:eastAsia="Times New Roman" w:hAnsi="Arial" w:cs="Arial"/>
          <w:sz w:val="24"/>
          <w:szCs w:val="24"/>
        </w:rPr>
        <w:t>Capacitar a los jóvenes para la utilización de tecnologías de informática, tecnologías que son necesarias para la inserción profesional y cultural.</w:t>
      </w:r>
    </w:p>
    <w:p w:rsidR="00A66191" w:rsidRPr="004D6466" w:rsidRDefault="00A66191" w:rsidP="00A66191">
      <w:pPr>
        <w:pStyle w:val="Prrafodelista"/>
        <w:numPr>
          <w:ilvl w:val="0"/>
          <w:numId w:val="9"/>
        </w:numPr>
        <w:spacing w:before="100" w:beforeAutospacing="1" w:after="100" w:afterAutospacing="1" w:line="360" w:lineRule="auto"/>
        <w:jc w:val="both"/>
        <w:rPr>
          <w:rFonts w:ascii="Arial" w:eastAsia="Times New Roman" w:hAnsi="Arial" w:cs="Arial"/>
          <w:sz w:val="24"/>
          <w:szCs w:val="24"/>
        </w:rPr>
      </w:pPr>
      <w:r w:rsidRPr="004D6466">
        <w:rPr>
          <w:rFonts w:ascii="Arial" w:eastAsia="Times New Roman" w:hAnsi="Arial" w:cs="Arial"/>
          <w:sz w:val="24"/>
          <w:szCs w:val="24"/>
        </w:rPr>
        <w:t>Capacitar a los jóvenes para el ejercicio de un oficio.</w:t>
      </w:r>
    </w:p>
    <w:p w:rsidR="00A66191" w:rsidRPr="004D6466" w:rsidRDefault="00A66191" w:rsidP="00A66191">
      <w:pPr>
        <w:pStyle w:val="Prrafodelista"/>
        <w:numPr>
          <w:ilvl w:val="0"/>
          <w:numId w:val="9"/>
        </w:numPr>
        <w:spacing w:before="100" w:beforeAutospacing="1" w:after="100" w:afterAutospacing="1" w:line="360" w:lineRule="auto"/>
        <w:jc w:val="both"/>
        <w:rPr>
          <w:rFonts w:ascii="Arial" w:eastAsia="Times New Roman" w:hAnsi="Arial" w:cs="Arial"/>
          <w:sz w:val="24"/>
          <w:szCs w:val="24"/>
        </w:rPr>
      </w:pPr>
      <w:r w:rsidRPr="004D6466">
        <w:rPr>
          <w:rFonts w:ascii="Arial" w:eastAsia="Times New Roman" w:hAnsi="Arial" w:cs="Arial"/>
          <w:sz w:val="24"/>
          <w:szCs w:val="24"/>
        </w:rPr>
        <w:t>Enseñar a los jóvenes las competencias necesarias para el desempeño de una ocupación que genere renta;</w:t>
      </w:r>
    </w:p>
    <w:p w:rsidR="00A66191" w:rsidRPr="004D6466" w:rsidRDefault="00A66191" w:rsidP="00A66191">
      <w:pPr>
        <w:pStyle w:val="Prrafodelista"/>
        <w:numPr>
          <w:ilvl w:val="0"/>
          <w:numId w:val="9"/>
        </w:numPr>
        <w:spacing w:before="100" w:beforeAutospacing="1" w:after="100" w:afterAutospacing="1" w:line="360" w:lineRule="auto"/>
        <w:jc w:val="both"/>
        <w:rPr>
          <w:rFonts w:ascii="Arial" w:eastAsia="Times New Roman" w:hAnsi="Arial" w:cs="Arial"/>
          <w:sz w:val="24"/>
          <w:szCs w:val="24"/>
        </w:rPr>
      </w:pPr>
      <w:r w:rsidRPr="004D6466">
        <w:rPr>
          <w:rFonts w:ascii="Arial" w:eastAsia="Times New Roman" w:hAnsi="Arial" w:cs="Arial"/>
          <w:sz w:val="24"/>
          <w:szCs w:val="24"/>
        </w:rPr>
        <w:lastRenderedPageBreak/>
        <w:t>Enseñar los jóvenes a establecer un proyecto de desarrollo profesional, considerando sus potencialidades, necesidades de aprendizaje y las características de su contexto de trabajo;</w:t>
      </w:r>
    </w:p>
    <w:p w:rsidR="00A66191" w:rsidRPr="004D6466" w:rsidRDefault="00A66191" w:rsidP="00A66191">
      <w:pPr>
        <w:pStyle w:val="Prrafodelista"/>
        <w:numPr>
          <w:ilvl w:val="0"/>
          <w:numId w:val="9"/>
        </w:numPr>
        <w:spacing w:before="100" w:beforeAutospacing="1" w:after="100" w:afterAutospacing="1" w:line="360" w:lineRule="auto"/>
        <w:jc w:val="both"/>
        <w:rPr>
          <w:rFonts w:ascii="Arial" w:eastAsia="Times New Roman" w:hAnsi="Arial" w:cs="Arial"/>
          <w:sz w:val="24"/>
          <w:szCs w:val="24"/>
        </w:rPr>
      </w:pPr>
      <w:r w:rsidRPr="004D6466">
        <w:rPr>
          <w:rFonts w:ascii="Arial" w:eastAsia="Times New Roman" w:hAnsi="Arial" w:cs="Arial"/>
          <w:sz w:val="24"/>
          <w:szCs w:val="24"/>
        </w:rPr>
        <w:t>Enseñar a los jóvenes a identificar problemas y necesidades de su comunidad, planear y participar de iniciativas concretas para su superación.</w:t>
      </w:r>
    </w:p>
    <w:p w:rsidR="00A66191" w:rsidRPr="004D6466" w:rsidRDefault="00A66191" w:rsidP="00A66191">
      <w:pPr>
        <w:spacing w:before="100" w:beforeAutospacing="1" w:after="100" w:afterAutospacing="1" w:line="360" w:lineRule="auto"/>
        <w:jc w:val="both"/>
        <w:rPr>
          <w:rFonts w:ascii="Arial" w:eastAsia="Times New Roman" w:hAnsi="Arial" w:cs="Arial"/>
          <w:sz w:val="24"/>
          <w:szCs w:val="24"/>
        </w:rPr>
      </w:pPr>
      <w:r w:rsidRPr="004D6466">
        <w:rPr>
          <w:rFonts w:ascii="Arial" w:eastAsia="Times New Roman" w:hAnsi="Arial" w:cs="Arial"/>
          <w:sz w:val="24"/>
          <w:szCs w:val="24"/>
        </w:rPr>
        <w:t xml:space="preserve">El curso de formación de jóvenes tiene una carga horaria de 1.600 horas (1.200h presenciales y 400h no presenciales), desarrolladas en 12 meses consecutivos. Están incluidos los conocimientos de cultura general, inglés, informática, y aprendizaje de una profesión, así como las actividades sociales y comunitarias. Cada alumno recibe una ayuda de R$ 100,00 (50,30 dólares) por mes en forma de incentivo, desde que posee el 75% de asistencia en las aulas y que cumpla con las actividades programadas. </w:t>
      </w:r>
    </w:p>
    <w:p w:rsidR="00A66191" w:rsidRPr="004D6466" w:rsidRDefault="00A66191" w:rsidP="00A66191">
      <w:pPr>
        <w:spacing w:before="100" w:beforeAutospacing="1" w:after="100" w:afterAutospacing="1" w:line="360" w:lineRule="auto"/>
        <w:jc w:val="both"/>
        <w:rPr>
          <w:rFonts w:ascii="Arial" w:eastAsia="Times New Roman" w:hAnsi="Arial" w:cs="Arial"/>
          <w:sz w:val="24"/>
          <w:szCs w:val="24"/>
        </w:rPr>
      </w:pPr>
      <w:r w:rsidRPr="004D6466">
        <w:rPr>
          <w:rFonts w:ascii="Arial" w:hAnsi="Arial" w:cs="Arial"/>
          <w:sz w:val="24"/>
          <w:szCs w:val="24"/>
        </w:rPr>
        <w:t>Para el 2007 la población objetivo potencial del programa “PROJOVEN” superaba el millón de personas.</w:t>
      </w:r>
    </w:p>
    <w:p w:rsidR="00A66191" w:rsidRPr="004D6466" w:rsidRDefault="00A66191" w:rsidP="00A66191">
      <w:pPr>
        <w:rPr>
          <w:rFonts w:ascii="Arial" w:hAnsi="Arial" w:cs="Arial"/>
          <w:sz w:val="24"/>
          <w:szCs w:val="24"/>
        </w:rPr>
      </w:pPr>
      <w:r w:rsidRPr="004D6466">
        <w:rPr>
          <w:rFonts w:ascii="Arial" w:eastAsia="Times New Roman" w:hAnsi="Arial" w:cs="Arial"/>
          <w:b/>
          <w:i/>
          <w:sz w:val="24"/>
          <w:szCs w:val="24"/>
        </w:rPr>
        <w:t>3.4.3 Programa Más Educación</w:t>
      </w:r>
    </w:p>
    <w:p w:rsidR="00A66191" w:rsidRPr="004D6466" w:rsidRDefault="00A66191" w:rsidP="00A66191">
      <w:pPr>
        <w:spacing w:line="360" w:lineRule="auto"/>
        <w:jc w:val="both"/>
        <w:rPr>
          <w:rStyle w:val="longtext"/>
          <w:rFonts w:ascii="Arial" w:hAnsi="Arial" w:cs="Arial"/>
          <w:sz w:val="24"/>
          <w:szCs w:val="24"/>
        </w:rPr>
      </w:pPr>
      <w:r w:rsidRPr="004D6466">
        <w:rPr>
          <w:rFonts w:ascii="Arial" w:hAnsi="Arial" w:cs="Arial"/>
          <w:sz w:val="24"/>
          <w:szCs w:val="24"/>
        </w:rPr>
        <w:t>El programa Más Educación se constituye como una estrategia del Ministerio de Educación para establecer la educación integral en la educación estatal y municipal, de esta manera, se extiende la jornada educativa en las escuelas públicas por lo menos 7 horas al día, a través de las actividades opcionales: la educación ambiental, ocio y deportes, educación en derechos humanos, cultura y las artes, la cultura digital, promoción de la salud, la comunicación y el uso de los medios de comunicación, la investigación en el campo de las ciencias naturales y educación económica.</w:t>
      </w:r>
    </w:p>
    <w:p w:rsidR="00A66191" w:rsidRPr="004D6466" w:rsidRDefault="00A66191" w:rsidP="00A66191">
      <w:pPr>
        <w:pStyle w:val="Sinespaciado"/>
        <w:spacing w:line="360" w:lineRule="auto"/>
        <w:jc w:val="both"/>
      </w:pPr>
      <w:r w:rsidRPr="004D6466">
        <w:rPr>
          <w:rFonts w:ascii="Arial" w:hAnsi="Arial" w:cs="Arial"/>
          <w:sz w:val="24"/>
          <w:szCs w:val="24"/>
        </w:rPr>
        <w:t>El programa fue coordinado por la Oficina de Educación Básica (SEB/MEC), en colaboración con el Estado y/o Distrito Municipal de Educación. Su funcionamiento se realiza a través del otorgamiento de dinero directo a la escuela</w:t>
      </w:r>
      <w:r w:rsidRPr="004D6466">
        <w:t>.</w:t>
      </w:r>
    </w:p>
    <w:p w:rsidR="00A66191" w:rsidRPr="004D6466" w:rsidRDefault="00A66191" w:rsidP="00A66191">
      <w:pPr>
        <w:pStyle w:val="Sinespaciado"/>
        <w:spacing w:line="360" w:lineRule="auto"/>
        <w:jc w:val="both"/>
      </w:pPr>
    </w:p>
    <w:p w:rsidR="00A66191" w:rsidRPr="004D6466" w:rsidRDefault="00A66191" w:rsidP="00A66191">
      <w:pPr>
        <w:pStyle w:val="Sinespaciado"/>
        <w:spacing w:line="360" w:lineRule="auto"/>
        <w:jc w:val="both"/>
        <w:rPr>
          <w:rFonts w:ascii="Arial" w:eastAsia="Times New Roman" w:hAnsi="Arial" w:cs="Arial"/>
          <w:sz w:val="24"/>
          <w:szCs w:val="24"/>
        </w:rPr>
      </w:pPr>
      <w:r w:rsidRPr="004D6466">
        <w:rPr>
          <w:rFonts w:ascii="Arial" w:hAnsi="Arial" w:cs="Arial"/>
          <w:sz w:val="24"/>
          <w:szCs w:val="24"/>
        </w:rPr>
        <w:t xml:space="preserve">Este programa se estableció en territorios prioritarios para atender las escuelas que tienen un bajo índice de Desarrollo de la Educación Básica, con sede en </w:t>
      </w:r>
      <w:r w:rsidRPr="004D6466">
        <w:rPr>
          <w:rFonts w:ascii="Arial" w:hAnsi="Arial" w:cs="Arial"/>
          <w:sz w:val="24"/>
          <w:szCs w:val="24"/>
        </w:rPr>
        <w:lastRenderedPageBreak/>
        <w:t xml:space="preserve">las ciudades capitales y áreas metropolitanas. </w:t>
      </w:r>
      <w:r w:rsidRPr="004D6466">
        <w:rPr>
          <w:rFonts w:ascii="Arial" w:eastAsia="Times New Roman" w:hAnsi="Arial" w:cs="Arial"/>
          <w:sz w:val="24"/>
          <w:szCs w:val="24"/>
        </w:rPr>
        <w:t>En 2011, se unió al Programa de Educación sobre 14.995 escuelas con 3.067.644 estudiantes, las escuelas ubicadas en zonas de vulnerabilidad social y las escuelas en las ciudades con las poblaciones de menos de 18.844 habitantes.</w:t>
      </w:r>
    </w:p>
    <w:p w:rsidR="00A66191" w:rsidRPr="004D6466" w:rsidRDefault="00A66191" w:rsidP="00A66191">
      <w:pPr>
        <w:pStyle w:val="Sinespaciado"/>
        <w:spacing w:line="360" w:lineRule="auto"/>
        <w:jc w:val="both"/>
        <w:rPr>
          <w:rFonts w:ascii="Arial" w:hAnsi="Arial" w:cs="Arial"/>
          <w:sz w:val="24"/>
          <w:szCs w:val="24"/>
        </w:rPr>
      </w:pPr>
      <w:r w:rsidRPr="004D6466">
        <w:rPr>
          <w:rFonts w:ascii="Arial" w:eastAsia="Times New Roman" w:hAnsi="Arial" w:cs="Arial"/>
          <w:sz w:val="24"/>
          <w:szCs w:val="24"/>
        </w:rPr>
        <w:br/>
        <w:t>“El proceso de adhesión desde 2009, se lleva a cabo a través de un formulario electrónico para capturar los datos generados por la planificación integrada de presupuesto y finanzas del Ministerio de Educación (SIMEC).</w:t>
      </w:r>
    </w:p>
    <w:p w:rsidR="00A66191" w:rsidRPr="004D6466" w:rsidRDefault="00A66191" w:rsidP="00A66191">
      <w:pPr>
        <w:spacing w:line="360" w:lineRule="auto"/>
        <w:jc w:val="both"/>
        <w:rPr>
          <w:rFonts w:ascii="Arial" w:eastAsia="Times New Roman" w:hAnsi="Arial" w:cs="Arial"/>
          <w:sz w:val="24"/>
          <w:szCs w:val="24"/>
        </w:rPr>
      </w:pPr>
      <w:r w:rsidRPr="004D6466">
        <w:rPr>
          <w:rFonts w:ascii="Arial" w:eastAsia="Times New Roman" w:hAnsi="Arial" w:cs="Arial"/>
          <w:sz w:val="24"/>
          <w:szCs w:val="24"/>
        </w:rPr>
        <w:t>Para el desarrollo de cada actividad, el gobierno federal transfiere fondos para controlar la compensación, la adquisición de kits de materiales, contratación de servicios para pequeñas escuelas y la obtención de insumos consumibles y permanentes. En virtud de las actividades elegidas, las escuelas beneficiarias pueden también recibir conjuntos de instrumentos para la banda de bombos y platillos, el hip hop y la escuela de radio, entre otros.</w:t>
      </w:r>
      <w:r w:rsidRPr="004D6466">
        <w:rPr>
          <w:rFonts w:ascii="Arial" w:eastAsia="Times New Roman" w:hAnsi="Arial" w:cs="Arial"/>
          <w:sz w:val="24"/>
          <w:szCs w:val="24"/>
        </w:rPr>
        <w:br/>
        <w:t>Se entiende que una formación integral en Brasil es una política pública en la construcción de una educación de calidad y un gran reto para los administradores educativos, maestros y comunidades.”</w:t>
      </w:r>
      <w:r w:rsidRPr="004D6466">
        <w:rPr>
          <w:rStyle w:val="Refdenotaalpie"/>
          <w:rFonts w:ascii="Arial" w:eastAsia="Times New Roman" w:hAnsi="Arial" w:cs="Arial"/>
          <w:sz w:val="24"/>
          <w:szCs w:val="24"/>
        </w:rPr>
        <w:footnoteReference w:id="39"/>
      </w:r>
    </w:p>
    <w:p w:rsidR="00A66191" w:rsidRPr="004D6466" w:rsidRDefault="00A66191" w:rsidP="00A66191">
      <w:pPr>
        <w:spacing w:line="360" w:lineRule="auto"/>
        <w:jc w:val="both"/>
        <w:rPr>
          <w:rFonts w:ascii="Arial" w:hAnsi="Arial" w:cs="Arial"/>
          <w:b/>
          <w:sz w:val="24"/>
          <w:szCs w:val="24"/>
        </w:rPr>
      </w:pPr>
      <w:r w:rsidRPr="004D6466">
        <w:rPr>
          <w:rFonts w:ascii="Arial" w:hAnsi="Arial" w:cs="Arial"/>
          <w:b/>
          <w:sz w:val="24"/>
          <w:szCs w:val="24"/>
        </w:rPr>
        <w:t>Resultados del “Programa Más Educación”</w:t>
      </w:r>
    </w:p>
    <w:p w:rsidR="00A66191" w:rsidRPr="004D6466" w:rsidRDefault="00A66191" w:rsidP="00A66191">
      <w:pPr>
        <w:spacing w:line="360" w:lineRule="auto"/>
        <w:jc w:val="both"/>
        <w:rPr>
          <w:rFonts w:ascii="Arial" w:eastAsia="Times New Roman" w:hAnsi="Arial" w:cs="Arial"/>
          <w:sz w:val="24"/>
          <w:szCs w:val="24"/>
        </w:rPr>
      </w:pPr>
      <w:r w:rsidRPr="004D6466">
        <w:rPr>
          <w:rFonts w:ascii="Arial" w:eastAsia="Times New Roman" w:hAnsi="Arial" w:cs="Arial"/>
          <w:sz w:val="24"/>
          <w:szCs w:val="24"/>
        </w:rPr>
        <w:t xml:space="preserve">Las actividades comenzaron en 2008 con la participación de 1.380 escuelas en 55 ciudades en 26 estados y el Distrito Federal, sirviendo a 386.000 estudiantes. </w:t>
      </w:r>
    </w:p>
    <w:p w:rsidR="00A66191" w:rsidRPr="004D6466" w:rsidRDefault="00A66191" w:rsidP="00A66191">
      <w:pPr>
        <w:spacing w:line="360" w:lineRule="auto"/>
        <w:jc w:val="both"/>
        <w:rPr>
          <w:rFonts w:ascii="Arial" w:eastAsia="Times New Roman" w:hAnsi="Arial" w:cs="Arial"/>
          <w:sz w:val="24"/>
          <w:szCs w:val="24"/>
        </w:rPr>
      </w:pPr>
      <w:r w:rsidRPr="004D6466">
        <w:rPr>
          <w:rFonts w:ascii="Arial" w:eastAsia="Times New Roman" w:hAnsi="Arial" w:cs="Arial"/>
          <w:sz w:val="24"/>
          <w:szCs w:val="24"/>
        </w:rPr>
        <w:t xml:space="preserve">En 2009, se ampliaron a 5.000 escuelas, 126 distritos en todos los estados y brindando atención a 1,5 millones de estudiantes matriculados en las escuelas y sus sistemas escolares. </w:t>
      </w:r>
    </w:p>
    <w:p w:rsidR="00A66191" w:rsidRPr="004D6466" w:rsidRDefault="00A66191" w:rsidP="00A66191">
      <w:pPr>
        <w:spacing w:line="360" w:lineRule="auto"/>
        <w:jc w:val="both"/>
        <w:rPr>
          <w:rFonts w:ascii="Arial" w:eastAsia="Times New Roman" w:hAnsi="Arial" w:cs="Arial"/>
          <w:sz w:val="24"/>
          <w:szCs w:val="24"/>
        </w:rPr>
      </w:pPr>
      <w:r w:rsidRPr="004D6466">
        <w:rPr>
          <w:rFonts w:ascii="Arial" w:eastAsia="Times New Roman" w:hAnsi="Arial" w:cs="Arial"/>
          <w:sz w:val="24"/>
          <w:szCs w:val="24"/>
        </w:rPr>
        <w:t>En 2010, el programa se implementó en 389 municipios, sirviendo a aproximadamente 10.000 escuelas y beneficiando a 2,3 millones de estudiantes.</w:t>
      </w:r>
    </w:p>
    <w:p w:rsidR="00A66191" w:rsidRPr="004D6466" w:rsidRDefault="00A66191" w:rsidP="00A66191">
      <w:pPr>
        <w:pStyle w:val="Sinespaciado"/>
      </w:pPr>
      <w:r w:rsidRPr="004D6466">
        <w:rPr>
          <w:rFonts w:ascii="Arial" w:eastAsia="Times New Roman" w:hAnsi="Arial" w:cs="Arial"/>
          <w:noProof/>
          <w:sz w:val="24"/>
          <w:szCs w:val="24"/>
        </w:rPr>
        <w:lastRenderedPageBreak/>
        <w:drawing>
          <wp:inline distT="0" distB="0" distL="0" distR="0">
            <wp:extent cx="4572000" cy="2743200"/>
            <wp:effectExtent l="19050" t="0" r="19050" b="0"/>
            <wp:docPr id="8" name="Gráfico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33"/>
              </a:graphicData>
            </a:graphic>
          </wp:inline>
        </w:drawing>
      </w:r>
    </w:p>
    <w:p w:rsidR="00A66191" w:rsidRPr="004D6466" w:rsidRDefault="00A66191" w:rsidP="00A66191">
      <w:pPr>
        <w:pStyle w:val="Sinespaciado"/>
        <w:rPr>
          <w:rFonts w:ascii="Arial" w:hAnsi="Arial" w:cs="Arial"/>
          <w:sz w:val="16"/>
          <w:szCs w:val="16"/>
        </w:rPr>
      </w:pPr>
      <w:r w:rsidRPr="004D6466">
        <w:rPr>
          <w:rFonts w:ascii="Arial" w:hAnsi="Arial" w:cs="Arial"/>
          <w:sz w:val="16"/>
          <w:szCs w:val="16"/>
        </w:rPr>
        <w:t>Gráfico nº 5           fuente: Ministerio de Educación del Brasil            elaborado por: María José Ponce</w:t>
      </w:r>
    </w:p>
    <w:p w:rsidR="00A66191" w:rsidRPr="004D6466" w:rsidRDefault="00A66191" w:rsidP="00A66191">
      <w:pPr>
        <w:pStyle w:val="Sinespaciado"/>
        <w:rPr>
          <w:rFonts w:ascii="Arial" w:hAnsi="Arial" w:cs="Arial"/>
          <w:sz w:val="16"/>
          <w:szCs w:val="16"/>
        </w:rPr>
      </w:pPr>
    </w:p>
    <w:p w:rsidR="00A66191" w:rsidRPr="004D6466" w:rsidRDefault="00A66191" w:rsidP="00A66191">
      <w:pPr>
        <w:pStyle w:val="Sinespaciado"/>
        <w:rPr>
          <w:rFonts w:ascii="Arial" w:eastAsia="Times New Roman" w:hAnsi="Arial" w:cs="Arial"/>
          <w:sz w:val="16"/>
          <w:szCs w:val="16"/>
        </w:rPr>
      </w:pPr>
    </w:p>
    <w:p w:rsidR="00A66191" w:rsidRPr="004D6466" w:rsidRDefault="00A66191" w:rsidP="00A66191">
      <w:pPr>
        <w:pStyle w:val="Sinespaciado"/>
        <w:rPr>
          <w:rFonts w:ascii="Arial" w:hAnsi="Arial" w:cs="Arial"/>
          <w:sz w:val="16"/>
          <w:szCs w:val="16"/>
        </w:rPr>
      </w:pPr>
      <w:r w:rsidRPr="004D6466">
        <w:rPr>
          <w:rFonts w:ascii="Arial" w:eastAsia="Times New Roman" w:hAnsi="Arial" w:cs="Arial"/>
          <w:noProof/>
          <w:sz w:val="24"/>
          <w:szCs w:val="24"/>
        </w:rPr>
        <w:drawing>
          <wp:inline distT="0" distB="0" distL="0" distR="0">
            <wp:extent cx="4572000" cy="2743200"/>
            <wp:effectExtent l="19050" t="0" r="19050" b="0"/>
            <wp:docPr id="16" name="Gráfico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34"/>
              </a:graphicData>
            </a:graphic>
          </wp:inline>
        </w:drawing>
      </w:r>
    </w:p>
    <w:p w:rsidR="00A66191" w:rsidRPr="004D6466" w:rsidRDefault="00A66191" w:rsidP="00A66191">
      <w:pPr>
        <w:pStyle w:val="Sinespaciado"/>
        <w:rPr>
          <w:rFonts w:ascii="Arial" w:eastAsia="Times New Roman" w:hAnsi="Arial" w:cs="Arial"/>
          <w:sz w:val="16"/>
          <w:szCs w:val="16"/>
        </w:rPr>
      </w:pPr>
      <w:r w:rsidRPr="004D6466">
        <w:rPr>
          <w:rFonts w:ascii="Arial" w:hAnsi="Arial" w:cs="Arial"/>
          <w:sz w:val="16"/>
          <w:szCs w:val="16"/>
        </w:rPr>
        <w:t>Gráfico nº 6           fuente: Ministerio de Educación del Brasil            elaborado por: María José Ponce</w:t>
      </w:r>
    </w:p>
    <w:p w:rsidR="00A66191" w:rsidRPr="004D6466" w:rsidRDefault="00A66191" w:rsidP="00A66191">
      <w:pPr>
        <w:spacing w:before="100" w:beforeAutospacing="1" w:after="100" w:afterAutospacing="1" w:line="360" w:lineRule="auto"/>
        <w:jc w:val="both"/>
        <w:rPr>
          <w:rFonts w:ascii="Arial" w:eastAsia="Times New Roman" w:hAnsi="Arial" w:cs="Arial"/>
          <w:b/>
          <w:sz w:val="24"/>
          <w:szCs w:val="24"/>
        </w:rPr>
      </w:pPr>
      <w:r w:rsidRPr="004D6466">
        <w:rPr>
          <w:rFonts w:ascii="Arial" w:eastAsia="Times New Roman" w:hAnsi="Arial" w:cs="Arial"/>
          <w:b/>
          <w:sz w:val="24"/>
          <w:szCs w:val="24"/>
        </w:rPr>
        <w:t xml:space="preserve">3.5 Ámbito económico </w:t>
      </w:r>
    </w:p>
    <w:p w:rsidR="00A66191" w:rsidRPr="004D6466" w:rsidRDefault="00A66191" w:rsidP="00A66191">
      <w:pPr>
        <w:spacing w:before="100" w:beforeAutospacing="1" w:after="100" w:afterAutospacing="1" w:line="360" w:lineRule="auto"/>
        <w:jc w:val="both"/>
        <w:rPr>
          <w:rFonts w:ascii="Arial" w:hAnsi="Arial" w:cs="Arial"/>
          <w:sz w:val="24"/>
          <w:szCs w:val="24"/>
        </w:rPr>
      </w:pPr>
      <w:r w:rsidRPr="004D6466">
        <w:rPr>
          <w:rFonts w:ascii="Arial" w:eastAsia="Times New Roman" w:hAnsi="Arial" w:cs="Arial"/>
          <w:sz w:val="24"/>
          <w:szCs w:val="24"/>
        </w:rPr>
        <w:t xml:space="preserve">Las políticas económicas en el gobierno de Luis Ignacio Lula da Silva tuvieron mucho que ver en dar continuación a las políticas instauradas por Fernando Henrique Cardoso pero más que eso, dichas políticas fueron mucho más lejos: </w:t>
      </w:r>
      <w:r w:rsidRPr="004D6466">
        <w:rPr>
          <w:rFonts w:ascii="Arial" w:hAnsi="Arial" w:cs="Arial"/>
          <w:sz w:val="24"/>
          <w:szCs w:val="24"/>
        </w:rPr>
        <w:t xml:space="preserve">A comienzos del 2003 se adoptaron severas medidas en el plano monetario y fiscal para controlar la aceleración de la inflación y recuperar la confianza de los mercados financieros internacionales. Entre éstas medidas estuvieron escoger “a la flor y nata del pensamiento económico conservador para la dirección del Banco Central de Brasil (Henrique Meirelles) y dar total autonomía a éste para practicar una política monetaria drásticamente ortodoxa (que, entre </w:t>
      </w:r>
      <w:r w:rsidRPr="004D6466">
        <w:rPr>
          <w:rFonts w:ascii="Arial" w:hAnsi="Arial" w:cs="Arial"/>
          <w:sz w:val="24"/>
          <w:szCs w:val="24"/>
        </w:rPr>
        <w:lastRenderedPageBreak/>
        <w:t>otras cosas, explica que el tipo de interés real aplicado en Brasil haya sido el más alto del mundo durante el 2004) así como adoptar, en los ministerios de Planificación y de Hacienda, una política fiscal todavía más ortodoxa, que aplicó drásticas reducciones en el gasto público y generó un superávit fiscal del orden del 5% del PIB, superior por lo tanto al exigido en el acuerdo con el FMI”</w:t>
      </w:r>
      <w:r w:rsidRPr="004D6466">
        <w:rPr>
          <w:rStyle w:val="Refdenotaalpie"/>
          <w:rFonts w:ascii="Arial" w:hAnsi="Arial" w:cs="Arial"/>
          <w:sz w:val="24"/>
          <w:szCs w:val="24"/>
        </w:rPr>
        <w:footnoteReference w:id="40"/>
      </w:r>
      <w:r w:rsidRPr="004D6466">
        <w:rPr>
          <w:rFonts w:ascii="Arial" w:hAnsi="Arial" w:cs="Arial"/>
          <w:sz w:val="24"/>
          <w:szCs w:val="24"/>
        </w:rPr>
        <w:t>.</w:t>
      </w:r>
    </w:p>
    <w:p w:rsidR="00A66191" w:rsidRPr="004D6466" w:rsidRDefault="00A66191" w:rsidP="00A66191">
      <w:pPr>
        <w:spacing w:before="100" w:beforeAutospacing="1" w:after="100" w:afterAutospacing="1" w:line="360" w:lineRule="auto"/>
        <w:jc w:val="both"/>
        <w:rPr>
          <w:rFonts w:ascii="Arial" w:hAnsi="Arial" w:cs="Arial"/>
          <w:sz w:val="24"/>
          <w:szCs w:val="24"/>
        </w:rPr>
      </w:pPr>
      <w:r w:rsidRPr="004D6466">
        <w:rPr>
          <w:rFonts w:ascii="Arial" w:hAnsi="Arial" w:cs="Arial"/>
          <w:sz w:val="24"/>
          <w:szCs w:val="24"/>
        </w:rPr>
        <w:t>Las medidas dieron los resultados deseados: la inflación en 12 meses disminuyó de 17,2% en mayo a 9,3% en diciembre de 2003 y en mayo de 2004 disminuyó a un 5,2%, mientras que el riesgo país descendió de más de 2.200 puntos en el segundo semestre de 2002 a 447 en octubre de 2004.</w:t>
      </w:r>
    </w:p>
    <w:p w:rsidR="00A66191" w:rsidRPr="004D6466" w:rsidRDefault="00A66191" w:rsidP="00A66191">
      <w:pPr>
        <w:pStyle w:val="NormalWeb"/>
        <w:spacing w:line="360" w:lineRule="auto"/>
        <w:jc w:val="both"/>
        <w:rPr>
          <w:rFonts w:ascii="Arial" w:hAnsi="Arial" w:cs="Arial"/>
          <w:b/>
        </w:rPr>
      </w:pPr>
      <w:r w:rsidRPr="004D6466">
        <w:rPr>
          <w:rFonts w:ascii="Arial" w:hAnsi="Arial" w:cs="Arial"/>
        </w:rPr>
        <w:t xml:space="preserve">Hay 2 reformas que se consideran fundamentales para el gobierno de Lula estas son: las reformas de Previsión Social y del Sistema Tributario Nacional, estas reformas en el largo plazo fueron necesarias para lograr el crecimiento económico del país, en el corto plazo ayudaron a resolver los  problemas de financiamiento del país.  </w:t>
      </w:r>
    </w:p>
    <w:p w:rsidR="00A66191" w:rsidRPr="004D6466" w:rsidRDefault="00A66191" w:rsidP="00A66191">
      <w:pPr>
        <w:pStyle w:val="NormalWeb"/>
        <w:spacing w:line="360" w:lineRule="auto"/>
        <w:jc w:val="both"/>
        <w:rPr>
          <w:rFonts w:ascii="Arial" w:hAnsi="Arial" w:cs="Arial"/>
          <w:i/>
        </w:rPr>
      </w:pPr>
      <w:r w:rsidRPr="004D6466">
        <w:rPr>
          <w:rFonts w:ascii="Arial" w:hAnsi="Arial" w:cs="Arial"/>
          <w:b/>
          <w:i/>
        </w:rPr>
        <w:t>3.5.1 Reforma de Previsión Social</w:t>
      </w:r>
    </w:p>
    <w:p w:rsidR="00A66191" w:rsidRPr="004D6466" w:rsidRDefault="00A66191" w:rsidP="00A66191">
      <w:pPr>
        <w:spacing w:line="360" w:lineRule="auto"/>
        <w:jc w:val="both"/>
        <w:rPr>
          <w:rFonts w:ascii="Arial" w:hAnsi="Arial" w:cs="Arial"/>
          <w:b/>
          <w:sz w:val="24"/>
          <w:szCs w:val="24"/>
        </w:rPr>
      </w:pPr>
      <w:r w:rsidRPr="004D6466">
        <w:rPr>
          <w:rFonts w:ascii="Arial" w:hAnsi="Arial" w:cs="Arial"/>
          <w:sz w:val="24"/>
          <w:szCs w:val="24"/>
        </w:rPr>
        <w:t>“La Previsión Social es el sistema de seguro que el Estado impone obligatoriamente a todos los trabajadores con la finalidad de protegerlos, también a sus dependientes, contra eventualidades como la pérdida de sus condiciones de trabajo por accidentes, enfermedades, muerte o vejez.”</w:t>
      </w:r>
      <w:r w:rsidRPr="004D6466">
        <w:rPr>
          <w:rStyle w:val="Refdenotaalpie"/>
          <w:rFonts w:ascii="Arial" w:hAnsi="Arial" w:cs="Arial"/>
          <w:sz w:val="24"/>
          <w:szCs w:val="24"/>
        </w:rPr>
        <w:footnoteReference w:id="41"/>
      </w:r>
    </w:p>
    <w:p w:rsidR="00A66191" w:rsidRPr="004D6466" w:rsidRDefault="00A66191" w:rsidP="00A66191">
      <w:pPr>
        <w:pStyle w:val="NormalWeb"/>
        <w:spacing w:line="360" w:lineRule="auto"/>
        <w:jc w:val="both"/>
        <w:rPr>
          <w:rFonts w:ascii="Arial" w:hAnsi="Arial" w:cs="Arial"/>
        </w:rPr>
      </w:pPr>
      <w:r w:rsidRPr="004D6466">
        <w:rPr>
          <w:rFonts w:ascii="Arial" w:hAnsi="Arial" w:cs="Arial"/>
        </w:rPr>
        <w:t>Esta reforma de previsión social fue necesaria debido al progresivo déficit que tenía el sector por los enormes beneficios que la normativa provisional otorgaba a los jubilados del sector público. Los puntos principales de la reforma fueron: el aumento de la edad mínima de retiro para los trabajadores públicos, en el caso de las mujeres fue desde los 48 a 55 años y en los hombres fue de  55 a 60 años; el cobro de un impuesto de pensión del 11% a los pensionados que recibían una pensión mensual superior a los 1.440 reales (690 dólares); el establecimiento de un tope de 2.400 reales  (</w:t>
      </w:r>
      <w:r w:rsidRPr="008E51C2">
        <w:rPr>
          <w:rStyle w:val="Textoennegrita"/>
          <w:rFonts w:ascii="Arial" w:hAnsi="Arial" w:cs="Arial"/>
          <w:b w:val="0"/>
        </w:rPr>
        <w:t>1.154 dólares</w:t>
      </w:r>
      <w:r w:rsidRPr="004D6466">
        <w:rPr>
          <w:rFonts w:ascii="Arial" w:hAnsi="Arial" w:cs="Arial"/>
        </w:rPr>
        <w:t xml:space="preserve">) en las jubilaciones </w:t>
      </w:r>
      <w:r w:rsidRPr="004D6466">
        <w:rPr>
          <w:rFonts w:ascii="Arial" w:hAnsi="Arial" w:cs="Arial"/>
        </w:rPr>
        <w:lastRenderedPageBreak/>
        <w:t xml:space="preserve">de los futuros funcionarios públicos, y el establecimiento de subtopes salariales en los Estados. Como resultado de esta reforma, se prevé reducir en los próximos 20 años los gastos del gobierno en la previsión social en 56.000 millones de reales (17.700 millones de dólares). </w:t>
      </w:r>
    </w:p>
    <w:p w:rsidR="00A66191" w:rsidRPr="004D6466" w:rsidRDefault="00A66191" w:rsidP="00A66191">
      <w:pPr>
        <w:rPr>
          <w:rFonts w:ascii="Arial" w:hAnsi="Arial" w:cs="Arial"/>
          <w:b/>
          <w:sz w:val="24"/>
          <w:szCs w:val="24"/>
        </w:rPr>
      </w:pPr>
      <w:r w:rsidRPr="004D6466">
        <w:rPr>
          <w:rFonts w:ascii="Arial" w:hAnsi="Arial" w:cs="Arial"/>
          <w:b/>
          <w:sz w:val="24"/>
          <w:szCs w:val="24"/>
        </w:rPr>
        <w:t>Resultados de la Reforma de Previsión Social</w:t>
      </w:r>
    </w:p>
    <w:p w:rsidR="00A66191" w:rsidRPr="004D6466" w:rsidRDefault="00A66191" w:rsidP="00A66191">
      <w:pPr>
        <w:spacing w:line="360" w:lineRule="auto"/>
        <w:jc w:val="both"/>
        <w:rPr>
          <w:rFonts w:ascii="Arial" w:hAnsi="Arial" w:cs="Arial"/>
          <w:sz w:val="24"/>
          <w:szCs w:val="24"/>
        </w:rPr>
      </w:pPr>
      <w:r w:rsidRPr="004D6466">
        <w:rPr>
          <w:rFonts w:ascii="Arial" w:hAnsi="Arial" w:cs="Arial"/>
          <w:sz w:val="24"/>
          <w:szCs w:val="24"/>
        </w:rPr>
        <w:t xml:space="preserve">El presidente Lula afirmó </w:t>
      </w:r>
      <w:r w:rsidR="00830DFF" w:rsidRPr="004D6466">
        <w:rPr>
          <w:rFonts w:ascii="Arial" w:hAnsi="Arial" w:cs="Arial"/>
          <w:sz w:val="24"/>
          <w:szCs w:val="24"/>
        </w:rPr>
        <w:t>que “el</w:t>
      </w:r>
      <w:r w:rsidRPr="004D6466">
        <w:rPr>
          <w:rFonts w:ascii="Arial" w:hAnsi="Arial" w:cs="Arial"/>
          <w:sz w:val="24"/>
          <w:szCs w:val="24"/>
        </w:rPr>
        <w:t xml:space="preserve"> generoso sistema de pensiones de Brasil en el 2002 costó por sí solo al gobierno el 5% del Producto Interno Bruto, es decir 38 mil millones”.</w:t>
      </w:r>
    </w:p>
    <w:p w:rsidR="00A66191" w:rsidRPr="004D6466" w:rsidRDefault="00A66191" w:rsidP="00A66191">
      <w:pPr>
        <w:pStyle w:val="Sinespaciado"/>
        <w:spacing w:line="360" w:lineRule="auto"/>
        <w:jc w:val="both"/>
        <w:rPr>
          <w:rFonts w:ascii="Arial" w:hAnsi="Arial" w:cs="Arial"/>
          <w:sz w:val="24"/>
          <w:szCs w:val="24"/>
        </w:rPr>
      </w:pPr>
      <w:r w:rsidRPr="004D6466">
        <w:rPr>
          <w:rFonts w:ascii="Arial" w:hAnsi="Arial" w:cs="Arial"/>
          <w:sz w:val="24"/>
          <w:szCs w:val="24"/>
        </w:rPr>
        <w:t>“Como muestra el siguiente gráfico el gasto previsional del Gobierno expresado como porcentaje del PIB mantuvo una tendencia persistente al alza: de un gasto total de 8,8% del PIB en 1995, se pasó a un gasto del 11,2% de promedio en el año 2003 (aprobación de la Enmienda Constitucional nº 41)</w:t>
      </w:r>
    </w:p>
    <w:p w:rsidR="00A66191" w:rsidRPr="004D6466" w:rsidRDefault="00A66191" w:rsidP="00A66191">
      <w:pPr>
        <w:pStyle w:val="Sinespaciado"/>
        <w:spacing w:line="360" w:lineRule="auto"/>
        <w:jc w:val="both"/>
        <w:rPr>
          <w:rFonts w:ascii="Arial" w:hAnsi="Arial" w:cs="Arial"/>
          <w:sz w:val="24"/>
          <w:szCs w:val="24"/>
        </w:rPr>
      </w:pPr>
    </w:p>
    <w:p w:rsidR="00A66191" w:rsidRPr="004D6466" w:rsidRDefault="00A66191" w:rsidP="00A66191">
      <w:pPr>
        <w:pStyle w:val="Sinespaciado"/>
      </w:pPr>
      <w:r w:rsidRPr="004D6466">
        <w:rPr>
          <w:noProof/>
        </w:rPr>
        <w:drawing>
          <wp:inline distT="0" distB="0" distL="0" distR="0">
            <wp:extent cx="5391150" cy="2581275"/>
            <wp:effectExtent l="19050" t="0" r="0" b="0"/>
            <wp:docPr id="4"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5" cstate="print"/>
                    <a:srcRect/>
                    <a:stretch>
                      <a:fillRect/>
                    </a:stretch>
                  </pic:blipFill>
                  <pic:spPr bwMode="auto">
                    <a:xfrm>
                      <a:off x="0" y="0"/>
                      <a:ext cx="5391150" cy="2581275"/>
                    </a:xfrm>
                    <a:prstGeom prst="rect">
                      <a:avLst/>
                    </a:prstGeom>
                    <a:noFill/>
                    <a:ln w="9525">
                      <a:noFill/>
                      <a:miter lim="800000"/>
                      <a:headEnd/>
                      <a:tailEnd/>
                    </a:ln>
                  </pic:spPr>
                </pic:pic>
              </a:graphicData>
            </a:graphic>
          </wp:inline>
        </w:drawing>
      </w:r>
    </w:p>
    <w:p w:rsidR="00A66191" w:rsidRPr="004D6466" w:rsidRDefault="00A66191" w:rsidP="00A66191">
      <w:pPr>
        <w:pStyle w:val="Sinespaciado"/>
        <w:rPr>
          <w:rFonts w:ascii="Arial" w:hAnsi="Arial" w:cs="Arial"/>
          <w:sz w:val="16"/>
          <w:szCs w:val="16"/>
        </w:rPr>
      </w:pPr>
      <w:r w:rsidRPr="004D6466">
        <w:rPr>
          <w:rFonts w:ascii="Arial" w:hAnsi="Arial" w:cs="Arial"/>
          <w:sz w:val="16"/>
          <w:szCs w:val="16"/>
        </w:rPr>
        <w:t xml:space="preserve">Gráfico nº 4                                                                                           Fuente: Ministerio de Previsión Social del Brasil </w:t>
      </w:r>
    </w:p>
    <w:p w:rsidR="00A66191" w:rsidRPr="004D6466" w:rsidRDefault="00A66191" w:rsidP="00A66191">
      <w:pPr>
        <w:pStyle w:val="Sinespaciado"/>
      </w:pPr>
    </w:p>
    <w:p w:rsidR="00A66191" w:rsidRPr="004D6466" w:rsidRDefault="00A66191" w:rsidP="00A66191">
      <w:pPr>
        <w:spacing w:line="360" w:lineRule="auto"/>
        <w:jc w:val="both"/>
        <w:rPr>
          <w:rFonts w:ascii="Arial" w:hAnsi="Arial" w:cs="Arial"/>
          <w:sz w:val="24"/>
          <w:szCs w:val="24"/>
        </w:rPr>
      </w:pPr>
      <w:r w:rsidRPr="004D6466">
        <w:rPr>
          <w:rFonts w:ascii="Arial" w:hAnsi="Arial" w:cs="Arial"/>
          <w:sz w:val="24"/>
          <w:szCs w:val="24"/>
        </w:rPr>
        <w:t xml:space="preserve">De acuerdo a las estadísticas agregadas del Ministerio de Previsión Social, la reforma para el Régimen Propio De Previsión Social (RPPS) produjo, a partir de 2004, una disminución de los requerimientos fiscales. </w:t>
      </w:r>
    </w:p>
    <w:p w:rsidR="00A66191" w:rsidRPr="004D6466" w:rsidRDefault="00A66191" w:rsidP="00A66191">
      <w:pPr>
        <w:spacing w:line="360" w:lineRule="auto"/>
        <w:jc w:val="both"/>
        <w:rPr>
          <w:rFonts w:ascii="Arial" w:hAnsi="Arial" w:cs="Arial"/>
          <w:sz w:val="24"/>
          <w:szCs w:val="24"/>
        </w:rPr>
      </w:pPr>
      <w:r w:rsidRPr="004D6466">
        <w:rPr>
          <w:rFonts w:ascii="Arial" w:hAnsi="Arial" w:cs="Arial"/>
          <w:sz w:val="24"/>
          <w:szCs w:val="24"/>
        </w:rPr>
        <w:t xml:space="preserve">En 2003, el déficit consolidado de la previsión social fue de 4,7% del PIB, siendo la contribución del Régimen General de Previsión Social (RGPS) de 1,7% del PIB mientras que el RPPS contribuía en 3%. </w:t>
      </w:r>
    </w:p>
    <w:p w:rsidR="00A66191" w:rsidRPr="004D6466" w:rsidRDefault="00A66191" w:rsidP="00A66191">
      <w:pPr>
        <w:spacing w:line="360" w:lineRule="auto"/>
        <w:jc w:val="both"/>
        <w:rPr>
          <w:rFonts w:ascii="Arial" w:hAnsi="Arial" w:cs="Arial"/>
          <w:sz w:val="24"/>
          <w:szCs w:val="24"/>
        </w:rPr>
      </w:pPr>
      <w:r w:rsidRPr="004D6466">
        <w:rPr>
          <w:rFonts w:ascii="Arial" w:hAnsi="Arial" w:cs="Arial"/>
          <w:sz w:val="24"/>
          <w:szCs w:val="24"/>
        </w:rPr>
        <w:lastRenderedPageBreak/>
        <w:t xml:space="preserve">Las cifras para 2004 señalaron que el déficit agregado se redujo a 4,5% del PIB, y el déficit del RPPS bajó a 2,7% del PIB (el efecto se produjo a partir del segundo semestre). </w:t>
      </w:r>
    </w:p>
    <w:p w:rsidR="00A66191" w:rsidRPr="004D6466" w:rsidRDefault="00A66191" w:rsidP="00A66191">
      <w:pPr>
        <w:spacing w:line="360" w:lineRule="auto"/>
        <w:jc w:val="both"/>
        <w:rPr>
          <w:rFonts w:ascii="Arial" w:hAnsi="Arial" w:cs="Arial"/>
          <w:sz w:val="24"/>
          <w:szCs w:val="24"/>
        </w:rPr>
      </w:pPr>
      <w:r w:rsidRPr="004D6466">
        <w:rPr>
          <w:rFonts w:ascii="Arial" w:hAnsi="Arial" w:cs="Arial"/>
          <w:sz w:val="24"/>
          <w:szCs w:val="24"/>
        </w:rPr>
        <w:t xml:space="preserve">Ya en 2005, con todo el impacto de la reforma afectando al gasto de todo el año, el déficit global alcanzó un 4,3% del PIB, siendo la contribución del RPPS del 2,4% y del RGPS del 1,9%. O en otros términos, el efecto de la reforma del RPPS redujo en el año 2005 un 14% las necesidades de financiamiento de este régimen en relación con las necesidades promedio del periodo 2001-2003. </w:t>
      </w:r>
    </w:p>
    <w:p w:rsidR="00A66191" w:rsidRPr="004D6466" w:rsidRDefault="00A66191" w:rsidP="00A66191">
      <w:pPr>
        <w:spacing w:line="360" w:lineRule="auto"/>
        <w:jc w:val="both"/>
        <w:rPr>
          <w:rFonts w:ascii="Arial" w:hAnsi="Arial" w:cs="Arial"/>
          <w:sz w:val="24"/>
          <w:szCs w:val="24"/>
        </w:rPr>
      </w:pPr>
      <w:r w:rsidRPr="004D6466">
        <w:rPr>
          <w:rFonts w:ascii="Arial" w:hAnsi="Arial" w:cs="Arial"/>
          <w:sz w:val="24"/>
          <w:szCs w:val="24"/>
        </w:rPr>
        <w:t>Sin embargo, el impacto sobre el equilibrio actuarial del RGPS se estima que va a ser modesto, dado que el foco de los cambios se concentró básicamente sobre los nuevos entrantes al modelo: en torno a un ahorro acumulado del 6% del PIB en los próximos 30 años (Giambiagi y Melo, 2006)”</w:t>
      </w:r>
      <w:r w:rsidRPr="004D6466">
        <w:rPr>
          <w:rStyle w:val="Refdenotaalpie"/>
          <w:rFonts w:ascii="Arial" w:hAnsi="Arial" w:cs="Arial"/>
          <w:sz w:val="24"/>
          <w:szCs w:val="24"/>
        </w:rPr>
        <w:footnoteReference w:id="42"/>
      </w:r>
      <w:r w:rsidRPr="004D6466">
        <w:rPr>
          <w:rFonts w:ascii="Arial" w:hAnsi="Arial" w:cs="Arial"/>
          <w:sz w:val="24"/>
          <w:szCs w:val="24"/>
        </w:rPr>
        <w:t>.</w:t>
      </w:r>
    </w:p>
    <w:p w:rsidR="00A66191" w:rsidRPr="004D6466" w:rsidRDefault="00A66191" w:rsidP="00A66191">
      <w:pPr>
        <w:pStyle w:val="NormalWeb"/>
        <w:spacing w:line="360" w:lineRule="auto"/>
        <w:jc w:val="both"/>
        <w:rPr>
          <w:rFonts w:ascii="Arial" w:hAnsi="Arial" w:cs="Arial"/>
          <w:i/>
        </w:rPr>
      </w:pPr>
      <w:r w:rsidRPr="004D6466">
        <w:rPr>
          <w:rFonts w:ascii="Arial" w:hAnsi="Arial" w:cs="Arial"/>
          <w:b/>
          <w:i/>
        </w:rPr>
        <w:t>3.5.2</w:t>
      </w:r>
      <w:r w:rsidR="008E51C2">
        <w:rPr>
          <w:rFonts w:ascii="Arial" w:hAnsi="Arial" w:cs="Arial"/>
          <w:b/>
          <w:i/>
        </w:rPr>
        <w:t xml:space="preserve"> </w:t>
      </w:r>
      <w:r w:rsidRPr="004D6466">
        <w:rPr>
          <w:rFonts w:ascii="Arial" w:hAnsi="Arial" w:cs="Arial"/>
          <w:b/>
          <w:i/>
        </w:rPr>
        <w:t>Reforma del Sistema Tributario Nacional</w:t>
      </w:r>
    </w:p>
    <w:p w:rsidR="00A66191" w:rsidRPr="004D6466" w:rsidRDefault="00A66191" w:rsidP="00A66191">
      <w:pPr>
        <w:pStyle w:val="NormalWeb"/>
        <w:spacing w:line="360" w:lineRule="auto"/>
        <w:jc w:val="both"/>
        <w:rPr>
          <w:rFonts w:ascii="Arial" w:hAnsi="Arial" w:cs="Arial"/>
        </w:rPr>
      </w:pPr>
      <w:r w:rsidRPr="004D6466">
        <w:rPr>
          <w:rFonts w:ascii="Arial" w:hAnsi="Arial" w:cs="Arial"/>
        </w:rPr>
        <w:t xml:space="preserve">La reforma al sistema tributario nacional de Lula  tuvo que ver con modificar profundamente el sistema tributario con el objetivo de resolver su regresividad, que implicaba que proporcionalmente pagan más impuestos las personas de menos recursos. </w:t>
      </w:r>
    </w:p>
    <w:p w:rsidR="00A66191" w:rsidRPr="004D6466" w:rsidRDefault="00A66191" w:rsidP="00A66191">
      <w:pPr>
        <w:pStyle w:val="NormalWeb"/>
        <w:spacing w:line="360" w:lineRule="auto"/>
        <w:jc w:val="both"/>
        <w:rPr>
          <w:rFonts w:ascii="Arial" w:hAnsi="Arial" w:cs="Arial"/>
        </w:rPr>
      </w:pPr>
      <w:r w:rsidRPr="004D6466">
        <w:rPr>
          <w:rFonts w:ascii="Arial" w:hAnsi="Arial" w:cs="Arial"/>
        </w:rPr>
        <w:t>Durante los dos mandatos de Cardoso, como el objetivo era lograr superávit fiscal para crear ahorro público, destinado al pago de la parte financiera de deuda interna, de acuerdo con Cunha,</w:t>
      </w:r>
      <w:r w:rsidRPr="004D6466">
        <w:rPr>
          <w:rStyle w:val="nfasis"/>
          <w:rFonts w:ascii="Arial" w:hAnsi="Arial" w:cs="Arial"/>
        </w:rPr>
        <w:t xml:space="preserve"> “se elevó  carga tributaria del 26% para más del 35% del PIB</w:t>
      </w:r>
      <w:r w:rsidRPr="004D6466">
        <w:rPr>
          <w:rStyle w:val="Refdenotaalpie"/>
          <w:rFonts w:ascii="Arial" w:eastAsiaTheme="majorEastAsia" w:hAnsi="Arial" w:cs="Arial"/>
          <w:i/>
          <w:iCs/>
        </w:rPr>
        <w:footnoteReference w:id="43"/>
      </w:r>
      <w:r w:rsidRPr="004D6466">
        <w:rPr>
          <w:rStyle w:val="nfasis"/>
          <w:rFonts w:ascii="Arial" w:hAnsi="Arial" w:cs="Arial"/>
        </w:rPr>
        <w:t>”.</w:t>
      </w:r>
      <w:r w:rsidRPr="004D6466">
        <w:rPr>
          <w:rFonts w:ascii="Arial" w:hAnsi="Arial" w:cs="Arial"/>
        </w:rPr>
        <w:t xml:space="preserve"> En este sentido, el objetivo del gobierno de Lula fue simplificar el Sistema Tributario Brasileño a través de la unificación de alícuotas del Impuesto sobre la Circulación de Mercaderías y Servicios (ICMS) y poner fin al instrumento de incentivo tributario tan utilizado por los Estados, llamado “guerra fiscal”, que consistió en la competencia entre los estados a través de la reducción de impuestos. Esto facilitaría el pago y la fiscalización de todos los impuestos existentes en Brasil. </w:t>
      </w:r>
    </w:p>
    <w:p w:rsidR="00A66191" w:rsidRPr="004D6466" w:rsidRDefault="00A66191" w:rsidP="00A66191">
      <w:pPr>
        <w:pStyle w:val="NormalWeb"/>
        <w:spacing w:line="360" w:lineRule="auto"/>
        <w:jc w:val="both"/>
        <w:rPr>
          <w:rFonts w:ascii="Arial" w:hAnsi="Arial" w:cs="Arial"/>
        </w:rPr>
      </w:pPr>
      <w:r w:rsidRPr="004D6466">
        <w:rPr>
          <w:rFonts w:ascii="Arial" w:hAnsi="Arial" w:cs="Arial"/>
        </w:rPr>
        <w:lastRenderedPageBreak/>
        <w:t xml:space="preserve">Sin embargo, la propuesta inicial fue modificada por el Congreso y tuvo un alcance muchísimo menor al esperado debido a la oposición que presentó su aprobación en el Senado, dado que los municipios querían recibir una porción de los ingresos federales por lo que el gobierno de Lula tuvo que ceder en algunos de sus pedidos. </w:t>
      </w:r>
    </w:p>
    <w:p w:rsidR="00A66191" w:rsidRPr="004D6466" w:rsidRDefault="00A66191" w:rsidP="00A66191">
      <w:pPr>
        <w:pStyle w:val="NormalWeb"/>
        <w:spacing w:line="360" w:lineRule="auto"/>
        <w:jc w:val="both"/>
        <w:rPr>
          <w:rFonts w:ascii="Arial" w:hAnsi="Arial" w:cs="Arial"/>
        </w:rPr>
      </w:pPr>
      <w:r w:rsidRPr="004D6466">
        <w:rPr>
          <w:rFonts w:ascii="Arial" w:hAnsi="Arial" w:cs="Arial"/>
        </w:rPr>
        <w:t xml:space="preserve">Los principales puntos aprobados fueron: la reducción del Impuesto a la Producción Industrial (IPI), la extensión del  impuesto a la importación, el aumento del Impuesto a los Combustibles (se  establece que la Administración Federal debía compartir el 25% de estos ingresos con Estados y Municipios), la eliminación del impuesto a las exportaciones (creándose un fondo para compensar a los Estados por la merma de ingresos), el incremento del 1% del Fondo de Participación de los Municipios (que les aseguró 1.000 millones de reales adicionales para 2004 y 1.500 millones para 2005 y 2006, unificación de los impuestos federales, estaduales y municipales (que facilita el pago de impuestos para pequeñas y medianas empresas) y la prórroga del impuesto de Contribución Provisoria sobre Movimientos Financieros hasta 2007, con una alícuota de 0.38% (esta medida aseguró ingresos fiscales de alrededor de 20.000 millones de reales al año). </w:t>
      </w:r>
    </w:p>
    <w:p w:rsidR="00A66191" w:rsidRPr="004D6466" w:rsidRDefault="00A66191" w:rsidP="00A66191">
      <w:pPr>
        <w:rPr>
          <w:rFonts w:ascii="Arial" w:hAnsi="Arial" w:cs="Arial"/>
          <w:b/>
          <w:sz w:val="24"/>
          <w:szCs w:val="24"/>
        </w:rPr>
      </w:pPr>
      <w:r w:rsidRPr="004D6466">
        <w:rPr>
          <w:rFonts w:ascii="Arial" w:hAnsi="Arial" w:cs="Arial"/>
          <w:b/>
          <w:sz w:val="24"/>
          <w:szCs w:val="24"/>
        </w:rPr>
        <w:t>Resultados de la Reforma del Sistema Tributario Nacional</w:t>
      </w:r>
    </w:p>
    <w:p w:rsidR="00A66191" w:rsidRPr="004D6466" w:rsidRDefault="00A66191" w:rsidP="00A66191">
      <w:pPr>
        <w:spacing w:line="360" w:lineRule="auto"/>
        <w:jc w:val="both"/>
        <w:rPr>
          <w:rFonts w:ascii="Arial" w:hAnsi="Arial" w:cs="Arial"/>
          <w:sz w:val="24"/>
          <w:szCs w:val="24"/>
        </w:rPr>
      </w:pPr>
      <w:r w:rsidRPr="004D6466">
        <w:rPr>
          <w:rFonts w:ascii="Arial" w:hAnsi="Arial" w:cs="Arial"/>
          <w:sz w:val="24"/>
          <w:szCs w:val="24"/>
        </w:rPr>
        <w:t>“La recaudación tributaria total en Brasil, medida como porcentaje del PIB, es hoy la más alta entre las economías emergentes y una de las más altas del mundo, según un informe reciente publicado por el Instituto Brasileño del Planificación Tributaria. El Ministerio de Hacienda calcula que la recaudación fiscal en Brasil (incluyendo los niveles federal, estatal y municipal) suma un 34% del PIB, comparado con aproximadamente 29,8% en Estados Unidos y un promedio de 37,5% en la Unión Europea.</w:t>
      </w:r>
    </w:p>
    <w:p w:rsidR="00A66191" w:rsidRPr="004D6466" w:rsidRDefault="00A66191" w:rsidP="00A66191">
      <w:pPr>
        <w:spacing w:line="360" w:lineRule="auto"/>
        <w:jc w:val="both"/>
        <w:rPr>
          <w:rFonts w:ascii="Arial" w:hAnsi="Arial" w:cs="Arial"/>
          <w:sz w:val="24"/>
          <w:szCs w:val="24"/>
        </w:rPr>
      </w:pPr>
      <w:r w:rsidRPr="004D6466">
        <w:rPr>
          <w:rFonts w:ascii="Arial" w:hAnsi="Arial" w:cs="Arial"/>
          <w:sz w:val="24"/>
          <w:szCs w:val="24"/>
        </w:rPr>
        <w:t xml:space="preserve">Un estudio nacional realizado por la Secretaría de Finanzas del estado de Río Grande do Sul, indica que, la recaudación nacional del Impuesto relativo a las operaciones sobre la Circulación de Mercaderías y Servicios (ICMS) aumentó de 25,6 mil millones de </w:t>
      </w:r>
      <w:r w:rsidRPr="004D6466">
        <w:rPr>
          <w:rFonts w:ascii="Arial" w:hAnsi="Arial" w:cs="Arial"/>
          <w:iCs/>
          <w:sz w:val="24"/>
          <w:szCs w:val="24"/>
        </w:rPr>
        <w:t>reales</w:t>
      </w:r>
      <w:r w:rsidRPr="004D6466">
        <w:rPr>
          <w:rFonts w:ascii="Arial" w:hAnsi="Arial" w:cs="Arial"/>
          <w:sz w:val="24"/>
          <w:szCs w:val="24"/>
        </w:rPr>
        <w:t xml:space="preserve"> ($30 mil millones de dólares) en 1994 a 82,3 mil </w:t>
      </w:r>
      <w:r w:rsidRPr="004D6466">
        <w:rPr>
          <w:rFonts w:ascii="Arial" w:hAnsi="Arial" w:cs="Arial"/>
          <w:sz w:val="24"/>
          <w:szCs w:val="24"/>
        </w:rPr>
        <w:lastRenderedPageBreak/>
        <w:t xml:space="preserve">millones de </w:t>
      </w:r>
      <w:r w:rsidRPr="004D6466">
        <w:rPr>
          <w:rFonts w:ascii="Arial" w:hAnsi="Arial" w:cs="Arial"/>
          <w:iCs/>
          <w:sz w:val="24"/>
          <w:szCs w:val="24"/>
        </w:rPr>
        <w:t>reales</w:t>
      </w:r>
      <w:r w:rsidRPr="004D6466">
        <w:rPr>
          <w:rFonts w:ascii="Arial" w:hAnsi="Arial" w:cs="Arial"/>
          <w:sz w:val="24"/>
          <w:szCs w:val="24"/>
        </w:rPr>
        <w:t xml:space="preserve"> ($46 mil millones de dólares) en el 2000, un aumento substancial a pesar de las devaluaciones de la moneda”</w:t>
      </w:r>
      <w:r w:rsidRPr="004D6466">
        <w:rPr>
          <w:rStyle w:val="Refdenotaalpie"/>
          <w:rFonts w:ascii="Arial" w:hAnsi="Arial" w:cs="Arial"/>
          <w:sz w:val="24"/>
          <w:szCs w:val="24"/>
        </w:rPr>
        <w:footnoteReference w:id="44"/>
      </w:r>
      <w:r w:rsidRPr="004D6466">
        <w:rPr>
          <w:rFonts w:ascii="Arial" w:hAnsi="Arial" w:cs="Arial"/>
          <w:sz w:val="24"/>
          <w:szCs w:val="24"/>
        </w:rPr>
        <w:t>.</w:t>
      </w:r>
    </w:p>
    <w:p w:rsidR="00A66191" w:rsidRPr="004D6466" w:rsidRDefault="00A66191" w:rsidP="00A66191">
      <w:pPr>
        <w:pStyle w:val="NormalWeb"/>
        <w:spacing w:line="360" w:lineRule="auto"/>
        <w:jc w:val="both"/>
        <w:rPr>
          <w:rFonts w:ascii="Arial" w:hAnsi="Arial" w:cs="Arial"/>
          <w:b/>
          <w:i/>
        </w:rPr>
      </w:pPr>
      <w:r w:rsidRPr="004D6466">
        <w:rPr>
          <w:rFonts w:ascii="Arial" w:hAnsi="Arial" w:cs="Arial"/>
          <w:b/>
          <w:i/>
        </w:rPr>
        <w:t>3.5.3 Programa de Aceleración del Crecimiento (PAC)</w:t>
      </w:r>
    </w:p>
    <w:p w:rsidR="00A66191" w:rsidRPr="004D6466" w:rsidRDefault="00A66191" w:rsidP="00A66191">
      <w:pPr>
        <w:spacing w:line="360" w:lineRule="auto"/>
        <w:jc w:val="both"/>
        <w:rPr>
          <w:rFonts w:ascii="Arial" w:hAnsi="Arial" w:cs="Arial"/>
          <w:b/>
          <w:bCs/>
          <w:sz w:val="24"/>
          <w:szCs w:val="24"/>
        </w:rPr>
      </w:pPr>
      <w:r w:rsidRPr="004D6466">
        <w:rPr>
          <w:rFonts w:ascii="Arial" w:hAnsi="Arial" w:cs="Arial"/>
          <w:sz w:val="24"/>
          <w:szCs w:val="24"/>
        </w:rPr>
        <w:t xml:space="preserve">El programa se inició el 28 de enero de 2007, por la administración de  </w:t>
      </w:r>
      <w:hyperlink r:id="rId136" w:tooltip="Luiz Inácio Lula da Silva" w:history="1">
        <w:r w:rsidRPr="004D6466">
          <w:rPr>
            <w:rStyle w:val="Hipervnculo"/>
            <w:rFonts w:ascii="Arial" w:hAnsi="Arial" w:cs="Arial"/>
            <w:color w:val="auto"/>
            <w:sz w:val="24"/>
            <w:szCs w:val="24"/>
            <w:u w:val="none"/>
          </w:rPr>
          <w:t>Lula da Silva</w:t>
        </w:r>
      </w:hyperlink>
      <w:r w:rsidRPr="004D6466">
        <w:rPr>
          <w:rFonts w:ascii="Arial" w:hAnsi="Arial" w:cs="Arial"/>
          <w:sz w:val="24"/>
          <w:szCs w:val="24"/>
        </w:rPr>
        <w:t xml:space="preserve">, que consistió en un conjunto de </w:t>
      </w:r>
      <w:hyperlink r:id="rId137" w:tooltip="Política económica" w:history="1">
        <w:r w:rsidRPr="004D6466">
          <w:rPr>
            <w:rStyle w:val="Hipervnculo"/>
            <w:rFonts w:ascii="Arial" w:hAnsi="Arial" w:cs="Arial"/>
            <w:color w:val="auto"/>
            <w:sz w:val="24"/>
            <w:szCs w:val="24"/>
            <w:u w:val="none"/>
          </w:rPr>
          <w:t>políticas económicas</w:t>
        </w:r>
      </w:hyperlink>
      <w:r w:rsidRPr="004D6466">
        <w:rPr>
          <w:rFonts w:ascii="Arial" w:hAnsi="Arial" w:cs="Arial"/>
          <w:sz w:val="24"/>
          <w:szCs w:val="24"/>
        </w:rPr>
        <w:t xml:space="preserve"> y  </w:t>
      </w:r>
      <w:r w:rsidR="00830DFF" w:rsidRPr="00B8343A">
        <w:rPr>
          <w:rFonts w:ascii="Arial" w:hAnsi="Arial" w:cs="Arial"/>
          <w:sz w:val="24"/>
          <w:szCs w:val="24"/>
        </w:rPr>
        <w:t>proyectos</w:t>
      </w:r>
      <w:r w:rsidR="00B8343A">
        <w:rPr>
          <w:rFonts w:ascii="Arial" w:hAnsi="Arial" w:cs="Arial"/>
          <w:sz w:val="24"/>
          <w:szCs w:val="24"/>
        </w:rPr>
        <w:t>,</w:t>
      </w:r>
      <w:r w:rsidRPr="004D6466">
        <w:rPr>
          <w:rFonts w:ascii="Arial" w:hAnsi="Arial" w:cs="Arial"/>
          <w:sz w:val="24"/>
          <w:szCs w:val="24"/>
        </w:rPr>
        <w:t xml:space="preserve"> con el objetivo de acelerar </w:t>
      </w:r>
      <w:hyperlink r:id="rId138" w:tooltip="Desarrollo económico" w:history="1">
        <w:r w:rsidRPr="004D6466">
          <w:rPr>
            <w:rStyle w:val="Hipervnculo"/>
            <w:rFonts w:ascii="Arial" w:hAnsi="Arial" w:cs="Arial"/>
            <w:color w:val="auto"/>
            <w:sz w:val="24"/>
            <w:szCs w:val="24"/>
            <w:u w:val="none"/>
          </w:rPr>
          <w:t>el crecimiento económico</w:t>
        </w:r>
      </w:hyperlink>
      <w:r w:rsidRPr="004D6466">
        <w:rPr>
          <w:rFonts w:ascii="Arial" w:hAnsi="Arial" w:cs="Arial"/>
          <w:sz w:val="24"/>
          <w:szCs w:val="24"/>
        </w:rPr>
        <w:t xml:space="preserve"> en </w:t>
      </w:r>
      <w:hyperlink r:id="rId139" w:tooltip="Brasil" w:history="1">
        <w:r w:rsidRPr="004D6466">
          <w:rPr>
            <w:rStyle w:val="Hipervnculo"/>
            <w:rFonts w:ascii="Arial" w:hAnsi="Arial" w:cs="Arial"/>
            <w:color w:val="auto"/>
            <w:sz w:val="24"/>
            <w:szCs w:val="24"/>
            <w:u w:val="none"/>
          </w:rPr>
          <w:t>Brasil</w:t>
        </w:r>
      </w:hyperlink>
      <w:r w:rsidRPr="004D6466">
        <w:rPr>
          <w:rFonts w:ascii="Arial" w:hAnsi="Arial" w:cs="Arial"/>
          <w:sz w:val="24"/>
          <w:szCs w:val="24"/>
        </w:rPr>
        <w:t xml:space="preserve">. El programa contó con un presupuesto de $ 503,9 mil millones </w:t>
      </w:r>
      <w:hyperlink r:id="rId140" w:tooltip="Reales" w:history="1">
        <w:r w:rsidRPr="004D6466">
          <w:rPr>
            <w:rStyle w:val="Hipervnculo"/>
            <w:rFonts w:ascii="Arial" w:hAnsi="Arial" w:cs="Arial"/>
            <w:color w:val="auto"/>
            <w:sz w:val="24"/>
            <w:szCs w:val="24"/>
            <w:u w:val="none"/>
          </w:rPr>
          <w:t>de reales</w:t>
        </w:r>
      </w:hyperlink>
      <w:r w:rsidRPr="004D6466">
        <w:rPr>
          <w:rFonts w:ascii="Arial" w:hAnsi="Arial" w:cs="Arial"/>
          <w:sz w:val="24"/>
          <w:szCs w:val="24"/>
        </w:rPr>
        <w:t xml:space="preserve"> para el periodo 2007-2010. La administración de la presidenta </w:t>
      </w:r>
      <w:hyperlink r:id="rId141" w:tooltip="Dilma Rousseff" w:history="1">
        <w:r w:rsidRPr="004D6466">
          <w:rPr>
            <w:rStyle w:val="Hipervnculo"/>
            <w:rFonts w:ascii="Arial" w:hAnsi="Arial" w:cs="Arial"/>
            <w:color w:val="auto"/>
            <w:sz w:val="24"/>
            <w:szCs w:val="24"/>
            <w:u w:val="none"/>
          </w:rPr>
          <w:t>Rousseff</w:t>
        </w:r>
      </w:hyperlink>
      <w:r w:rsidRPr="004D6466">
        <w:rPr>
          <w:rFonts w:ascii="Arial" w:hAnsi="Arial" w:cs="Arial"/>
          <w:sz w:val="24"/>
          <w:szCs w:val="24"/>
        </w:rPr>
        <w:t xml:space="preserve"> ha continuado el programa bajo el nombre de </w:t>
      </w:r>
      <w:r w:rsidRPr="004D6466">
        <w:rPr>
          <w:rFonts w:ascii="Arial" w:hAnsi="Arial" w:cs="Arial"/>
          <w:bCs/>
          <w:sz w:val="24"/>
          <w:szCs w:val="24"/>
        </w:rPr>
        <w:t>PAC-2</w:t>
      </w:r>
      <w:r w:rsidRPr="004D6466">
        <w:rPr>
          <w:rFonts w:ascii="Arial" w:hAnsi="Arial" w:cs="Arial"/>
          <w:b/>
          <w:bCs/>
          <w:sz w:val="24"/>
          <w:szCs w:val="24"/>
        </w:rPr>
        <w:t>.</w:t>
      </w:r>
    </w:p>
    <w:p w:rsidR="00A66191" w:rsidRPr="004D6466" w:rsidRDefault="00A66191" w:rsidP="00A66191">
      <w:pPr>
        <w:rPr>
          <w:rFonts w:ascii="Arial" w:hAnsi="Arial" w:cs="Arial"/>
          <w:b/>
          <w:bCs/>
          <w:sz w:val="24"/>
          <w:szCs w:val="24"/>
        </w:rPr>
      </w:pPr>
      <w:r w:rsidRPr="004D6466">
        <w:rPr>
          <w:rFonts w:ascii="Arial" w:hAnsi="Arial" w:cs="Arial"/>
          <w:sz w:val="24"/>
          <w:szCs w:val="24"/>
        </w:rPr>
        <w:t xml:space="preserve">El PAC puede distinguir 3 áreas de intervención: </w:t>
      </w:r>
    </w:p>
    <w:p w:rsidR="00A66191" w:rsidRPr="004D6466" w:rsidRDefault="00A66191" w:rsidP="00A66191">
      <w:pPr>
        <w:spacing w:line="360" w:lineRule="auto"/>
        <w:ind w:firstLine="708"/>
        <w:jc w:val="both"/>
        <w:rPr>
          <w:rFonts w:ascii="Arial" w:hAnsi="Arial" w:cs="Arial"/>
          <w:b/>
          <w:i/>
          <w:sz w:val="24"/>
          <w:szCs w:val="24"/>
        </w:rPr>
      </w:pPr>
      <w:r w:rsidRPr="004D6466">
        <w:rPr>
          <w:rFonts w:ascii="Arial" w:hAnsi="Arial" w:cs="Arial"/>
          <w:b/>
          <w:bCs/>
          <w:i/>
          <w:sz w:val="24"/>
          <w:szCs w:val="24"/>
        </w:rPr>
        <w:t>1. Inversión en infraestructura y entorno social</w:t>
      </w:r>
    </w:p>
    <w:p w:rsidR="00A66191" w:rsidRPr="004D6466" w:rsidRDefault="00A66191" w:rsidP="00A66191">
      <w:pPr>
        <w:autoSpaceDE w:val="0"/>
        <w:autoSpaceDN w:val="0"/>
        <w:adjustRightInd w:val="0"/>
        <w:spacing w:before="120" w:after="120" w:line="360" w:lineRule="auto"/>
        <w:jc w:val="both"/>
        <w:rPr>
          <w:rFonts w:ascii="Arial" w:hAnsi="Arial" w:cs="Arial"/>
          <w:sz w:val="24"/>
          <w:szCs w:val="24"/>
        </w:rPr>
      </w:pPr>
      <w:r w:rsidRPr="004D6466">
        <w:rPr>
          <w:rFonts w:ascii="Arial" w:hAnsi="Arial" w:cs="Arial"/>
          <w:sz w:val="24"/>
          <w:szCs w:val="24"/>
        </w:rPr>
        <w:t xml:space="preserve">Tuvo como objetivo la recuperación de la infraestructura logística como carreteras, ferrocarriles, puertos, aeropuertos y transportes fluviales; así como infraestructura energética que incluye la generación y transmisión de energía eléctrica, petróleo, gas natural y combustibles renovables; infraestructura social y urbana en todo lo que implica saneamiento, vivienda, transporte urbano, recursos hídricos y el fomento del desarrollo económico. </w:t>
      </w:r>
    </w:p>
    <w:p w:rsidR="00A66191" w:rsidRPr="004D6466" w:rsidRDefault="00A66191" w:rsidP="00A66191">
      <w:pPr>
        <w:autoSpaceDE w:val="0"/>
        <w:autoSpaceDN w:val="0"/>
        <w:adjustRightInd w:val="0"/>
        <w:spacing w:before="120" w:after="120" w:line="360" w:lineRule="auto"/>
        <w:jc w:val="both"/>
        <w:rPr>
          <w:rFonts w:ascii="Arial" w:hAnsi="Arial" w:cs="Arial"/>
          <w:sz w:val="24"/>
          <w:szCs w:val="24"/>
        </w:rPr>
      </w:pPr>
      <w:r w:rsidRPr="004D6466">
        <w:rPr>
          <w:rFonts w:ascii="Arial" w:hAnsi="Arial" w:cs="Arial"/>
          <w:sz w:val="24"/>
          <w:szCs w:val="24"/>
        </w:rPr>
        <w:t xml:space="preserve">“El PAC comprende así mismo la financiación de la construcción, adecuación, duplicación y recuperación de aproximadamente 42 mil kilómetros de carreteras, 2.518 kilómetros de ferrocarriles, la ampliación de 12 puertos y 20 aeropuertos, el incremento en 12.386 MW de la capacidad de producción de energía eléctrica, la construcción de 13.826 kilómetros de líneas de transmisión, la instalación de 4 nuevas unidades de refinación o petroquímicas, la construcción de 4.526 kilómetros de gaseoductos, la instalación de 46 nuevas fábricas de producción de biodiesel y 77 fábricas de etanol. Además de ello, contempla la ampliación de la red de metro en las grandes ciudades. En cuanto al entorno social, el PAC apuesta por la mejora de la vivienda para aproximadamente 4 millones de familias, así como por proporcionar servicios </w:t>
      </w:r>
      <w:r w:rsidRPr="004D6466">
        <w:rPr>
          <w:rFonts w:ascii="Arial" w:hAnsi="Arial" w:cs="Arial"/>
          <w:sz w:val="24"/>
          <w:szCs w:val="24"/>
        </w:rPr>
        <w:lastRenderedPageBreak/>
        <w:t>de saneamiento básico e infraestructura hídrica a los hogares de 23,8 millones de brasileños que hasta ahora no han tenido acceso a ellos.”</w:t>
      </w:r>
      <w:r w:rsidRPr="004D6466">
        <w:rPr>
          <w:rStyle w:val="Refdenotaalpie"/>
          <w:rFonts w:ascii="Arial" w:hAnsi="Arial" w:cs="Arial"/>
          <w:sz w:val="24"/>
          <w:szCs w:val="24"/>
        </w:rPr>
        <w:footnoteReference w:id="45"/>
      </w:r>
    </w:p>
    <w:p w:rsidR="00A66191" w:rsidRPr="004D6466" w:rsidRDefault="00A66191" w:rsidP="00A66191">
      <w:pPr>
        <w:spacing w:line="360" w:lineRule="auto"/>
        <w:ind w:firstLine="708"/>
        <w:jc w:val="both"/>
        <w:rPr>
          <w:rFonts w:ascii="Arial" w:hAnsi="Arial" w:cs="Arial"/>
          <w:b/>
          <w:i/>
          <w:sz w:val="24"/>
          <w:szCs w:val="24"/>
        </w:rPr>
      </w:pPr>
      <w:r w:rsidRPr="004D6466">
        <w:rPr>
          <w:rFonts w:ascii="Arial" w:hAnsi="Arial" w:cs="Arial"/>
          <w:b/>
          <w:i/>
          <w:sz w:val="24"/>
          <w:szCs w:val="24"/>
        </w:rPr>
        <w:t>2. Medidas para estimular la concesión de crédito y la financiación</w:t>
      </w:r>
    </w:p>
    <w:p w:rsidR="00A66191" w:rsidRPr="004D6466" w:rsidRDefault="00A66191" w:rsidP="00A66191">
      <w:pPr>
        <w:spacing w:line="360" w:lineRule="auto"/>
        <w:jc w:val="both"/>
        <w:rPr>
          <w:rFonts w:ascii="Arial" w:hAnsi="Arial" w:cs="Arial"/>
          <w:sz w:val="24"/>
          <w:szCs w:val="24"/>
        </w:rPr>
      </w:pPr>
      <w:r w:rsidRPr="004D6466">
        <w:rPr>
          <w:rFonts w:ascii="Arial" w:hAnsi="Arial" w:cs="Arial"/>
          <w:sz w:val="24"/>
          <w:szCs w:val="24"/>
        </w:rPr>
        <w:t xml:space="preserve"> Contempla el aumento del crédito mediante la concesión de R$5.200 millones a la Caja Económica Federal y el aumento del crédito público para inversiones en vivienda, además de otras medidas para el fomento de la ejecución de obras de infraestructura. </w:t>
      </w:r>
    </w:p>
    <w:p w:rsidR="00A66191" w:rsidRPr="004D6466" w:rsidRDefault="00A66191" w:rsidP="00A66191">
      <w:pPr>
        <w:spacing w:line="360" w:lineRule="auto"/>
        <w:jc w:val="both"/>
        <w:rPr>
          <w:rFonts w:ascii="Arial" w:hAnsi="Arial" w:cs="Arial"/>
          <w:sz w:val="24"/>
          <w:szCs w:val="24"/>
        </w:rPr>
      </w:pPr>
      <w:r w:rsidRPr="004D6466">
        <w:rPr>
          <w:rFonts w:ascii="Arial" w:hAnsi="Arial" w:cs="Arial"/>
          <w:sz w:val="24"/>
          <w:szCs w:val="24"/>
        </w:rPr>
        <w:t>Por otra parte, destacaron, en el ámbito del PAC, la creación del Fondo de Inversiones del Fondo de Garantía por tiempo de Trabajo y la elevación de la liquidez del Fondo de Arrendamiento Residencial</w:t>
      </w:r>
      <w:r w:rsidRPr="004D6466">
        <w:rPr>
          <w:rFonts w:ascii="Arial" w:hAnsi="Arial" w:cs="Arial"/>
          <w:i/>
          <w:iCs/>
          <w:sz w:val="24"/>
          <w:szCs w:val="24"/>
        </w:rPr>
        <w:t xml:space="preserve">, </w:t>
      </w:r>
      <w:r w:rsidRPr="004D6466">
        <w:rPr>
          <w:rFonts w:ascii="Arial" w:hAnsi="Arial" w:cs="Arial"/>
          <w:sz w:val="24"/>
          <w:szCs w:val="24"/>
        </w:rPr>
        <w:t xml:space="preserve">dentro del </w:t>
      </w:r>
      <w:r w:rsidRPr="004D6466">
        <w:rPr>
          <w:rFonts w:ascii="Arial" w:hAnsi="Arial" w:cs="Arial"/>
          <w:iCs/>
          <w:sz w:val="24"/>
          <w:szCs w:val="24"/>
        </w:rPr>
        <w:t>Programa de Arrendamiento Residencial</w:t>
      </w:r>
      <w:r w:rsidRPr="004D6466">
        <w:rPr>
          <w:rFonts w:ascii="Arial" w:hAnsi="Arial" w:cs="Arial"/>
          <w:sz w:val="24"/>
          <w:szCs w:val="24"/>
        </w:rPr>
        <w:t>. Dichas medidas, adoptadas por el Gobierno Federal a comienzos de 2007, fueron destinadas a estimular el crédito y la financiación y, en particular, la concesión de créditos a Estados y Municipios para la financiación de obras de saneamiento básico por un total de R$3.700 millones.</w:t>
      </w:r>
    </w:p>
    <w:p w:rsidR="00A66191" w:rsidRPr="004D6466" w:rsidRDefault="00A66191" w:rsidP="00A66191">
      <w:pPr>
        <w:spacing w:line="360" w:lineRule="auto"/>
        <w:ind w:firstLine="708"/>
        <w:jc w:val="both"/>
        <w:rPr>
          <w:rFonts w:ascii="Arial" w:hAnsi="Arial" w:cs="Arial"/>
          <w:b/>
          <w:i/>
          <w:sz w:val="24"/>
          <w:szCs w:val="24"/>
        </w:rPr>
      </w:pPr>
      <w:r w:rsidRPr="004D6466">
        <w:rPr>
          <w:rFonts w:ascii="Arial" w:hAnsi="Arial" w:cs="Arial"/>
          <w:b/>
          <w:i/>
          <w:sz w:val="24"/>
          <w:szCs w:val="24"/>
        </w:rPr>
        <w:t>3. Ampliación de las inversiones</w:t>
      </w:r>
    </w:p>
    <w:p w:rsidR="00A66191" w:rsidRPr="004D6466" w:rsidRDefault="00A66191" w:rsidP="00A66191">
      <w:pPr>
        <w:spacing w:line="360" w:lineRule="auto"/>
        <w:jc w:val="both"/>
        <w:rPr>
          <w:rFonts w:ascii="Arial" w:hAnsi="Arial" w:cs="Arial"/>
          <w:sz w:val="24"/>
          <w:szCs w:val="24"/>
        </w:rPr>
      </w:pPr>
      <w:r w:rsidRPr="004D6466">
        <w:rPr>
          <w:rFonts w:ascii="Arial" w:hAnsi="Arial" w:cs="Arial"/>
          <w:sz w:val="24"/>
          <w:szCs w:val="24"/>
        </w:rPr>
        <w:t xml:space="preserve">En lo que se refiere a la ampliación de las inversiones, el PAC contempla la reestructuración de los objetivos de la política energética nacional, en especial del gas, con la expansión de su producción y la instalación de infraestructuras de transporte y almacenaje, todo ello por medio de concursos públicos, licitaciones y concesiones públicas, lo que conllevará el desarrollo de un mercado energético brasileño más competitivo y, por lo tanto, con mejores condiciones para los compradores. A su vez también, se contempla, la participación del sector privado en la financiación y el </w:t>
      </w:r>
      <w:r w:rsidRPr="004D6466">
        <w:rPr>
          <w:rFonts w:ascii="Arial" w:hAnsi="Arial" w:cs="Arial"/>
          <w:iCs/>
          <w:sz w:val="24"/>
          <w:szCs w:val="24"/>
        </w:rPr>
        <w:t xml:space="preserve">know-how </w:t>
      </w:r>
      <w:r w:rsidRPr="004D6466">
        <w:rPr>
          <w:rFonts w:ascii="Arial" w:hAnsi="Arial" w:cs="Arial"/>
          <w:sz w:val="24"/>
          <w:szCs w:val="24"/>
        </w:rPr>
        <w:t>de proyectos de gran dimensión que hasta ahora solían ser íntegramente financiados y gestionados por las administraciones públicas.</w:t>
      </w:r>
    </w:p>
    <w:p w:rsidR="00A66191" w:rsidRPr="004D6466" w:rsidRDefault="00A66191" w:rsidP="00A66191">
      <w:pPr>
        <w:spacing w:line="360" w:lineRule="auto"/>
        <w:jc w:val="both"/>
        <w:rPr>
          <w:rFonts w:ascii="Arial" w:hAnsi="Arial" w:cs="Arial"/>
          <w:sz w:val="24"/>
          <w:szCs w:val="24"/>
        </w:rPr>
      </w:pPr>
    </w:p>
    <w:p w:rsidR="00A66191" w:rsidRPr="004D6466" w:rsidRDefault="00A66191" w:rsidP="00A66191">
      <w:pPr>
        <w:spacing w:line="360" w:lineRule="auto"/>
        <w:jc w:val="both"/>
        <w:rPr>
          <w:rFonts w:ascii="Arial" w:hAnsi="Arial" w:cs="Arial"/>
          <w:sz w:val="24"/>
          <w:szCs w:val="24"/>
        </w:rPr>
      </w:pPr>
    </w:p>
    <w:p w:rsidR="00A66191" w:rsidRPr="004D6466" w:rsidRDefault="00A66191" w:rsidP="00A66191">
      <w:pPr>
        <w:spacing w:line="360" w:lineRule="auto"/>
        <w:jc w:val="both"/>
        <w:rPr>
          <w:rFonts w:ascii="Arial" w:hAnsi="Arial" w:cs="Arial"/>
          <w:sz w:val="24"/>
          <w:szCs w:val="24"/>
        </w:rPr>
      </w:pPr>
    </w:p>
    <w:p w:rsidR="00A66191" w:rsidRPr="004D6466" w:rsidRDefault="00A66191" w:rsidP="00A66191">
      <w:pPr>
        <w:rPr>
          <w:rFonts w:ascii="Arial" w:hAnsi="Arial" w:cs="Arial"/>
          <w:b/>
          <w:sz w:val="24"/>
          <w:szCs w:val="24"/>
        </w:rPr>
      </w:pPr>
      <w:r w:rsidRPr="004D6466">
        <w:rPr>
          <w:rFonts w:ascii="Arial" w:hAnsi="Arial" w:cs="Arial"/>
          <w:b/>
          <w:sz w:val="24"/>
          <w:szCs w:val="24"/>
        </w:rPr>
        <w:lastRenderedPageBreak/>
        <w:t>Resultados del “Plan de Aceleración del Crecimiento (PAC)”</w:t>
      </w:r>
    </w:p>
    <w:p w:rsidR="00A66191" w:rsidRPr="004D6466" w:rsidRDefault="00A66191" w:rsidP="00A66191">
      <w:pPr>
        <w:spacing w:line="360" w:lineRule="auto"/>
        <w:jc w:val="both"/>
        <w:rPr>
          <w:rFonts w:ascii="Arial" w:hAnsi="Arial" w:cs="Arial"/>
          <w:sz w:val="24"/>
          <w:szCs w:val="24"/>
        </w:rPr>
      </w:pPr>
      <w:r w:rsidRPr="004D6466">
        <w:rPr>
          <w:rFonts w:ascii="Arial" w:hAnsi="Arial" w:cs="Arial"/>
          <w:sz w:val="24"/>
          <w:szCs w:val="24"/>
        </w:rPr>
        <w:t>El Plan de Aceleramiento del Crecimiento produjo los siguientes resultados:   “se han construido 42 mil kilómetros de carreteras, 2518 kilómetros de ferrocarriles, la ampliación de 12 puertos y 20 aeropuertos, el incremento en 12.386 MW de la capacidad de producción de energía eléctrica, la construcción de 13.826 kilómetros de líneas de transmisión, la instalación de 4 nuevas unidades de refino o petroquímicas, la construcción de 4.526 kilómetros de gaseoductos, la instalación de 46 nuevas fábricas de producción de biodiesel y 77 fábricas de etanol. La mejora de la vivienda para aproximadamente 4 millones de familias, así como servicios de saneamiento básico e infraestructura hídrica a los hogares de 23,8 millones de brasileños que hasta ahora no han tenido acceso a ellos”</w:t>
      </w:r>
      <w:r w:rsidRPr="004D6466">
        <w:rPr>
          <w:rStyle w:val="Refdenotaalpie"/>
          <w:rFonts w:ascii="Arial" w:hAnsi="Arial" w:cs="Arial"/>
          <w:sz w:val="24"/>
          <w:szCs w:val="24"/>
        </w:rPr>
        <w:footnoteReference w:id="46"/>
      </w:r>
      <w:r w:rsidRPr="004D6466">
        <w:rPr>
          <w:rFonts w:ascii="Arial" w:hAnsi="Arial" w:cs="Arial"/>
          <w:sz w:val="24"/>
          <w:szCs w:val="24"/>
        </w:rPr>
        <w:t>.</w:t>
      </w:r>
    </w:p>
    <w:p w:rsidR="00A66191" w:rsidRPr="004D6466" w:rsidRDefault="00A66191" w:rsidP="00A66191">
      <w:pPr>
        <w:spacing w:line="360" w:lineRule="auto"/>
        <w:jc w:val="both"/>
        <w:rPr>
          <w:rFonts w:ascii="Arial" w:hAnsi="Arial" w:cs="Arial"/>
          <w:sz w:val="24"/>
          <w:szCs w:val="24"/>
        </w:rPr>
      </w:pPr>
    </w:p>
    <w:p w:rsidR="00A66191" w:rsidRPr="004D6466" w:rsidRDefault="00A66191" w:rsidP="00A66191">
      <w:pPr>
        <w:rPr>
          <w:rFonts w:ascii="Arial" w:hAnsi="Arial" w:cs="Arial"/>
          <w:b/>
          <w:sz w:val="24"/>
          <w:szCs w:val="24"/>
        </w:rPr>
      </w:pPr>
      <w:r w:rsidRPr="004D6466">
        <w:rPr>
          <w:rFonts w:ascii="Arial" w:hAnsi="Arial" w:cs="Arial"/>
          <w:b/>
          <w:sz w:val="24"/>
          <w:szCs w:val="24"/>
        </w:rPr>
        <w:br w:type="page"/>
      </w:r>
    </w:p>
    <w:p w:rsidR="00A66191" w:rsidRPr="004D6466" w:rsidRDefault="00A66191" w:rsidP="00A66191">
      <w:pPr>
        <w:spacing w:line="360" w:lineRule="auto"/>
        <w:ind w:firstLine="360"/>
        <w:jc w:val="center"/>
        <w:rPr>
          <w:rFonts w:ascii="Arial" w:hAnsi="Arial" w:cs="Arial"/>
          <w:b/>
          <w:sz w:val="24"/>
          <w:szCs w:val="24"/>
        </w:rPr>
      </w:pPr>
      <w:r w:rsidRPr="004D6466">
        <w:rPr>
          <w:rFonts w:ascii="Arial" w:hAnsi="Arial" w:cs="Arial"/>
          <w:b/>
          <w:sz w:val="24"/>
          <w:szCs w:val="24"/>
        </w:rPr>
        <w:lastRenderedPageBreak/>
        <w:t xml:space="preserve">4. </w:t>
      </w:r>
      <w:r w:rsidRPr="004D6466">
        <w:rPr>
          <w:rFonts w:ascii="Arial" w:hAnsi="Arial" w:cs="Arial"/>
          <w:b/>
          <w:sz w:val="28"/>
          <w:szCs w:val="28"/>
        </w:rPr>
        <w:t>CAPÍTULO IV: DEFINICIÓN DEL MODELO DE DESARROLLO ECUATORIANO</w:t>
      </w:r>
    </w:p>
    <w:p w:rsidR="00A66191" w:rsidRPr="004D6466" w:rsidRDefault="00A66191" w:rsidP="00A66191">
      <w:pPr>
        <w:spacing w:line="360" w:lineRule="auto"/>
        <w:jc w:val="both"/>
        <w:rPr>
          <w:rFonts w:ascii="Arial" w:hAnsi="Arial" w:cs="Arial"/>
          <w:b/>
          <w:sz w:val="24"/>
          <w:szCs w:val="24"/>
        </w:rPr>
      </w:pPr>
      <w:r w:rsidRPr="004D6466">
        <w:rPr>
          <w:rFonts w:ascii="Arial" w:hAnsi="Arial" w:cs="Arial"/>
          <w:b/>
          <w:sz w:val="24"/>
          <w:szCs w:val="24"/>
        </w:rPr>
        <w:t xml:space="preserve">4.1 Principales medidas del modelo de desarrollo ecuatoriano </w:t>
      </w:r>
    </w:p>
    <w:p w:rsidR="00A66191" w:rsidRPr="004D6466" w:rsidRDefault="00A66191" w:rsidP="00A66191">
      <w:pPr>
        <w:spacing w:line="360" w:lineRule="auto"/>
        <w:jc w:val="both"/>
        <w:rPr>
          <w:rFonts w:ascii="Arial" w:hAnsi="Arial" w:cs="Arial"/>
          <w:sz w:val="24"/>
          <w:szCs w:val="24"/>
        </w:rPr>
      </w:pPr>
      <w:r w:rsidRPr="004D6466">
        <w:rPr>
          <w:rFonts w:ascii="Arial" w:hAnsi="Arial" w:cs="Arial"/>
          <w:sz w:val="24"/>
          <w:szCs w:val="24"/>
        </w:rPr>
        <w:t>Las medidas del modelo de desarrollo ecuatoriano están impulsadas a la protección social e integral de la población a lo largo de la vida con los principios de igualdad, justicia y dignidad a través de las siguientes políticas:</w:t>
      </w:r>
    </w:p>
    <w:p w:rsidR="00A66191" w:rsidRPr="004D6466" w:rsidRDefault="00A66191" w:rsidP="00A66191">
      <w:pPr>
        <w:pStyle w:val="Prrafodelista"/>
        <w:numPr>
          <w:ilvl w:val="0"/>
          <w:numId w:val="40"/>
        </w:numPr>
        <w:spacing w:line="360" w:lineRule="auto"/>
        <w:jc w:val="both"/>
        <w:rPr>
          <w:rFonts w:ascii="Arial" w:hAnsi="Arial" w:cs="Arial"/>
          <w:sz w:val="24"/>
          <w:szCs w:val="24"/>
        </w:rPr>
      </w:pPr>
      <w:r w:rsidRPr="004D6466">
        <w:rPr>
          <w:rFonts w:ascii="Arial" w:hAnsi="Arial" w:cs="Arial"/>
          <w:sz w:val="24"/>
          <w:szCs w:val="24"/>
        </w:rPr>
        <w:t>“Contribuir al mejoramiento de la situación nutricional y a la reducción progresiva e inter generacional de la malnutrición.</w:t>
      </w:r>
    </w:p>
    <w:p w:rsidR="00A66191" w:rsidRPr="004D6466" w:rsidRDefault="00A66191" w:rsidP="00A66191">
      <w:pPr>
        <w:pStyle w:val="Prrafodelista"/>
        <w:numPr>
          <w:ilvl w:val="0"/>
          <w:numId w:val="40"/>
        </w:numPr>
        <w:spacing w:line="360" w:lineRule="auto"/>
        <w:jc w:val="both"/>
        <w:rPr>
          <w:rFonts w:ascii="Arial" w:hAnsi="Arial" w:cs="Arial"/>
          <w:sz w:val="24"/>
          <w:szCs w:val="24"/>
        </w:rPr>
      </w:pPr>
      <w:r w:rsidRPr="004D6466">
        <w:rPr>
          <w:rFonts w:ascii="Arial" w:hAnsi="Arial" w:cs="Arial"/>
          <w:sz w:val="24"/>
          <w:szCs w:val="24"/>
        </w:rPr>
        <w:t>Desarrollar y fomentar la economía popular y solidaria.</w:t>
      </w:r>
    </w:p>
    <w:p w:rsidR="00A66191" w:rsidRPr="004D6466" w:rsidRDefault="00A66191" w:rsidP="00A66191">
      <w:pPr>
        <w:pStyle w:val="Prrafodelista"/>
        <w:numPr>
          <w:ilvl w:val="0"/>
          <w:numId w:val="40"/>
        </w:numPr>
        <w:spacing w:line="360" w:lineRule="auto"/>
        <w:jc w:val="both"/>
        <w:rPr>
          <w:rFonts w:ascii="Arial" w:hAnsi="Arial" w:cs="Arial"/>
          <w:sz w:val="24"/>
          <w:szCs w:val="24"/>
        </w:rPr>
      </w:pPr>
      <w:r w:rsidRPr="004D6466">
        <w:rPr>
          <w:rFonts w:ascii="Arial" w:hAnsi="Arial" w:cs="Arial"/>
          <w:sz w:val="24"/>
          <w:szCs w:val="24"/>
        </w:rPr>
        <w:t>Implementar estrategias y acciones que reduzcan la pobreza, protejan el consumo de los hogares, desarrollen capacidades y generen activos productivos.</w:t>
      </w:r>
    </w:p>
    <w:p w:rsidR="00A66191" w:rsidRPr="004D6466" w:rsidRDefault="00A66191" w:rsidP="00A66191">
      <w:pPr>
        <w:pStyle w:val="Prrafodelista"/>
        <w:numPr>
          <w:ilvl w:val="0"/>
          <w:numId w:val="40"/>
        </w:numPr>
        <w:spacing w:line="360" w:lineRule="auto"/>
        <w:jc w:val="both"/>
        <w:rPr>
          <w:rFonts w:ascii="Arial" w:hAnsi="Arial" w:cs="Arial"/>
          <w:sz w:val="24"/>
          <w:szCs w:val="24"/>
        </w:rPr>
      </w:pPr>
      <w:r w:rsidRPr="004D6466">
        <w:rPr>
          <w:rFonts w:ascii="Arial" w:hAnsi="Arial" w:cs="Arial"/>
          <w:sz w:val="24"/>
          <w:szCs w:val="24"/>
        </w:rPr>
        <w:t>Garantizar el acceso a los servicios públicos de manera eficiente y oportuna.</w:t>
      </w:r>
    </w:p>
    <w:p w:rsidR="00A66191" w:rsidRPr="004D6466" w:rsidRDefault="00A66191" w:rsidP="00A66191">
      <w:pPr>
        <w:pStyle w:val="Prrafodelista"/>
        <w:numPr>
          <w:ilvl w:val="0"/>
          <w:numId w:val="40"/>
        </w:numPr>
        <w:spacing w:line="360" w:lineRule="auto"/>
        <w:jc w:val="both"/>
        <w:rPr>
          <w:rFonts w:ascii="Arial" w:hAnsi="Arial" w:cs="Arial"/>
          <w:sz w:val="24"/>
          <w:szCs w:val="24"/>
        </w:rPr>
      </w:pPr>
      <w:r w:rsidRPr="004D6466">
        <w:rPr>
          <w:rFonts w:ascii="Arial" w:hAnsi="Arial" w:cs="Arial"/>
          <w:sz w:val="24"/>
          <w:szCs w:val="24"/>
        </w:rPr>
        <w:t>Fortalecer la promoción de la salud para garantizar el desarrollo de las capacidades de la población y en especial de grupos de atención prioritaria, de forma individual, colectiva y con enfoque de derechos.</w:t>
      </w:r>
    </w:p>
    <w:p w:rsidR="00A66191" w:rsidRPr="004D6466" w:rsidRDefault="00A66191" w:rsidP="00A66191">
      <w:pPr>
        <w:pStyle w:val="Prrafodelista"/>
        <w:numPr>
          <w:ilvl w:val="0"/>
          <w:numId w:val="40"/>
        </w:numPr>
        <w:spacing w:line="360" w:lineRule="auto"/>
        <w:jc w:val="both"/>
        <w:rPr>
          <w:rFonts w:ascii="Arial" w:hAnsi="Arial" w:cs="Arial"/>
          <w:sz w:val="24"/>
          <w:szCs w:val="24"/>
        </w:rPr>
      </w:pPr>
      <w:r w:rsidRPr="004D6466">
        <w:rPr>
          <w:rFonts w:ascii="Arial" w:hAnsi="Arial" w:cs="Arial"/>
          <w:sz w:val="24"/>
          <w:szCs w:val="24"/>
        </w:rPr>
        <w:t>Fortalecer la prevención, control y vigilancia de la enfermedad, así como de los productos de uso y consumo humano, para mejorar la calidad de vida de la población.</w:t>
      </w:r>
    </w:p>
    <w:p w:rsidR="00A66191" w:rsidRPr="004D6466" w:rsidRDefault="00A66191" w:rsidP="00A66191">
      <w:pPr>
        <w:pStyle w:val="Prrafodelista"/>
        <w:numPr>
          <w:ilvl w:val="0"/>
          <w:numId w:val="40"/>
        </w:numPr>
        <w:spacing w:line="360" w:lineRule="auto"/>
        <w:jc w:val="both"/>
        <w:rPr>
          <w:rFonts w:ascii="Arial" w:hAnsi="Arial" w:cs="Arial"/>
          <w:sz w:val="24"/>
          <w:szCs w:val="24"/>
        </w:rPr>
      </w:pPr>
      <w:r w:rsidRPr="004D6466">
        <w:rPr>
          <w:rFonts w:ascii="Arial" w:hAnsi="Arial" w:cs="Arial"/>
          <w:sz w:val="24"/>
          <w:szCs w:val="24"/>
        </w:rPr>
        <w:t>Garantizar el acceso de la población a los servicios de salud de calidad, con calidez y equidad de una manera oportuna, gratuita y por ciclos de vida.</w:t>
      </w:r>
    </w:p>
    <w:p w:rsidR="00A66191" w:rsidRPr="004D6466" w:rsidRDefault="00A66191" w:rsidP="00A66191">
      <w:pPr>
        <w:pStyle w:val="Prrafodelista"/>
        <w:numPr>
          <w:ilvl w:val="0"/>
          <w:numId w:val="40"/>
        </w:numPr>
        <w:spacing w:line="360" w:lineRule="auto"/>
        <w:jc w:val="both"/>
        <w:rPr>
          <w:rFonts w:ascii="Arial" w:hAnsi="Arial" w:cs="Arial"/>
          <w:sz w:val="24"/>
          <w:szCs w:val="24"/>
        </w:rPr>
      </w:pPr>
      <w:r w:rsidRPr="004D6466">
        <w:rPr>
          <w:rFonts w:ascii="Arial" w:hAnsi="Arial" w:cs="Arial"/>
          <w:sz w:val="24"/>
          <w:szCs w:val="24"/>
        </w:rPr>
        <w:t>Garantizar el acceso universal a un hábitat seguro y saludable y a una vivienda adecuada y digna.</w:t>
      </w:r>
    </w:p>
    <w:p w:rsidR="00A66191" w:rsidRPr="004D6466" w:rsidRDefault="00A66191" w:rsidP="00A66191">
      <w:pPr>
        <w:pStyle w:val="Prrafodelista"/>
        <w:numPr>
          <w:ilvl w:val="0"/>
          <w:numId w:val="40"/>
        </w:numPr>
        <w:spacing w:line="360" w:lineRule="auto"/>
        <w:jc w:val="both"/>
        <w:rPr>
          <w:rFonts w:ascii="Arial" w:hAnsi="Arial" w:cs="Arial"/>
          <w:sz w:val="24"/>
          <w:szCs w:val="24"/>
        </w:rPr>
      </w:pPr>
      <w:r w:rsidRPr="004D6466">
        <w:rPr>
          <w:rFonts w:ascii="Arial" w:hAnsi="Arial" w:cs="Arial"/>
          <w:sz w:val="24"/>
          <w:szCs w:val="24"/>
        </w:rPr>
        <w:t>Universalizar la cobertura de servicios educativos</w:t>
      </w:r>
    </w:p>
    <w:p w:rsidR="00A66191" w:rsidRPr="004D6466" w:rsidRDefault="00A66191" w:rsidP="00A66191">
      <w:pPr>
        <w:pStyle w:val="Prrafodelista"/>
        <w:numPr>
          <w:ilvl w:val="0"/>
          <w:numId w:val="40"/>
        </w:numPr>
        <w:spacing w:line="360" w:lineRule="auto"/>
        <w:jc w:val="both"/>
        <w:rPr>
          <w:rFonts w:ascii="Arial" w:hAnsi="Arial" w:cs="Arial"/>
          <w:sz w:val="24"/>
          <w:szCs w:val="24"/>
        </w:rPr>
      </w:pPr>
      <w:r w:rsidRPr="004D6466">
        <w:rPr>
          <w:rFonts w:ascii="Arial" w:hAnsi="Arial" w:cs="Arial"/>
          <w:sz w:val="24"/>
          <w:szCs w:val="24"/>
        </w:rPr>
        <w:t>Mejorar progresivamente la calidad e la educación en todos los niveles y modalidades.</w:t>
      </w:r>
    </w:p>
    <w:p w:rsidR="00A66191" w:rsidRPr="004D6466" w:rsidRDefault="00A66191" w:rsidP="00A66191">
      <w:pPr>
        <w:pStyle w:val="Prrafodelista"/>
        <w:numPr>
          <w:ilvl w:val="0"/>
          <w:numId w:val="40"/>
        </w:numPr>
        <w:spacing w:line="360" w:lineRule="auto"/>
        <w:jc w:val="both"/>
        <w:rPr>
          <w:rFonts w:ascii="Arial" w:hAnsi="Arial" w:cs="Arial"/>
          <w:sz w:val="24"/>
          <w:szCs w:val="24"/>
        </w:rPr>
      </w:pPr>
      <w:r w:rsidRPr="004D6466">
        <w:rPr>
          <w:rFonts w:ascii="Arial" w:hAnsi="Arial" w:cs="Arial"/>
          <w:sz w:val="24"/>
          <w:szCs w:val="24"/>
        </w:rPr>
        <w:t>Proteger los derechos de las y los ecuatorianos en el exterior</w:t>
      </w:r>
    </w:p>
    <w:p w:rsidR="00A66191" w:rsidRPr="004D6466" w:rsidRDefault="00A66191" w:rsidP="00A66191">
      <w:pPr>
        <w:pStyle w:val="Prrafodelista"/>
        <w:numPr>
          <w:ilvl w:val="0"/>
          <w:numId w:val="40"/>
        </w:numPr>
        <w:spacing w:line="360" w:lineRule="auto"/>
        <w:jc w:val="both"/>
        <w:rPr>
          <w:rFonts w:ascii="Arial" w:hAnsi="Arial" w:cs="Arial"/>
          <w:sz w:val="24"/>
          <w:szCs w:val="24"/>
        </w:rPr>
      </w:pPr>
      <w:r w:rsidRPr="004D6466">
        <w:rPr>
          <w:rFonts w:ascii="Arial" w:hAnsi="Arial" w:cs="Arial"/>
          <w:sz w:val="24"/>
          <w:szCs w:val="24"/>
        </w:rPr>
        <w:lastRenderedPageBreak/>
        <w:t>Impulsar una política migratoria integral, casada en la promoción de los derechos humanos, procesos de interculturalidad y de construcción de ciudadanía.</w:t>
      </w:r>
    </w:p>
    <w:p w:rsidR="00A66191" w:rsidRPr="004D6466" w:rsidRDefault="00A66191" w:rsidP="00A66191">
      <w:pPr>
        <w:pStyle w:val="Prrafodelista"/>
        <w:numPr>
          <w:ilvl w:val="0"/>
          <w:numId w:val="40"/>
        </w:numPr>
        <w:spacing w:line="360" w:lineRule="auto"/>
        <w:jc w:val="both"/>
        <w:rPr>
          <w:rFonts w:ascii="Arial" w:hAnsi="Arial" w:cs="Arial"/>
          <w:sz w:val="24"/>
          <w:szCs w:val="24"/>
        </w:rPr>
      </w:pPr>
      <w:r w:rsidRPr="004D6466">
        <w:rPr>
          <w:rFonts w:ascii="Arial" w:hAnsi="Arial" w:cs="Arial"/>
          <w:sz w:val="24"/>
          <w:szCs w:val="24"/>
        </w:rPr>
        <w:t>Promover la cohesión y la inclusión social y económica con enfoque de género, intercultural e inter generacional para generar condiciones de equidad.”</w:t>
      </w:r>
      <w:r w:rsidRPr="004D6466">
        <w:rPr>
          <w:rStyle w:val="Refdenotaalpie"/>
          <w:rFonts w:ascii="Arial" w:hAnsi="Arial" w:cs="Arial"/>
          <w:sz w:val="24"/>
          <w:szCs w:val="24"/>
        </w:rPr>
        <w:footnoteReference w:id="47"/>
      </w:r>
    </w:p>
    <w:p w:rsidR="00A66191" w:rsidRPr="004D6466" w:rsidRDefault="00A66191" w:rsidP="00A66191">
      <w:pPr>
        <w:spacing w:line="360" w:lineRule="auto"/>
        <w:jc w:val="both"/>
        <w:rPr>
          <w:rFonts w:ascii="Arial" w:hAnsi="Arial" w:cs="Arial"/>
          <w:sz w:val="24"/>
          <w:szCs w:val="24"/>
        </w:rPr>
      </w:pPr>
      <w:r w:rsidRPr="004D6466">
        <w:rPr>
          <w:rFonts w:ascii="Arial" w:hAnsi="Arial" w:cs="Arial"/>
          <w:sz w:val="24"/>
          <w:szCs w:val="24"/>
        </w:rPr>
        <w:t>Para un mejor estudio del modelo se observan las medidas por los diferentes ámbitos así tenemos el de bienestar social, salud, educación y económico.</w:t>
      </w:r>
    </w:p>
    <w:p w:rsidR="00A66191" w:rsidRPr="004D6466" w:rsidRDefault="00A66191" w:rsidP="00A66191">
      <w:pPr>
        <w:spacing w:line="360" w:lineRule="auto"/>
        <w:jc w:val="both"/>
        <w:rPr>
          <w:rFonts w:ascii="Arial" w:hAnsi="Arial" w:cs="Arial"/>
          <w:b/>
          <w:sz w:val="24"/>
          <w:szCs w:val="24"/>
        </w:rPr>
      </w:pPr>
      <w:r w:rsidRPr="004D6466">
        <w:rPr>
          <w:rFonts w:ascii="Arial" w:hAnsi="Arial" w:cs="Arial"/>
          <w:b/>
          <w:sz w:val="24"/>
          <w:szCs w:val="24"/>
        </w:rPr>
        <w:t>4.2 Ámbito de bienestar social</w:t>
      </w:r>
    </w:p>
    <w:p w:rsidR="00A66191" w:rsidRPr="004D6466" w:rsidRDefault="00A66191" w:rsidP="00A66191">
      <w:pPr>
        <w:autoSpaceDE w:val="0"/>
        <w:autoSpaceDN w:val="0"/>
        <w:adjustRightInd w:val="0"/>
        <w:spacing w:after="0" w:line="360" w:lineRule="auto"/>
        <w:jc w:val="both"/>
        <w:rPr>
          <w:rFonts w:ascii="Arial" w:hAnsi="Arial" w:cs="Arial"/>
          <w:sz w:val="24"/>
          <w:szCs w:val="24"/>
        </w:rPr>
      </w:pPr>
      <w:r w:rsidRPr="004D6466">
        <w:rPr>
          <w:rFonts w:ascii="Arial" w:hAnsi="Arial" w:cs="Arial"/>
          <w:sz w:val="24"/>
          <w:szCs w:val="24"/>
        </w:rPr>
        <w:t>Los programas sociales más representativos del gobierno del presidente Rafael Correa en el periodo 2006-2012 Son:</w:t>
      </w:r>
    </w:p>
    <w:p w:rsidR="00A66191" w:rsidRPr="004D6466" w:rsidRDefault="00A66191" w:rsidP="00A66191">
      <w:pPr>
        <w:tabs>
          <w:tab w:val="left" w:pos="5940"/>
        </w:tabs>
        <w:autoSpaceDE w:val="0"/>
        <w:autoSpaceDN w:val="0"/>
        <w:adjustRightInd w:val="0"/>
        <w:spacing w:after="0" w:line="240" w:lineRule="auto"/>
        <w:rPr>
          <w:rFonts w:ascii="Arial" w:hAnsi="Arial" w:cs="Arial"/>
          <w:sz w:val="24"/>
          <w:szCs w:val="24"/>
        </w:rPr>
      </w:pPr>
      <w:r w:rsidRPr="004D6466">
        <w:rPr>
          <w:rFonts w:ascii="Arial" w:hAnsi="Arial" w:cs="Arial"/>
          <w:sz w:val="24"/>
          <w:szCs w:val="24"/>
        </w:rPr>
        <w:tab/>
      </w:r>
    </w:p>
    <w:p w:rsidR="00A66191" w:rsidRPr="004D6466" w:rsidRDefault="00A66191" w:rsidP="00A66191">
      <w:pPr>
        <w:pStyle w:val="Prrafodelista"/>
        <w:numPr>
          <w:ilvl w:val="0"/>
          <w:numId w:val="11"/>
        </w:numPr>
        <w:autoSpaceDE w:val="0"/>
        <w:autoSpaceDN w:val="0"/>
        <w:adjustRightInd w:val="0"/>
        <w:spacing w:after="0" w:line="360" w:lineRule="auto"/>
        <w:rPr>
          <w:rFonts w:ascii="Arial" w:hAnsi="Arial" w:cs="Arial"/>
          <w:sz w:val="24"/>
          <w:szCs w:val="24"/>
        </w:rPr>
      </w:pPr>
      <w:r w:rsidRPr="004D6466">
        <w:rPr>
          <w:rFonts w:ascii="Arial" w:hAnsi="Arial" w:cs="Arial"/>
          <w:sz w:val="24"/>
          <w:szCs w:val="24"/>
        </w:rPr>
        <w:t>Bono de Desarrollo Humano (BDH)</w:t>
      </w:r>
    </w:p>
    <w:p w:rsidR="00A66191" w:rsidRPr="004D6466" w:rsidRDefault="00A66191" w:rsidP="00A66191">
      <w:pPr>
        <w:pStyle w:val="Prrafodelista"/>
        <w:numPr>
          <w:ilvl w:val="0"/>
          <w:numId w:val="11"/>
        </w:numPr>
        <w:autoSpaceDE w:val="0"/>
        <w:autoSpaceDN w:val="0"/>
        <w:adjustRightInd w:val="0"/>
        <w:spacing w:after="0" w:line="360" w:lineRule="auto"/>
        <w:rPr>
          <w:rFonts w:ascii="Arial" w:hAnsi="Arial" w:cs="Arial"/>
          <w:sz w:val="24"/>
          <w:szCs w:val="24"/>
        </w:rPr>
      </w:pPr>
      <w:r w:rsidRPr="004D6466">
        <w:rPr>
          <w:rFonts w:ascii="Arial" w:hAnsi="Arial" w:cs="Arial"/>
          <w:sz w:val="24"/>
          <w:szCs w:val="24"/>
        </w:rPr>
        <w:t>Crédito de desarrollo humano (CDH)</w:t>
      </w:r>
    </w:p>
    <w:p w:rsidR="00A66191" w:rsidRPr="004D6466" w:rsidRDefault="00A66191" w:rsidP="00A66191">
      <w:pPr>
        <w:pStyle w:val="Prrafodelista"/>
        <w:numPr>
          <w:ilvl w:val="0"/>
          <w:numId w:val="11"/>
        </w:numPr>
        <w:autoSpaceDE w:val="0"/>
        <w:autoSpaceDN w:val="0"/>
        <w:adjustRightInd w:val="0"/>
        <w:spacing w:after="0" w:line="360" w:lineRule="auto"/>
        <w:jc w:val="both"/>
        <w:rPr>
          <w:rFonts w:ascii="Arial" w:hAnsi="Arial" w:cs="Arial"/>
          <w:sz w:val="24"/>
          <w:szCs w:val="24"/>
        </w:rPr>
      </w:pPr>
      <w:r w:rsidRPr="004D6466">
        <w:rPr>
          <w:rFonts w:ascii="Arial" w:hAnsi="Arial" w:cs="Arial"/>
          <w:sz w:val="24"/>
          <w:szCs w:val="24"/>
        </w:rPr>
        <w:t xml:space="preserve">Bono de la Vivienda, Bono de Titulación y Programa de Agua Potable y Saneamiento </w:t>
      </w:r>
    </w:p>
    <w:p w:rsidR="00A66191" w:rsidRPr="004D6466" w:rsidRDefault="00A66191" w:rsidP="00A66191">
      <w:pPr>
        <w:pStyle w:val="Prrafodelista"/>
        <w:autoSpaceDE w:val="0"/>
        <w:autoSpaceDN w:val="0"/>
        <w:adjustRightInd w:val="0"/>
        <w:spacing w:after="0" w:line="240" w:lineRule="auto"/>
        <w:rPr>
          <w:rFonts w:ascii="Arial" w:hAnsi="Arial" w:cs="Arial"/>
          <w:sz w:val="24"/>
          <w:szCs w:val="24"/>
        </w:rPr>
      </w:pPr>
    </w:p>
    <w:p w:rsidR="00A66191" w:rsidRPr="004D6466" w:rsidRDefault="00A66191" w:rsidP="00A66191">
      <w:pPr>
        <w:autoSpaceDE w:val="0"/>
        <w:autoSpaceDN w:val="0"/>
        <w:adjustRightInd w:val="0"/>
        <w:spacing w:after="0" w:line="240" w:lineRule="auto"/>
        <w:rPr>
          <w:rFonts w:ascii="Arial" w:hAnsi="Arial" w:cs="Arial"/>
          <w:b/>
          <w:i/>
          <w:sz w:val="24"/>
          <w:szCs w:val="24"/>
        </w:rPr>
      </w:pPr>
      <w:r w:rsidRPr="004D6466">
        <w:rPr>
          <w:rFonts w:ascii="Arial" w:hAnsi="Arial" w:cs="Arial"/>
          <w:b/>
          <w:i/>
          <w:sz w:val="24"/>
          <w:szCs w:val="24"/>
        </w:rPr>
        <w:t>4.2.1“Bono de Desarrollo Humano (BDH)”</w:t>
      </w:r>
    </w:p>
    <w:p w:rsidR="00A66191" w:rsidRPr="004D6466" w:rsidRDefault="00A66191" w:rsidP="00A66191">
      <w:pPr>
        <w:autoSpaceDE w:val="0"/>
        <w:autoSpaceDN w:val="0"/>
        <w:adjustRightInd w:val="0"/>
        <w:spacing w:after="0" w:line="360" w:lineRule="auto"/>
        <w:rPr>
          <w:rFonts w:ascii="Arial" w:hAnsi="Arial" w:cs="Arial"/>
          <w:b/>
          <w:i/>
          <w:sz w:val="24"/>
          <w:szCs w:val="24"/>
        </w:rPr>
      </w:pPr>
    </w:p>
    <w:p w:rsidR="00A66191" w:rsidRPr="004D6466" w:rsidRDefault="00A66191" w:rsidP="00A66191">
      <w:pPr>
        <w:autoSpaceDE w:val="0"/>
        <w:autoSpaceDN w:val="0"/>
        <w:adjustRightInd w:val="0"/>
        <w:spacing w:after="0" w:line="360" w:lineRule="auto"/>
        <w:jc w:val="both"/>
        <w:rPr>
          <w:rFonts w:ascii="Arial" w:hAnsi="Arial" w:cs="Arial"/>
          <w:sz w:val="24"/>
          <w:szCs w:val="24"/>
        </w:rPr>
      </w:pPr>
      <w:r w:rsidRPr="004D6466">
        <w:rPr>
          <w:rFonts w:ascii="Arial" w:hAnsi="Arial" w:cs="Arial"/>
          <w:sz w:val="24"/>
          <w:szCs w:val="24"/>
        </w:rPr>
        <w:t>El Bono de Desarrollo Humano es un subsidio monetario condicionado de 50 USD y se entrega uno por familia. Este bono es solo para las personas que califiquen en estado de extrema pobreza.</w:t>
      </w:r>
    </w:p>
    <w:p w:rsidR="00A66191" w:rsidRPr="004D6466" w:rsidRDefault="00A66191" w:rsidP="00A66191">
      <w:pPr>
        <w:autoSpaceDE w:val="0"/>
        <w:autoSpaceDN w:val="0"/>
        <w:adjustRightInd w:val="0"/>
        <w:spacing w:after="0" w:line="360" w:lineRule="auto"/>
        <w:jc w:val="both"/>
        <w:rPr>
          <w:rFonts w:ascii="Arial" w:hAnsi="Arial" w:cs="Arial"/>
          <w:sz w:val="24"/>
          <w:szCs w:val="24"/>
        </w:rPr>
      </w:pPr>
      <w:r w:rsidRPr="004D6466">
        <w:rPr>
          <w:rFonts w:ascii="Arial" w:hAnsi="Arial" w:cs="Arial"/>
          <w:sz w:val="24"/>
          <w:szCs w:val="24"/>
        </w:rPr>
        <w:t xml:space="preserve">Podrán acceder al Bono de Desarrollo Humano aquellas personas declaradas jefes o representantes de hogar, preferentemente madres de familia, que hayan sido previamente encuestadas por </w:t>
      </w:r>
      <w:r w:rsidRPr="004D6466">
        <w:rPr>
          <w:rFonts w:ascii="Arial" w:hAnsi="Arial" w:cs="Arial"/>
          <w:b/>
          <w:sz w:val="24"/>
          <w:szCs w:val="24"/>
        </w:rPr>
        <w:t>SELBEN</w:t>
      </w:r>
      <w:r w:rsidRPr="004D6466">
        <w:rPr>
          <w:rStyle w:val="Refdenotaalpie"/>
          <w:rFonts w:ascii="Arial" w:hAnsi="Arial" w:cs="Arial"/>
          <w:sz w:val="24"/>
          <w:szCs w:val="24"/>
        </w:rPr>
        <w:footnoteReference w:id="48"/>
      </w:r>
      <w:r w:rsidRPr="004D6466">
        <w:rPr>
          <w:rFonts w:ascii="Arial" w:hAnsi="Arial" w:cs="Arial"/>
          <w:sz w:val="24"/>
          <w:szCs w:val="24"/>
        </w:rPr>
        <w:t>.</w:t>
      </w:r>
    </w:p>
    <w:p w:rsidR="00A66191" w:rsidRPr="004D6466" w:rsidRDefault="00A66191" w:rsidP="00A66191">
      <w:pPr>
        <w:pStyle w:val="Default"/>
        <w:spacing w:line="360" w:lineRule="auto"/>
        <w:jc w:val="both"/>
        <w:rPr>
          <w:rFonts w:ascii="Arial" w:hAnsi="Arial" w:cs="Arial"/>
          <w:color w:val="auto"/>
          <w:lang w:val="es-ES"/>
        </w:rPr>
      </w:pPr>
      <w:r w:rsidRPr="004D6466">
        <w:rPr>
          <w:rFonts w:ascii="Arial" w:hAnsi="Arial" w:cs="Arial"/>
          <w:color w:val="auto"/>
          <w:lang w:val="es-ES"/>
        </w:rPr>
        <w:t xml:space="preserve">Para recibir el Bono de Desarrollo Humano hay </w:t>
      </w:r>
      <w:r w:rsidRPr="004D6466">
        <w:rPr>
          <w:rFonts w:ascii="Arial" w:eastAsiaTheme="minorHAnsi" w:hAnsi="Arial" w:cs="Arial"/>
          <w:color w:val="auto"/>
          <w:lang w:val="es-ES"/>
        </w:rPr>
        <w:t xml:space="preserve"> condiciones que las familias deben cumplir: si tienen niños menores de un año deben asistir a controles preventivos de salud al menos una vez cada 2 meses, si tienen niños de hasta 5 años deben asistir </w:t>
      </w:r>
      <w:r w:rsidRPr="004D6466">
        <w:rPr>
          <w:rFonts w:ascii="Arial" w:hAnsi="Arial" w:cs="Arial"/>
          <w:color w:val="auto"/>
          <w:lang w:val="es-ES"/>
        </w:rPr>
        <w:t>a controles preventivos de salud al menos una vez cada 6 meses y si tienen niños de 5 a 18 años deben estar matriculados en el sistema escolar y asistir al menos al 75% de las clases.</w:t>
      </w:r>
    </w:p>
    <w:p w:rsidR="00A66191" w:rsidRPr="004D6466" w:rsidRDefault="00A66191" w:rsidP="00A66191">
      <w:pPr>
        <w:pStyle w:val="NormalWeb"/>
        <w:spacing w:line="360" w:lineRule="auto"/>
        <w:jc w:val="both"/>
        <w:rPr>
          <w:rFonts w:ascii="Arial" w:hAnsi="Arial" w:cs="Arial"/>
        </w:rPr>
      </w:pPr>
      <w:r w:rsidRPr="004D6466">
        <w:rPr>
          <w:rFonts w:ascii="Arial" w:hAnsi="Arial" w:cs="Arial"/>
        </w:rPr>
        <w:lastRenderedPageBreak/>
        <w:t xml:space="preserve">Adicionalmente dentro del bono de desarrollo humano se encuentra la </w:t>
      </w:r>
      <w:r w:rsidRPr="00727475">
        <w:rPr>
          <w:rStyle w:val="Textoennegrita"/>
          <w:rFonts w:ascii="Arial" w:hAnsi="Arial" w:cs="Arial"/>
          <w:b w:val="0"/>
        </w:rPr>
        <w:t>pensión para adultos mayores</w:t>
      </w:r>
      <w:r w:rsidRPr="004D6466">
        <w:rPr>
          <w:rFonts w:ascii="Arial" w:hAnsi="Arial" w:cs="Arial"/>
        </w:rPr>
        <w:t xml:space="preserve"> que es un beneficio monetario mensual de 35 USD dirigido personas mayores de 65 años de edad. Se incorporaron inicialmente a aquellos adultos mayores que se encuentren bajo la línea de pobreza establecida por el Ministerio de Coordinación de Desarrollo Social de acuerdo a los resultados obtenidos del Registro Social. </w:t>
      </w:r>
    </w:p>
    <w:p w:rsidR="00A66191" w:rsidRPr="004D6466" w:rsidRDefault="00A66191" w:rsidP="00A66191">
      <w:pPr>
        <w:pStyle w:val="NormalWeb"/>
        <w:spacing w:line="360" w:lineRule="auto"/>
        <w:jc w:val="both"/>
        <w:rPr>
          <w:rFonts w:ascii="Arial" w:hAnsi="Arial" w:cs="Arial"/>
        </w:rPr>
      </w:pPr>
      <w:r w:rsidRPr="004D6466">
        <w:rPr>
          <w:rFonts w:ascii="Arial" w:hAnsi="Arial" w:cs="Arial"/>
        </w:rPr>
        <w:t xml:space="preserve">También se encuentra la </w:t>
      </w:r>
      <w:r w:rsidRPr="00727475">
        <w:rPr>
          <w:rStyle w:val="Textoennegrita"/>
          <w:rFonts w:ascii="Arial" w:hAnsi="Arial" w:cs="Arial"/>
          <w:b w:val="0"/>
        </w:rPr>
        <w:t>pensión para personas con discapacidad</w:t>
      </w:r>
      <w:r w:rsidRPr="004D6466">
        <w:rPr>
          <w:rFonts w:ascii="Arial" w:hAnsi="Arial" w:cs="Arial"/>
        </w:rPr>
        <w:t xml:space="preserve"> que es un beneficio monetario mensual de 35 USD dirigido a las personas con un porcentaje de discapacidad igual o mayor al 40% establecido por el CONADIS (Consejo Nacional de Discapacidades), que se encuentren bajo la línea de pobreza establecida por el Ministerio de Coordinación de Desarrollo Social de acuerdo a los resultados obtenidos del Registro Social.</w:t>
      </w:r>
    </w:p>
    <w:p w:rsidR="00A66191" w:rsidRPr="004D6466" w:rsidRDefault="00A66191" w:rsidP="00A66191">
      <w:pPr>
        <w:tabs>
          <w:tab w:val="left" w:pos="142"/>
        </w:tabs>
        <w:spacing w:line="360" w:lineRule="auto"/>
        <w:jc w:val="both"/>
        <w:rPr>
          <w:rFonts w:ascii="Arial" w:hAnsi="Arial" w:cs="Arial"/>
          <w:b/>
          <w:sz w:val="24"/>
          <w:szCs w:val="24"/>
        </w:rPr>
      </w:pPr>
      <w:r w:rsidRPr="004D6466">
        <w:rPr>
          <w:rFonts w:ascii="Arial" w:hAnsi="Arial" w:cs="Arial"/>
          <w:b/>
          <w:sz w:val="24"/>
          <w:szCs w:val="24"/>
        </w:rPr>
        <w:t>Resultados del Bono de Desarrollo Humano</w:t>
      </w:r>
    </w:p>
    <w:p w:rsidR="00A66191" w:rsidRPr="004D6466" w:rsidRDefault="00A66191" w:rsidP="00A66191">
      <w:pPr>
        <w:spacing w:line="360" w:lineRule="auto"/>
        <w:jc w:val="both"/>
        <w:rPr>
          <w:rFonts w:ascii="Arial" w:hAnsi="Arial" w:cs="Arial"/>
          <w:sz w:val="24"/>
          <w:szCs w:val="24"/>
          <w:lang w:val="es-EC"/>
        </w:rPr>
      </w:pPr>
      <w:r w:rsidRPr="004D6466">
        <w:rPr>
          <w:rFonts w:ascii="Arial" w:hAnsi="Arial" w:cs="Arial"/>
          <w:sz w:val="24"/>
          <w:szCs w:val="24"/>
          <w:lang w:val="es-EC"/>
        </w:rPr>
        <w:t>“Para el periodo 2003-2006 se cambió el nombre de Bono Solidario a Bono de Desarrollo Humano, se incrementó el monto de la transferencia de 7 dólares a 15 dólares para hogares y de 7 dólares a 11,5 dólares para adultos mayores y personas con discapacidad.</w:t>
      </w:r>
    </w:p>
    <w:p w:rsidR="00A66191" w:rsidRPr="004D6466" w:rsidRDefault="00A66191" w:rsidP="00A66191">
      <w:pPr>
        <w:spacing w:line="360" w:lineRule="auto"/>
        <w:jc w:val="both"/>
        <w:rPr>
          <w:rFonts w:ascii="Arial" w:hAnsi="Arial" w:cs="Arial"/>
          <w:sz w:val="24"/>
          <w:szCs w:val="24"/>
          <w:lang w:val="es-EC"/>
        </w:rPr>
      </w:pPr>
      <w:r w:rsidRPr="004D6466">
        <w:rPr>
          <w:rFonts w:ascii="Arial" w:hAnsi="Arial" w:cs="Arial"/>
          <w:sz w:val="24"/>
          <w:szCs w:val="24"/>
          <w:lang w:val="es-EC"/>
        </w:rPr>
        <w:t>En el periodo 2007-2008 se incrementó el monto de la transferencia a de 15 a 30 dólares, se implementó el control de la corresponsabilidad en educación y salud, se inició articulando el Bono de Desarrollo Humano y el Crédito de Desarrollo Humano con los créditos de vivienda del Ministerio de Vivienda (MIDUVI), Se implementó la Tarjeta MIES Bono Rápido como un mecanismo de pago del Bono de Desarrollo Humano”</w:t>
      </w:r>
      <w:r w:rsidRPr="004D6466">
        <w:rPr>
          <w:rStyle w:val="Refdenotaalpie"/>
          <w:rFonts w:ascii="Arial" w:hAnsi="Arial" w:cs="Arial"/>
          <w:sz w:val="24"/>
          <w:szCs w:val="24"/>
          <w:lang w:val="es-EC"/>
        </w:rPr>
        <w:footnoteReference w:id="49"/>
      </w:r>
      <w:r w:rsidRPr="004D6466">
        <w:rPr>
          <w:rFonts w:ascii="Arial" w:hAnsi="Arial" w:cs="Arial"/>
          <w:sz w:val="24"/>
          <w:szCs w:val="24"/>
          <w:lang w:val="es-EC"/>
        </w:rPr>
        <w:t>.</w:t>
      </w:r>
    </w:p>
    <w:p w:rsidR="00A66191" w:rsidRPr="004D6466" w:rsidRDefault="00A66191" w:rsidP="00A66191">
      <w:pPr>
        <w:spacing w:line="360" w:lineRule="auto"/>
        <w:jc w:val="both"/>
        <w:rPr>
          <w:rFonts w:ascii="Arial" w:hAnsi="Arial" w:cs="Arial"/>
          <w:sz w:val="24"/>
          <w:szCs w:val="24"/>
          <w:lang w:val="es-EC"/>
        </w:rPr>
      </w:pPr>
      <w:r w:rsidRPr="004D6466">
        <w:rPr>
          <w:rFonts w:ascii="Arial" w:hAnsi="Arial" w:cs="Arial"/>
          <w:sz w:val="24"/>
          <w:szCs w:val="24"/>
          <w:lang w:val="es-EC"/>
        </w:rPr>
        <w:t xml:space="preserve">En el periodo 2009-2010 se desarrolló una nueva selección de la base de beneficiarios de acuerdo a la encuesta socioeconómica – Registro Social (Agosto 2009); hubo un incremento de beneficiarios: madres (570.550), adultos mayores (232.520) y personas con discapacidad (50.350). Se incrementó el monto de la transferencia a USD 35 y se implementó el seguro mortuorio (cobertura de velación y protección de consumo). </w:t>
      </w:r>
    </w:p>
    <w:p w:rsidR="00A66191" w:rsidRPr="004D6466" w:rsidRDefault="00A66191" w:rsidP="00A66191">
      <w:pPr>
        <w:spacing w:line="360" w:lineRule="auto"/>
        <w:jc w:val="both"/>
        <w:rPr>
          <w:rFonts w:ascii="Arial" w:hAnsi="Arial" w:cs="Arial"/>
          <w:sz w:val="24"/>
          <w:szCs w:val="24"/>
          <w:lang w:val="es-EC"/>
        </w:rPr>
      </w:pPr>
      <w:r w:rsidRPr="004D6466">
        <w:rPr>
          <w:rFonts w:ascii="Arial" w:hAnsi="Arial" w:cs="Arial"/>
          <w:sz w:val="24"/>
          <w:szCs w:val="24"/>
          <w:lang w:val="es-EC"/>
        </w:rPr>
        <w:lastRenderedPageBreak/>
        <w:t>En 2013 se incrementó el monto del Bono a 50 USD.</w:t>
      </w:r>
    </w:p>
    <w:p w:rsidR="00A66191" w:rsidRPr="004D6466" w:rsidRDefault="00A66191" w:rsidP="00A66191">
      <w:pPr>
        <w:spacing w:line="360" w:lineRule="auto"/>
        <w:jc w:val="both"/>
        <w:rPr>
          <w:rFonts w:ascii="Arial" w:hAnsi="Arial" w:cs="Arial"/>
          <w:sz w:val="24"/>
          <w:szCs w:val="24"/>
          <w:lang w:val="es-EC"/>
        </w:rPr>
      </w:pPr>
      <w:r w:rsidRPr="004D6466">
        <w:rPr>
          <w:rFonts w:ascii="Arial" w:hAnsi="Arial" w:cs="Arial"/>
          <w:sz w:val="24"/>
          <w:szCs w:val="24"/>
          <w:lang w:val="es-EC"/>
        </w:rPr>
        <w:t>El número de beneficiarios del Bono de Desarrollo Humano ha ido creciendo del 2007-2012 y su detalle se expone a continuación en una tabla y su respectivo gráfico:</w:t>
      </w:r>
    </w:p>
    <w:tbl>
      <w:tblPr>
        <w:tblW w:w="8181" w:type="dxa"/>
        <w:tblInd w:w="65" w:type="dxa"/>
        <w:tblCellMar>
          <w:left w:w="70" w:type="dxa"/>
          <w:right w:w="70" w:type="dxa"/>
        </w:tblCellMar>
        <w:tblLook w:val="04A0"/>
      </w:tblPr>
      <w:tblGrid>
        <w:gridCol w:w="621"/>
        <w:gridCol w:w="1226"/>
        <w:gridCol w:w="1357"/>
        <w:gridCol w:w="1898"/>
        <w:gridCol w:w="1853"/>
        <w:gridCol w:w="1226"/>
      </w:tblGrid>
      <w:tr w:rsidR="00A66191" w:rsidRPr="004D6466" w:rsidTr="004D6466">
        <w:trPr>
          <w:trHeight w:val="300"/>
        </w:trPr>
        <w:tc>
          <w:tcPr>
            <w:tcW w:w="8181" w:type="dxa"/>
            <w:gridSpan w:val="6"/>
            <w:tcBorders>
              <w:top w:val="single" w:sz="4" w:space="0" w:color="auto"/>
              <w:left w:val="single" w:sz="4" w:space="0" w:color="auto"/>
              <w:bottom w:val="single" w:sz="4" w:space="0" w:color="auto"/>
              <w:right w:val="single" w:sz="4" w:space="0" w:color="auto"/>
            </w:tcBorders>
            <w:shd w:val="clear" w:color="auto" w:fill="auto"/>
            <w:noWrap/>
            <w:vAlign w:val="center"/>
            <w:hideMark/>
          </w:tcPr>
          <w:p w:rsidR="00A66191" w:rsidRPr="004D6466" w:rsidRDefault="00A66191" w:rsidP="004D6466">
            <w:pPr>
              <w:spacing w:after="0" w:line="240" w:lineRule="auto"/>
              <w:jc w:val="center"/>
              <w:rPr>
                <w:rFonts w:ascii="Calibri" w:eastAsia="Times New Roman" w:hAnsi="Calibri" w:cs="Times New Roman"/>
                <w:b/>
                <w:bCs/>
                <w:sz w:val="24"/>
              </w:rPr>
            </w:pPr>
            <w:r w:rsidRPr="004D6466">
              <w:rPr>
                <w:rFonts w:ascii="Calibri" w:eastAsia="Times New Roman" w:hAnsi="Calibri" w:cs="Times New Roman"/>
                <w:b/>
                <w:bCs/>
                <w:sz w:val="24"/>
              </w:rPr>
              <w:t>BENEFICIARIOS DEL BDH POR AÑOS</w:t>
            </w:r>
          </w:p>
        </w:tc>
      </w:tr>
      <w:tr w:rsidR="00A66191" w:rsidRPr="004D6466" w:rsidTr="004D6466">
        <w:trPr>
          <w:trHeight w:val="600"/>
        </w:trPr>
        <w:tc>
          <w:tcPr>
            <w:tcW w:w="621" w:type="dxa"/>
            <w:tcBorders>
              <w:top w:val="nil"/>
              <w:left w:val="single" w:sz="4" w:space="0" w:color="auto"/>
              <w:bottom w:val="single" w:sz="4" w:space="0" w:color="auto"/>
              <w:right w:val="single" w:sz="4" w:space="0" w:color="auto"/>
            </w:tcBorders>
            <w:shd w:val="clear" w:color="auto" w:fill="8DB3E2" w:themeFill="text2" w:themeFillTint="66"/>
            <w:noWrap/>
            <w:vAlign w:val="center"/>
            <w:hideMark/>
          </w:tcPr>
          <w:p w:rsidR="00A66191" w:rsidRPr="004D6466" w:rsidRDefault="00A66191" w:rsidP="004D6466">
            <w:pPr>
              <w:spacing w:after="0" w:line="240" w:lineRule="auto"/>
              <w:jc w:val="center"/>
              <w:rPr>
                <w:rFonts w:ascii="Calibri" w:eastAsia="Times New Roman" w:hAnsi="Calibri" w:cs="Times New Roman"/>
                <w:b/>
                <w:bCs/>
              </w:rPr>
            </w:pPr>
            <w:r w:rsidRPr="004D6466">
              <w:rPr>
                <w:rFonts w:ascii="Calibri" w:eastAsia="Times New Roman" w:hAnsi="Calibri" w:cs="Times New Roman"/>
                <w:b/>
                <w:bCs/>
              </w:rPr>
              <w:t>año</w:t>
            </w:r>
          </w:p>
        </w:tc>
        <w:tc>
          <w:tcPr>
            <w:tcW w:w="1226" w:type="dxa"/>
            <w:tcBorders>
              <w:top w:val="nil"/>
              <w:left w:val="nil"/>
              <w:bottom w:val="single" w:sz="4" w:space="0" w:color="auto"/>
              <w:right w:val="single" w:sz="4" w:space="0" w:color="auto"/>
            </w:tcBorders>
            <w:shd w:val="clear" w:color="auto" w:fill="8DB3E2" w:themeFill="text2" w:themeFillTint="66"/>
            <w:noWrap/>
            <w:vAlign w:val="center"/>
            <w:hideMark/>
          </w:tcPr>
          <w:p w:rsidR="00A66191" w:rsidRPr="004D6466" w:rsidRDefault="00A66191" w:rsidP="004D6466">
            <w:pPr>
              <w:spacing w:after="0" w:line="240" w:lineRule="auto"/>
              <w:jc w:val="center"/>
              <w:rPr>
                <w:rFonts w:ascii="Calibri" w:eastAsia="Times New Roman" w:hAnsi="Calibri" w:cs="Times New Roman"/>
                <w:b/>
                <w:bCs/>
              </w:rPr>
            </w:pPr>
            <w:r w:rsidRPr="004D6466">
              <w:rPr>
                <w:rFonts w:ascii="Calibri" w:eastAsia="Times New Roman" w:hAnsi="Calibri" w:cs="Times New Roman"/>
                <w:b/>
                <w:bCs/>
              </w:rPr>
              <w:t>madres</w:t>
            </w:r>
          </w:p>
        </w:tc>
        <w:tc>
          <w:tcPr>
            <w:tcW w:w="1357" w:type="dxa"/>
            <w:tcBorders>
              <w:top w:val="nil"/>
              <w:left w:val="nil"/>
              <w:bottom w:val="single" w:sz="4" w:space="0" w:color="auto"/>
              <w:right w:val="single" w:sz="4" w:space="0" w:color="auto"/>
            </w:tcBorders>
            <w:shd w:val="clear" w:color="auto" w:fill="8DB3E2" w:themeFill="text2" w:themeFillTint="66"/>
            <w:vAlign w:val="center"/>
            <w:hideMark/>
          </w:tcPr>
          <w:p w:rsidR="00A66191" w:rsidRPr="004D6466" w:rsidRDefault="00A66191" w:rsidP="004D6466">
            <w:pPr>
              <w:spacing w:after="0" w:line="240" w:lineRule="auto"/>
              <w:jc w:val="center"/>
              <w:rPr>
                <w:rFonts w:ascii="Calibri" w:eastAsia="Times New Roman" w:hAnsi="Calibri" w:cs="Times New Roman"/>
                <w:b/>
                <w:bCs/>
              </w:rPr>
            </w:pPr>
            <w:r w:rsidRPr="004D6466">
              <w:rPr>
                <w:rFonts w:ascii="Calibri" w:eastAsia="Times New Roman" w:hAnsi="Calibri" w:cs="Times New Roman"/>
                <w:b/>
                <w:bCs/>
              </w:rPr>
              <w:t>adultos mayores</w:t>
            </w:r>
          </w:p>
        </w:tc>
        <w:tc>
          <w:tcPr>
            <w:tcW w:w="1898" w:type="dxa"/>
            <w:tcBorders>
              <w:top w:val="nil"/>
              <w:left w:val="nil"/>
              <w:bottom w:val="single" w:sz="4" w:space="0" w:color="auto"/>
              <w:right w:val="single" w:sz="4" w:space="0" w:color="auto"/>
            </w:tcBorders>
            <w:shd w:val="clear" w:color="auto" w:fill="8DB3E2" w:themeFill="text2" w:themeFillTint="66"/>
            <w:vAlign w:val="center"/>
            <w:hideMark/>
          </w:tcPr>
          <w:p w:rsidR="00A66191" w:rsidRPr="004D6466" w:rsidRDefault="00A66191" w:rsidP="004D6466">
            <w:pPr>
              <w:spacing w:after="0" w:line="240" w:lineRule="auto"/>
              <w:jc w:val="center"/>
              <w:rPr>
                <w:rFonts w:ascii="Calibri" w:eastAsia="Times New Roman" w:hAnsi="Calibri" w:cs="Times New Roman"/>
                <w:b/>
                <w:bCs/>
              </w:rPr>
            </w:pPr>
            <w:r w:rsidRPr="004D6466">
              <w:rPr>
                <w:rFonts w:ascii="Calibri" w:eastAsia="Times New Roman" w:hAnsi="Calibri" w:cs="Times New Roman"/>
                <w:b/>
                <w:bCs/>
              </w:rPr>
              <w:t>Discapacitados</w:t>
            </w:r>
          </w:p>
        </w:tc>
        <w:tc>
          <w:tcPr>
            <w:tcW w:w="1853" w:type="dxa"/>
            <w:tcBorders>
              <w:top w:val="nil"/>
              <w:left w:val="nil"/>
              <w:bottom w:val="single" w:sz="4" w:space="0" w:color="auto"/>
              <w:right w:val="single" w:sz="4" w:space="0" w:color="auto"/>
            </w:tcBorders>
            <w:shd w:val="clear" w:color="auto" w:fill="8DB3E2" w:themeFill="text2" w:themeFillTint="66"/>
            <w:vAlign w:val="center"/>
            <w:hideMark/>
          </w:tcPr>
          <w:p w:rsidR="00A66191" w:rsidRPr="004D6466" w:rsidRDefault="00A66191" w:rsidP="004D6466">
            <w:pPr>
              <w:spacing w:after="0" w:line="240" w:lineRule="auto"/>
              <w:jc w:val="center"/>
              <w:rPr>
                <w:rFonts w:ascii="Calibri" w:eastAsia="Times New Roman" w:hAnsi="Calibri" w:cs="Times New Roman"/>
                <w:b/>
                <w:bCs/>
              </w:rPr>
            </w:pPr>
            <w:r w:rsidRPr="004D6466">
              <w:rPr>
                <w:rFonts w:ascii="Calibri" w:eastAsia="Times New Roman" w:hAnsi="Calibri" w:cs="Times New Roman"/>
                <w:b/>
                <w:bCs/>
              </w:rPr>
              <w:t>menores con discapacidad</w:t>
            </w:r>
          </w:p>
        </w:tc>
        <w:tc>
          <w:tcPr>
            <w:tcW w:w="1226" w:type="dxa"/>
            <w:tcBorders>
              <w:top w:val="nil"/>
              <w:left w:val="nil"/>
              <w:bottom w:val="single" w:sz="4" w:space="0" w:color="auto"/>
              <w:right w:val="single" w:sz="4" w:space="0" w:color="auto"/>
            </w:tcBorders>
            <w:shd w:val="clear" w:color="auto" w:fill="8DB3E2" w:themeFill="text2" w:themeFillTint="66"/>
            <w:noWrap/>
            <w:vAlign w:val="center"/>
            <w:hideMark/>
          </w:tcPr>
          <w:p w:rsidR="00A66191" w:rsidRPr="004D6466" w:rsidRDefault="00A66191" w:rsidP="004D6466">
            <w:pPr>
              <w:spacing w:after="0" w:line="240" w:lineRule="auto"/>
              <w:jc w:val="center"/>
              <w:rPr>
                <w:rFonts w:ascii="Calibri" w:eastAsia="Times New Roman" w:hAnsi="Calibri" w:cs="Times New Roman"/>
                <w:b/>
                <w:bCs/>
              </w:rPr>
            </w:pPr>
            <w:r w:rsidRPr="004D6466">
              <w:rPr>
                <w:rFonts w:ascii="Calibri" w:eastAsia="Times New Roman" w:hAnsi="Calibri" w:cs="Times New Roman"/>
                <w:b/>
                <w:bCs/>
              </w:rPr>
              <w:t>total</w:t>
            </w:r>
          </w:p>
        </w:tc>
      </w:tr>
      <w:tr w:rsidR="00A66191" w:rsidRPr="004D6466" w:rsidTr="004D6466">
        <w:trPr>
          <w:trHeight w:val="300"/>
        </w:trPr>
        <w:tc>
          <w:tcPr>
            <w:tcW w:w="621" w:type="dxa"/>
            <w:tcBorders>
              <w:top w:val="nil"/>
              <w:left w:val="single" w:sz="4" w:space="0" w:color="auto"/>
              <w:bottom w:val="single" w:sz="4" w:space="0" w:color="auto"/>
              <w:right w:val="single" w:sz="4" w:space="0" w:color="auto"/>
            </w:tcBorders>
            <w:shd w:val="clear" w:color="auto" w:fill="DBE5F1" w:themeFill="accent1" w:themeFillTint="33"/>
            <w:noWrap/>
            <w:vAlign w:val="bottom"/>
            <w:hideMark/>
          </w:tcPr>
          <w:p w:rsidR="00A66191" w:rsidRPr="004D6466" w:rsidRDefault="00A66191" w:rsidP="004D6466">
            <w:pPr>
              <w:spacing w:after="0" w:line="240" w:lineRule="auto"/>
              <w:jc w:val="right"/>
              <w:rPr>
                <w:rFonts w:ascii="Calibri" w:eastAsia="Times New Roman" w:hAnsi="Calibri" w:cs="Times New Roman"/>
                <w:b/>
              </w:rPr>
            </w:pPr>
            <w:r w:rsidRPr="004D6466">
              <w:rPr>
                <w:rFonts w:ascii="Calibri" w:eastAsia="Times New Roman" w:hAnsi="Calibri" w:cs="Times New Roman"/>
                <w:b/>
              </w:rPr>
              <w:t>2007</w:t>
            </w:r>
          </w:p>
        </w:tc>
        <w:tc>
          <w:tcPr>
            <w:tcW w:w="1226" w:type="dxa"/>
            <w:tcBorders>
              <w:top w:val="nil"/>
              <w:left w:val="nil"/>
              <w:bottom w:val="single" w:sz="4" w:space="0" w:color="auto"/>
              <w:right w:val="single" w:sz="4" w:space="0" w:color="auto"/>
            </w:tcBorders>
            <w:shd w:val="clear" w:color="auto" w:fill="DBE5F1" w:themeFill="accent1" w:themeFillTint="33"/>
            <w:noWrap/>
            <w:vAlign w:val="bottom"/>
            <w:hideMark/>
          </w:tcPr>
          <w:p w:rsidR="00A66191" w:rsidRPr="004D6466" w:rsidRDefault="00A66191" w:rsidP="004D6466">
            <w:pPr>
              <w:spacing w:after="0" w:line="240" w:lineRule="auto"/>
              <w:jc w:val="right"/>
              <w:rPr>
                <w:rFonts w:ascii="Calibri" w:eastAsia="Times New Roman" w:hAnsi="Calibri" w:cs="Times New Roman"/>
              </w:rPr>
            </w:pPr>
            <w:r w:rsidRPr="004D6466">
              <w:rPr>
                <w:rFonts w:ascii="Calibri" w:eastAsia="Times New Roman" w:hAnsi="Calibri" w:cs="Times New Roman"/>
              </w:rPr>
              <w:t>979.246</w:t>
            </w:r>
          </w:p>
        </w:tc>
        <w:tc>
          <w:tcPr>
            <w:tcW w:w="1357" w:type="dxa"/>
            <w:tcBorders>
              <w:top w:val="nil"/>
              <w:left w:val="nil"/>
              <w:bottom w:val="single" w:sz="4" w:space="0" w:color="auto"/>
              <w:right w:val="single" w:sz="4" w:space="0" w:color="auto"/>
            </w:tcBorders>
            <w:shd w:val="clear" w:color="auto" w:fill="DBE5F1" w:themeFill="accent1" w:themeFillTint="33"/>
            <w:noWrap/>
            <w:vAlign w:val="bottom"/>
            <w:hideMark/>
          </w:tcPr>
          <w:p w:rsidR="00A66191" w:rsidRPr="004D6466" w:rsidRDefault="00A66191" w:rsidP="004D6466">
            <w:pPr>
              <w:spacing w:after="0" w:line="240" w:lineRule="auto"/>
              <w:jc w:val="right"/>
              <w:rPr>
                <w:rFonts w:ascii="Calibri" w:eastAsia="Times New Roman" w:hAnsi="Calibri" w:cs="Times New Roman"/>
              </w:rPr>
            </w:pPr>
            <w:r w:rsidRPr="004D6466">
              <w:rPr>
                <w:rFonts w:ascii="Calibri" w:eastAsia="Times New Roman" w:hAnsi="Calibri" w:cs="Times New Roman"/>
              </w:rPr>
              <w:t>197.452</w:t>
            </w:r>
          </w:p>
        </w:tc>
        <w:tc>
          <w:tcPr>
            <w:tcW w:w="1898" w:type="dxa"/>
            <w:tcBorders>
              <w:top w:val="nil"/>
              <w:left w:val="nil"/>
              <w:bottom w:val="single" w:sz="4" w:space="0" w:color="auto"/>
              <w:right w:val="single" w:sz="4" w:space="0" w:color="auto"/>
            </w:tcBorders>
            <w:shd w:val="clear" w:color="auto" w:fill="DBE5F1" w:themeFill="accent1" w:themeFillTint="33"/>
            <w:noWrap/>
            <w:vAlign w:val="bottom"/>
            <w:hideMark/>
          </w:tcPr>
          <w:p w:rsidR="00A66191" w:rsidRPr="004D6466" w:rsidRDefault="00A66191" w:rsidP="004D6466">
            <w:pPr>
              <w:spacing w:after="0" w:line="240" w:lineRule="auto"/>
              <w:jc w:val="right"/>
              <w:rPr>
                <w:rFonts w:ascii="Calibri" w:eastAsia="Times New Roman" w:hAnsi="Calibri" w:cs="Times New Roman"/>
              </w:rPr>
            </w:pPr>
            <w:r w:rsidRPr="004D6466">
              <w:rPr>
                <w:rFonts w:ascii="Calibri" w:eastAsia="Times New Roman" w:hAnsi="Calibri" w:cs="Times New Roman"/>
              </w:rPr>
              <w:t>5.039</w:t>
            </w:r>
          </w:p>
        </w:tc>
        <w:tc>
          <w:tcPr>
            <w:tcW w:w="1853" w:type="dxa"/>
            <w:tcBorders>
              <w:top w:val="nil"/>
              <w:left w:val="nil"/>
              <w:bottom w:val="single" w:sz="4" w:space="0" w:color="auto"/>
              <w:right w:val="single" w:sz="4" w:space="0" w:color="auto"/>
            </w:tcBorders>
            <w:shd w:val="clear" w:color="auto" w:fill="DBE5F1" w:themeFill="accent1" w:themeFillTint="33"/>
            <w:noWrap/>
            <w:vAlign w:val="bottom"/>
            <w:hideMark/>
          </w:tcPr>
          <w:p w:rsidR="00A66191" w:rsidRPr="004D6466" w:rsidRDefault="00A66191" w:rsidP="004D6466">
            <w:pPr>
              <w:spacing w:after="0" w:line="240" w:lineRule="auto"/>
              <w:jc w:val="right"/>
              <w:rPr>
                <w:rFonts w:ascii="Calibri" w:eastAsia="Times New Roman" w:hAnsi="Calibri" w:cs="Times New Roman"/>
              </w:rPr>
            </w:pPr>
            <w:r w:rsidRPr="004D6466">
              <w:rPr>
                <w:rFonts w:ascii="Calibri" w:eastAsia="Times New Roman" w:hAnsi="Calibri" w:cs="Times New Roman"/>
              </w:rPr>
              <w:t>0</w:t>
            </w:r>
          </w:p>
        </w:tc>
        <w:tc>
          <w:tcPr>
            <w:tcW w:w="1226" w:type="dxa"/>
            <w:tcBorders>
              <w:top w:val="nil"/>
              <w:left w:val="nil"/>
              <w:bottom w:val="single" w:sz="4" w:space="0" w:color="auto"/>
              <w:right w:val="single" w:sz="4" w:space="0" w:color="auto"/>
            </w:tcBorders>
            <w:shd w:val="clear" w:color="auto" w:fill="DBE5F1" w:themeFill="accent1" w:themeFillTint="33"/>
            <w:noWrap/>
            <w:vAlign w:val="bottom"/>
            <w:hideMark/>
          </w:tcPr>
          <w:p w:rsidR="00A66191" w:rsidRPr="004D6466" w:rsidRDefault="00A66191" w:rsidP="004D6466">
            <w:pPr>
              <w:spacing w:after="0" w:line="240" w:lineRule="auto"/>
              <w:jc w:val="right"/>
              <w:rPr>
                <w:rFonts w:ascii="Calibri" w:eastAsia="Times New Roman" w:hAnsi="Calibri" w:cs="Times New Roman"/>
              </w:rPr>
            </w:pPr>
            <w:r w:rsidRPr="004D6466">
              <w:rPr>
                <w:rFonts w:ascii="Calibri" w:eastAsia="Times New Roman" w:hAnsi="Calibri" w:cs="Times New Roman"/>
              </w:rPr>
              <w:t>1.181.737</w:t>
            </w:r>
          </w:p>
        </w:tc>
      </w:tr>
      <w:tr w:rsidR="00A66191" w:rsidRPr="004D6466" w:rsidTr="004D6466">
        <w:trPr>
          <w:trHeight w:val="300"/>
        </w:trPr>
        <w:tc>
          <w:tcPr>
            <w:tcW w:w="621" w:type="dxa"/>
            <w:tcBorders>
              <w:top w:val="nil"/>
              <w:left w:val="single" w:sz="4" w:space="0" w:color="auto"/>
              <w:bottom w:val="single" w:sz="4" w:space="0" w:color="auto"/>
              <w:right w:val="single" w:sz="4" w:space="0" w:color="auto"/>
            </w:tcBorders>
            <w:shd w:val="clear" w:color="auto" w:fill="DBE5F1" w:themeFill="accent1" w:themeFillTint="33"/>
            <w:noWrap/>
            <w:vAlign w:val="bottom"/>
            <w:hideMark/>
          </w:tcPr>
          <w:p w:rsidR="00A66191" w:rsidRPr="004D6466" w:rsidRDefault="00A66191" w:rsidP="004D6466">
            <w:pPr>
              <w:spacing w:after="0" w:line="240" w:lineRule="auto"/>
              <w:jc w:val="right"/>
              <w:rPr>
                <w:rFonts w:ascii="Calibri" w:eastAsia="Times New Roman" w:hAnsi="Calibri" w:cs="Times New Roman"/>
                <w:b/>
              </w:rPr>
            </w:pPr>
            <w:r w:rsidRPr="004D6466">
              <w:rPr>
                <w:rFonts w:ascii="Calibri" w:eastAsia="Times New Roman" w:hAnsi="Calibri" w:cs="Times New Roman"/>
                <w:b/>
              </w:rPr>
              <w:t>2008</w:t>
            </w:r>
          </w:p>
        </w:tc>
        <w:tc>
          <w:tcPr>
            <w:tcW w:w="1226" w:type="dxa"/>
            <w:tcBorders>
              <w:top w:val="nil"/>
              <w:left w:val="nil"/>
              <w:bottom w:val="single" w:sz="4" w:space="0" w:color="auto"/>
              <w:right w:val="single" w:sz="4" w:space="0" w:color="auto"/>
            </w:tcBorders>
            <w:shd w:val="clear" w:color="auto" w:fill="DBE5F1" w:themeFill="accent1" w:themeFillTint="33"/>
            <w:noWrap/>
            <w:vAlign w:val="bottom"/>
            <w:hideMark/>
          </w:tcPr>
          <w:p w:rsidR="00A66191" w:rsidRPr="004D6466" w:rsidRDefault="00A66191" w:rsidP="004D6466">
            <w:pPr>
              <w:spacing w:after="0" w:line="240" w:lineRule="auto"/>
              <w:jc w:val="right"/>
              <w:rPr>
                <w:rFonts w:ascii="Calibri" w:eastAsia="Times New Roman" w:hAnsi="Calibri" w:cs="Times New Roman"/>
              </w:rPr>
            </w:pPr>
            <w:r w:rsidRPr="004D6466">
              <w:rPr>
                <w:rFonts w:ascii="Calibri" w:eastAsia="Times New Roman" w:hAnsi="Calibri" w:cs="Times New Roman"/>
              </w:rPr>
              <w:t>1.008.007</w:t>
            </w:r>
          </w:p>
        </w:tc>
        <w:tc>
          <w:tcPr>
            <w:tcW w:w="1357" w:type="dxa"/>
            <w:tcBorders>
              <w:top w:val="nil"/>
              <w:left w:val="nil"/>
              <w:bottom w:val="single" w:sz="4" w:space="0" w:color="auto"/>
              <w:right w:val="single" w:sz="4" w:space="0" w:color="auto"/>
            </w:tcBorders>
            <w:shd w:val="clear" w:color="auto" w:fill="DBE5F1" w:themeFill="accent1" w:themeFillTint="33"/>
            <w:noWrap/>
            <w:vAlign w:val="bottom"/>
            <w:hideMark/>
          </w:tcPr>
          <w:p w:rsidR="00A66191" w:rsidRPr="004D6466" w:rsidRDefault="00A66191" w:rsidP="004D6466">
            <w:pPr>
              <w:spacing w:after="0" w:line="240" w:lineRule="auto"/>
              <w:jc w:val="right"/>
              <w:rPr>
                <w:rFonts w:ascii="Calibri" w:eastAsia="Times New Roman" w:hAnsi="Calibri" w:cs="Times New Roman"/>
              </w:rPr>
            </w:pPr>
            <w:r w:rsidRPr="004D6466">
              <w:rPr>
                <w:rFonts w:ascii="Calibri" w:eastAsia="Times New Roman" w:hAnsi="Calibri" w:cs="Times New Roman"/>
              </w:rPr>
              <w:t>247.114</w:t>
            </w:r>
          </w:p>
        </w:tc>
        <w:tc>
          <w:tcPr>
            <w:tcW w:w="1898" w:type="dxa"/>
            <w:tcBorders>
              <w:top w:val="nil"/>
              <w:left w:val="nil"/>
              <w:bottom w:val="single" w:sz="4" w:space="0" w:color="auto"/>
              <w:right w:val="single" w:sz="4" w:space="0" w:color="auto"/>
            </w:tcBorders>
            <w:shd w:val="clear" w:color="auto" w:fill="DBE5F1" w:themeFill="accent1" w:themeFillTint="33"/>
            <w:noWrap/>
            <w:vAlign w:val="bottom"/>
            <w:hideMark/>
          </w:tcPr>
          <w:p w:rsidR="00A66191" w:rsidRPr="004D6466" w:rsidRDefault="00A66191" w:rsidP="004D6466">
            <w:pPr>
              <w:spacing w:after="0" w:line="240" w:lineRule="auto"/>
              <w:jc w:val="right"/>
              <w:rPr>
                <w:rFonts w:ascii="Calibri" w:eastAsia="Times New Roman" w:hAnsi="Calibri" w:cs="Times New Roman"/>
              </w:rPr>
            </w:pPr>
            <w:r w:rsidRPr="004D6466">
              <w:rPr>
                <w:rFonts w:ascii="Calibri" w:eastAsia="Times New Roman" w:hAnsi="Calibri" w:cs="Times New Roman"/>
              </w:rPr>
              <w:t>20.263</w:t>
            </w:r>
          </w:p>
        </w:tc>
        <w:tc>
          <w:tcPr>
            <w:tcW w:w="1853" w:type="dxa"/>
            <w:tcBorders>
              <w:top w:val="nil"/>
              <w:left w:val="nil"/>
              <w:bottom w:val="single" w:sz="4" w:space="0" w:color="auto"/>
              <w:right w:val="single" w:sz="4" w:space="0" w:color="auto"/>
            </w:tcBorders>
            <w:shd w:val="clear" w:color="auto" w:fill="DBE5F1" w:themeFill="accent1" w:themeFillTint="33"/>
            <w:noWrap/>
            <w:vAlign w:val="bottom"/>
            <w:hideMark/>
          </w:tcPr>
          <w:p w:rsidR="00A66191" w:rsidRPr="004D6466" w:rsidRDefault="00A66191" w:rsidP="004D6466">
            <w:pPr>
              <w:spacing w:after="0" w:line="240" w:lineRule="auto"/>
              <w:jc w:val="right"/>
              <w:rPr>
                <w:rFonts w:ascii="Calibri" w:eastAsia="Times New Roman" w:hAnsi="Calibri" w:cs="Times New Roman"/>
              </w:rPr>
            </w:pPr>
            <w:r w:rsidRPr="004D6466">
              <w:rPr>
                <w:rFonts w:ascii="Calibri" w:eastAsia="Times New Roman" w:hAnsi="Calibri" w:cs="Times New Roman"/>
              </w:rPr>
              <w:t>0</w:t>
            </w:r>
          </w:p>
        </w:tc>
        <w:tc>
          <w:tcPr>
            <w:tcW w:w="1226" w:type="dxa"/>
            <w:tcBorders>
              <w:top w:val="nil"/>
              <w:left w:val="nil"/>
              <w:bottom w:val="single" w:sz="4" w:space="0" w:color="auto"/>
              <w:right w:val="single" w:sz="4" w:space="0" w:color="auto"/>
            </w:tcBorders>
            <w:shd w:val="clear" w:color="auto" w:fill="DBE5F1" w:themeFill="accent1" w:themeFillTint="33"/>
            <w:noWrap/>
            <w:vAlign w:val="bottom"/>
            <w:hideMark/>
          </w:tcPr>
          <w:p w:rsidR="00A66191" w:rsidRPr="004D6466" w:rsidRDefault="00A66191" w:rsidP="004D6466">
            <w:pPr>
              <w:spacing w:after="0" w:line="240" w:lineRule="auto"/>
              <w:jc w:val="right"/>
              <w:rPr>
                <w:rFonts w:ascii="Calibri" w:eastAsia="Times New Roman" w:hAnsi="Calibri" w:cs="Times New Roman"/>
              </w:rPr>
            </w:pPr>
            <w:r w:rsidRPr="004D6466">
              <w:rPr>
                <w:rFonts w:ascii="Calibri" w:eastAsia="Times New Roman" w:hAnsi="Calibri" w:cs="Times New Roman"/>
              </w:rPr>
              <w:t>1.275.384</w:t>
            </w:r>
          </w:p>
        </w:tc>
      </w:tr>
      <w:tr w:rsidR="00A66191" w:rsidRPr="004D6466" w:rsidTr="004D6466">
        <w:trPr>
          <w:trHeight w:val="300"/>
        </w:trPr>
        <w:tc>
          <w:tcPr>
            <w:tcW w:w="621" w:type="dxa"/>
            <w:tcBorders>
              <w:top w:val="nil"/>
              <w:left w:val="single" w:sz="4" w:space="0" w:color="auto"/>
              <w:bottom w:val="single" w:sz="4" w:space="0" w:color="auto"/>
              <w:right w:val="single" w:sz="4" w:space="0" w:color="auto"/>
            </w:tcBorders>
            <w:shd w:val="clear" w:color="auto" w:fill="DBE5F1" w:themeFill="accent1" w:themeFillTint="33"/>
            <w:noWrap/>
            <w:vAlign w:val="bottom"/>
            <w:hideMark/>
          </w:tcPr>
          <w:p w:rsidR="00A66191" w:rsidRPr="004D6466" w:rsidRDefault="00A66191" w:rsidP="004D6466">
            <w:pPr>
              <w:spacing w:after="0" w:line="240" w:lineRule="auto"/>
              <w:jc w:val="right"/>
              <w:rPr>
                <w:rFonts w:ascii="Calibri" w:eastAsia="Times New Roman" w:hAnsi="Calibri" w:cs="Times New Roman"/>
                <w:b/>
              </w:rPr>
            </w:pPr>
            <w:r w:rsidRPr="004D6466">
              <w:rPr>
                <w:rFonts w:ascii="Calibri" w:eastAsia="Times New Roman" w:hAnsi="Calibri" w:cs="Times New Roman"/>
                <w:b/>
              </w:rPr>
              <w:t>2009</w:t>
            </w:r>
          </w:p>
        </w:tc>
        <w:tc>
          <w:tcPr>
            <w:tcW w:w="1226" w:type="dxa"/>
            <w:tcBorders>
              <w:top w:val="nil"/>
              <w:left w:val="nil"/>
              <w:bottom w:val="single" w:sz="4" w:space="0" w:color="auto"/>
              <w:right w:val="single" w:sz="4" w:space="0" w:color="auto"/>
            </w:tcBorders>
            <w:shd w:val="clear" w:color="auto" w:fill="DBE5F1" w:themeFill="accent1" w:themeFillTint="33"/>
            <w:noWrap/>
            <w:vAlign w:val="bottom"/>
            <w:hideMark/>
          </w:tcPr>
          <w:p w:rsidR="00A66191" w:rsidRPr="004D6466" w:rsidRDefault="00A66191" w:rsidP="004D6466">
            <w:pPr>
              <w:spacing w:after="0" w:line="240" w:lineRule="auto"/>
              <w:jc w:val="right"/>
              <w:rPr>
                <w:rFonts w:ascii="Calibri" w:eastAsia="Times New Roman" w:hAnsi="Calibri" w:cs="Times New Roman"/>
              </w:rPr>
            </w:pPr>
            <w:r w:rsidRPr="004D6466">
              <w:rPr>
                <w:rFonts w:ascii="Calibri" w:eastAsia="Times New Roman" w:hAnsi="Calibri" w:cs="Times New Roman"/>
              </w:rPr>
              <w:t>1.001.919</w:t>
            </w:r>
          </w:p>
        </w:tc>
        <w:tc>
          <w:tcPr>
            <w:tcW w:w="1357" w:type="dxa"/>
            <w:tcBorders>
              <w:top w:val="nil"/>
              <w:left w:val="nil"/>
              <w:bottom w:val="single" w:sz="4" w:space="0" w:color="auto"/>
              <w:right w:val="single" w:sz="4" w:space="0" w:color="auto"/>
            </w:tcBorders>
            <w:shd w:val="clear" w:color="auto" w:fill="DBE5F1" w:themeFill="accent1" w:themeFillTint="33"/>
            <w:noWrap/>
            <w:vAlign w:val="bottom"/>
            <w:hideMark/>
          </w:tcPr>
          <w:p w:rsidR="00A66191" w:rsidRPr="004D6466" w:rsidRDefault="00A66191" w:rsidP="004D6466">
            <w:pPr>
              <w:spacing w:after="0" w:line="240" w:lineRule="auto"/>
              <w:jc w:val="right"/>
              <w:rPr>
                <w:rFonts w:ascii="Calibri" w:eastAsia="Times New Roman" w:hAnsi="Calibri" w:cs="Times New Roman"/>
              </w:rPr>
            </w:pPr>
            <w:r w:rsidRPr="004D6466">
              <w:rPr>
                <w:rFonts w:ascii="Calibri" w:eastAsia="Times New Roman" w:hAnsi="Calibri" w:cs="Times New Roman"/>
              </w:rPr>
              <w:t>272.913</w:t>
            </w:r>
          </w:p>
        </w:tc>
        <w:tc>
          <w:tcPr>
            <w:tcW w:w="1898" w:type="dxa"/>
            <w:tcBorders>
              <w:top w:val="nil"/>
              <w:left w:val="nil"/>
              <w:bottom w:val="single" w:sz="4" w:space="0" w:color="auto"/>
              <w:right w:val="single" w:sz="4" w:space="0" w:color="auto"/>
            </w:tcBorders>
            <w:shd w:val="clear" w:color="auto" w:fill="DBE5F1" w:themeFill="accent1" w:themeFillTint="33"/>
            <w:noWrap/>
            <w:vAlign w:val="bottom"/>
            <w:hideMark/>
          </w:tcPr>
          <w:p w:rsidR="00A66191" w:rsidRPr="004D6466" w:rsidRDefault="00A66191" w:rsidP="004D6466">
            <w:pPr>
              <w:spacing w:after="0" w:line="240" w:lineRule="auto"/>
              <w:jc w:val="right"/>
              <w:rPr>
                <w:rFonts w:ascii="Calibri" w:eastAsia="Times New Roman" w:hAnsi="Calibri" w:cs="Times New Roman"/>
              </w:rPr>
            </w:pPr>
            <w:r w:rsidRPr="004D6466">
              <w:rPr>
                <w:rFonts w:ascii="Calibri" w:eastAsia="Times New Roman" w:hAnsi="Calibri" w:cs="Times New Roman"/>
              </w:rPr>
              <w:t>23.065</w:t>
            </w:r>
          </w:p>
        </w:tc>
        <w:tc>
          <w:tcPr>
            <w:tcW w:w="1853" w:type="dxa"/>
            <w:tcBorders>
              <w:top w:val="nil"/>
              <w:left w:val="nil"/>
              <w:bottom w:val="single" w:sz="4" w:space="0" w:color="auto"/>
              <w:right w:val="single" w:sz="4" w:space="0" w:color="auto"/>
            </w:tcBorders>
            <w:shd w:val="clear" w:color="auto" w:fill="DBE5F1" w:themeFill="accent1" w:themeFillTint="33"/>
            <w:noWrap/>
            <w:vAlign w:val="bottom"/>
            <w:hideMark/>
          </w:tcPr>
          <w:p w:rsidR="00A66191" w:rsidRPr="004D6466" w:rsidRDefault="00A66191" w:rsidP="004D6466">
            <w:pPr>
              <w:spacing w:after="0" w:line="240" w:lineRule="auto"/>
              <w:jc w:val="right"/>
              <w:rPr>
                <w:rFonts w:ascii="Calibri" w:eastAsia="Times New Roman" w:hAnsi="Calibri" w:cs="Times New Roman"/>
              </w:rPr>
            </w:pPr>
            <w:r w:rsidRPr="004D6466">
              <w:rPr>
                <w:rFonts w:ascii="Calibri" w:eastAsia="Times New Roman" w:hAnsi="Calibri" w:cs="Times New Roman"/>
              </w:rPr>
              <w:t>1.706</w:t>
            </w:r>
          </w:p>
        </w:tc>
        <w:tc>
          <w:tcPr>
            <w:tcW w:w="1226" w:type="dxa"/>
            <w:tcBorders>
              <w:top w:val="nil"/>
              <w:left w:val="nil"/>
              <w:bottom w:val="single" w:sz="4" w:space="0" w:color="auto"/>
              <w:right w:val="single" w:sz="4" w:space="0" w:color="auto"/>
            </w:tcBorders>
            <w:shd w:val="clear" w:color="auto" w:fill="DBE5F1" w:themeFill="accent1" w:themeFillTint="33"/>
            <w:noWrap/>
            <w:vAlign w:val="bottom"/>
            <w:hideMark/>
          </w:tcPr>
          <w:p w:rsidR="00A66191" w:rsidRPr="004D6466" w:rsidRDefault="00A66191" w:rsidP="004D6466">
            <w:pPr>
              <w:spacing w:after="0" w:line="240" w:lineRule="auto"/>
              <w:jc w:val="right"/>
              <w:rPr>
                <w:rFonts w:ascii="Calibri" w:eastAsia="Times New Roman" w:hAnsi="Calibri" w:cs="Times New Roman"/>
              </w:rPr>
            </w:pPr>
            <w:r w:rsidRPr="004D6466">
              <w:rPr>
                <w:rFonts w:ascii="Calibri" w:eastAsia="Times New Roman" w:hAnsi="Calibri" w:cs="Times New Roman"/>
              </w:rPr>
              <w:t>1.299.603</w:t>
            </w:r>
          </w:p>
        </w:tc>
      </w:tr>
      <w:tr w:rsidR="00A66191" w:rsidRPr="004D6466" w:rsidTr="004D6466">
        <w:trPr>
          <w:trHeight w:val="300"/>
        </w:trPr>
        <w:tc>
          <w:tcPr>
            <w:tcW w:w="621" w:type="dxa"/>
            <w:tcBorders>
              <w:top w:val="nil"/>
              <w:left w:val="single" w:sz="4" w:space="0" w:color="auto"/>
              <w:bottom w:val="single" w:sz="4" w:space="0" w:color="auto"/>
              <w:right w:val="single" w:sz="4" w:space="0" w:color="auto"/>
            </w:tcBorders>
            <w:shd w:val="clear" w:color="auto" w:fill="DBE5F1" w:themeFill="accent1" w:themeFillTint="33"/>
            <w:noWrap/>
            <w:vAlign w:val="bottom"/>
            <w:hideMark/>
          </w:tcPr>
          <w:p w:rsidR="00A66191" w:rsidRPr="004D6466" w:rsidRDefault="00A66191" w:rsidP="004D6466">
            <w:pPr>
              <w:spacing w:after="0" w:line="240" w:lineRule="auto"/>
              <w:jc w:val="right"/>
              <w:rPr>
                <w:rFonts w:ascii="Calibri" w:eastAsia="Times New Roman" w:hAnsi="Calibri" w:cs="Times New Roman"/>
                <w:b/>
              </w:rPr>
            </w:pPr>
            <w:r w:rsidRPr="004D6466">
              <w:rPr>
                <w:rFonts w:ascii="Calibri" w:eastAsia="Times New Roman" w:hAnsi="Calibri" w:cs="Times New Roman"/>
                <w:b/>
              </w:rPr>
              <w:t>2010</w:t>
            </w:r>
          </w:p>
        </w:tc>
        <w:tc>
          <w:tcPr>
            <w:tcW w:w="1226" w:type="dxa"/>
            <w:tcBorders>
              <w:top w:val="nil"/>
              <w:left w:val="nil"/>
              <w:bottom w:val="single" w:sz="4" w:space="0" w:color="auto"/>
              <w:right w:val="single" w:sz="4" w:space="0" w:color="auto"/>
            </w:tcBorders>
            <w:shd w:val="clear" w:color="auto" w:fill="DBE5F1" w:themeFill="accent1" w:themeFillTint="33"/>
            <w:noWrap/>
            <w:vAlign w:val="bottom"/>
            <w:hideMark/>
          </w:tcPr>
          <w:p w:rsidR="00A66191" w:rsidRPr="004D6466" w:rsidRDefault="00A66191" w:rsidP="004D6466">
            <w:pPr>
              <w:spacing w:after="0" w:line="240" w:lineRule="auto"/>
              <w:jc w:val="right"/>
              <w:rPr>
                <w:rFonts w:ascii="Calibri" w:eastAsia="Times New Roman" w:hAnsi="Calibri" w:cs="Times New Roman"/>
              </w:rPr>
            </w:pPr>
            <w:r w:rsidRPr="004D6466">
              <w:rPr>
                <w:rFonts w:ascii="Calibri" w:eastAsia="Times New Roman" w:hAnsi="Calibri" w:cs="Times New Roman"/>
              </w:rPr>
              <w:t>1.210.030</w:t>
            </w:r>
          </w:p>
        </w:tc>
        <w:tc>
          <w:tcPr>
            <w:tcW w:w="1357" w:type="dxa"/>
            <w:tcBorders>
              <w:top w:val="nil"/>
              <w:left w:val="nil"/>
              <w:bottom w:val="single" w:sz="4" w:space="0" w:color="auto"/>
              <w:right w:val="single" w:sz="4" w:space="0" w:color="auto"/>
            </w:tcBorders>
            <w:shd w:val="clear" w:color="auto" w:fill="DBE5F1" w:themeFill="accent1" w:themeFillTint="33"/>
            <w:noWrap/>
            <w:vAlign w:val="bottom"/>
            <w:hideMark/>
          </w:tcPr>
          <w:p w:rsidR="00A66191" w:rsidRPr="004D6466" w:rsidRDefault="00A66191" w:rsidP="004D6466">
            <w:pPr>
              <w:spacing w:after="0" w:line="240" w:lineRule="auto"/>
              <w:jc w:val="right"/>
              <w:rPr>
                <w:rFonts w:ascii="Calibri" w:eastAsia="Times New Roman" w:hAnsi="Calibri" w:cs="Times New Roman"/>
              </w:rPr>
            </w:pPr>
            <w:r w:rsidRPr="004D6466">
              <w:rPr>
                <w:rFonts w:ascii="Calibri" w:eastAsia="Times New Roman" w:hAnsi="Calibri" w:cs="Times New Roman"/>
              </w:rPr>
              <w:t>381.467</w:t>
            </w:r>
          </w:p>
        </w:tc>
        <w:tc>
          <w:tcPr>
            <w:tcW w:w="1898" w:type="dxa"/>
            <w:tcBorders>
              <w:top w:val="nil"/>
              <w:left w:val="nil"/>
              <w:bottom w:val="single" w:sz="4" w:space="0" w:color="auto"/>
              <w:right w:val="single" w:sz="4" w:space="0" w:color="auto"/>
            </w:tcBorders>
            <w:shd w:val="clear" w:color="auto" w:fill="DBE5F1" w:themeFill="accent1" w:themeFillTint="33"/>
            <w:noWrap/>
            <w:vAlign w:val="bottom"/>
            <w:hideMark/>
          </w:tcPr>
          <w:p w:rsidR="00A66191" w:rsidRPr="004D6466" w:rsidRDefault="00A66191" w:rsidP="004D6466">
            <w:pPr>
              <w:spacing w:after="0" w:line="240" w:lineRule="auto"/>
              <w:jc w:val="right"/>
              <w:rPr>
                <w:rFonts w:ascii="Calibri" w:eastAsia="Times New Roman" w:hAnsi="Calibri" w:cs="Times New Roman"/>
              </w:rPr>
            </w:pPr>
            <w:r w:rsidRPr="004D6466">
              <w:rPr>
                <w:rFonts w:ascii="Calibri" w:eastAsia="Times New Roman" w:hAnsi="Calibri" w:cs="Times New Roman"/>
              </w:rPr>
              <w:t>44.054</w:t>
            </w:r>
          </w:p>
        </w:tc>
        <w:tc>
          <w:tcPr>
            <w:tcW w:w="1853" w:type="dxa"/>
            <w:tcBorders>
              <w:top w:val="nil"/>
              <w:left w:val="nil"/>
              <w:bottom w:val="single" w:sz="4" w:space="0" w:color="auto"/>
              <w:right w:val="single" w:sz="4" w:space="0" w:color="auto"/>
            </w:tcBorders>
            <w:shd w:val="clear" w:color="auto" w:fill="DBE5F1" w:themeFill="accent1" w:themeFillTint="33"/>
            <w:noWrap/>
            <w:vAlign w:val="bottom"/>
            <w:hideMark/>
          </w:tcPr>
          <w:p w:rsidR="00A66191" w:rsidRPr="004D6466" w:rsidRDefault="00A66191" w:rsidP="004D6466">
            <w:pPr>
              <w:spacing w:after="0" w:line="240" w:lineRule="auto"/>
              <w:jc w:val="right"/>
              <w:rPr>
                <w:rFonts w:ascii="Calibri" w:eastAsia="Times New Roman" w:hAnsi="Calibri" w:cs="Times New Roman"/>
              </w:rPr>
            </w:pPr>
            <w:r w:rsidRPr="004D6466">
              <w:rPr>
                <w:rFonts w:ascii="Calibri" w:eastAsia="Times New Roman" w:hAnsi="Calibri" w:cs="Times New Roman"/>
              </w:rPr>
              <w:t>7.020</w:t>
            </w:r>
          </w:p>
        </w:tc>
        <w:tc>
          <w:tcPr>
            <w:tcW w:w="1226" w:type="dxa"/>
            <w:tcBorders>
              <w:top w:val="nil"/>
              <w:left w:val="nil"/>
              <w:bottom w:val="single" w:sz="4" w:space="0" w:color="auto"/>
              <w:right w:val="single" w:sz="4" w:space="0" w:color="auto"/>
            </w:tcBorders>
            <w:shd w:val="clear" w:color="auto" w:fill="DBE5F1" w:themeFill="accent1" w:themeFillTint="33"/>
            <w:noWrap/>
            <w:vAlign w:val="bottom"/>
            <w:hideMark/>
          </w:tcPr>
          <w:p w:rsidR="00A66191" w:rsidRPr="004D6466" w:rsidRDefault="00A66191" w:rsidP="004D6466">
            <w:pPr>
              <w:spacing w:after="0" w:line="240" w:lineRule="auto"/>
              <w:jc w:val="right"/>
              <w:rPr>
                <w:rFonts w:ascii="Calibri" w:eastAsia="Times New Roman" w:hAnsi="Calibri" w:cs="Times New Roman"/>
              </w:rPr>
            </w:pPr>
            <w:r w:rsidRPr="004D6466">
              <w:rPr>
                <w:rFonts w:ascii="Calibri" w:eastAsia="Times New Roman" w:hAnsi="Calibri" w:cs="Times New Roman"/>
              </w:rPr>
              <w:t>1.642.571</w:t>
            </w:r>
          </w:p>
        </w:tc>
      </w:tr>
      <w:tr w:rsidR="00A66191" w:rsidRPr="004D6466" w:rsidTr="004D6466">
        <w:trPr>
          <w:trHeight w:val="300"/>
        </w:trPr>
        <w:tc>
          <w:tcPr>
            <w:tcW w:w="621" w:type="dxa"/>
            <w:tcBorders>
              <w:top w:val="nil"/>
              <w:left w:val="single" w:sz="4" w:space="0" w:color="auto"/>
              <w:bottom w:val="single" w:sz="4" w:space="0" w:color="auto"/>
              <w:right w:val="single" w:sz="4" w:space="0" w:color="auto"/>
            </w:tcBorders>
            <w:shd w:val="clear" w:color="auto" w:fill="DBE5F1" w:themeFill="accent1" w:themeFillTint="33"/>
            <w:noWrap/>
            <w:vAlign w:val="bottom"/>
            <w:hideMark/>
          </w:tcPr>
          <w:p w:rsidR="00A66191" w:rsidRPr="004D6466" w:rsidRDefault="00A66191" w:rsidP="004D6466">
            <w:pPr>
              <w:spacing w:after="0" w:line="240" w:lineRule="auto"/>
              <w:jc w:val="right"/>
              <w:rPr>
                <w:rFonts w:ascii="Calibri" w:eastAsia="Times New Roman" w:hAnsi="Calibri" w:cs="Times New Roman"/>
                <w:b/>
              </w:rPr>
            </w:pPr>
            <w:r w:rsidRPr="004D6466">
              <w:rPr>
                <w:rFonts w:ascii="Calibri" w:eastAsia="Times New Roman" w:hAnsi="Calibri" w:cs="Times New Roman"/>
                <w:b/>
              </w:rPr>
              <w:t>2011</w:t>
            </w:r>
          </w:p>
        </w:tc>
        <w:tc>
          <w:tcPr>
            <w:tcW w:w="1226" w:type="dxa"/>
            <w:tcBorders>
              <w:top w:val="nil"/>
              <w:left w:val="nil"/>
              <w:bottom w:val="single" w:sz="4" w:space="0" w:color="auto"/>
              <w:right w:val="single" w:sz="4" w:space="0" w:color="auto"/>
            </w:tcBorders>
            <w:shd w:val="clear" w:color="auto" w:fill="DBE5F1" w:themeFill="accent1" w:themeFillTint="33"/>
            <w:noWrap/>
            <w:vAlign w:val="bottom"/>
            <w:hideMark/>
          </w:tcPr>
          <w:p w:rsidR="00A66191" w:rsidRPr="004D6466" w:rsidRDefault="00A66191" w:rsidP="004D6466">
            <w:pPr>
              <w:spacing w:after="0" w:line="240" w:lineRule="auto"/>
              <w:jc w:val="right"/>
              <w:rPr>
                <w:rFonts w:ascii="Calibri" w:eastAsia="Times New Roman" w:hAnsi="Calibri" w:cs="Times New Roman"/>
              </w:rPr>
            </w:pPr>
            <w:r w:rsidRPr="004D6466">
              <w:rPr>
                <w:rFonts w:ascii="Calibri" w:eastAsia="Times New Roman" w:hAnsi="Calibri" w:cs="Times New Roman"/>
              </w:rPr>
              <w:t>1.188.428</w:t>
            </w:r>
          </w:p>
        </w:tc>
        <w:tc>
          <w:tcPr>
            <w:tcW w:w="1357" w:type="dxa"/>
            <w:tcBorders>
              <w:top w:val="nil"/>
              <w:left w:val="nil"/>
              <w:bottom w:val="single" w:sz="4" w:space="0" w:color="auto"/>
              <w:right w:val="single" w:sz="4" w:space="0" w:color="auto"/>
            </w:tcBorders>
            <w:shd w:val="clear" w:color="auto" w:fill="DBE5F1" w:themeFill="accent1" w:themeFillTint="33"/>
            <w:noWrap/>
            <w:vAlign w:val="bottom"/>
            <w:hideMark/>
          </w:tcPr>
          <w:p w:rsidR="00A66191" w:rsidRPr="004D6466" w:rsidRDefault="00A66191" w:rsidP="004D6466">
            <w:pPr>
              <w:spacing w:after="0" w:line="240" w:lineRule="auto"/>
              <w:jc w:val="right"/>
              <w:rPr>
                <w:rFonts w:ascii="Calibri" w:eastAsia="Times New Roman" w:hAnsi="Calibri" w:cs="Times New Roman"/>
              </w:rPr>
            </w:pPr>
            <w:r w:rsidRPr="004D6466">
              <w:rPr>
                <w:rFonts w:ascii="Calibri" w:eastAsia="Times New Roman" w:hAnsi="Calibri" w:cs="Times New Roman"/>
              </w:rPr>
              <w:t>500.634</w:t>
            </w:r>
          </w:p>
        </w:tc>
        <w:tc>
          <w:tcPr>
            <w:tcW w:w="1898" w:type="dxa"/>
            <w:tcBorders>
              <w:top w:val="nil"/>
              <w:left w:val="nil"/>
              <w:bottom w:val="single" w:sz="4" w:space="0" w:color="auto"/>
              <w:right w:val="single" w:sz="4" w:space="0" w:color="auto"/>
            </w:tcBorders>
            <w:shd w:val="clear" w:color="auto" w:fill="DBE5F1" w:themeFill="accent1" w:themeFillTint="33"/>
            <w:noWrap/>
            <w:vAlign w:val="bottom"/>
            <w:hideMark/>
          </w:tcPr>
          <w:p w:rsidR="00A66191" w:rsidRPr="004D6466" w:rsidRDefault="00A66191" w:rsidP="004D6466">
            <w:pPr>
              <w:spacing w:after="0" w:line="240" w:lineRule="auto"/>
              <w:jc w:val="right"/>
              <w:rPr>
                <w:rFonts w:ascii="Calibri" w:eastAsia="Times New Roman" w:hAnsi="Calibri" w:cs="Times New Roman"/>
              </w:rPr>
            </w:pPr>
            <w:r w:rsidRPr="004D6466">
              <w:rPr>
                <w:rFonts w:ascii="Calibri" w:eastAsia="Times New Roman" w:hAnsi="Calibri" w:cs="Times New Roman"/>
              </w:rPr>
              <w:t>66.809</w:t>
            </w:r>
          </w:p>
        </w:tc>
        <w:tc>
          <w:tcPr>
            <w:tcW w:w="1853" w:type="dxa"/>
            <w:tcBorders>
              <w:top w:val="nil"/>
              <w:left w:val="nil"/>
              <w:bottom w:val="single" w:sz="4" w:space="0" w:color="auto"/>
              <w:right w:val="single" w:sz="4" w:space="0" w:color="auto"/>
            </w:tcBorders>
            <w:shd w:val="clear" w:color="auto" w:fill="DBE5F1" w:themeFill="accent1" w:themeFillTint="33"/>
            <w:noWrap/>
            <w:vAlign w:val="bottom"/>
            <w:hideMark/>
          </w:tcPr>
          <w:p w:rsidR="00A66191" w:rsidRPr="004D6466" w:rsidRDefault="00A66191" w:rsidP="004D6466">
            <w:pPr>
              <w:spacing w:after="0" w:line="240" w:lineRule="auto"/>
              <w:jc w:val="right"/>
              <w:rPr>
                <w:rFonts w:ascii="Calibri" w:eastAsia="Times New Roman" w:hAnsi="Calibri" w:cs="Times New Roman"/>
              </w:rPr>
            </w:pPr>
            <w:r w:rsidRPr="004D6466">
              <w:rPr>
                <w:rFonts w:ascii="Calibri" w:eastAsia="Times New Roman" w:hAnsi="Calibri" w:cs="Times New Roman"/>
              </w:rPr>
              <w:t>18.790</w:t>
            </w:r>
          </w:p>
        </w:tc>
        <w:tc>
          <w:tcPr>
            <w:tcW w:w="1226" w:type="dxa"/>
            <w:tcBorders>
              <w:top w:val="nil"/>
              <w:left w:val="nil"/>
              <w:bottom w:val="single" w:sz="4" w:space="0" w:color="auto"/>
              <w:right w:val="single" w:sz="4" w:space="0" w:color="auto"/>
            </w:tcBorders>
            <w:shd w:val="clear" w:color="auto" w:fill="DBE5F1" w:themeFill="accent1" w:themeFillTint="33"/>
            <w:noWrap/>
            <w:vAlign w:val="bottom"/>
            <w:hideMark/>
          </w:tcPr>
          <w:p w:rsidR="00A66191" w:rsidRPr="004D6466" w:rsidRDefault="00A66191" w:rsidP="004D6466">
            <w:pPr>
              <w:spacing w:after="0" w:line="240" w:lineRule="auto"/>
              <w:jc w:val="right"/>
              <w:rPr>
                <w:rFonts w:ascii="Calibri" w:eastAsia="Times New Roman" w:hAnsi="Calibri" w:cs="Times New Roman"/>
              </w:rPr>
            </w:pPr>
            <w:r w:rsidRPr="004D6466">
              <w:rPr>
                <w:rFonts w:ascii="Calibri" w:eastAsia="Times New Roman" w:hAnsi="Calibri" w:cs="Times New Roman"/>
              </w:rPr>
              <w:t>1.774.661</w:t>
            </w:r>
          </w:p>
        </w:tc>
      </w:tr>
      <w:tr w:rsidR="00A66191" w:rsidRPr="004D6466" w:rsidTr="004D6466">
        <w:trPr>
          <w:trHeight w:val="300"/>
        </w:trPr>
        <w:tc>
          <w:tcPr>
            <w:tcW w:w="621" w:type="dxa"/>
            <w:tcBorders>
              <w:top w:val="nil"/>
              <w:left w:val="single" w:sz="4" w:space="0" w:color="auto"/>
              <w:bottom w:val="single" w:sz="4" w:space="0" w:color="auto"/>
              <w:right w:val="single" w:sz="4" w:space="0" w:color="auto"/>
            </w:tcBorders>
            <w:shd w:val="clear" w:color="auto" w:fill="DBE5F1" w:themeFill="accent1" w:themeFillTint="33"/>
            <w:noWrap/>
            <w:vAlign w:val="bottom"/>
            <w:hideMark/>
          </w:tcPr>
          <w:p w:rsidR="00A66191" w:rsidRPr="004D6466" w:rsidRDefault="00A66191" w:rsidP="004D6466">
            <w:pPr>
              <w:spacing w:after="0" w:line="240" w:lineRule="auto"/>
              <w:jc w:val="right"/>
              <w:rPr>
                <w:rFonts w:ascii="Calibri" w:eastAsia="Times New Roman" w:hAnsi="Calibri" w:cs="Times New Roman"/>
                <w:b/>
              </w:rPr>
            </w:pPr>
            <w:r w:rsidRPr="004D6466">
              <w:rPr>
                <w:rFonts w:ascii="Calibri" w:eastAsia="Times New Roman" w:hAnsi="Calibri" w:cs="Times New Roman"/>
                <w:b/>
              </w:rPr>
              <w:t>2012</w:t>
            </w:r>
          </w:p>
        </w:tc>
        <w:tc>
          <w:tcPr>
            <w:tcW w:w="1226" w:type="dxa"/>
            <w:tcBorders>
              <w:top w:val="nil"/>
              <w:left w:val="nil"/>
              <w:bottom w:val="single" w:sz="4" w:space="0" w:color="auto"/>
              <w:right w:val="single" w:sz="4" w:space="0" w:color="auto"/>
            </w:tcBorders>
            <w:shd w:val="clear" w:color="auto" w:fill="DBE5F1" w:themeFill="accent1" w:themeFillTint="33"/>
            <w:noWrap/>
            <w:vAlign w:val="bottom"/>
            <w:hideMark/>
          </w:tcPr>
          <w:p w:rsidR="00A66191" w:rsidRPr="004D6466" w:rsidRDefault="00A66191" w:rsidP="004D6466">
            <w:pPr>
              <w:spacing w:after="0" w:line="240" w:lineRule="auto"/>
              <w:jc w:val="right"/>
              <w:rPr>
                <w:rFonts w:ascii="Calibri" w:eastAsia="Times New Roman" w:hAnsi="Calibri" w:cs="Times New Roman"/>
              </w:rPr>
            </w:pPr>
            <w:r w:rsidRPr="004D6466">
              <w:rPr>
                <w:rFonts w:ascii="Calibri" w:eastAsia="Times New Roman" w:hAnsi="Calibri" w:cs="Times New Roman"/>
              </w:rPr>
              <w:t>1.209.820</w:t>
            </w:r>
          </w:p>
        </w:tc>
        <w:tc>
          <w:tcPr>
            <w:tcW w:w="1357" w:type="dxa"/>
            <w:tcBorders>
              <w:top w:val="nil"/>
              <w:left w:val="nil"/>
              <w:bottom w:val="single" w:sz="4" w:space="0" w:color="auto"/>
              <w:right w:val="single" w:sz="4" w:space="0" w:color="auto"/>
            </w:tcBorders>
            <w:shd w:val="clear" w:color="auto" w:fill="DBE5F1" w:themeFill="accent1" w:themeFillTint="33"/>
            <w:noWrap/>
            <w:vAlign w:val="bottom"/>
            <w:hideMark/>
          </w:tcPr>
          <w:p w:rsidR="00A66191" w:rsidRPr="004D6466" w:rsidRDefault="00A66191" w:rsidP="004D6466">
            <w:pPr>
              <w:spacing w:after="0" w:line="240" w:lineRule="auto"/>
              <w:jc w:val="right"/>
              <w:rPr>
                <w:rFonts w:ascii="Calibri" w:eastAsia="Times New Roman" w:hAnsi="Calibri" w:cs="Times New Roman"/>
              </w:rPr>
            </w:pPr>
            <w:r w:rsidRPr="004D6466">
              <w:rPr>
                <w:rFonts w:ascii="Calibri" w:eastAsia="Times New Roman" w:hAnsi="Calibri" w:cs="Times New Roman"/>
              </w:rPr>
              <w:t>537.074</w:t>
            </w:r>
          </w:p>
        </w:tc>
        <w:tc>
          <w:tcPr>
            <w:tcW w:w="1898" w:type="dxa"/>
            <w:tcBorders>
              <w:top w:val="nil"/>
              <w:left w:val="nil"/>
              <w:bottom w:val="single" w:sz="4" w:space="0" w:color="auto"/>
              <w:right w:val="single" w:sz="4" w:space="0" w:color="auto"/>
            </w:tcBorders>
            <w:shd w:val="clear" w:color="auto" w:fill="DBE5F1" w:themeFill="accent1" w:themeFillTint="33"/>
            <w:noWrap/>
            <w:vAlign w:val="bottom"/>
            <w:hideMark/>
          </w:tcPr>
          <w:p w:rsidR="00A66191" w:rsidRPr="004D6466" w:rsidRDefault="00A66191" w:rsidP="004D6466">
            <w:pPr>
              <w:spacing w:after="0" w:line="240" w:lineRule="auto"/>
              <w:jc w:val="right"/>
              <w:rPr>
                <w:rFonts w:ascii="Calibri" w:eastAsia="Times New Roman" w:hAnsi="Calibri" w:cs="Times New Roman"/>
              </w:rPr>
            </w:pPr>
            <w:r w:rsidRPr="004D6466">
              <w:rPr>
                <w:rFonts w:ascii="Calibri" w:eastAsia="Times New Roman" w:hAnsi="Calibri" w:cs="Times New Roman"/>
              </w:rPr>
              <w:t>79.716</w:t>
            </w:r>
          </w:p>
        </w:tc>
        <w:tc>
          <w:tcPr>
            <w:tcW w:w="1853" w:type="dxa"/>
            <w:tcBorders>
              <w:top w:val="nil"/>
              <w:left w:val="nil"/>
              <w:bottom w:val="single" w:sz="4" w:space="0" w:color="auto"/>
              <w:right w:val="single" w:sz="4" w:space="0" w:color="auto"/>
            </w:tcBorders>
            <w:shd w:val="clear" w:color="auto" w:fill="DBE5F1" w:themeFill="accent1" w:themeFillTint="33"/>
            <w:noWrap/>
            <w:vAlign w:val="bottom"/>
            <w:hideMark/>
          </w:tcPr>
          <w:p w:rsidR="00A66191" w:rsidRPr="004D6466" w:rsidRDefault="00A66191" w:rsidP="004D6466">
            <w:pPr>
              <w:spacing w:after="0" w:line="240" w:lineRule="auto"/>
              <w:jc w:val="right"/>
              <w:rPr>
                <w:rFonts w:ascii="Calibri" w:eastAsia="Times New Roman" w:hAnsi="Calibri" w:cs="Times New Roman"/>
              </w:rPr>
            </w:pPr>
            <w:r w:rsidRPr="004D6466">
              <w:rPr>
                <w:rFonts w:ascii="Calibri" w:eastAsia="Times New Roman" w:hAnsi="Calibri" w:cs="Times New Roman"/>
              </w:rPr>
              <w:t>26.628</w:t>
            </w:r>
          </w:p>
        </w:tc>
        <w:tc>
          <w:tcPr>
            <w:tcW w:w="1226" w:type="dxa"/>
            <w:tcBorders>
              <w:top w:val="nil"/>
              <w:left w:val="nil"/>
              <w:bottom w:val="single" w:sz="4" w:space="0" w:color="auto"/>
              <w:right w:val="single" w:sz="4" w:space="0" w:color="auto"/>
            </w:tcBorders>
            <w:shd w:val="clear" w:color="auto" w:fill="DBE5F1" w:themeFill="accent1" w:themeFillTint="33"/>
            <w:noWrap/>
            <w:vAlign w:val="bottom"/>
            <w:hideMark/>
          </w:tcPr>
          <w:p w:rsidR="00A66191" w:rsidRPr="004D6466" w:rsidRDefault="00A66191" w:rsidP="004D6466">
            <w:pPr>
              <w:spacing w:after="0" w:line="240" w:lineRule="auto"/>
              <w:jc w:val="right"/>
              <w:rPr>
                <w:rFonts w:ascii="Calibri" w:eastAsia="Times New Roman" w:hAnsi="Calibri" w:cs="Times New Roman"/>
              </w:rPr>
            </w:pPr>
            <w:r w:rsidRPr="004D6466">
              <w:rPr>
                <w:rFonts w:ascii="Calibri" w:eastAsia="Times New Roman" w:hAnsi="Calibri" w:cs="Times New Roman"/>
              </w:rPr>
              <w:t>1.853.238</w:t>
            </w:r>
          </w:p>
        </w:tc>
      </w:tr>
    </w:tbl>
    <w:p w:rsidR="00A66191" w:rsidRPr="004D6466" w:rsidRDefault="00A66191" w:rsidP="00A66191">
      <w:pPr>
        <w:pStyle w:val="Sinespaciado"/>
        <w:rPr>
          <w:rFonts w:ascii="Arial" w:hAnsi="Arial" w:cs="Arial"/>
          <w:sz w:val="16"/>
          <w:szCs w:val="16"/>
          <w:lang w:val="es-EC"/>
        </w:rPr>
      </w:pPr>
      <w:r w:rsidRPr="004D6466">
        <w:rPr>
          <w:rFonts w:ascii="Arial" w:hAnsi="Arial" w:cs="Arial"/>
          <w:sz w:val="16"/>
          <w:szCs w:val="16"/>
          <w:lang w:val="es-EC"/>
        </w:rPr>
        <w:t>Tabla Nº 5                fuente: Ministerio de Inclusión Económica y Social                 Elaborado por María José Ponce</w:t>
      </w:r>
    </w:p>
    <w:p w:rsidR="00A66191" w:rsidRPr="004D6466" w:rsidRDefault="00A66191" w:rsidP="00A66191">
      <w:pPr>
        <w:spacing w:line="360" w:lineRule="auto"/>
        <w:jc w:val="both"/>
        <w:rPr>
          <w:rFonts w:ascii="Arial" w:hAnsi="Arial" w:cs="Arial"/>
          <w:sz w:val="24"/>
          <w:szCs w:val="24"/>
          <w:lang w:val="es-EC"/>
        </w:rPr>
      </w:pPr>
    </w:p>
    <w:p w:rsidR="00A66191" w:rsidRPr="004D6466" w:rsidRDefault="00A66191" w:rsidP="00A66191">
      <w:pPr>
        <w:pStyle w:val="Sinespaciado"/>
        <w:jc w:val="center"/>
        <w:rPr>
          <w:lang w:val="es-EC"/>
        </w:rPr>
      </w:pPr>
      <w:r w:rsidRPr="004D6466">
        <w:rPr>
          <w:noProof/>
        </w:rPr>
        <w:drawing>
          <wp:inline distT="0" distB="0" distL="0" distR="0">
            <wp:extent cx="4585955" cy="2870790"/>
            <wp:effectExtent l="19050" t="0" r="24145" b="5760"/>
            <wp:docPr id="12" name="Gráfico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42"/>
              </a:graphicData>
            </a:graphic>
          </wp:inline>
        </w:drawing>
      </w:r>
    </w:p>
    <w:p w:rsidR="00A66191" w:rsidRPr="004D6466" w:rsidRDefault="00572FE7" w:rsidP="00A66191">
      <w:pPr>
        <w:pStyle w:val="Sinespaciado"/>
        <w:rPr>
          <w:rFonts w:ascii="Arial" w:hAnsi="Arial" w:cs="Arial"/>
          <w:sz w:val="16"/>
          <w:szCs w:val="16"/>
          <w:lang w:val="es-EC"/>
        </w:rPr>
      </w:pPr>
      <w:r>
        <w:rPr>
          <w:rFonts w:ascii="Arial" w:hAnsi="Arial" w:cs="Arial"/>
          <w:sz w:val="16"/>
          <w:szCs w:val="16"/>
          <w:lang w:val="es-EC"/>
        </w:rPr>
        <w:t>Gráfico Nº 6</w:t>
      </w:r>
      <w:r w:rsidR="00A66191" w:rsidRPr="004D6466">
        <w:rPr>
          <w:rFonts w:ascii="Arial" w:hAnsi="Arial" w:cs="Arial"/>
          <w:sz w:val="16"/>
          <w:szCs w:val="16"/>
          <w:lang w:val="es-EC"/>
        </w:rPr>
        <w:t xml:space="preserve">            fuente: Ministerio de inclusión Económica y Social               Elaborado por María José Ponce</w:t>
      </w:r>
    </w:p>
    <w:p w:rsidR="00A66191" w:rsidRPr="004D6466" w:rsidRDefault="00A66191" w:rsidP="00A66191">
      <w:pPr>
        <w:pStyle w:val="Sinespaciado"/>
        <w:rPr>
          <w:lang w:val="es-EC"/>
        </w:rPr>
      </w:pPr>
    </w:p>
    <w:p w:rsidR="00A66191" w:rsidRPr="004D6466" w:rsidRDefault="00A66191" w:rsidP="00A66191">
      <w:pPr>
        <w:spacing w:line="360" w:lineRule="auto"/>
        <w:jc w:val="both"/>
        <w:rPr>
          <w:rFonts w:ascii="Arial" w:hAnsi="Arial" w:cs="Arial"/>
          <w:sz w:val="24"/>
          <w:szCs w:val="24"/>
          <w:lang w:val="es-EC"/>
        </w:rPr>
      </w:pPr>
      <w:r w:rsidRPr="004D6466">
        <w:rPr>
          <w:rFonts w:ascii="Arial" w:hAnsi="Arial" w:cs="Arial"/>
          <w:sz w:val="24"/>
          <w:szCs w:val="24"/>
          <w:lang w:val="es-EC"/>
        </w:rPr>
        <w:t>Del 2009 al 2010 se puede observar un gran incremento en beneficiarios correspondientes a la incorporación de menores con discapacidad.</w:t>
      </w:r>
    </w:p>
    <w:p w:rsidR="00A66191" w:rsidRPr="004D6466" w:rsidRDefault="00A66191" w:rsidP="00A66191">
      <w:pPr>
        <w:autoSpaceDE w:val="0"/>
        <w:autoSpaceDN w:val="0"/>
        <w:adjustRightInd w:val="0"/>
        <w:spacing w:after="0" w:line="360" w:lineRule="auto"/>
        <w:rPr>
          <w:rFonts w:ascii="Arial" w:hAnsi="Arial" w:cs="Arial"/>
          <w:b/>
          <w:i/>
          <w:sz w:val="24"/>
          <w:szCs w:val="24"/>
        </w:rPr>
      </w:pPr>
      <w:r w:rsidRPr="004D6466">
        <w:rPr>
          <w:rFonts w:ascii="Arial" w:hAnsi="Arial" w:cs="Arial"/>
          <w:b/>
          <w:i/>
          <w:sz w:val="24"/>
          <w:szCs w:val="24"/>
        </w:rPr>
        <w:t>4.2.2 “Crédito de Desarrollo Humano”</w:t>
      </w:r>
    </w:p>
    <w:p w:rsidR="00A66191" w:rsidRPr="004D6466" w:rsidRDefault="00A66191" w:rsidP="00A66191">
      <w:pPr>
        <w:autoSpaceDE w:val="0"/>
        <w:autoSpaceDN w:val="0"/>
        <w:adjustRightInd w:val="0"/>
        <w:spacing w:after="0" w:line="360" w:lineRule="auto"/>
        <w:rPr>
          <w:rFonts w:ascii="Arial" w:hAnsi="Arial" w:cs="Arial"/>
          <w:b/>
          <w:i/>
          <w:sz w:val="24"/>
          <w:szCs w:val="24"/>
        </w:rPr>
      </w:pPr>
    </w:p>
    <w:p w:rsidR="00A66191" w:rsidRPr="004D6466" w:rsidRDefault="00A66191" w:rsidP="00A66191">
      <w:pPr>
        <w:autoSpaceDE w:val="0"/>
        <w:autoSpaceDN w:val="0"/>
        <w:adjustRightInd w:val="0"/>
        <w:spacing w:after="0" w:line="360" w:lineRule="auto"/>
        <w:jc w:val="both"/>
        <w:rPr>
          <w:rFonts w:ascii="Arial" w:hAnsi="Arial" w:cs="Arial"/>
          <w:sz w:val="24"/>
          <w:szCs w:val="24"/>
        </w:rPr>
      </w:pPr>
      <w:r w:rsidRPr="004D6466">
        <w:rPr>
          <w:rFonts w:ascii="Arial" w:hAnsi="Arial" w:cs="Arial"/>
          <w:sz w:val="24"/>
          <w:szCs w:val="24"/>
        </w:rPr>
        <w:t>El Crédito Desarrollo Humano (CDH) incluye a la población en extrema pobreza, al sector financiero formal, generando oportunidades de autoempleo sustentable para la producción de los sectores Agrícola, Ganadero y Turístico, obteniendo el incremento paulatino de ingresos del núcleo familiar.</w:t>
      </w:r>
    </w:p>
    <w:p w:rsidR="00A66191" w:rsidRPr="004D6466" w:rsidRDefault="00A66191" w:rsidP="00A66191">
      <w:pPr>
        <w:pStyle w:val="NormalWeb"/>
        <w:spacing w:after="0" w:afterAutospacing="0" w:line="360" w:lineRule="auto"/>
        <w:jc w:val="both"/>
        <w:rPr>
          <w:rFonts w:ascii="Arial" w:hAnsi="Arial" w:cs="Arial"/>
        </w:rPr>
      </w:pPr>
      <w:r w:rsidRPr="004D6466">
        <w:rPr>
          <w:rFonts w:ascii="Arial" w:hAnsi="Arial" w:cs="Arial"/>
        </w:rPr>
        <w:lastRenderedPageBreak/>
        <w:t>El crédito de desarrollo humano consiste en otorgar un monto de hasta 840 USD (ochocientos cuarenta dólares) cuyo plazo a pagar es de hasta 2 años (24 meses) a una tasa de interés del 5% sin garantías.</w:t>
      </w:r>
    </w:p>
    <w:p w:rsidR="00A66191" w:rsidRPr="004D6466" w:rsidRDefault="00A66191" w:rsidP="00A66191">
      <w:pPr>
        <w:pStyle w:val="NormalWeb"/>
        <w:spacing w:after="0" w:afterAutospacing="0" w:line="360" w:lineRule="auto"/>
        <w:jc w:val="both"/>
        <w:rPr>
          <w:rFonts w:ascii="Arial" w:hAnsi="Arial" w:cs="Arial"/>
        </w:rPr>
      </w:pPr>
      <w:r w:rsidRPr="004D6466">
        <w:rPr>
          <w:rFonts w:ascii="Arial" w:hAnsi="Arial" w:cs="Arial"/>
        </w:rPr>
        <w:t>El crédito de desarrollo humano está destinado únicamente a actividades productivas y el pago del crédito se realiza en cuotas de 35 dólares provenientes del bono de desarrollo humano.</w:t>
      </w:r>
    </w:p>
    <w:p w:rsidR="00A66191" w:rsidRPr="004D6466" w:rsidRDefault="00A66191" w:rsidP="00A66191">
      <w:pPr>
        <w:pStyle w:val="NormalWeb"/>
        <w:spacing w:after="0" w:afterAutospacing="0" w:line="360" w:lineRule="auto"/>
        <w:jc w:val="both"/>
        <w:rPr>
          <w:rFonts w:ascii="Arial" w:hAnsi="Arial" w:cs="Arial"/>
        </w:rPr>
      </w:pPr>
      <w:r w:rsidRPr="004D6466">
        <w:rPr>
          <w:rFonts w:ascii="Arial" w:hAnsi="Arial" w:cs="Arial"/>
        </w:rPr>
        <w:t>Son sujetos de este crédito todas las personas naturales, que consten en la base de datos del Programa de Bono de Desarrollo Humano y cuenten con unidades de producción, comercio, servicios, en funcionamiento de por lo menos 6 meses.</w:t>
      </w:r>
    </w:p>
    <w:p w:rsidR="00A66191" w:rsidRPr="004D6466" w:rsidRDefault="00A66191" w:rsidP="00A66191">
      <w:pPr>
        <w:spacing w:before="100" w:beforeAutospacing="1" w:after="100" w:afterAutospacing="1" w:line="360" w:lineRule="auto"/>
        <w:jc w:val="both"/>
        <w:rPr>
          <w:rFonts w:ascii="Arial" w:hAnsi="Arial" w:cs="Arial"/>
          <w:sz w:val="24"/>
          <w:szCs w:val="24"/>
        </w:rPr>
      </w:pPr>
      <w:r w:rsidRPr="004D6466">
        <w:rPr>
          <w:rFonts w:ascii="Arial" w:hAnsi="Arial" w:cs="Arial"/>
          <w:sz w:val="24"/>
          <w:szCs w:val="24"/>
        </w:rPr>
        <w:t xml:space="preserve">Con el crédito de desarrollo humano se da una capacitación para los beneficiarios del mismo, en la cual se presenta dos módulos: </w:t>
      </w:r>
    </w:p>
    <w:p w:rsidR="00A66191" w:rsidRPr="004D6466" w:rsidRDefault="00A66191" w:rsidP="00A66191">
      <w:pPr>
        <w:pStyle w:val="Prrafodelista"/>
        <w:numPr>
          <w:ilvl w:val="0"/>
          <w:numId w:val="12"/>
        </w:numPr>
        <w:spacing w:before="100" w:beforeAutospacing="1" w:after="100" w:afterAutospacing="1" w:line="360" w:lineRule="auto"/>
        <w:jc w:val="both"/>
        <w:rPr>
          <w:rFonts w:ascii="Arial" w:eastAsia="Times New Roman" w:hAnsi="Arial" w:cs="Arial"/>
          <w:sz w:val="24"/>
          <w:szCs w:val="24"/>
        </w:rPr>
      </w:pPr>
      <w:r w:rsidRPr="004D6466">
        <w:rPr>
          <w:rFonts w:ascii="Arial" w:eastAsia="Times New Roman" w:hAnsi="Arial" w:cs="Arial"/>
          <w:sz w:val="24"/>
          <w:szCs w:val="24"/>
        </w:rPr>
        <w:t>El primero, “Alfabetización Financiera”, donde el principal objetivo es concienciar a los participantes sobre la importancia de tomar una decisión adecuada para la utilización del crédito y analizar temas importantes financieros como inversión, ahorro, gastos, crédito, entre los principales.</w:t>
      </w:r>
    </w:p>
    <w:p w:rsidR="00A66191" w:rsidRPr="004D6466" w:rsidRDefault="00A66191" w:rsidP="00A66191">
      <w:pPr>
        <w:pStyle w:val="Prrafodelista"/>
        <w:numPr>
          <w:ilvl w:val="0"/>
          <w:numId w:val="12"/>
        </w:numPr>
        <w:spacing w:before="100" w:beforeAutospacing="1" w:after="100" w:afterAutospacing="1" w:line="360" w:lineRule="auto"/>
        <w:jc w:val="both"/>
        <w:rPr>
          <w:rFonts w:ascii="Arial" w:eastAsia="Times New Roman" w:hAnsi="Arial" w:cs="Arial"/>
          <w:sz w:val="24"/>
          <w:szCs w:val="24"/>
        </w:rPr>
      </w:pPr>
      <w:r w:rsidRPr="004D6466">
        <w:rPr>
          <w:rFonts w:ascii="Arial" w:eastAsia="Times New Roman" w:hAnsi="Arial" w:cs="Arial"/>
          <w:sz w:val="24"/>
          <w:szCs w:val="24"/>
        </w:rPr>
        <w:t>El segundo módulo, “Capacitaciones Específicas”, donde se tratarán temas técnicos en los sectores de comercio minorista; agrícola, pecuario y servicios, con el fin de mejorar la productividad, reducir los riesgos de fracaso de la inversión del crédito y poder tener un mejor impacto del crédito.</w:t>
      </w:r>
    </w:p>
    <w:p w:rsidR="00A66191" w:rsidRPr="004D6466" w:rsidRDefault="00A66191" w:rsidP="00A66191">
      <w:pPr>
        <w:spacing w:before="100" w:beforeAutospacing="1" w:after="100" w:afterAutospacing="1" w:line="360" w:lineRule="auto"/>
        <w:jc w:val="both"/>
        <w:rPr>
          <w:rFonts w:ascii="Arial" w:hAnsi="Arial" w:cs="Arial"/>
          <w:sz w:val="24"/>
          <w:szCs w:val="24"/>
        </w:rPr>
      </w:pPr>
      <w:r w:rsidRPr="004D6466">
        <w:rPr>
          <w:rFonts w:ascii="Arial" w:hAnsi="Arial" w:cs="Arial"/>
          <w:sz w:val="24"/>
          <w:szCs w:val="24"/>
        </w:rPr>
        <w:t>Las instituciones involucradas son el Ministerio de Coordinación de Desarrollo social (MCDS); el Banco Nacional de Fomento (BNF); el Servicio Ecuatoriano de Capacitación y Formación Profesional (SECAP); EL Consejo Nacional de Capacitación y Formación Profesional (CNCF); el Programa de Protección Social del Ministerio de Inclusión Social (MIES/PPS); y otras instituciones de capacitación.</w:t>
      </w:r>
    </w:p>
    <w:p w:rsidR="00A66191" w:rsidRPr="004D6466" w:rsidRDefault="00A66191" w:rsidP="00A66191">
      <w:pPr>
        <w:spacing w:before="100" w:beforeAutospacing="1" w:after="100" w:afterAutospacing="1" w:line="360" w:lineRule="auto"/>
        <w:jc w:val="both"/>
        <w:rPr>
          <w:rFonts w:ascii="Arial" w:hAnsi="Arial" w:cs="Arial"/>
          <w:sz w:val="24"/>
          <w:szCs w:val="24"/>
        </w:rPr>
      </w:pPr>
    </w:p>
    <w:p w:rsidR="00A66191" w:rsidRPr="004D6466" w:rsidRDefault="00A66191" w:rsidP="00A66191">
      <w:pPr>
        <w:spacing w:line="360" w:lineRule="auto"/>
        <w:jc w:val="both"/>
        <w:rPr>
          <w:rFonts w:ascii="Arial" w:hAnsi="Arial" w:cs="Arial"/>
          <w:b/>
          <w:sz w:val="24"/>
          <w:szCs w:val="24"/>
          <w:lang w:val="es-EC"/>
        </w:rPr>
      </w:pPr>
      <w:r w:rsidRPr="004D6466">
        <w:rPr>
          <w:rFonts w:ascii="Arial" w:hAnsi="Arial" w:cs="Arial"/>
          <w:b/>
          <w:sz w:val="24"/>
          <w:szCs w:val="24"/>
        </w:rPr>
        <w:lastRenderedPageBreak/>
        <w:t>Resultados del</w:t>
      </w:r>
      <w:r w:rsidRPr="004D6466">
        <w:rPr>
          <w:rFonts w:ascii="Arial" w:hAnsi="Arial" w:cs="Arial"/>
          <w:b/>
          <w:sz w:val="24"/>
          <w:szCs w:val="24"/>
          <w:lang w:val="es-EC"/>
        </w:rPr>
        <w:t xml:space="preserve"> Crédito de Desarrollo Humano</w:t>
      </w:r>
    </w:p>
    <w:p w:rsidR="00A66191" w:rsidRPr="004D6466" w:rsidRDefault="00A66191" w:rsidP="00A66191">
      <w:pPr>
        <w:spacing w:line="360" w:lineRule="auto"/>
        <w:jc w:val="both"/>
        <w:rPr>
          <w:rFonts w:ascii="Arial" w:hAnsi="Arial" w:cs="Arial"/>
          <w:sz w:val="24"/>
          <w:szCs w:val="24"/>
          <w:lang w:val="es-EC"/>
        </w:rPr>
      </w:pPr>
      <w:r w:rsidRPr="004D6466">
        <w:rPr>
          <w:rFonts w:ascii="Arial" w:hAnsi="Arial" w:cs="Arial"/>
          <w:sz w:val="24"/>
          <w:szCs w:val="24"/>
          <w:lang w:val="es-EC"/>
        </w:rPr>
        <w:t>El Crédito de Desarrollo Humano también ha tenido un incremento considerable en el período 2007-2010 en monto de inversión, en cambio para el período 2010-2012 hay una reducción tal como se observa en la tabla y los gráficos a continuación:</w:t>
      </w:r>
    </w:p>
    <w:tbl>
      <w:tblPr>
        <w:tblW w:w="7658" w:type="dxa"/>
        <w:tblInd w:w="593" w:type="dxa"/>
        <w:tblCellMar>
          <w:left w:w="70" w:type="dxa"/>
          <w:right w:w="70" w:type="dxa"/>
        </w:tblCellMar>
        <w:tblLook w:val="04A0"/>
      </w:tblPr>
      <w:tblGrid>
        <w:gridCol w:w="1264"/>
        <w:gridCol w:w="3287"/>
        <w:gridCol w:w="3107"/>
      </w:tblGrid>
      <w:tr w:rsidR="00A66191" w:rsidRPr="004D6466" w:rsidTr="004D6466">
        <w:trPr>
          <w:trHeight w:val="520"/>
        </w:trPr>
        <w:tc>
          <w:tcPr>
            <w:tcW w:w="7658" w:type="dxa"/>
            <w:gridSpan w:val="3"/>
            <w:tcBorders>
              <w:top w:val="single" w:sz="4" w:space="0" w:color="auto"/>
              <w:left w:val="single" w:sz="4" w:space="0" w:color="auto"/>
              <w:bottom w:val="single" w:sz="4" w:space="0" w:color="auto"/>
              <w:right w:val="single" w:sz="4" w:space="0" w:color="auto"/>
            </w:tcBorders>
            <w:shd w:val="clear" w:color="auto" w:fill="auto"/>
            <w:noWrap/>
            <w:vAlign w:val="center"/>
            <w:hideMark/>
          </w:tcPr>
          <w:p w:rsidR="00A66191" w:rsidRPr="004D6466" w:rsidRDefault="00A66191" w:rsidP="004D6466">
            <w:pPr>
              <w:spacing w:after="0" w:line="240" w:lineRule="auto"/>
              <w:jc w:val="center"/>
              <w:rPr>
                <w:rFonts w:ascii="Arial" w:eastAsia="Times New Roman" w:hAnsi="Arial" w:cs="Arial"/>
                <w:b/>
                <w:bCs/>
                <w:sz w:val="24"/>
                <w:szCs w:val="24"/>
              </w:rPr>
            </w:pPr>
            <w:r w:rsidRPr="004D6466">
              <w:rPr>
                <w:rFonts w:ascii="Arial" w:eastAsia="Times New Roman" w:hAnsi="Arial" w:cs="Arial"/>
                <w:b/>
                <w:bCs/>
                <w:sz w:val="24"/>
                <w:szCs w:val="24"/>
              </w:rPr>
              <w:t>BENEFICIARIOS DEL CDH POR AÑO</w:t>
            </w:r>
          </w:p>
        </w:tc>
      </w:tr>
      <w:tr w:rsidR="00A66191" w:rsidRPr="004D6466" w:rsidTr="004D6466">
        <w:trPr>
          <w:trHeight w:val="520"/>
        </w:trPr>
        <w:tc>
          <w:tcPr>
            <w:tcW w:w="1264" w:type="dxa"/>
            <w:tcBorders>
              <w:top w:val="nil"/>
              <w:left w:val="single" w:sz="4" w:space="0" w:color="auto"/>
              <w:bottom w:val="single" w:sz="4" w:space="0" w:color="auto"/>
              <w:right w:val="single" w:sz="4" w:space="0" w:color="auto"/>
            </w:tcBorders>
            <w:shd w:val="clear" w:color="auto" w:fill="8DB3E2" w:themeFill="text2" w:themeFillTint="66"/>
            <w:noWrap/>
            <w:vAlign w:val="center"/>
            <w:hideMark/>
          </w:tcPr>
          <w:p w:rsidR="00A66191" w:rsidRPr="004D6466" w:rsidRDefault="00A66191" w:rsidP="004D6466">
            <w:pPr>
              <w:spacing w:after="0" w:line="240" w:lineRule="auto"/>
              <w:jc w:val="center"/>
              <w:rPr>
                <w:rFonts w:eastAsia="Times New Roman" w:cs="Arial"/>
                <w:b/>
                <w:bCs/>
              </w:rPr>
            </w:pPr>
            <w:r w:rsidRPr="004D6466">
              <w:rPr>
                <w:rFonts w:eastAsia="Times New Roman" w:cs="Arial"/>
                <w:b/>
                <w:bCs/>
              </w:rPr>
              <w:t>Año</w:t>
            </w:r>
          </w:p>
        </w:tc>
        <w:tc>
          <w:tcPr>
            <w:tcW w:w="3287" w:type="dxa"/>
            <w:tcBorders>
              <w:top w:val="nil"/>
              <w:left w:val="nil"/>
              <w:bottom w:val="single" w:sz="4" w:space="0" w:color="auto"/>
              <w:right w:val="single" w:sz="4" w:space="0" w:color="auto"/>
            </w:tcBorders>
            <w:shd w:val="clear" w:color="auto" w:fill="8DB3E2" w:themeFill="text2" w:themeFillTint="66"/>
            <w:noWrap/>
            <w:vAlign w:val="center"/>
            <w:hideMark/>
          </w:tcPr>
          <w:p w:rsidR="00A66191" w:rsidRPr="004D6466" w:rsidRDefault="00A66191" w:rsidP="004D6466">
            <w:pPr>
              <w:spacing w:after="0" w:line="240" w:lineRule="auto"/>
              <w:jc w:val="center"/>
              <w:rPr>
                <w:rFonts w:eastAsia="Times New Roman" w:cs="Arial"/>
                <w:b/>
                <w:bCs/>
              </w:rPr>
            </w:pPr>
            <w:r w:rsidRPr="004D6466">
              <w:rPr>
                <w:rFonts w:eastAsia="Times New Roman" w:cs="Arial"/>
                <w:b/>
                <w:bCs/>
              </w:rPr>
              <w:t>Beneficiarios</w:t>
            </w:r>
          </w:p>
        </w:tc>
        <w:tc>
          <w:tcPr>
            <w:tcW w:w="3107" w:type="dxa"/>
            <w:tcBorders>
              <w:top w:val="nil"/>
              <w:left w:val="nil"/>
              <w:bottom w:val="single" w:sz="4" w:space="0" w:color="auto"/>
              <w:right w:val="single" w:sz="4" w:space="0" w:color="auto"/>
            </w:tcBorders>
            <w:shd w:val="clear" w:color="auto" w:fill="8DB3E2" w:themeFill="text2" w:themeFillTint="66"/>
            <w:noWrap/>
            <w:vAlign w:val="center"/>
            <w:hideMark/>
          </w:tcPr>
          <w:p w:rsidR="00A66191" w:rsidRPr="004D6466" w:rsidRDefault="00A66191" w:rsidP="004D6466">
            <w:pPr>
              <w:spacing w:after="0" w:line="240" w:lineRule="auto"/>
              <w:jc w:val="center"/>
              <w:rPr>
                <w:rFonts w:eastAsia="Times New Roman" w:cs="Arial"/>
                <w:b/>
                <w:bCs/>
              </w:rPr>
            </w:pPr>
            <w:r w:rsidRPr="004D6466">
              <w:rPr>
                <w:rFonts w:eastAsia="Times New Roman" w:cs="Arial"/>
                <w:b/>
                <w:bCs/>
              </w:rPr>
              <w:t>Monto</w:t>
            </w:r>
          </w:p>
        </w:tc>
      </w:tr>
      <w:tr w:rsidR="00A66191" w:rsidRPr="004D6466" w:rsidTr="004D6466">
        <w:trPr>
          <w:trHeight w:val="290"/>
        </w:trPr>
        <w:tc>
          <w:tcPr>
            <w:tcW w:w="1264" w:type="dxa"/>
            <w:tcBorders>
              <w:top w:val="nil"/>
              <w:left w:val="single" w:sz="4" w:space="0" w:color="auto"/>
              <w:bottom w:val="single" w:sz="4" w:space="0" w:color="auto"/>
              <w:right w:val="single" w:sz="4" w:space="0" w:color="auto"/>
            </w:tcBorders>
            <w:shd w:val="clear" w:color="auto" w:fill="DBE5F1" w:themeFill="accent1" w:themeFillTint="33"/>
            <w:noWrap/>
            <w:vAlign w:val="center"/>
            <w:hideMark/>
          </w:tcPr>
          <w:p w:rsidR="00A66191" w:rsidRPr="004D6466" w:rsidRDefault="00A66191" w:rsidP="004D6466">
            <w:pPr>
              <w:spacing w:after="0" w:line="240" w:lineRule="auto"/>
              <w:jc w:val="center"/>
              <w:rPr>
                <w:rFonts w:eastAsia="Times New Roman" w:cs="Arial"/>
                <w:b/>
              </w:rPr>
            </w:pPr>
            <w:r w:rsidRPr="004D6466">
              <w:rPr>
                <w:rFonts w:eastAsia="Times New Roman" w:cs="Arial"/>
                <w:b/>
              </w:rPr>
              <w:t>2007</w:t>
            </w:r>
          </w:p>
        </w:tc>
        <w:tc>
          <w:tcPr>
            <w:tcW w:w="3287" w:type="dxa"/>
            <w:tcBorders>
              <w:top w:val="nil"/>
              <w:left w:val="nil"/>
              <w:bottom w:val="single" w:sz="4" w:space="0" w:color="auto"/>
              <w:right w:val="single" w:sz="4" w:space="0" w:color="auto"/>
            </w:tcBorders>
            <w:shd w:val="clear" w:color="auto" w:fill="DBE5F1" w:themeFill="accent1" w:themeFillTint="33"/>
            <w:noWrap/>
            <w:vAlign w:val="center"/>
            <w:hideMark/>
          </w:tcPr>
          <w:p w:rsidR="00A66191" w:rsidRPr="004D6466" w:rsidRDefault="00A66191" w:rsidP="004D6466">
            <w:pPr>
              <w:spacing w:after="0" w:line="240" w:lineRule="auto"/>
              <w:jc w:val="center"/>
              <w:rPr>
                <w:rFonts w:eastAsia="Times New Roman" w:cs="Arial"/>
              </w:rPr>
            </w:pPr>
            <w:r w:rsidRPr="004D6466">
              <w:rPr>
                <w:rFonts w:eastAsia="Times New Roman" w:cs="Arial"/>
              </w:rPr>
              <w:t>58.422</w:t>
            </w:r>
          </w:p>
        </w:tc>
        <w:tc>
          <w:tcPr>
            <w:tcW w:w="3107" w:type="dxa"/>
            <w:tcBorders>
              <w:top w:val="nil"/>
              <w:left w:val="nil"/>
              <w:bottom w:val="single" w:sz="4" w:space="0" w:color="auto"/>
              <w:right w:val="single" w:sz="4" w:space="0" w:color="auto"/>
            </w:tcBorders>
            <w:shd w:val="clear" w:color="auto" w:fill="DBE5F1" w:themeFill="accent1" w:themeFillTint="33"/>
            <w:noWrap/>
            <w:vAlign w:val="center"/>
            <w:hideMark/>
          </w:tcPr>
          <w:p w:rsidR="00A66191" w:rsidRPr="004D6466" w:rsidRDefault="00A66191" w:rsidP="004D6466">
            <w:pPr>
              <w:spacing w:after="0" w:line="240" w:lineRule="auto"/>
              <w:jc w:val="center"/>
              <w:rPr>
                <w:rFonts w:eastAsia="Times New Roman" w:cs="Arial"/>
              </w:rPr>
            </w:pPr>
            <w:r w:rsidRPr="004D6466">
              <w:rPr>
                <w:rFonts w:eastAsia="Times New Roman" w:cs="Arial"/>
              </w:rPr>
              <w:t>19.906.640</w:t>
            </w:r>
          </w:p>
        </w:tc>
      </w:tr>
      <w:tr w:rsidR="00A66191" w:rsidRPr="004D6466" w:rsidTr="004D6466">
        <w:trPr>
          <w:trHeight w:val="326"/>
        </w:trPr>
        <w:tc>
          <w:tcPr>
            <w:tcW w:w="1264" w:type="dxa"/>
            <w:tcBorders>
              <w:top w:val="nil"/>
              <w:left w:val="single" w:sz="4" w:space="0" w:color="auto"/>
              <w:bottom w:val="single" w:sz="4" w:space="0" w:color="auto"/>
              <w:right w:val="single" w:sz="4" w:space="0" w:color="auto"/>
            </w:tcBorders>
            <w:shd w:val="clear" w:color="auto" w:fill="DBE5F1" w:themeFill="accent1" w:themeFillTint="33"/>
            <w:noWrap/>
            <w:vAlign w:val="center"/>
            <w:hideMark/>
          </w:tcPr>
          <w:p w:rsidR="00A66191" w:rsidRPr="004D6466" w:rsidRDefault="00A66191" w:rsidP="004D6466">
            <w:pPr>
              <w:spacing w:after="0" w:line="240" w:lineRule="auto"/>
              <w:jc w:val="center"/>
              <w:rPr>
                <w:rFonts w:eastAsia="Times New Roman" w:cs="Arial"/>
                <w:b/>
              </w:rPr>
            </w:pPr>
            <w:r w:rsidRPr="004D6466">
              <w:rPr>
                <w:rFonts w:eastAsia="Times New Roman" w:cs="Arial"/>
                <w:b/>
              </w:rPr>
              <w:t>2008</w:t>
            </w:r>
          </w:p>
        </w:tc>
        <w:tc>
          <w:tcPr>
            <w:tcW w:w="3287" w:type="dxa"/>
            <w:tcBorders>
              <w:top w:val="nil"/>
              <w:left w:val="nil"/>
              <w:bottom w:val="single" w:sz="4" w:space="0" w:color="auto"/>
              <w:right w:val="single" w:sz="4" w:space="0" w:color="auto"/>
            </w:tcBorders>
            <w:shd w:val="clear" w:color="auto" w:fill="DBE5F1" w:themeFill="accent1" w:themeFillTint="33"/>
            <w:noWrap/>
            <w:vAlign w:val="center"/>
            <w:hideMark/>
          </w:tcPr>
          <w:p w:rsidR="00A66191" w:rsidRPr="004D6466" w:rsidRDefault="00A66191" w:rsidP="004D6466">
            <w:pPr>
              <w:spacing w:after="0" w:line="240" w:lineRule="auto"/>
              <w:jc w:val="center"/>
              <w:rPr>
                <w:rFonts w:eastAsia="Times New Roman" w:cs="Arial"/>
              </w:rPr>
            </w:pPr>
            <w:r w:rsidRPr="004D6466">
              <w:rPr>
                <w:rFonts w:eastAsia="Times New Roman" w:cs="Arial"/>
              </w:rPr>
              <w:t>82.793</w:t>
            </w:r>
          </w:p>
        </w:tc>
        <w:tc>
          <w:tcPr>
            <w:tcW w:w="3107" w:type="dxa"/>
            <w:tcBorders>
              <w:top w:val="nil"/>
              <w:left w:val="nil"/>
              <w:bottom w:val="single" w:sz="4" w:space="0" w:color="auto"/>
              <w:right w:val="single" w:sz="4" w:space="0" w:color="auto"/>
            </w:tcBorders>
            <w:shd w:val="clear" w:color="auto" w:fill="DBE5F1" w:themeFill="accent1" w:themeFillTint="33"/>
            <w:noWrap/>
            <w:vAlign w:val="center"/>
            <w:hideMark/>
          </w:tcPr>
          <w:p w:rsidR="00A66191" w:rsidRPr="004D6466" w:rsidRDefault="00A66191" w:rsidP="004D6466">
            <w:pPr>
              <w:spacing w:after="0" w:line="240" w:lineRule="auto"/>
              <w:jc w:val="center"/>
              <w:rPr>
                <w:rFonts w:eastAsia="Times New Roman" w:cs="Arial"/>
              </w:rPr>
            </w:pPr>
            <w:r w:rsidRPr="004D6466">
              <w:rPr>
                <w:rFonts w:eastAsia="Times New Roman" w:cs="Arial"/>
              </w:rPr>
              <w:t>28.092.032</w:t>
            </w:r>
          </w:p>
        </w:tc>
      </w:tr>
      <w:tr w:rsidR="00A66191" w:rsidRPr="004D6466" w:rsidTr="004D6466">
        <w:trPr>
          <w:trHeight w:val="358"/>
        </w:trPr>
        <w:tc>
          <w:tcPr>
            <w:tcW w:w="1264" w:type="dxa"/>
            <w:tcBorders>
              <w:top w:val="nil"/>
              <w:left w:val="single" w:sz="4" w:space="0" w:color="auto"/>
              <w:bottom w:val="single" w:sz="4" w:space="0" w:color="auto"/>
              <w:right w:val="single" w:sz="4" w:space="0" w:color="auto"/>
            </w:tcBorders>
            <w:shd w:val="clear" w:color="auto" w:fill="DBE5F1" w:themeFill="accent1" w:themeFillTint="33"/>
            <w:noWrap/>
            <w:vAlign w:val="center"/>
            <w:hideMark/>
          </w:tcPr>
          <w:p w:rsidR="00A66191" w:rsidRPr="004D6466" w:rsidRDefault="00A66191" w:rsidP="004D6466">
            <w:pPr>
              <w:spacing w:after="0" w:line="240" w:lineRule="auto"/>
              <w:jc w:val="center"/>
              <w:rPr>
                <w:rFonts w:eastAsia="Times New Roman" w:cs="Arial"/>
                <w:b/>
              </w:rPr>
            </w:pPr>
            <w:r w:rsidRPr="004D6466">
              <w:rPr>
                <w:rFonts w:eastAsia="Times New Roman" w:cs="Arial"/>
                <w:b/>
              </w:rPr>
              <w:t>2009</w:t>
            </w:r>
          </w:p>
        </w:tc>
        <w:tc>
          <w:tcPr>
            <w:tcW w:w="3287" w:type="dxa"/>
            <w:tcBorders>
              <w:top w:val="nil"/>
              <w:left w:val="nil"/>
              <w:bottom w:val="single" w:sz="4" w:space="0" w:color="auto"/>
              <w:right w:val="single" w:sz="4" w:space="0" w:color="auto"/>
            </w:tcBorders>
            <w:shd w:val="clear" w:color="auto" w:fill="DBE5F1" w:themeFill="accent1" w:themeFillTint="33"/>
            <w:noWrap/>
            <w:vAlign w:val="center"/>
            <w:hideMark/>
          </w:tcPr>
          <w:p w:rsidR="00A66191" w:rsidRPr="004D6466" w:rsidRDefault="00A66191" w:rsidP="004D6466">
            <w:pPr>
              <w:spacing w:after="0" w:line="240" w:lineRule="auto"/>
              <w:jc w:val="center"/>
              <w:rPr>
                <w:rFonts w:eastAsia="Times New Roman" w:cs="Arial"/>
              </w:rPr>
            </w:pPr>
            <w:r w:rsidRPr="004D6466">
              <w:rPr>
                <w:rFonts w:eastAsia="Times New Roman" w:cs="Arial"/>
              </w:rPr>
              <w:t>118.090</w:t>
            </w:r>
          </w:p>
        </w:tc>
        <w:tc>
          <w:tcPr>
            <w:tcW w:w="3107" w:type="dxa"/>
            <w:tcBorders>
              <w:top w:val="nil"/>
              <w:left w:val="nil"/>
              <w:bottom w:val="single" w:sz="4" w:space="0" w:color="auto"/>
              <w:right w:val="single" w:sz="4" w:space="0" w:color="auto"/>
            </w:tcBorders>
            <w:shd w:val="clear" w:color="auto" w:fill="DBE5F1" w:themeFill="accent1" w:themeFillTint="33"/>
            <w:noWrap/>
            <w:vAlign w:val="center"/>
            <w:hideMark/>
          </w:tcPr>
          <w:p w:rsidR="00A66191" w:rsidRPr="004D6466" w:rsidRDefault="00A66191" w:rsidP="004D6466">
            <w:pPr>
              <w:spacing w:after="0" w:line="240" w:lineRule="auto"/>
              <w:jc w:val="center"/>
              <w:rPr>
                <w:rFonts w:eastAsia="Times New Roman" w:cs="Arial"/>
              </w:rPr>
            </w:pPr>
            <w:r w:rsidRPr="004D6466">
              <w:rPr>
                <w:rFonts w:eastAsia="Times New Roman" w:cs="Arial"/>
              </w:rPr>
              <w:t>43.953.074</w:t>
            </w:r>
          </w:p>
        </w:tc>
      </w:tr>
      <w:tr w:rsidR="00A66191" w:rsidRPr="004D6466" w:rsidTr="004D6466">
        <w:trPr>
          <w:trHeight w:val="420"/>
        </w:trPr>
        <w:tc>
          <w:tcPr>
            <w:tcW w:w="1264" w:type="dxa"/>
            <w:tcBorders>
              <w:top w:val="nil"/>
              <w:left w:val="single" w:sz="4" w:space="0" w:color="auto"/>
              <w:bottom w:val="single" w:sz="4" w:space="0" w:color="auto"/>
              <w:right w:val="single" w:sz="4" w:space="0" w:color="auto"/>
            </w:tcBorders>
            <w:shd w:val="clear" w:color="auto" w:fill="DBE5F1" w:themeFill="accent1" w:themeFillTint="33"/>
            <w:noWrap/>
            <w:vAlign w:val="center"/>
            <w:hideMark/>
          </w:tcPr>
          <w:p w:rsidR="00A66191" w:rsidRPr="004D6466" w:rsidRDefault="00A66191" w:rsidP="004D6466">
            <w:pPr>
              <w:spacing w:after="0" w:line="240" w:lineRule="auto"/>
              <w:jc w:val="center"/>
              <w:rPr>
                <w:rFonts w:eastAsia="Times New Roman" w:cs="Arial"/>
                <w:b/>
              </w:rPr>
            </w:pPr>
            <w:r w:rsidRPr="004D6466">
              <w:rPr>
                <w:rFonts w:eastAsia="Times New Roman" w:cs="Arial"/>
                <w:b/>
              </w:rPr>
              <w:t>2010</w:t>
            </w:r>
          </w:p>
        </w:tc>
        <w:tc>
          <w:tcPr>
            <w:tcW w:w="3287" w:type="dxa"/>
            <w:tcBorders>
              <w:top w:val="nil"/>
              <w:left w:val="nil"/>
              <w:bottom w:val="single" w:sz="4" w:space="0" w:color="auto"/>
              <w:right w:val="single" w:sz="4" w:space="0" w:color="auto"/>
            </w:tcBorders>
            <w:shd w:val="clear" w:color="auto" w:fill="DBE5F1" w:themeFill="accent1" w:themeFillTint="33"/>
            <w:noWrap/>
            <w:vAlign w:val="center"/>
            <w:hideMark/>
          </w:tcPr>
          <w:p w:rsidR="00A66191" w:rsidRPr="004D6466" w:rsidRDefault="00A66191" w:rsidP="004D6466">
            <w:pPr>
              <w:spacing w:after="0" w:line="240" w:lineRule="auto"/>
              <w:jc w:val="center"/>
              <w:rPr>
                <w:rFonts w:eastAsia="Times New Roman" w:cs="Arial"/>
              </w:rPr>
            </w:pPr>
            <w:r w:rsidRPr="004D6466">
              <w:rPr>
                <w:rFonts w:eastAsia="Times New Roman" w:cs="Arial"/>
              </w:rPr>
              <w:t>461.625</w:t>
            </w:r>
          </w:p>
        </w:tc>
        <w:tc>
          <w:tcPr>
            <w:tcW w:w="3107" w:type="dxa"/>
            <w:tcBorders>
              <w:top w:val="nil"/>
              <w:left w:val="nil"/>
              <w:bottom w:val="single" w:sz="4" w:space="0" w:color="auto"/>
              <w:right w:val="single" w:sz="4" w:space="0" w:color="auto"/>
            </w:tcBorders>
            <w:shd w:val="clear" w:color="auto" w:fill="DBE5F1" w:themeFill="accent1" w:themeFillTint="33"/>
            <w:noWrap/>
            <w:vAlign w:val="center"/>
            <w:hideMark/>
          </w:tcPr>
          <w:p w:rsidR="00A66191" w:rsidRPr="004D6466" w:rsidRDefault="00A66191" w:rsidP="004D6466">
            <w:pPr>
              <w:spacing w:after="0" w:line="240" w:lineRule="auto"/>
              <w:jc w:val="center"/>
              <w:rPr>
                <w:rFonts w:eastAsia="Times New Roman" w:cs="Arial"/>
              </w:rPr>
            </w:pPr>
            <w:r w:rsidRPr="004D6466">
              <w:rPr>
                <w:rFonts w:eastAsia="Times New Roman" w:cs="Arial"/>
              </w:rPr>
              <w:t>360.113.318</w:t>
            </w:r>
          </w:p>
        </w:tc>
      </w:tr>
      <w:tr w:rsidR="00A66191" w:rsidRPr="004D6466" w:rsidTr="004D6466">
        <w:trPr>
          <w:trHeight w:val="412"/>
        </w:trPr>
        <w:tc>
          <w:tcPr>
            <w:tcW w:w="1264" w:type="dxa"/>
            <w:tcBorders>
              <w:top w:val="nil"/>
              <w:left w:val="single" w:sz="4" w:space="0" w:color="auto"/>
              <w:bottom w:val="single" w:sz="4" w:space="0" w:color="auto"/>
              <w:right w:val="single" w:sz="4" w:space="0" w:color="auto"/>
            </w:tcBorders>
            <w:shd w:val="clear" w:color="auto" w:fill="DBE5F1" w:themeFill="accent1" w:themeFillTint="33"/>
            <w:noWrap/>
            <w:vAlign w:val="center"/>
            <w:hideMark/>
          </w:tcPr>
          <w:p w:rsidR="00A66191" w:rsidRPr="004D6466" w:rsidRDefault="00A66191" w:rsidP="004D6466">
            <w:pPr>
              <w:spacing w:after="0" w:line="240" w:lineRule="auto"/>
              <w:jc w:val="center"/>
              <w:rPr>
                <w:rFonts w:eastAsia="Times New Roman" w:cs="Arial"/>
                <w:b/>
              </w:rPr>
            </w:pPr>
            <w:r w:rsidRPr="004D6466">
              <w:rPr>
                <w:rFonts w:eastAsia="Times New Roman" w:cs="Arial"/>
                <w:b/>
              </w:rPr>
              <w:t>2011</w:t>
            </w:r>
          </w:p>
        </w:tc>
        <w:tc>
          <w:tcPr>
            <w:tcW w:w="3287" w:type="dxa"/>
            <w:tcBorders>
              <w:top w:val="nil"/>
              <w:left w:val="nil"/>
              <w:bottom w:val="single" w:sz="4" w:space="0" w:color="auto"/>
              <w:right w:val="single" w:sz="4" w:space="0" w:color="auto"/>
            </w:tcBorders>
            <w:shd w:val="clear" w:color="auto" w:fill="DBE5F1" w:themeFill="accent1" w:themeFillTint="33"/>
            <w:noWrap/>
            <w:vAlign w:val="center"/>
            <w:hideMark/>
          </w:tcPr>
          <w:p w:rsidR="00A66191" w:rsidRPr="004D6466" w:rsidRDefault="00A66191" w:rsidP="004D6466">
            <w:pPr>
              <w:spacing w:after="0" w:line="240" w:lineRule="auto"/>
              <w:jc w:val="center"/>
              <w:rPr>
                <w:rFonts w:eastAsia="Times New Roman" w:cs="Arial"/>
              </w:rPr>
            </w:pPr>
            <w:r w:rsidRPr="004D6466">
              <w:rPr>
                <w:rFonts w:eastAsia="Times New Roman" w:cs="Arial"/>
              </w:rPr>
              <w:t>84.124</w:t>
            </w:r>
          </w:p>
        </w:tc>
        <w:tc>
          <w:tcPr>
            <w:tcW w:w="3107" w:type="dxa"/>
            <w:tcBorders>
              <w:top w:val="nil"/>
              <w:left w:val="nil"/>
              <w:bottom w:val="single" w:sz="4" w:space="0" w:color="auto"/>
              <w:right w:val="single" w:sz="4" w:space="0" w:color="auto"/>
            </w:tcBorders>
            <w:shd w:val="clear" w:color="auto" w:fill="DBE5F1" w:themeFill="accent1" w:themeFillTint="33"/>
            <w:noWrap/>
            <w:vAlign w:val="center"/>
            <w:hideMark/>
          </w:tcPr>
          <w:p w:rsidR="00A66191" w:rsidRPr="004D6466" w:rsidRDefault="00A66191" w:rsidP="004D6466">
            <w:pPr>
              <w:spacing w:after="0" w:line="240" w:lineRule="auto"/>
              <w:jc w:val="center"/>
              <w:rPr>
                <w:rFonts w:eastAsia="Times New Roman" w:cs="Arial"/>
              </w:rPr>
            </w:pPr>
            <w:r w:rsidRPr="004D6466">
              <w:rPr>
                <w:rFonts w:eastAsia="Times New Roman" w:cs="Arial"/>
              </w:rPr>
              <w:t>35.547.936</w:t>
            </w:r>
          </w:p>
        </w:tc>
      </w:tr>
      <w:tr w:rsidR="00A66191" w:rsidRPr="004D6466" w:rsidTr="004D6466">
        <w:trPr>
          <w:trHeight w:val="418"/>
        </w:trPr>
        <w:tc>
          <w:tcPr>
            <w:tcW w:w="1264" w:type="dxa"/>
            <w:tcBorders>
              <w:top w:val="nil"/>
              <w:left w:val="single" w:sz="4" w:space="0" w:color="auto"/>
              <w:bottom w:val="single" w:sz="4" w:space="0" w:color="auto"/>
              <w:right w:val="single" w:sz="4" w:space="0" w:color="auto"/>
            </w:tcBorders>
            <w:shd w:val="clear" w:color="auto" w:fill="DBE5F1" w:themeFill="accent1" w:themeFillTint="33"/>
            <w:noWrap/>
            <w:vAlign w:val="center"/>
            <w:hideMark/>
          </w:tcPr>
          <w:p w:rsidR="00A66191" w:rsidRPr="004D6466" w:rsidRDefault="00A66191" w:rsidP="004D6466">
            <w:pPr>
              <w:spacing w:after="0" w:line="240" w:lineRule="auto"/>
              <w:jc w:val="center"/>
              <w:rPr>
                <w:rFonts w:eastAsia="Times New Roman" w:cs="Arial"/>
                <w:b/>
              </w:rPr>
            </w:pPr>
            <w:r w:rsidRPr="004D6466">
              <w:rPr>
                <w:rFonts w:eastAsia="Times New Roman" w:cs="Arial"/>
                <w:b/>
              </w:rPr>
              <w:t>2012</w:t>
            </w:r>
          </w:p>
        </w:tc>
        <w:tc>
          <w:tcPr>
            <w:tcW w:w="3287" w:type="dxa"/>
            <w:tcBorders>
              <w:top w:val="nil"/>
              <w:left w:val="nil"/>
              <w:bottom w:val="single" w:sz="4" w:space="0" w:color="auto"/>
              <w:right w:val="single" w:sz="4" w:space="0" w:color="auto"/>
            </w:tcBorders>
            <w:shd w:val="clear" w:color="auto" w:fill="DBE5F1" w:themeFill="accent1" w:themeFillTint="33"/>
            <w:noWrap/>
            <w:vAlign w:val="center"/>
            <w:hideMark/>
          </w:tcPr>
          <w:p w:rsidR="00A66191" w:rsidRPr="004D6466" w:rsidRDefault="00A66191" w:rsidP="004D6466">
            <w:pPr>
              <w:spacing w:after="0" w:line="240" w:lineRule="auto"/>
              <w:jc w:val="center"/>
              <w:rPr>
                <w:rFonts w:eastAsia="Times New Roman" w:cs="Arial"/>
              </w:rPr>
            </w:pPr>
            <w:r w:rsidRPr="004D6466">
              <w:rPr>
                <w:rFonts w:eastAsia="Times New Roman" w:cs="Arial"/>
              </w:rPr>
              <w:t>149.481</w:t>
            </w:r>
          </w:p>
        </w:tc>
        <w:tc>
          <w:tcPr>
            <w:tcW w:w="3107" w:type="dxa"/>
            <w:tcBorders>
              <w:top w:val="nil"/>
              <w:left w:val="nil"/>
              <w:bottom w:val="single" w:sz="4" w:space="0" w:color="auto"/>
              <w:right w:val="single" w:sz="4" w:space="0" w:color="auto"/>
            </w:tcBorders>
            <w:shd w:val="clear" w:color="auto" w:fill="DBE5F1" w:themeFill="accent1" w:themeFillTint="33"/>
            <w:noWrap/>
            <w:vAlign w:val="center"/>
            <w:hideMark/>
          </w:tcPr>
          <w:p w:rsidR="00A66191" w:rsidRPr="004D6466" w:rsidRDefault="00A66191" w:rsidP="004D6466">
            <w:pPr>
              <w:spacing w:after="0" w:line="240" w:lineRule="auto"/>
              <w:jc w:val="center"/>
              <w:rPr>
                <w:rFonts w:eastAsia="Times New Roman" w:cs="Arial"/>
              </w:rPr>
            </w:pPr>
            <w:r w:rsidRPr="004D6466">
              <w:rPr>
                <w:rFonts w:eastAsia="Times New Roman" w:cs="Arial"/>
              </w:rPr>
              <w:t>61.900.674</w:t>
            </w:r>
          </w:p>
        </w:tc>
      </w:tr>
    </w:tbl>
    <w:p w:rsidR="00A66191" w:rsidRPr="004D6466" w:rsidRDefault="00A66191" w:rsidP="00A66191">
      <w:pPr>
        <w:pStyle w:val="Sinespaciado"/>
        <w:rPr>
          <w:rFonts w:ascii="Arial" w:hAnsi="Arial" w:cs="Arial"/>
          <w:sz w:val="16"/>
          <w:szCs w:val="16"/>
          <w:lang w:val="es-EC"/>
        </w:rPr>
      </w:pPr>
      <w:r w:rsidRPr="004D6466">
        <w:rPr>
          <w:rFonts w:ascii="Arial" w:hAnsi="Arial" w:cs="Arial"/>
          <w:sz w:val="16"/>
          <w:szCs w:val="16"/>
          <w:lang w:val="es-EC"/>
        </w:rPr>
        <w:t>Tabla Nº 6                   fuente: Ministerio de Inclusión Económica y Social                  Elaborado por María José Ponce</w:t>
      </w:r>
    </w:p>
    <w:p w:rsidR="00A66191" w:rsidRPr="004D6466" w:rsidRDefault="00A66191" w:rsidP="00A66191">
      <w:pPr>
        <w:spacing w:line="360" w:lineRule="auto"/>
        <w:jc w:val="center"/>
        <w:rPr>
          <w:rFonts w:ascii="Arial" w:hAnsi="Arial" w:cs="Arial"/>
          <w:sz w:val="24"/>
          <w:szCs w:val="24"/>
          <w:lang w:val="es-EC"/>
        </w:rPr>
      </w:pPr>
    </w:p>
    <w:p w:rsidR="00A66191" w:rsidRPr="004D6466" w:rsidRDefault="00A66191" w:rsidP="00A66191">
      <w:pPr>
        <w:pStyle w:val="Sinespaciado"/>
        <w:jc w:val="center"/>
        <w:rPr>
          <w:lang w:val="es-EC"/>
        </w:rPr>
      </w:pPr>
      <w:r w:rsidRPr="004D6466">
        <w:rPr>
          <w:noProof/>
        </w:rPr>
        <w:drawing>
          <wp:inline distT="0" distB="0" distL="0" distR="0">
            <wp:extent cx="4572000" cy="2743200"/>
            <wp:effectExtent l="19050" t="0" r="19050" b="0"/>
            <wp:docPr id="13" name="Gráfico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43"/>
              </a:graphicData>
            </a:graphic>
          </wp:inline>
        </w:drawing>
      </w:r>
    </w:p>
    <w:p w:rsidR="00A66191" w:rsidRPr="004D6466" w:rsidRDefault="00572FE7" w:rsidP="00A66191">
      <w:pPr>
        <w:pStyle w:val="Sinespaciado"/>
        <w:rPr>
          <w:rFonts w:ascii="Arial" w:hAnsi="Arial" w:cs="Arial"/>
          <w:sz w:val="16"/>
          <w:szCs w:val="16"/>
          <w:lang w:val="es-EC"/>
        </w:rPr>
      </w:pPr>
      <w:r>
        <w:rPr>
          <w:rFonts w:ascii="Arial" w:hAnsi="Arial" w:cs="Arial"/>
          <w:sz w:val="16"/>
          <w:szCs w:val="16"/>
          <w:lang w:val="es-EC"/>
        </w:rPr>
        <w:t xml:space="preserve"> Gráfico Nº 7</w:t>
      </w:r>
      <w:r w:rsidR="00A66191" w:rsidRPr="004D6466">
        <w:rPr>
          <w:rFonts w:ascii="Arial" w:hAnsi="Arial" w:cs="Arial"/>
          <w:sz w:val="16"/>
          <w:szCs w:val="16"/>
          <w:lang w:val="es-EC"/>
        </w:rPr>
        <w:t xml:space="preserve">             fuente: Ministerio de Inclusión Económica y Social                Elaborado por María José Ponce</w:t>
      </w:r>
    </w:p>
    <w:p w:rsidR="00A66191" w:rsidRPr="004D6466" w:rsidRDefault="00A66191" w:rsidP="00A66191">
      <w:pPr>
        <w:spacing w:line="360" w:lineRule="auto"/>
        <w:rPr>
          <w:rFonts w:ascii="Arial" w:hAnsi="Arial" w:cs="Arial"/>
          <w:sz w:val="24"/>
          <w:szCs w:val="24"/>
          <w:lang w:val="es-EC"/>
        </w:rPr>
      </w:pPr>
    </w:p>
    <w:p w:rsidR="00A66191" w:rsidRPr="004D6466" w:rsidRDefault="00A66191" w:rsidP="00A66191">
      <w:pPr>
        <w:pStyle w:val="Sinespaciado"/>
        <w:jc w:val="center"/>
        <w:rPr>
          <w:lang w:val="es-EC"/>
        </w:rPr>
      </w:pPr>
      <w:r w:rsidRPr="004D6466">
        <w:rPr>
          <w:noProof/>
        </w:rPr>
        <w:lastRenderedPageBreak/>
        <w:drawing>
          <wp:inline distT="0" distB="0" distL="0" distR="0">
            <wp:extent cx="4572000" cy="2743200"/>
            <wp:effectExtent l="19050" t="0" r="19050" b="0"/>
            <wp:docPr id="14" name="Gráfico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44"/>
              </a:graphicData>
            </a:graphic>
          </wp:inline>
        </w:drawing>
      </w:r>
    </w:p>
    <w:p w:rsidR="00A66191" w:rsidRPr="004D6466" w:rsidRDefault="00572FE7" w:rsidP="00A66191">
      <w:pPr>
        <w:pStyle w:val="Sinespaciado"/>
        <w:rPr>
          <w:rFonts w:ascii="Arial" w:hAnsi="Arial" w:cs="Arial"/>
          <w:sz w:val="16"/>
          <w:szCs w:val="16"/>
          <w:lang w:val="es-EC"/>
        </w:rPr>
      </w:pPr>
      <w:r>
        <w:rPr>
          <w:rFonts w:ascii="Arial" w:hAnsi="Arial" w:cs="Arial"/>
          <w:sz w:val="16"/>
          <w:szCs w:val="16"/>
          <w:lang w:val="es-EC"/>
        </w:rPr>
        <w:t>Gráfico Nº 8</w:t>
      </w:r>
      <w:r w:rsidR="00A66191" w:rsidRPr="004D6466">
        <w:rPr>
          <w:rFonts w:ascii="Arial" w:hAnsi="Arial" w:cs="Arial"/>
          <w:sz w:val="16"/>
          <w:szCs w:val="16"/>
          <w:lang w:val="es-EC"/>
        </w:rPr>
        <w:t xml:space="preserve">              fuente: Ministerio de Inclusión Económica y Social               Elaborado por María José Ponce</w:t>
      </w:r>
    </w:p>
    <w:p w:rsidR="00A66191" w:rsidRPr="004D6466" w:rsidRDefault="00A66191" w:rsidP="00A66191">
      <w:pPr>
        <w:pStyle w:val="Sinespaciado"/>
        <w:rPr>
          <w:rFonts w:ascii="Arial" w:hAnsi="Arial" w:cs="Arial"/>
          <w:sz w:val="16"/>
          <w:szCs w:val="16"/>
          <w:lang w:val="es-EC"/>
        </w:rPr>
      </w:pPr>
    </w:p>
    <w:p w:rsidR="00A66191" w:rsidRPr="004D6466" w:rsidRDefault="00A66191" w:rsidP="00A66191">
      <w:pPr>
        <w:autoSpaceDE w:val="0"/>
        <w:autoSpaceDN w:val="0"/>
        <w:adjustRightInd w:val="0"/>
        <w:spacing w:after="0" w:line="360" w:lineRule="auto"/>
        <w:ind w:firstLine="708"/>
        <w:jc w:val="both"/>
        <w:rPr>
          <w:rFonts w:ascii="Arial" w:hAnsi="Arial" w:cs="Arial"/>
          <w:b/>
          <w:i/>
          <w:sz w:val="24"/>
          <w:szCs w:val="24"/>
        </w:rPr>
      </w:pPr>
    </w:p>
    <w:p w:rsidR="00A66191" w:rsidRPr="004D6466" w:rsidRDefault="00A66191" w:rsidP="00A66191">
      <w:pPr>
        <w:autoSpaceDE w:val="0"/>
        <w:autoSpaceDN w:val="0"/>
        <w:adjustRightInd w:val="0"/>
        <w:spacing w:after="0" w:line="360" w:lineRule="auto"/>
        <w:jc w:val="both"/>
        <w:rPr>
          <w:rFonts w:ascii="Arial" w:hAnsi="Arial" w:cs="Arial"/>
          <w:b/>
          <w:i/>
          <w:sz w:val="24"/>
          <w:szCs w:val="24"/>
        </w:rPr>
      </w:pPr>
      <w:r w:rsidRPr="004D6466">
        <w:rPr>
          <w:rFonts w:ascii="Arial" w:hAnsi="Arial" w:cs="Arial"/>
          <w:b/>
          <w:i/>
          <w:sz w:val="24"/>
          <w:szCs w:val="24"/>
        </w:rPr>
        <w:t>4.2.3 “Bono de la Vivienda”, “Bono de Titulación” y “Programa de Agua Potable y Saneamiento”</w:t>
      </w:r>
    </w:p>
    <w:p w:rsidR="00A66191" w:rsidRPr="004D6466" w:rsidRDefault="00A66191" w:rsidP="00A66191">
      <w:pPr>
        <w:autoSpaceDE w:val="0"/>
        <w:autoSpaceDN w:val="0"/>
        <w:adjustRightInd w:val="0"/>
        <w:spacing w:after="0" w:line="360" w:lineRule="auto"/>
        <w:jc w:val="both"/>
        <w:rPr>
          <w:rFonts w:ascii="Arial" w:hAnsi="Arial" w:cs="Arial"/>
          <w:b/>
          <w:i/>
          <w:sz w:val="24"/>
          <w:szCs w:val="24"/>
        </w:rPr>
      </w:pPr>
    </w:p>
    <w:p w:rsidR="00A66191" w:rsidRPr="004D6466" w:rsidRDefault="00A66191" w:rsidP="00A66191">
      <w:pPr>
        <w:autoSpaceDE w:val="0"/>
        <w:autoSpaceDN w:val="0"/>
        <w:adjustRightInd w:val="0"/>
        <w:spacing w:after="0" w:line="360" w:lineRule="auto"/>
        <w:jc w:val="both"/>
        <w:rPr>
          <w:rFonts w:ascii="Arial" w:hAnsi="Arial" w:cs="Arial"/>
          <w:sz w:val="24"/>
          <w:szCs w:val="24"/>
        </w:rPr>
      </w:pPr>
      <w:r w:rsidRPr="004D6466">
        <w:rPr>
          <w:rFonts w:ascii="Arial" w:hAnsi="Arial" w:cs="Arial"/>
          <w:sz w:val="24"/>
          <w:szCs w:val="24"/>
        </w:rPr>
        <w:t xml:space="preserve">El programa “Bono de la Vivienda” se enfoca en entregar bonos para la construcción o mejoramiento de viviendas en las áreas rural, urbana y urbano-marginal. A diciembre de 2009 fueron asignados al programa un total de 201 millones de dólares. A través de esta subvención 33.333 familias en las áreas rurales; 7.913 en las áreas urbanas; y 2.570 en las zonas  urbano-marginales accedieron a una vivienda nueva. También se realizaron mejoramientos en 2.322 viviendas rurales; 5.436 viviendas urbanas; y 460 viviendas urbano-marginales. </w:t>
      </w:r>
    </w:p>
    <w:p w:rsidR="00A66191" w:rsidRPr="004D6466" w:rsidRDefault="00A66191" w:rsidP="00A66191">
      <w:pPr>
        <w:autoSpaceDE w:val="0"/>
        <w:autoSpaceDN w:val="0"/>
        <w:adjustRightInd w:val="0"/>
        <w:spacing w:after="0" w:line="360" w:lineRule="auto"/>
        <w:jc w:val="both"/>
        <w:rPr>
          <w:rFonts w:ascii="Arial" w:hAnsi="Arial" w:cs="Arial"/>
          <w:sz w:val="24"/>
          <w:szCs w:val="24"/>
        </w:rPr>
      </w:pPr>
      <w:r w:rsidRPr="004D6466">
        <w:rPr>
          <w:rFonts w:ascii="Arial" w:hAnsi="Arial" w:cs="Arial"/>
          <w:sz w:val="24"/>
          <w:szCs w:val="24"/>
        </w:rPr>
        <w:t>El “Bono de Titulación” tiene como objeto apoyar a los habitantes en situación de pobreza de áreas urbanas, rurales y urbano-marginales. Su finalidad es ayudar a la legalización de la tenencia de la tierra en la que los hogares construirán su vivienda o en su defecto en el terreno en el que ya la hayan edificado.</w:t>
      </w:r>
    </w:p>
    <w:p w:rsidR="00A66191" w:rsidRPr="004D6466" w:rsidRDefault="00A66191" w:rsidP="00A66191">
      <w:pPr>
        <w:autoSpaceDE w:val="0"/>
        <w:autoSpaceDN w:val="0"/>
        <w:adjustRightInd w:val="0"/>
        <w:spacing w:after="0" w:line="360" w:lineRule="auto"/>
        <w:jc w:val="both"/>
        <w:rPr>
          <w:rFonts w:ascii="Arial" w:hAnsi="Arial" w:cs="Arial"/>
          <w:sz w:val="24"/>
          <w:szCs w:val="24"/>
        </w:rPr>
      </w:pPr>
      <w:r w:rsidRPr="004D6466">
        <w:rPr>
          <w:rFonts w:ascii="Arial" w:hAnsi="Arial" w:cs="Arial"/>
          <w:sz w:val="24"/>
          <w:szCs w:val="24"/>
        </w:rPr>
        <w:t>El programa de agua potable y saneamiento tiene como objetivo impulsar el desarrollo armónico y sustentable de los servicios de agua potable, alcantarillado y saneamiento básico en poblaciones rurales y urbanas marginales.</w:t>
      </w:r>
    </w:p>
    <w:p w:rsidR="00A66191" w:rsidRPr="004D6466" w:rsidRDefault="00A66191" w:rsidP="00A66191">
      <w:pPr>
        <w:autoSpaceDE w:val="0"/>
        <w:autoSpaceDN w:val="0"/>
        <w:adjustRightInd w:val="0"/>
        <w:spacing w:after="0" w:line="360" w:lineRule="auto"/>
        <w:jc w:val="both"/>
        <w:rPr>
          <w:rFonts w:ascii="Arial" w:hAnsi="Arial" w:cs="Arial"/>
          <w:sz w:val="24"/>
          <w:szCs w:val="24"/>
        </w:rPr>
      </w:pPr>
    </w:p>
    <w:p w:rsidR="00A66191" w:rsidRPr="004D6466" w:rsidRDefault="00A66191" w:rsidP="00A66191">
      <w:pPr>
        <w:spacing w:line="360" w:lineRule="auto"/>
        <w:jc w:val="both"/>
        <w:rPr>
          <w:rFonts w:ascii="Arial" w:hAnsi="Arial" w:cs="Arial"/>
          <w:b/>
          <w:sz w:val="24"/>
          <w:szCs w:val="24"/>
          <w:lang w:val="es-EC"/>
        </w:rPr>
      </w:pPr>
      <w:r w:rsidRPr="004D6466">
        <w:rPr>
          <w:rFonts w:ascii="Arial" w:hAnsi="Arial" w:cs="Arial"/>
          <w:b/>
          <w:sz w:val="24"/>
          <w:szCs w:val="24"/>
          <w:lang w:val="es-EC"/>
        </w:rPr>
        <w:lastRenderedPageBreak/>
        <w:t>Resultados del Bono de la Vivienda</w:t>
      </w:r>
    </w:p>
    <w:p w:rsidR="00A66191" w:rsidRPr="004D6466" w:rsidRDefault="00A66191" w:rsidP="00A66191">
      <w:pPr>
        <w:spacing w:line="360" w:lineRule="auto"/>
        <w:jc w:val="both"/>
        <w:rPr>
          <w:rFonts w:ascii="Arial" w:hAnsi="Arial" w:cs="Arial"/>
          <w:sz w:val="24"/>
          <w:szCs w:val="24"/>
          <w:lang w:val="es-EC"/>
        </w:rPr>
      </w:pPr>
      <w:r w:rsidRPr="004D6466">
        <w:rPr>
          <w:rFonts w:ascii="Arial" w:hAnsi="Arial" w:cs="Arial"/>
          <w:sz w:val="24"/>
          <w:szCs w:val="24"/>
          <w:lang w:val="es-EC"/>
        </w:rPr>
        <w:t xml:space="preserve">Los resultados detallados del número de bonos y monto de inversión en vivienda para el período 2007-2010 se encuentran en la siguiente tabla y gráfico. </w:t>
      </w:r>
    </w:p>
    <w:p w:rsidR="00A66191" w:rsidRPr="004D6466" w:rsidRDefault="00A66191" w:rsidP="00A66191">
      <w:pPr>
        <w:spacing w:line="360" w:lineRule="auto"/>
        <w:jc w:val="both"/>
        <w:rPr>
          <w:rFonts w:ascii="Arial" w:hAnsi="Arial" w:cs="Arial"/>
          <w:sz w:val="24"/>
          <w:szCs w:val="24"/>
          <w:lang w:val="es-EC"/>
        </w:rPr>
      </w:pPr>
      <w:r w:rsidRPr="004D6466">
        <w:rPr>
          <w:rFonts w:ascii="Arial" w:hAnsi="Arial" w:cs="Arial"/>
          <w:sz w:val="24"/>
          <w:szCs w:val="24"/>
          <w:lang w:val="es-EC"/>
        </w:rPr>
        <w:t>En estos datos es importante observar que el monto total de inversión fue de 665.371.935 y que el año en que mas inversión se realizó fue el 2008 con un valor de 355.239.178.</w:t>
      </w:r>
    </w:p>
    <w:tbl>
      <w:tblPr>
        <w:tblpPr w:leftFromText="141" w:rightFromText="141" w:vertAnchor="text" w:horzAnchor="margin" w:tblpXSpec="center" w:tblpY="127"/>
        <w:tblW w:w="4771" w:type="dxa"/>
        <w:tblCellMar>
          <w:left w:w="70" w:type="dxa"/>
          <w:right w:w="70" w:type="dxa"/>
        </w:tblCellMar>
        <w:tblLook w:val="04A0"/>
      </w:tblPr>
      <w:tblGrid>
        <w:gridCol w:w="2370"/>
        <w:gridCol w:w="2401"/>
      </w:tblGrid>
      <w:tr w:rsidR="00A66191" w:rsidRPr="004D6466" w:rsidTr="004D6466">
        <w:trPr>
          <w:trHeight w:val="705"/>
        </w:trPr>
        <w:tc>
          <w:tcPr>
            <w:tcW w:w="4771" w:type="dxa"/>
            <w:gridSpan w:val="2"/>
            <w:tcBorders>
              <w:top w:val="single" w:sz="4" w:space="0" w:color="auto"/>
              <w:left w:val="single" w:sz="4" w:space="0" w:color="auto"/>
              <w:bottom w:val="single" w:sz="4" w:space="0" w:color="auto"/>
              <w:right w:val="single" w:sz="4" w:space="0" w:color="000000"/>
            </w:tcBorders>
            <w:shd w:val="clear" w:color="auto" w:fill="auto"/>
            <w:vAlign w:val="center"/>
            <w:hideMark/>
          </w:tcPr>
          <w:p w:rsidR="00A66191" w:rsidRPr="004D6466" w:rsidRDefault="00A66191" w:rsidP="004D6466">
            <w:pPr>
              <w:spacing w:after="0" w:line="240" w:lineRule="auto"/>
              <w:jc w:val="center"/>
              <w:rPr>
                <w:rFonts w:ascii="Arial" w:eastAsia="Times New Roman" w:hAnsi="Arial" w:cs="Arial"/>
                <w:b/>
                <w:bCs/>
                <w:sz w:val="24"/>
                <w:szCs w:val="24"/>
              </w:rPr>
            </w:pPr>
            <w:r w:rsidRPr="004D6466">
              <w:rPr>
                <w:rFonts w:ascii="Arial" w:eastAsia="Times New Roman" w:hAnsi="Arial" w:cs="Arial"/>
                <w:b/>
                <w:bCs/>
                <w:sz w:val="24"/>
                <w:szCs w:val="24"/>
              </w:rPr>
              <w:t>Gráfico de montos de inversión del bono de la vivienda</w:t>
            </w:r>
          </w:p>
        </w:tc>
      </w:tr>
      <w:tr w:rsidR="00A66191" w:rsidRPr="004D6466" w:rsidTr="004D6466">
        <w:trPr>
          <w:trHeight w:val="403"/>
        </w:trPr>
        <w:tc>
          <w:tcPr>
            <w:tcW w:w="2370" w:type="dxa"/>
            <w:tcBorders>
              <w:top w:val="nil"/>
              <w:left w:val="single" w:sz="4" w:space="0" w:color="auto"/>
              <w:bottom w:val="single" w:sz="4" w:space="0" w:color="auto"/>
              <w:right w:val="single" w:sz="4" w:space="0" w:color="auto"/>
            </w:tcBorders>
            <w:shd w:val="clear" w:color="auto" w:fill="8DB3E2" w:themeFill="text2" w:themeFillTint="66"/>
            <w:noWrap/>
            <w:vAlign w:val="center"/>
            <w:hideMark/>
          </w:tcPr>
          <w:p w:rsidR="00A66191" w:rsidRPr="004D6466" w:rsidRDefault="00A66191" w:rsidP="004D6466">
            <w:pPr>
              <w:spacing w:after="0" w:line="240" w:lineRule="auto"/>
              <w:jc w:val="center"/>
              <w:rPr>
                <w:rFonts w:ascii="Arial" w:eastAsia="Times New Roman" w:hAnsi="Arial" w:cs="Arial"/>
                <w:b/>
                <w:sz w:val="20"/>
                <w:szCs w:val="20"/>
              </w:rPr>
            </w:pPr>
            <w:r w:rsidRPr="004D6466">
              <w:rPr>
                <w:rFonts w:ascii="Arial" w:eastAsia="Times New Roman" w:hAnsi="Arial" w:cs="Arial"/>
                <w:b/>
                <w:sz w:val="20"/>
                <w:szCs w:val="20"/>
              </w:rPr>
              <w:t>AÑO</w:t>
            </w:r>
          </w:p>
        </w:tc>
        <w:tc>
          <w:tcPr>
            <w:tcW w:w="2401" w:type="dxa"/>
            <w:tcBorders>
              <w:top w:val="nil"/>
              <w:left w:val="nil"/>
              <w:bottom w:val="single" w:sz="4" w:space="0" w:color="auto"/>
              <w:right w:val="single" w:sz="4" w:space="0" w:color="auto"/>
            </w:tcBorders>
            <w:shd w:val="clear" w:color="auto" w:fill="8DB3E2" w:themeFill="text2" w:themeFillTint="66"/>
            <w:vAlign w:val="center"/>
            <w:hideMark/>
          </w:tcPr>
          <w:p w:rsidR="00A66191" w:rsidRPr="004D6466" w:rsidRDefault="00A66191" w:rsidP="004D6466">
            <w:pPr>
              <w:spacing w:after="0" w:line="240" w:lineRule="auto"/>
              <w:jc w:val="center"/>
              <w:rPr>
                <w:rFonts w:ascii="Arial" w:eastAsia="Times New Roman" w:hAnsi="Arial" w:cs="Arial"/>
                <w:b/>
                <w:sz w:val="20"/>
                <w:szCs w:val="20"/>
              </w:rPr>
            </w:pPr>
            <w:r w:rsidRPr="004D6466">
              <w:rPr>
                <w:rFonts w:ascii="Arial" w:eastAsia="Times New Roman" w:hAnsi="Arial" w:cs="Arial"/>
                <w:b/>
                <w:sz w:val="20"/>
                <w:szCs w:val="20"/>
              </w:rPr>
              <w:t>MONTO DE INVERSIÓN</w:t>
            </w:r>
          </w:p>
        </w:tc>
      </w:tr>
      <w:tr w:rsidR="00A66191" w:rsidRPr="004D6466" w:rsidTr="004D6466">
        <w:trPr>
          <w:trHeight w:val="354"/>
        </w:trPr>
        <w:tc>
          <w:tcPr>
            <w:tcW w:w="2370" w:type="dxa"/>
            <w:tcBorders>
              <w:top w:val="nil"/>
              <w:left w:val="single" w:sz="4" w:space="0" w:color="auto"/>
              <w:bottom w:val="single" w:sz="4" w:space="0" w:color="auto"/>
              <w:right w:val="single" w:sz="4" w:space="0" w:color="auto"/>
            </w:tcBorders>
            <w:shd w:val="clear" w:color="auto" w:fill="DBE5F1" w:themeFill="accent1" w:themeFillTint="33"/>
            <w:noWrap/>
            <w:vAlign w:val="center"/>
            <w:hideMark/>
          </w:tcPr>
          <w:p w:rsidR="00A66191" w:rsidRPr="004D6466" w:rsidRDefault="00A66191" w:rsidP="004D6466">
            <w:pPr>
              <w:spacing w:after="0" w:line="240" w:lineRule="auto"/>
              <w:jc w:val="center"/>
              <w:rPr>
                <w:rFonts w:ascii="Arial" w:eastAsia="Times New Roman" w:hAnsi="Arial" w:cs="Arial"/>
                <w:b/>
                <w:sz w:val="20"/>
                <w:szCs w:val="20"/>
              </w:rPr>
            </w:pPr>
            <w:r w:rsidRPr="004D6466">
              <w:rPr>
                <w:rFonts w:ascii="Arial" w:eastAsia="Times New Roman" w:hAnsi="Arial" w:cs="Arial"/>
                <w:b/>
                <w:sz w:val="20"/>
                <w:szCs w:val="20"/>
              </w:rPr>
              <w:t>2007</w:t>
            </w:r>
          </w:p>
        </w:tc>
        <w:tc>
          <w:tcPr>
            <w:tcW w:w="2401" w:type="dxa"/>
            <w:tcBorders>
              <w:top w:val="nil"/>
              <w:left w:val="nil"/>
              <w:bottom w:val="single" w:sz="4" w:space="0" w:color="auto"/>
              <w:right w:val="single" w:sz="4" w:space="0" w:color="auto"/>
            </w:tcBorders>
            <w:shd w:val="clear" w:color="auto" w:fill="DBE5F1" w:themeFill="accent1" w:themeFillTint="33"/>
            <w:noWrap/>
            <w:vAlign w:val="center"/>
            <w:hideMark/>
          </w:tcPr>
          <w:p w:rsidR="00A66191" w:rsidRPr="004D6466" w:rsidRDefault="00A66191" w:rsidP="004D6466">
            <w:pPr>
              <w:spacing w:after="0" w:line="240" w:lineRule="auto"/>
              <w:jc w:val="center"/>
              <w:rPr>
                <w:rFonts w:ascii="Arial" w:eastAsia="Times New Roman" w:hAnsi="Arial" w:cs="Arial"/>
                <w:sz w:val="20"/>
                <w:szCs w:val="20"/>
              </w:rPr>
            </w:pPr>
            <w:r w:rsidRPr="004D6466">
              <w:rPr>
                <w:rFonts w:ascii="Arial" w:eastAsia="Times New Roman" w:hAnsi="Arial" w:cs="Arial"/>
                <w:sz w:val="20"/>
                <w:szCs w:val="20"/>
              </w:rPr>
              <w:t>89.525.000</w:t>
            </w:r>
          </w:p>
        </w:tc>
      </w:tr>
      <w:tr w:rsidR="00A66191" w:rsidRPr="004D6466" w:rsidTr="004D6466">
        <w:trPr>
          <w:trHeight w:val="354"/>
        </w:trPr>
        <w:tc>
          <w:tcPr>
            <w:tcW w:w="2370" w:type="dxa"/>
            <w:tcBorders>
              <w:top w:val="nil"/>
              <w:left w:val="single" w:sz="4" w:space="0" w:color="auto"/>
              <w:bottom w:val="single" w:sz="4" w:space="0" w:color="auto"/>
              <w:right w:val="single" w:sz="4" w:space="0" w:color="auto"/>
            </w:tcBorders>
            <w:shd w:val="clear" w:color="auto" w:fill="DBE5F1" w:themeFill="accent1" w:themeFillTint="33"/>
            <w:noWrap/>
            <w:vAlign w:val="center"/>
            <w:hideMark/>
          </w:tcPr>
          <w:p w:rsidR="00A66191" w:rsidRPr="004D6466" w:rsidRDefault="00A66191" w:rsidP="004D6466">
            <w:pPr>
              <w:spacing w:after="0" w:line="240" w:lineRule="auto"/>
              <w:jc w:val="center"/>
              <w:rPr>
                <w:rFonts w:ascii="Arial" w:eastAsia="Times New Roman" w:hAnsi="Arial" w:cs="Arial"/>
                <w:b/>
                <w:sz w:val="20"/>
                <w:szCs w:val="20"/>
              </w:rPr>
            </w:pPr>
            <w:r w:rsidRPr="004D6466">
              <w:rPr>
                <w:rFonts w:ascii="Arial" w:eastAsia="Times New Roman" w:hAnsi="Arial" w:cs="Arial"/>
                <w:b/>
                <w:sz w:val="20"/>
                <w:szCs w:val="20"/>
              </w:rPr>
              <w:t>2008</w:t>
            </w:r>
          </w:p>
        </w:tc>
        <w:tc>
          <w:tcPr>
            <w:tcW w:w="2401" w:type="dxa"/>
            <w:tcBorders>
              <w:top w:val="nil"/>
              <w:left w:val="nil"/>
              <w:bottom w:val="single" w:sz="4" w:space="0" w:color="auto"/>
              <w:right w:val="single" w:sz="4" w:space="0" w:color="auto"/>
            </w:tcBorders>
            <w:shd w:val="clear" w:color="auto" w:fill="DBE5F1" w:themeFill="accent1" w:themeFillTint="33"/>
            <w:noWrap/>
            <w:vAlign w:val="center"/>
            <w:hideMark/>
          </w:tcPr>
          <w:p w:rsidR="00A66191" w:rsidRPr="004D6466" w:rsidRDefault="00A66191" w:rsidP="004D6466">
            <w:pPr>
              <w:spacing w:after="0" w:line="240" w:lineRule="auto"/>
              <w:jc w:val="center"/>
              <w:rPr>
                <w:rFonts w:ascii="Arial" w:eastAsia="Times New Roman" w:hAnsi="Arial" w:cs="Arial"/>
                <w:sz w:val="20"/>
                <w:szCs w:val="20"/>
              </w:rPr>
            </w:pPr>
            <w:r w:rsidRPr="004D6466">
              <w:rPr>
                <w:rFonts w:ascii="Arial" w:eastAsia="Times New Roman" w:hAnsi="Arial" w:cs="Arial"/>
                <w:sz w:val="20"/>
                <w:szCs w:val="20"/>
              </w:rPr>
              <w:t>355.239.178</w:t>
            </w:r>
          </w:p>
        </w:tc>
      </w:tr>
      <w:tr w:rsidR="00A66191" w:rsidRPr="004D6466" w:rsidTr="004D6466">
        <w:trPr>
          <w:trHeight w:val="354"/>
        </w:trPr>
        <w:tc>
          <w:tcPr>
            <w:tcW w:w="2370" w:type="dxa"/>
            <w:tcBorders>
              <w:top w:val="nil"/>
              <w:left w:val="single" w:sz="4" w:space="0" w:color="auto"/>
              <w:bottom w:val="single" w:sz="4" w:space="0" w:color="auto"/>
              <w:right w:val="single" w:sz="4" w:space="0" w:color="auto"/>
            </w:tcBorders>
            <w:shd w:val="clear" w:color="auto" w:fill="DBE5F1" w:themeFill="accent1" w:themeFillTint="33"/>
            <w:noWrap/>
            <w:vAlign w:val="center"/>
            <w:hideMark/>
          </w:tcPr>
          <w:p w:rsidR="00A66191" w:rsidRPr="004D6466" w:rsidRDefault="00A66191" w:rsidP="004D6466">
            <w:pPr>
              <w:spacing w:after="0" w:line="240" w:lineRule="auto"/>
              <w:jc w:val="center"/>
              <w:rPr>
                <w:rFonts w:ascii="Arial" w:eastAsia="Times New Roman" w:hAnsi="Arial" w:cs="Arial"/>
                <w:b/>
                <w:sz w:val="20"/>
                <w:szCs w:val="20"/>
              </w:rPr>
            </w:pPr>
            <w:r w:rsidRPr="004D6466">
              <w:rPr>
                <w:rFonts w:ascii="Arial" w:eastAsia="Times New Roman" w:hAnsi="Arial" w:cs="Arial"/>
                <w:b/>
                <w:sz w:val="20"/>
                <w:szCs w:val="20"/>
              </w:rPr>
              <w:t>2009</w:t>
            </w:r>
          </w:p>
        </w:tc>
        <w:tc>
          <w:tcPr>
            <w:tcW w:w="2401" w:type="dxa"/>
            <w:tcBorders>
              <w:top w:val="nil"/>
              <w:left w:val="nil"/>
              <w:bottom w:val="single" w:sz="4" w:space="0" w:color="auto"/>
              <w:right w:val="single" w:sz="4" w:space="0" w:color="auto"/>
            </w:tcBorders>
            <w:shd w:val="clear" w:color="auto" w:fill="DBE5F1" w:themeFill="accent1" w:themeFillTint="33"/>
            <w:noWrap/>
            <w:vAlign w:val="center"/>
            <w:hideMark/>
          </w:tcPr>
          <w:p w:rsidR="00A66191" w:rsidRPr="004D6466" w:rsidRDefault="00A66191" w:rsidP="004D6466">
            <w:pPr>
              <w:spacing w:after="0" w:line="240" w:lineRule="auto"/>
              <w:jc w:val="center"/>
              <w:rPr>
                <w:rFonts w:ascii="Arial" w:eastAsia="Times New Roman" w:hAnsi="Arial" w:cs="Arial"/>
                <w:sz w:val="20"/>
                <w:szCs w:val="20"/>
              </w:rPr>
            </w:pPr>
            <w:r w:rsidRPr="004D6466">
              <w:rPr>
                <w:rFonts w:ascii="Arial" w:eastAsia="Times New Roman" w:hAnsi="Arial" w:cs="Arial"/>
                <w:sz w:val="20"/>
                <w:szCs w:val="20"/>
              </w:rPr>
              <w:t>172.141.946</w:t>
            </w:r>
          </w:p>
        </w:tc>
      </w:tr>
      <w:tr w:rsidR="00A66191" w:rsidRPr="004D6466" w:rsidTr="004D6466">
        <w:trPr>
          <w:trHeight w:val="354"/>
        </w:trPr>
        <w:tc>
          <w:tcPr>
            <w:tcW w:w="2370" w:type="dxa"/>
            <w:tcBorders>
              <w:top w:val="nil"/>
              <w:left w:val="single" w:sz="4" w:space="0" w:color="auto"/>
              <w:bottom w:val="single" w:sz="4" w:space="0" w:color="auto"/>
              <w:right w:val="single" w:sz="4" w:space="0" w:color="auto"/>
            </w:tcBorders>
            <w:shd w:val="clear" w:color="auto" w:fill="DBE5F1" w:themeFill="accent1" w:themeFillTint="33"/>
            <w:noWrap/>
            <w:vAlign w:val="center"/>
            <w:hideMark/>
          </w:tcPr>
          <w:p w:rsidR="00A66191" w:rsidRPr="004D6466" w:rsidRDefault="00A66191" w:rsidP="004D6466">
            <w:pPr>
              <w:spacing w:after="0" w:line="240" w:lineRule="auto"/>
              <w:jc w:val="center"/>
              <w:rPr>
                <w:rFonts w:ascii="Arial" w:eastAsia="Times New Roman" w:hAnsi="Arial" w:cs="Arial"/>
                <w:b/>
                <w:sz w:val="20"/>
                <w:szCs w:val="20"/>
              </w:rPr>
            </w:pPr>
            <w:r w:rsidRPr="004D6466">
              <w:rPr>
                <w:rFonts w:ascii="Arial" w:eastAsia="Times New Roman" w:hAnsi="Arial" w:cs="Arial"/>
                <w:b/>
                <w:sz w:val="20"/>
                <w:szCs w:val="20"/>
              </w:rPr>
              <w:t>2010</w:t>
            </w:r>
          </w:p>
        </w:tc>
        <w:tc>
          <w:tcPr>
            <w:tcW w:w="2401" w:type="dxa"/>
            <w:tcBorders>
              <w:top w:val="nil"/>
              <w:left w:val="nil"/>
              <w:bottom w:val="single" w:sz="4" w:space="0" w:color="auto"/>
              <w:right w:val="single" w:sz="4" w:space="0" w:color="auto"/>
            </w:tcBorders>
            <w:shd w:val="clear" w:color="auto" w:fill="DBE5F1" w:themeFill="accent1" w:themeFillTint="33"/>
            <w:noWrap/>
            <w:vAlign w:val="center"/>
            <w:hideMark/>
          </w:tcPr>
          <w:p w:rsidR="00A66191" w:rsidRPr="004D6466" w:rsidRDefault="00A66191" w:rsidP="004D6466">
            <w:pPr>
              <w:spacing w:after="0" w:line="240" w:lineRule="auto"/>
              <w:jc w:val="center"/>
              <w:rPr>
                <w:rFonts w:ascii="Arial" w:eastAsia="Times New Roman" w:hAnsi="Arial" w:cs="Arial"/>
                <w:sz w:val="20"/>
                <w:szCs w:val="20"/>
              </w:rPr>
            </w:pPr>
            <w:r w:rsidRPr="004D6466">
              <w:rPr>
                <w:rFonts w:ascii="Arial" w:eastAsia="Times New Roman" w:hAnsi="Arial" w:cs="Arial"/>
                <w:sz w:val="20"/>
                <w:szCs w:val="20"/>
              </w:rPr>
              <w:t>48.465.811</w:t>
            </w:r>
          </w:p>
        </w:tc>
      </w:tr>
      <w:tr w:rsidR="00A66191" w:rsidRPr="004D6466" w:rsidTr="004D6466">
        <w:trPr>
          <w:trHeight w:val="354"/>
        </w:trPr>
        <w:tc>
          <w:tcPr>
            <w:tcW w:w="2370" w:type="dxa"/>
            <w:tcBorders>
              <w:top w:val="nil"/>
              <w:left w:val="single" w:sz="4" w:space="0" w:color="auto"/>
              <w:bottom w:val="single" w:sz="4" w:space="0" w:color="auto"/>
              <w:right w:val="single" w:sz="4" w:space="0" w:color="auto"/>
            </w:tcBorders>
            <w:shd w:val="clear" w:color="auto" w:fill="DBE5F1" w:themeFill="accent1" w:themeFillTint="33"/>
            <w:noWrap/>
            <w:vAlign w:val="center"/>
            <w:hideMark/>
          </w:tcPr>
          <w:p w:rsidR="00A66191" w:rsidRPr="004D6466" w:rsidRDefault="00A66191" w:rsidP="004D6466">
            <w:pPr>
              <w:spacing w:after="0" w:line="240" w:lineRule="auto"/>
              <w:jc w:val="center"/>
              <w:rPr>
                <w:rFonts w:ascii="Arial" w:eastAsia="Times New Roman" w:hAnsi="Arial" w:cs="Arial"/>
                <w:b/>
                <w:sz w:val="20"/>
                <w:szCs w:val="20"/>
              </w:rPr>
            </w:pPr>
            <w:r w:rsidRPr="004D6466">
              <w:rPr>
                <w:rFonts w:ascii="Arial" w:eastAsia="Times New Roman" w:hAnsi="Arial" w:cs="Arial"/>
                <w:b/>
                <w:sz w:val="20"/>
                <w:szCs w:val="20"/>
              </w:rPr>
              <w:t>TOTAL GENERAL</w:t>
            </w:r>
          </w:p>
        </w:tc>
        <w:tc>
          <w:tcPr>
            <w:tcW w:w="2401" w:type="dxa"/>
            <w:tcBorders>
              <w:top w:val="nil"/>
              <w:left w:val="nil"/>
              <w:bottom w:val="single" w:sz="4" w:space="0" w:color="auto"/>
              <w:right w:val="single" w:sz="4" w:space="0" w:color="auto"/>
            </w:tcBorders>
            <w:shd w:val="clear" w:color="auto" w:fill="DBE5F1" w:themeFill="accent1" w:themeFillTint="33"/>
            <w:noWrap/>
            <w:vAlign w:val="center"/>
            <w:hideMark/>
          </w:tcPr>
          <w:p w:rsidR="00A66191" w:rsidRPr="004D6466" w:rsidRDefault="00A66191" w:rsidP="004D6466">
            <w:pPr>
              <w:spacing w:after="0" w:line="240" w:lineRule="auto"/>
              <w:jc w:val="center"/>
              <w:rPr>
                <w:rFonts w:ascii="Arial" w:eastAsia="Times New Roman" w:hAnsi="Arial" w:cs="Arial"/>
                <w:sz w:val="20"/>
                <w:szCs w:val="20"/>
              </w:rPr>
            </w:pPr>
            <w:r w:rsidRPr="004D6466">
              <w:rPr>
                <w:rFonts w:ascii="Arial" w:eastAsia="Times New Roman" w:hAnsi="Arial" w:cs="Arial"/>
                <w:sz w:val="20"/>
                <w:szCs w:val="20"/>
              </w:rPr>
              <w:t>665.371.935</w:t>
            </w:r>
          </w:p>
        </w:tc>
      </w:tr>
    </w:tbl>
    <w:p w:rsidR="00A66191" w:rsidRPr="004D6466" w:rsidRDefault="00A66191" w:rsidP="00A66191">
      <w:pPr>
        <w:spacing w:line="360" w:lineRule="auto"/>
        <w:jc w:val="both"/>
        <w:rPr>
          <w:rFonts w:ascii="Arial" w:hAnsi="Arial" w:cs="Arial"/>
          <w:sz w:val="24"/>
          <w:szCs w:val="24"/>
          <w:lang w:val="es-EC"/>
        </w:rPr>
      </w:pPr>
    </w:p>
    <w:p w:rsidR="00A66191" w:rsidRPr="004D6466" w:rsidRDefault="00A66191" w:rsidP="00A66191">
      <w:pPr>
        <w:spacing w:line="360" w:lineRule="auto"/>
        <w:jc w:val="both"/>
        <w:rPr>
          <w:rFonts w:ascii="Arial" w:hAnsi="Arial" w:cs="Arial"/>
          <w:sz w:val="24"/>
          <w:szCs w:val="24"/>
          <w:lang w:val="es-EC"/>
        </w:rPr>
      </w:pPr>
    </w:p>
    <w:p w:rsidR="00A66191" w:rsidRPr="004D6466" w:rsidRDefault="00A66191" w:rsidP="00A66191">
      <w:pPr>
        <w:spacing w:line="360" w:lineRule="auto"/>
        <w:jc w:val="both"/>
        <w:rPr>
          <w:rFonts w:ascii="Arial" w:hAnsi="Arial" w:cs="Arial"/>
          <w:sz w:val="24"/>
          <w:szCs w:val="24"/>
          <w:lang w:val="es-EC"/>
        </w:rPr>
      </w:pPr>
    </w:p>
    <w:p w:rsidR="00A66191" w:rsidRPr="004D6466" w:rsidRDefault="00A66191" w:rsidP="00A66191">
      <w:pPr>
        <w:spacing w:line="360" w:lineRule="auto"/>
        <w:jc w:val="both"/>
        <w:rPr>
          <w:rFonts w:ascii="Arial" w:hAnsi="Arial" w:cs="Arial"/>
          <w:sz w:val="24"/>
          <w:szCs w:val="24"/>
          <w:lang w:val="es-EC"/>
        </w:rPr>
      </w:pPr>
    </w:p>
    <w:p w:rsidR="00A66191" w:rsidRPr="004D6466" w:rsidRDefault="00A66191" w:rsidP="00A66191">
      <w:pPr>
        <w:spacing w:line="360" w:lineRule="auto"/>
        <w:rPr>
          <w:rFonts w:ascii="Arial" w:hAnsi="Arial" w:cs="Arial"/>
          <w:sz w:val="24"/>
          <w:szCs w:val="24"/>
          <w:lang w:val="es-EC"/>
        </w:rPr>
      </w:pPr>
    </w:p>
    <w:p w:rsidR="00A66191" w:rsidRPr="004D6466" w:rsidRDefault="00A66191" w:rsidP="00A66191">
      <w:pPr>
        <w:spacing w:line="360" w:lineRule="auto"/>
        <w:rPr>
          <w:rFonts w:ascii="Arial" w:hAnsi="Arial" w:cs="Arial"/>
          <w:sz w:val="16"/>
          <w:szCs w:val="16"/>
          <w:lang w:val="es-EC"/>
        </w:rPr>
      </w:pPr>
    </w:p>
    <w:p w:rsidR="00A66191" w:rsidRPr="004D6466" w:rsidRDefault="00A66191" w:rsidP="00A66191">
      <w:pPr>
        <w:spacing w:line="360" w:lineRule="auto"/>
        <w:rPr>
          <w:rFonts w:ascii="Arial" w:hAnsi="Arial" w:cs="Arial"/>
          <w:sz w:val="16"/>
          <w:szCs w:val="16"/>
          <w:lang w:val="es-EC"/>
        </w:rPr>
      </w:pPr>
      <w:r w:rsidRPr="004D6466">
        <w:rPr>
          <w:rFonts w:ascii="Arial" w:hAnsi="Arial" w:cs="Arial"/>
          <w:sz w:val="16"/>
          <w:szCs w:val="16"/>
          <w:lang w:val="es-EC"/>
        </w:rPr>
        <w:t xml:space="preserve">Tabla nº 7               fuente: Ministerio de Desarrollo Urbano y Vivienda              elaborado por: María José Ponce       </w:t>
      </w:r>
    </w:p>
    <w:p w:rsidR="00A66191" w:rsidRPr="004D6466" w:rsidRDefault="00A66191" w:rsidP="00A66191">
      <w:pPr>
        <w:pStyle w:val="Sinespaciado"/>
        <w:jc w:val="center"/>
        <w:rPr>
          <w:lang w:val="es-EC"/>
        </w:rPr>
      </w:pPr>
      <w:r w:rsidRPr="004D6466">
        <w:rPr>
          <w:noProof/>
        </w:rPr>
        <w:drawing>
          <wp:inline distT="0" distB="0" distL="0" distR="0">
            <wp:extent cx="4572000" cy="2743200"/>
            <wp:effectExtent l="19050" t="0" r="19050" b="0"/>
            <wp:docPr id="15" name="Gráfico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45"/>
              </a:graphicData>
            </a:graphic>
          </wp:inline>
        </w:drawing>
      </w:r>
    </w:p>
    <w:p w:rsidR="00A66191" w:rsidRPr="004D6466" w:rsidRDefault="00A66191" w:rsidP="00A66191">
      <w:pPr>
        <w:pStyle w:val="Sinespaciado"/>
        <w:rPr>
          <w:rFonts w:ascii="Arial" w:hAnsi="Arial" w:cs="Arial"/>
          <w:sz w:val="16"/>
          <w:szCs w:val="16"/>
          <w:lang w:val="es-EC"/>
        </w:rPr>
      </w:pPr>
      <w:r w:rsidRPr="004D6466">
        <w:rPr>
          <w:rFonts w:ascii="Arial" w:hAnsi="Arial" w:cs="Arial"/>
          <w:sz w:val="16"/>
          <w:szCs w:val="16"/>
          <w:lang w:val="es-EC"/>
        </w:rPr>
        <w:t>Gráfico Nº 8               fuente: Ministerio de Desarrollo Urbano y Vivienda                  Elaborado por María José Ponce</w:t>
      </w:r>
    </w:p>
    <w:p w:rsidR="00A66191" w:rsidRPr="004D6466" w:rsidRDefault="00A66191" w:rsidP="00A66191">
      <w:pPr>
        <w:spacing w:line="360" w:lineRule="auto"/>
        <w:jc w:val="both"/>
        <w:rPr>
          <w:rFonts w:ascii="Arial" w:hAnsi="Arial" w:cs="Arial"/>
          <w:sz w:val="16"/>
          <w:szCs w:val="16"/>
          <w:lang w:val="es-EC"/>
        </w:rPr>
      </w:pPr>
    </w:p>
    <w:p w:rsidR="00A66191" w:rsidRPr="004D6466" w:rsidRDefault="00A66191" w:rsidP="00A66191">
      <w:pPr>
        <w:rPr>
          <w:rFonts w:ascii="Arial" w:hAnsi="Arial" w:cs="Arial"/>
          <w:b/>
          <w:sz w:val="24"/>
          <w:szCs w:val="24"/>
          <w:lang w:val="es-EC"/>
        </w:rPr>
      </w:pPr>
      <w:r w:rsidRPr="004D6466">
        <w:rPr>
          <w:rFonts w:ascii="Arial" w:hAnsi="Arial" w:cs="Arial"/>
          <w:b/>
          <w:sz w:val="24"/>
          <w:szCs w:val="24"/>
          <w:lang w:val="es-EC"/>
        </w:rPr>
        <w:br w:type="page"/>
      </w:r>
    </w:p>
    <w:p w:rsidR="00A66191" w:rsidRPr="004D6466" w:rsidRDefault="00A66191" w:rsidP="00A66191">
      <w:pPr>
        <w:spacing w:line="360" w:lineRule="auto"/>
        <w:jc w:val="both"/>
        <w:rPr>
          <w:rFonts w:ascii="Arial" w:hAnsi="Arial" w:cs="Arial"/>
          <w:b/>
          <w:sz w:val="24"/>
          <w:szCs w:val="24"/>
          <w:lang w:val="es-EC"/>
        </w:rPr>
      </w:pPr>
      <w:r w:rsidRPr="004D6466">
        <w:rPr>
          <w:rFonts w:ascii="Arial" w:hAnsi="Arial" w:cs="Arial"/>
          <w:b/>
          <w:sz w:val="24"/>
          <w:szCs w:val="24"/>
          <w:lang w:val="es-EC"/>
        </w:rPr>
        <w:lastRenderedPageBreak/>
        <w:t xml:space="preserve">Otros resultados obtenidos en lo social </w:t>
      </w:r>
    </w:p>
    <w:p w:rsidR="00A66191" w:rsidRPr="004D6466" w:rsidRDefault="00A66191" w:rsidP="00A66191">
      <w:pPr>
        <w:spacing w:line="360" w:lineRule="auto"/>
        <w:jc w:val="both"/>
        <w:rPr>
          <w:rFonts w:ascii="Arial" w:hAnsi="Arial" w:cs="Arial"/>
          <w:sz w:val="24"/>
          <w:szCs w:val="24"/>
          <w:lang w:val="es-EC"/>
        </w:rPr>
      </w:pPr>
      <w:r w:rsidRPr="004D6466">
        <w:rPr>
          <w:rFonts w:ascii="Arial" w:hAnsi="Arial" w:cs="Arial"/>
          <w:sz w:val="24"/>
          <w:szCs w:val="24"/>
          <w:lang w:val="es-EC"/>
        </w:rPr>
        <w:t>Sobre el trabajo infantil se pudo observar lo siguiente:</w:t>
      </w:r>
    </w:p>
    <w:p w:rsidR="00A66191" w:rsidRPr="004D6466" w:rsidRDefault="00A66191" w:rsidP="00A66191">
      <w:pPr>
        <w:spacing w:line="360" w:lineRule="auto"/>
        <w:jc w:val="both"/>
        <w:rPr>
          <w:rFonts w:ascii="Arial" w:hAnsi="Arial" w:cs="Arial"/>
          <w:sz w:val="24"/>
          <w:szCs w:val="24"/>
        </w:rPr>
      </w:pPr>
      <w:r w:rsidRPr="004D6466">
        <w:rPr>
          <w:rFonts w:ascii="Arial" w:eastAsia="Times New Roman" w:hAnsi="Arial" w:cs="Arial"/>
          <w:sz w:val="24"/>
          <w:szCs w:val="24"/>
        </w:rPr>
        <w:t xml:space="preserve">Desde el 2007 hasta la presente fecha </w:t>
      </w:r>
      <w:r w:rsidRPr="004D6466">
        <w:rPr>
          <w:rFonts w:ascii="Arial" w:hAnsi="Arial" w:cs="Arial"/>
          <w:sz w:val="24"/>
          <w:szCs w:val="24"/>
        </w:rPr>
        <w:t>450 mil niños trabajadores fueron rescatados de las calles de las principales ciudades de Ecuador, según el MIES, esos menores han regresado al nivel educativo, han sido reinsertados en la educación escolar y han salido de las prácticas más riesgosas de trabajo, es decir han salido de basurales, florícolas, bananeras, etc., en algunos casos con sus familias; todavía restan en situación de trabajo infantil, 212.665 niños y adolescentes.</w:t>
      </w:r>
    </w:p>
    <w:p w:rsidR="00A66191" w:rsidRPr="004D6466" w:rsidRDefault="00A66191" w:rsidP="00A66191">
      <w:pPr>
        <w:spacing w:line="360" w:lineRule="auto"/>
        <w:jc w:val="both"/>
        <w:rPr>
          <w:rFonts w:ascii="Arial" w:hAnsi="Arial" w:cs="Arial"/>
          <w:sz w:val="24"/>
          <w:szCs w:val="24"/>
        </w:rPr>
      </w:pPr>
      <w:r w:rsidRPr="004D6466">
        <w:rPr>
          <w:rFonts w:ascii="Arial" w:hAnsi="Arial" w:cs="Arial"/>
          <w:sz w:val="24"/>
          <w:szCs w:val="24"/>
        </w:rPr>
        <w:t>En el 2006 el INEC hizo una encuesta que determinó que 662.665 niños, niñas y adolescentes de 5 a 17 años están en situación de trabajo infantil en el país.</w:t>
      </w:r>
    </w:p>
    <w:p w:rsidR="00A66191" w:rsidRPr="004D6466" w:rsidRDefault="00A66191" w:rsidP="00A66191">
      <w:pPr>
        <w:spacing w:line="360" w:lineRule="auto"/>
        <w:jc w:val="both"/>
        <w:rPr>
          <w:rFonts w:ascii="Arial" w:hAnsi="Arial" w:cs="Arial"/>
          <w:sz w:val="24"/>
          <w:szCs w:val="24"/>
        </w:rPr>
      </w:pPr>
      <w:r w:rsidRPr="004D6466">
        <w:rPr>
          <w:rFonts w:ascii="Arial" w:hAnsi="Arial" w:cs="Arial"/>
          <w:sz w:val="24"/>
          <w:szCs w:val="24"/>
        </w:rPr>
        <w:t>El 60,4% de niños trabajadores realiza actividades en agricultura, silvicultura, caza y pesca. De ellos, el 84,5% pertenecen al área rural y el 85,0% son de raza indígena.</w:t>
      </w:r>
    </w:p>
    <w:p w:rsidR="00A66191" w:rsidRPr="004D6466" w:rsidRDefault="00A66191" w:rsidP="00A66191">
      <w:pPr>
        <w:spacing w:line="360" w:lineRule="auto"/>
        <w:jc w:val="both"/>
        <w:rPr>
          <w:rFonts w:ascii="Arial" w:eastAsia="Times New Roman" w:hAnsi="Arial" w:cs="Arial"/>
          <w:sz w:val="24"/>
          <w:szCs w:val="24"/>
        </w:rPr>
      </w:pPr>
      <w:r w:rsidRPr="004D6466">
        <w:rPr>
          <w:rFonts w:ascii="Arial" w:eastAsia="Times New Roman" w:hAnsi="Arial" w:cs="Arial"/>
          <w:sz w:val="24"/>
          <w:szCs w:val="24"/>
        </w:rPr>
        <w:t xml:space="preserve">El 27,6% de niños trabajadores realizan actividades en servicios, de los cuales el 66,5 % pertenecen al área urbana. </w:t>
      </w:r>
    </w:p>
    <w:p w:rsidR="00A66191" w:rsidRPr="004D6466" w:rsidRDefault="00A66191" w:rsidP="00A66191">
      <w:pPr>
        <w:spacing w:line="360" w:lineRule="auto"/>
        <w:jc w:val="both"/>
        <w:rPr>
          <w:rFonts w:ascii="Arial" w:eastAsia="Times New Roman" w:hAnsi="Arial" w:cs="Arial"/>
          <w:sz w:val="24"/>
          <w:szCs w:val="24"/>
        </w:rPr>
      </w:pPr>
      <w:r w:rsidRPr="004D6466">
        <w:rPr>
          <w:rFonts w:ascii="Arial" w:eastAsia="Times New Roman" w:hAnsi="Arial" w:cs="Arial"/>
          <w:sz w:val="24"/>
          <w:szCs w:val="24"/>
        </w:rPr>
        <w:t>Del total de niños y jóvenes trabajadores el 65,28% asisten a clases y el 34,72 no asisten.</w:t>
      </w:r>
    </w:p>
    <w:p w:rsidR="00A66191" w:rsidRPr="004D6466" w:rsidRDefault="00A66191" w:rsidP="00A66191">
      <w:pPr>
        <w:spacing w:line="360" w:lineRule="auto"/>
        <w:jc w:val="both"/>
        <w:rPr>
          <w:rFonts w:ascii="Arial" w:hAnsi="Arial" w:cs="Arial"/>
          <w:b/>
          <w:sz w:val="24"/>
          <w:szCs w:val="24"/>
        </w:rPr>
      </w:pPr>
      <w:r w:rsidRPr="004D6466">
        <w:rPr>
          <w:rFonts w:ascii="Arial" w:hAnsi="Arial" w:cs="Arial"/>
          <w:b/>
          <w:sz w:val="24"/>
          <w:szCs w:val="24"/>
        </w:rPr>
        <w:t>4.3 Ámbito de salud</w:t>
      </w:r>
    </w:p>
    <w:p w:rsidR="00A66191" w:rsidRPr="004D6466" w:rsidRDefault="00A66191" w:rsidP="00A66191">
      <w:pPr>
        <w:spacing w:line="360" w:lineRule="auto"/>
        <w:jc w:val="both"/>
        <w:rPr>
          <w:rFonts w:ascii="Arial" w:hAnsi="Arial" w:cs="Arial"/>
          <w:sz w:val="24"/>
          <w:szCs w:val="24"/>
        </w:rPr>
      </w:pPr>
      <w:r w:rsidRPr="004D6466">
        <w:rPr>
          <w:rFonts w:ascii="Arial" w:hAnsi="Arial" w:cs="Arial"/>
          <w:sz w:val="24"/>
          <w:szCs w:val="24"/>
        </w:rPr>
        <w:t xml:space="preserve">En lo que respecta al ámbito de la salud las medidas más representativas son las siguientes: </w:t>
      </w:r>
    </w:p>
    <w:p w:rsidR="00A66191" w:rsidRPr="004D6466" w:rsidRDefault="00A66191" w:rsidP="00A66191">
      <w:pPr>
        <w:spacing w:line="360" w:lineRule="auto"/>
        <w:jc w:val="both"/>
        <w:rPr>
          <w:rFonts w:ascii="Arial" w:hAnsi="Arial" w:cs="Arial"/>
          <w:sz w:val="24"/>
          <w:szCs w:val="24"/>
        </w:rPr>
      </w:pPr>
      <w:r w:rsidRPr="004D6466">
        <w:rPr>
          <w:rFonts w:ascii="Arial" w:hAnsi="Arial" w:cs="Arial"/>
          <w:b/>
          <w:i/>
          <w:sz w:val="24"/>
          <w:szCs w:val="24"/>
        </w:rPr>
        <w:t>4.3.1</w:t>
      </w:r>
      <w:r w:rsidR="00D67E50">
        <w:rPr>
          <w:rFonts w:ascii="Arial" w:hAnsi="Arial" w:cs="Arial"/>
          <w:b/>
          <w:i/>
          <w:sz w:val="24"/>
          <w:szCs w:val="24"/>
        </w:rPr>
        <w:t xml:space="preserve"> </w:t>
      </w:r>
      <w:r w:rsidR="00D67E50" w:rsidRPr="00D67E50">
        <w:rPr>
          <w:rFonts w:ascii="Arial" w:hAnsi="Arial" w:cs="Arial"/>
          <w:b/>
          <w:sz w:val="24"/>
          <w:szCs w:val="24"/>
        </w:rPr>
        <w:t>“</w:t>
      </w:r>
      <w:r w:rsidRPr="00D67E50">
        <w:rPr>
          <w:rFonts w:ascii="Arial" w:hAnsi="Arial" w:cs="Arial"/>
          <w:b/>
          <w:i/>
          <w:sz w:val="24"/>
          <w:szCs w:val="24"/>
        </w:rPr>
        <w:t>Acción</w:t>
      </w:r>
      <w:r w:rsidRPr="004D6466">
        <w:rPr>
          <w:rFonts w:ascii="Arial" w:hAnsi="Arial" w:cs="Arial"/>
          <w:b/>
          <w:i/>
          <w:sz w:val="24"/>
          <w:szCs w:val="24"/>
        </w:rPr>
        <w:t xml:space="preserve"> Nutrición”</w:t>
      </w:r>
    </w:p>
    <w:p w:rsidR="00A66191" w:rsidRPr="004D6466" w:rsidRDefault="00A66191" w:rsidP="00A66191">
      <w:pPr>
        <w:autoSpaceDE w:val="0"/>
        <w:autoSpaceDN w:val="0"/>
        <w:adjustRightInd w:val="0"/>
        <w:spacing w:after="0" w:line="360" w:lineRule="auto"/>
        <w:jc w:val="both"/>
        <w:rPr>
          <w:rFonts w:ascii="Arial" w:hAnsi="Arial" w:cs="Arial"/>
          <w:sz w:val="24"/>
          <w:szCs w:val="24"/>
        </w:rPr>
      </w:pPr>
      <w:r w:rsidRPr="004D6466">
        <w:rPr>
          <w:rFonts w:ascii="Arial" w:hAnsi="Arial" w:cs="Arial"/>
          <w:sz w:val="24"/>
          <w:szCs w:val="24"/>
        </w:rPr>
        <w:t xml:space="preserve">El programa “Acción Nutrición: hacia la Desnutrición Cero” tiene como propósito atender a mujeres embarazadas y niños con edad menor a un año, con la intención de reducir la desnutrición y la anemia. Como estrategia adicional, se entregará el incentivo económico “Desnutrición Cero” en 303 parroquias, de 20 provincias a nivel nacional. Este incentivo económico es de 10 USD que el Gobierno entrega por cada control prenatal. Adicionalmente las beneficiarias reciben 60 USD si el parto se realiza en un centro de salud; </w:t>
      </w:r>
      <w:r w:rsidRPr="004D6466">
        <w:rPr>
          <w:rFonts w:ascii="Arial" w:hAnsi="Arial" w:cs="Arial"/>
          <w:sz w:val="24"/>
          <w:szCs w:val="24"/>
        </w:rPr>
        <w:lastRenderedPageBreak/>
        <w:t>también se motiva económicamente a la mujer si lleva a su hijo al médico hasta que cumpla el primer año de edad. En total recibe 10 USD cada vez que asiste a los controles pediátricos y se estima que vaya a seis citas.</w:t>
      </w:r>
    </w:p>
    <w:p w:rsidR="00A66191" w:rsidRPr="004D6466" w:rsidRDefault="00A66191" w:rsidP="00A66191">
      <w:pPr>
        <w:spacing w:before="100" w:beforeAutospacing="1" w:after="100" w:afterAutospacing="1" w:line="360" w:lineRule="auto"/>
        <w:jc w:val="both"/>
        <w:rPr>
          <w:rFonts w:ascii="Arial" w:eastAsia="Times New Roman" w:hAnsi="Arial" w:cs="Arial"/>
          <w:sz w:val="24"/>
          <w:szCs w:val="24"/>
          <w:lang w:val="es-MX"/>
        </w:rPr>
      </w:pPr>
      <w:r w:rsidRPr="004D6466">
        <w:rPr>
          <w:rFonts w:ascii="Arial" w:eastAsia="Times New Roman" w:hAnsi="Arial" w:cs="Arial"/>
          <w:sz w:val="24"/>
          <w:szCs w:val="24"/>
          <w:lang w:val="es-EC"/>
        </w:rPr>
        <w:t>Las metas centrales del plan “Acción Nutrición” son las de erradicar la des</w:t>
      </w:r>
      <w:r w:rsidRPr="004D6466">
        <w:rPr>
          <w:rFonts w:ascii="Arial" w:eastAsia="Times New Roman" w:hAnsi="Arial" w:cs="Arial"/>
          <w:sz w:val="24"/>
          <w:szCs w:val="24"/>
          <w:lang w:val="es-MX"/>
        </w:rPr>
        <w:t>nutrición crónica en niños y la anemia en menores de un año hasta el 2015; y reducir en un 50% la prevalencia de anemia en niños menores de cinco años  hasta el 2013, en la población intervenida.</w:t>
      </w:r>
    </w:p>
    <w:p w:rsidR="00A66191" w:rsidRPr="004D6466" w:rsidRDefault="00A66191" w:rsidP="00A66191">
      <w:pPr>
        <w:spacing w:before="100" w:beforeAutospacing="1" w:after="100" w:afterAutospacing="1" w:line="360" w:lineRule="auto"/>
        <w:jc w:val="both"/>
        <w:rPr>
          <w:rFonts w:ascii="Arial" w:eastAsia="Times New Roman" w:hAnsi="Arial" w:cs="Arial"/>
          <w:b/>
          <w:i/>
          <w:sz w:val="24"/>
          <w:szCs w:val="24"/>
          <w:lang w:val="es-MX"/>
        </w:rPr>
      </w:pPr>
      <w:r w:rsidRPr="004D6466">
        <w:rPr>
          <w:rFonts w:ascii="Arial" w:eastAsia="Times New Roman" w:hAnsi="Arial" w:cs="Arial"/>
          <w:b/>
          <w:i/>
          <w:sz w:val="24"/>
          <w:szCs w:val="24"/>
          <w:lang w:val="es-MX"/>
        </w:rPr>
        <w:t>4.3.2 “Programa de Enfermedades Catastróficas” y “Proyecto Manuela Espejo y Joaquín Gallegos Lara”</w:t>
      </w:r>
    </w:p>
    <w:p w:rsidR="00A66191" w:rsidRPr="004D6466" w:rsidRDefault="00A66191" w:rsidP="00A66191">
      <w:pPr>
        <w:pStyle w:val="NormalWeb"/>
        <w:spacing w:line="360" w:lineRule="auto"/>
        <w:jc w:val="both"/>
        <w:rPr>
          <w:rFonts w:ascii="Arial" w:hAnsi="Arial" w:cs="Arial"/>
        </w:rPr>
      </w:pPr>
      <w:r w:rsidRPr="004D6466">
        <w:rPr>
          <w:rFonts w:ascii="Arial" w:hAnsi="Arial" w:cs="Arial"/>
        </w:rPr>
        <w:t>Una enfermedad catastrófica se refiere a los problemas de salud que cumplan con las siguientes características:</w:t>
      </w:r>
    </w:p>
    <w:p w:rsidR="00A66191" w:rsidRPr="004D6466" w:rsidRDefault="00A66191" w:rsidP="00A66191">
      <w:pPr>
        <w:pStyle w:val="NormalWeb"/>
        <w:numPr>
          <w:ilvl w:val="1"/>
          <w:numId w:val="13"/>
        </w:numPr>
        <w:spacing w:line="360" w:lineRule="auto"/>
        <w:jc w:val="both"/>
        <w:rPr>
          <w:rFonts w:ascii="Arial" w:hAnsi="Arial" w:cs="Arial"/>
        </w:rPr>
      </w:pPr>
      <w:r w:rsidRPr="004D6466">
        <w:rPr>
          <w:rFonts w:ascii="Arial" w:hAnsi="Arial" w:cs="Arial"/>
        </w:rPr>
        <w:t>Que impliquen un riesgo alto para la vida de la persona;</w:t>
      </w:r>
    </w:p>
    <w:p w:rsidR="00A66191" w:rsidRPr="004D6466" w:rsidRDefault="00A66191" w:rsidP="00A66191">
      <w:pPr>
        <w:pStyle w:val="NormalWeb"/>
        <w:numPr>
          <w:ilvl w:val="1"/>
          <w:numId w:val="13"/>
        </w:numPr>
        <w:spacing w:line="360" w:lineRule="auto"/>
        <w:jc w:val="both"/>
        <w:rPr>
          <w:rFonts w:ascii="Arial" w:hAnsi="Arial" w:cs="Arial"/>
        </w:rPr>
      </w:pPr>
      <w:r w:rsidRPr="004D6466">
        <w:rPr>
          <w:rFonts w:ascii="Arial" w:hAnsi="Arial" w:cs="Arial"/>
        </w:rPr>
        <w:t>Que sea una enfermedad crónica y por tanto su atención no sea emergente;</w:t>
      </w:r>
    </w:p>
    <w:p w:rsidR="00A66191" w:rsidRPr="004D6466" w:rsidRDefault="00A66191" w:rsidP="00A66191">
      <w:pPr>
        <w:pStyle w:val="NormalWeb"/>
        <w:numPr>
          <w:ilvl w:val="1"/>
          <w:numId w:val="13"/>
        </w:numPr>
        <w:spacing w:line="360" w:lineRule="auto"/>
        <w:jc w:val="both"/>
        <w:rPr>
          <w:rFonts w:ascii="Arial" w:hAnsi="Arial" w:cs="Arial"/>
        </w:rPr>
      </w:pPr>
      <w:r w:rsidRPr="004D6466">
        <w:rPr>
          <w:rFonts w:ascii="Arial" w:hAnsi="Arial" w:cs="Arial"/>
        </w:rPr>
        <w:t>Que su tratamiento pueda ser programado;</w:t>
      </w:r>
    </w:p>
    <w:p w:rsidR="00A66191" w:rsidRPr="004D6466" w:rsidRDefault="00A66191" w:rsidP="00A66191">
      <w:pPr>
        <w:pStyle w:val="NormalWeb"/>
        <w:numPr>
          <w:ilvl w:val="1"/>
          <w:numId w:val="13"/>
        </w:numPr>
        <w:spacing w:line="360" w:lineRule="auto"/>
        <w:jc w:val="both"/>
        <w:rPr>
          <w:rFonts w:ascii="Arial" w:hAnsi="Arial" w:cs="Arial"/>
        </w:rPr>
      </w:pPr>
      <w:r w:rsidRPr="004D6466">
        <w:rPr>
          <w:rFonts w:ascii="Arial" w:hAnsi="Arial" w:cs="Arial"/>
        </w:rPr>
        <w:t>Que el valor de su tratamiento mensual sea mayor a una canasta familiar vital publicada mensualmente por el INEC.</w:t>
      </w:r>
    </w:p>
    <w:p w:rsidR="00A66191" w:rsidRPr="004D6466" w:rsidRDefault="00A66191" w:rsidP="00A66191">
      <w:pPr>
        <w:pStyle w:val="NormalWeb"/>
        <w:spacing w:line="360" w:lineRule="auto"/>
        <w:jc w:val="both"/>
        <w:rPr>
          <w:rFonts w:ascii="Arial" w:hAnsi="Arial" w:cs="Arial"/>
        </w:rPr>
      </w:pPr>
      <w:r w:rsidRPr="004D6466">
        <w:rPr>
          <w:rFonts w:ascii="Arial" w:hAnsi="Arial" w:cs="Arial"/>
        </w:rPr>
        <w:t>En el Ecuador existen al momento aproximadamente 150.000 personas que padecen de las enfermedades catastróficas agudas y crónicas, que equivale a una cifra mayor al 15% de todos los egresos hospitalarios considerados en el rango de estas enfermedades a nivel nacional y que esperan por tratamiento y ayuda urgente; por ejemplo actualmente los pacientes que requieren de diálisis son 3.000 aproximadamente, y de ellos alrededor de 700 son potenciales candidatos a trasplante renal.</w:t>
      </w:r>
    </w:p>
    <w:p w:rsidR="00A66191" w:rsidRPr="004D6466" w:rsidRDefault="00A66191" w:rsidP="00A66191">
      <w:pPr>
        <w:pStyle w:val="NormalWeb"/>
        <w:spacing w:line="360" w:lineRule="auto"/>
        <w:jc w:val="both"/>
        <w:rPr>
          <w:rFonts w:ascii="Arial" w:hAnsi="Arial" w:cs="Arial"/>
        </w:rPr>
      </w:pPr>
      <w:r w:rsidRPr="004D6466">
        <w:rPr>
          <w:rFonts w:ascii="Arial" w:hAnsi="Arial" w:cs="Arial"/>
        </w:rPr>
        <w:t>La Constitución de la República del Ecuador en el Art. 50, señala que “El Estado garantizará a toda persona que sufra de enfermedades catastróficas o de alta complejidad el derecho a la atención especializada y gratuita en todos los niveles, de manera oportuna y preferente.”</w:t>
      </w:r>
    </w:p>
    <w:p w:rsidR="00A66191" w:rsidRPr="004D6466" w:rsidRDefault="00A66191" w:rsidP="00A66191">
      <w:pPr>
        <w:pStyle w:val="NormalWeb"/>
        <w:spacing w:line="360" w:lineRule="auto"/>
        <w:jc w:val="both"/>
        <w:rPr>
          <w:rFonts w:ascii="Arial" w:hAnsi="Arial" w:cs="Arial"/>
        </w:rPr>
      </w:pPr>
      <w:r w:rsidRPr="00727475">
        <w:rPr>
          <w:rStyle w:val="Textoennegrita"/>
          <w:rFonts w:ascii="Arial" w:hAnsi="Arial" w:cs="Arial"/>
          <w:b w:val="0"/>
        </w:rPr>
        <w:lastRenderedPageBreak/>
        <w:t>Para la atención de este tipo de enfermedades surgió una iniciativa llamada</w:t>
      </w:r>
      <w:r w:rsidRPr="004D6466">
        <w:rPr>
          <w:rFonts w:ascii="Arial" w:hAnsi="Arial" w:cs="Arial"/>
        </w:rPr>
        <w:t xml:space="preserve"> “Red de Protección Solidaria del MIES”, que pretende dar apoyo emergente en situaciones catastróficas individuales a personas y hogares ecuatorianos, cubrirá a todas y todos los ecuatorianos y extranjeros residentes en territorio ecuatoriano que lo requieran. Uno de los componentes de esta iniciativa es el de salud, que es un derecho que se entrega, a las familias que atraviesan una situación catastrófica específica a causa de una enfermedad grave o una discapacidad que sufre alguno o varios de los integrantes del grupo familiar. Los beneficiarios del componente salud de la Red de Protección Solidaria serán todas las personas que padezcan alguna de las enfermedades catastróficas y discapacidades establecidas por el programa para su atención, y que estén siendo atendidas dentro del sistema público.</w:t>
      </w:r>
    </w:p>
    <w:p w:rsidR="00A66191" w:rsidRPr="004D6466" w:rsidRDefault="00A66191" w:rsidP="00A66191">
      <w:pPr>
        <w:pStyle w:val="NormalWeb"/>
        <w:spacing w:line="360" w:lineRule="auto"/>
        <w:jc w:val="both"/>
        <w:rPr>
          <w:rFonts w:ascii="Arial" w:hAnsi="Arial" w:cs="Arial"/>
        </w:rPr>
      </w:pPr>
      <w:r w:rsidRPr="004D6466">
        <w:rPr>
          <w:rFonts w:ascii="Arial" w:hAnsi="Arial" w:cs="Arial"/>
        </w:rPr>
        <w:t xml:space="preserve">El </w:t>
      </w:r>
      <w:r w:rsidRPr="004D6466">
        <w:rPr>
          <w:rFonts w:ascii="Arial" w:hAnsi="Arial" w:cs="Arial"/>
          <w:b/>
        </w:rPr>
        <w:t>proyecto “Manuela Espejo”</w:t>
      </w:r>
      <w:r w:rsidRPr="004D6466">
        <w:rPr>
          <w:rFonts w:ascii="Arial" w:hAnsi="Arial" w:cs="Arial"/>
        </w:rPr>
        <w:t xml:space="preserve"> es un estudio biológico, psicológico, social, clínico y genético para estudiar y registrar de manera geográfica a todas las personas con discapacidad a escala nacional.</w:t>
      </w:r>
    </w:p>
    <w:p w:rsidR="00A66191" w:rsidRPr="004D6466" w:rsidRDefault="00A66191" w:rsidP="00A66191">
      <w:pPr>
        <w:pStyle w:val="NormalWeb"/>
        <w:spacing w:line="360" w:lineRule="auto"/>
        <w:jc w:val="both"/>
        <w:rPr>
          <w:rFonts w:ascii="Arial" w:hAnsi="Arial" w:cs="Arial"/>
        </w:rPr>
      </w:pPr>
      <w:r w:rsidRPr="004D6466">
        <w:rPr>
          <w:rFonts w:ascii="Arial" w:hAnsi="Arial" w:cs="Arial"/>
        </w:rPr>
        <w:t>En un primer momento fue un estudio científico - médico para determinar las causas de las discapacidades y conocer la realidad biológica, psicológica y social de esta población desde los puntos de vista biológico, psicológico, social, clínico y genético, con el fin de establecer políticas de estado reales, que abarquen diversas áreas como salud, educación y bienestar social.</w:t>
      </w:r>
    </w:p>
    <w:p w:rsidR="00A66191" w:rsidRPr="004D6466" w:rsidRDefault="00A66191" w:rsidP="00A66191">
      <w:pPr>
        <w:pStyle w:val="NormalWeb"/>
        <w:spacing w:line="360" w:lineRule="auto"/>
        <w:jc w:val="both"/>
        <w:rPr>
          <w:rFonts w:ascii="Arial" w:hAnsi="Arial" w:cs="Arial"/>
        </w:rPr>
      </w:pPr>
      <w:r w:rsidRPr="004D6466">
        <w:rPr>
          <w:rFonts w:ascii="Arial" w:hAnsi="Arial" w:cs="Arial"/>
        </w:rPr>
        <w:t>La misión nació de la iniciativa de 229 médicos especialistas cubanos y 120 médicos ecuatorianos que cumplieron con la primera fase de diagnóstico e investigación científica de las causas de las discapacidades.</w:t>
      </w:r>
    </w:p>
    <w:p w:rsidR="00A66191" w:rsidRPr="004D6466" w:rsidRDefault="00A66191" w:rsidP="00A66191">
      <w:pPr>
        <w:pStyle w:val="NormalWeb"/>
        <w:spacing w:line="360" w:lineRule="auto"/>
        <w:jc w:val="both"/>
        <w:rPr>
          <w:rFonts w:ascii="Arial" w:hAnsi="Arial" w:cs="Arial"/>
        </w:rPr>
      </w:pPr>
      <w:r w:rsidRPr="004D6466">
        <w:rPr>
          <w:rFonts w:ascii="Arial" w:hAnsi="Arial" w:cs="Arial"/>
        </w:rPr>
        <w:t>Desde julio del 2009 a noviembre del 2011, las brigadas de la Misión Solida</w:t>
      </w:r>
      <w:r w:rsidR="00D67E50">
        <w:rPr>
          <w:rFonts w:ascii="Arial" w:hAnsi="Arial" w:cs="Arial"/>
        </w:rPr>
        <w:t>ria Manuela Espejo, visitaron 1.</w:t>
      </w:r>
      <w:r w:rsidRPr="004D6466">
        <w:rPr>
          <w:rFonts w:ascii="Arial" w:hAnsi="Arial" w:cs="Arial"/>
        </w:rPr>
        <w:t>286.331 hogares en 24 provincias y 221 cantones del Ecuador, estudiando y localizando a 294.611 personas con discapacidad.</w:t>
      </w:r>
    </w:p>
    <w:p w:rsidR="00A66191" w:rsidRPr="004D6466" w:rsidRDefault="00A66191" w:rsidP="00A66191">
      <w:pPr>
        <w:pStyle w:val="NormalWeb"/>
        <w:spacing w:line="360" w:lineRule="auto"/>
        <w:jc w:val="both"/>
        <w:rPr>
          <w:rFonts w:ascii="Arial" w:hAnsi="Arial" w:cs="Arial"/>
        </w:rPr>
      </w:pPr>
      <w:r w:rsidRPr="004D6466">
        <w:rPr>
          <w:rFonts w:ascii="Arial" w:hAnsi="Arial" w:cs="Arial"/>
        </w:rPr>
        <w:t xml:space="preserve">Se realizaron 825.576 atenciones médicas a personas con discapacidad o a familiares. Se efectuaron también 21.062 consultas de genetistas y 35.257 consultas de otros especialistas; se registraron 26.327 casos críticos, que fueron atendidos urgente y oportunamente por la red pública de Salud. Estos </w:t>
      </w:r>
      <w:r w:rsidRPr="004D6466">
        <w:rPr>
          <w:rFonts w:ascii="Arial" w:hAnsi="Arial" w:cs="Arial"/>
        </w:rPr>
        <w:lastRenderedPageBreak/>
        <w:t>datos arrojan una prevalencia de 2,43% de personas con discapacidad a nivel nacional.</w:t>
      </w:r>
    </w:p>
    <w:p w:rsidR="00A66191" w:rsidRPr="004D6466" w:rsidRDefault="00A66191" w:rsidP="00A66191">
      <w:pPr>
        <w:pStyle w:val="NormalWeb"/>
        <w:spacing w:line="360" w:lineRule="auto"/>
        <w:jc w:val="both"/>
        <w:rPr>
          <w:rFonts w:ascii="Arial" w:hAnsi="Arial" w:cs="Arial"/>
        </w:rPr>
      </w:pPr>
      <w:r w:rsidRPr="004D6466">
        <w:rPr>
          <w:rFonts w:ascii="Arial" w:hAnsi="Arial" w:cs="Arial"/>
        </w:rPr>
        <w:t>El proyecto Manuela Espejo también incluye la construcción de casas, en el 2010</w:t>
      </w:r>
      <w:r w:rsidRPr="004D6466">
        <w:rPr>
          <w:rFonts w:ascii="Arial" w:hAnsi="Arial" w:cs="Arial"/>
          <w:lang w:val="es-EC"/>
        </w:rPr>
        <w:t xml:space="preserve"> por un monto de 5.000 dólares se aprobaron 2.437 bonos y se pagaron 2.256 por un monto de 11.547.861 dólares y se terminaron 1.191 viviendas; por un valor de 1.500 dólares se aprobaron 62 bonos a nivel nacional y se pagaron 34; por un valor de 50.500 dólares, se terminaron 29 viviendas.</w:t>
      </w:r>
    </w:p>
    <w:p w:rsidR="00A66191" w:rsidRPr="004D6466" w:rsidRDefault="00A66191" w:rsidP="00A66191">
      <w:pPr>
        <w:pStyle w:val="NormalWeb"/>
        <w:spacing w:line="360" w:lineRule="auto"/>
        <w:jc w:val="both"/>
        <w:rPr>
          <w:rFonts w:ascii="Arial" w:hAnsi="Arial" w:cs="Arial"/>
        </w:rPr>
      </w:pPr>
      <w:r w:rsidRPr="004D6466">
        <w:rPr>
          <w:rFonts w:ascii="Arial" w:hAnsi="Arial" w:cs="Arial"/>
        </w:rPr>
        <w:t xml:space="preserve">El proyecto </w:t>
      </w:r>
      <w:r w:rsidRPr="004D6466">
        <w:rPr>
          <w:rFonts w:ascii="Arial" w:hAnsi="Arial" w:cs="Arial"/>
          <w:b/>
        </w:rPr>
        <w:t>“Joaquín Gallegos Lara”,</w:t>
      </w:r>
      <w:r w:rsidRPr="004D6466">
        <w:rPr>
          <w:rFonts w:ascii="Arial" w:hAnsi="Arial" w:cs="Arial"/>
        </w:rPr>
        <w:t xml:space="preserve"> en el marco de trabajo de la misión Manuela Espejo, identificó los casos críticos, es decir, aquellos en que las personas con discapacidad intelectual, física severa o con multi-discapacidades, viven en un entorno de extrema pobreza, siendo, en muchas ocasiones, abandonados por sus familiares en largas jornadas, debido a su urgencia de ganarse la vida en las calles o en el campo. </w:t>
      </w:r>
    </w:p>
    <w:p w:rsidR="00A66191" w:rsidRPr="004D6466" w:rsidRDefault="00A66191" w:rsidP="00A66191">
      <w:pPr>
        <w:pStyle w:val="NormalWeb"/>
        <w:spacing w:line="360" w:lineRule="auto"/>
        <w:jc w:val="both"/>
        <w:rPr>
          <w:rFonts w:ascii="Arial" w:hAnsi="Arial" w:cs="Arial"/>
        </w:rPr>
      </w:pPr>
      <w:r w:rsidRPr="004D6466">
        <w:rPr>
          <w:rFonts w:ascii="Arial" w:hAnsi="Arial" w:cs="Arial"/>
        </w:rPr>
        <w:t>Con equipos multidisciplinarios de médicos, psicopedagogos y trabajadores sociales, “Joaquín Gallegos Lara” visita los casos con discapacidad severa o multidiscapacidad identificados por “Manuela Espejo”, para registrar a un familiar cuidador o persona que se haga responsable de sus cuidados.</w:t>
      </w:r>
    </w:p>
    <w:p w:rsidR="00A66191" w:rsidRPr="004D6466" w:rsidRDefault="00A66191" w:rsidP="00A66191">
      <w:pPr>
        <w:pStyle w:val="NormalWeb"/>
        <w:spacing w:line="360" w:lineRule="auto"/>
        <w:jc w:val="both"/>
        <w:rPr>
          <w:rFonts w:ascii="Arial" w:hAnsi="Arial" w:cs="Arial"/>
        </w:rPr>
      </w:pPr>
      <w:r w:rsidRPr="004D6466">
        <w:rPr>
          <w:rFonts w:ascii="Arial" w:hAnsi="Arial" w:cs="Arial"/>
        </w:rPr>
        <w:t xml:space="preserve">En el Ecuador, </w:t>
      </w:r>
      <w:r w:rsidRPr="00727475">
        <w:rPr>
          <w:rStyle w:val="Textoennegrita"/>
          <w:rFonts w:ascii="Arial" w:hAnsi="Arial" w:cs="Arial"/>
          <w:b w:val="0"/>
        </w:rPr>
        <w:t>14.479 personas son beneficiarias del Programa Joaquín Gallegos Lara</w:t>
      </w:r>
      <w:r w:rsidRPr="004D6466">
        <w:rPr>
          <w:rFonts w:ascii="Arial" w:hAnsi="Arial" w:cs="Arial"/>
        </w:rPr>
        <w:t xml:space="preserve"> que consiste en la entrega de una ayuda económica de 240 dólares a un familiar cuidador o persona que se haga responsable del cuidado de una persona que padece de discapacidad física o intelectual severas, dicha ayuda es pagado a través del Banco Nacional de Fomento.</w:t>
      </w:r>
    </w:p>
    <w:p w:rsidR="00A66191" w:rsidRPr="004D6466" w:rsidRDefault="00A66191" w:rsidP="00A66191">
      <w:pPr>
        <w:pStyle w:val="NormalWeb"/>
        <w:spacing w:line="360" w:lineRule="auto"/>
        <w:jc w:val="both"/>
        <w:rPr>
          <w:rFonts w:ascii="Arial" w:hAnsi="Arial" w:cs="Arial"/>
        </w:rPr>
      </w:pPr>
      <w:r w:rsidRPr="004D6466">
        <w:rPr>
          <w:rFonts w:ascii="Arial" w:hAnsi="Arial" w:cs="Arial"/>
        </w:rPr>
        <w:t>También se entrega medicinas y capacitación en áreas como salud, higiene, rehabilitación, nutrición, derechos y autoestima y se compromete además a cumplir con un seguimiento permanente por parte del Seguro Social Campesino y el Ministerio de Salud, en coordinación con la Vicepresidencia de la República.</w:t>
      </w:r>
    </w:p>
    <w:p w:rsidR="00A66191" w:rsidRPr="004D6466" w:rsidRDefault="00A66191" w:rsidP="00A66191">
      <w:pPr>
        <w:pStyle w:val="NormalWeb"/>
        <w:spacing w:line="360" w:lineRule="auto"/>
        <w:jc w:val="both"/>
        <w:rPr>
          <w:rFonts w:ascii="Arial" w:hAnsi="Arial" w:cs="Arial"/>
        </w:rPr>
      </w:pPr>
      <w:r w:rsidRPr="004D6466">
        <w:rPr>
          <w:rFonts w:ascii="Arial" w:hAnsi="Arial" w:cs="Arial"/>
        </w:rPr>
        <w:t xml:space="preserve">Así también los beneficiarios del programa reciben un seguro exequial totalmente gratuito en caso del fallecimiento de la persona con discapacidad. </w:t>
      </w:r>
      <w:r w:rsidRPr="004D6466">
        <w:rPr>
          <w:rFonts w:ascii="Arial" w:hAnsi="Arial" w:cs="Arial"/>
        </w:rPr>
        <w:lastRenderedPageBreak/>
        <w:t>La persona cuidadora también puede contar con un seguro de vida por un valor de</w:t>
      </w:r>
      <w:r w:rsidR="00B937F3">
        <w:rPr>
          <w:rFonts w:ascii="Arial" w:hAnsi="Arial" w:cs="Arial"/>
        </w:rPr>
        <w:t xml:space="preserve"> </w:t>
      </w:r>
      <w:r w:rsidRPr="00727475">
        <w:rPr>
          <w:rStyle w:val="Textoennegrita"/>
          <w:rFonts w:ascii="Arial" w:hAnsi="Arial" w:cs="Arial"/>
          <w:b w:val="0"/>
        </w:rPr>
        <w:t>500 dólares</w:t>
      </w:r>
      <w:r w:rsidRPr="004D6466">
        <w:rPr>
          <w:rStyle w:val="Textoennegrita"/>
          <w:rFonts w:ascii="Arial" w:hAnsi="Arial" w:cs="Arial"/>
        </w:rPr>
        <w:t>.</w:t>
      </w:r>
    </w:p>
    <w:p w:rsidR="00A66191" w:rsidRPr="004D6466" w:rsidRDefault="00A66191" w:rsidP="00A66191">
      <w:pPr>
        <w:spacing w:before="100" w:beforeAutospacing="1" w:after="100" w:afterAutospacing="1" w:line="360" w:lineRule="auto"/>
        <w:jc w:val="both"/>
        <w:rPr>
          <w:rFonts w:ascii="Arial" w:eastAsia="Times New Roman" w:hAnsi="Arial" w:cs="Arial"/>
          <w:sz w:val="24"/>
          <w:szCs w:val="24"/>
        </w:rPr>
      </w:pPr>
      <w:r w:rsidRPr="004D6466">
        <w:rPr>
          <w:rFonts w:ascii="Arial" w:eastAsia="Times New Roman" w:hAnsi="Arial" w:cs="Arial"/>
          <w:bCs/>
          <w:sz w:val="24"/>
          <w:szCs w:val="24"/>
        </w:rPr>
        <w:t>Las personas cuidadoras se comprometen a:</w:t>
      </w:r>
    </w:p>
    <w:p w:rsidR="00A66191" w:rsidRPr="004D6466" w:rsidRDefault="00A66191" w:rsidP="00A66191">
      <w:pPr>
        <w:numPr>
          <w:ilvl w:val="0"/>
          <w:numId w:val="30"/>
        </w:numPr>
        <w:spacing w:before="100" w:beforeAutospacing="1" w:after="100" w:afterAutospacing="1" w:line="360" w:lineRule="auto"/>
        <w:jc w:val="both"/>
        <w:rPr>
          <w:rFonts w:ascii="Arial" w:eastAsia="Times New Roman" w:hAnsi="Arial" w:cs="Arial"/>
          <w:sz w:val="24"/>
          <w:szCs w:val="24"/>
        </w:rPr>
      </w:pPr>
      <w:r w:rsidRPr="004D6466">
        <w:rPr>
          <w:rFonts w:ascii="Arial" w:eastAsia="Times New Roman" w:hAnsi="Arial" w:cs="Arial"/>
          <w:sz w:val="24"/>
          <w:szCs w:val="24"/>
        </w:rPr>
        <w:t>Firmar un registro de ingreso a la Misión “Joaquín Gallegos Lara”.</w:t>
      </w:r>
    </w:p>
    <w:p w:rsidR="00A66191" w:rsidRPr="004D6466" w:rsidRDefault="00A66191" w:rsidP="00A66191">
      <w:pPr>
        <w:numPr>
          <w:ilvl w:val="0"/>
          <w:numId w:val="30"/>
        </w:numPr>
        <w:spacing w:before="100" w:beforeAutospacing="1" w:after="100" w:afterAutospacing="1" w:line="360" w:lineRule="auto"/>
        <w:jc w:val="both"/>
        <w:rPr>
          <w:rFonts w:ascii="Arial" w:eastAsia="Times New Roman" w:hAnsi="Arial" w:cs="Arial"/>
          <w:sz w:val="24"/>
          <w:szCs w:val="24"/>
        </w:rPr>
      </w:pPr>
      <w:r w:rsidRPr="004D6466">
        <w:rPr>
          <w:rFonts w:ascii="Arial" w:eastAsia="Times New Roman" w:hAnsi="Arial" w:cs="Arial"/>
          <w:sz w:val="24"/>
          <w:szCs w:val="24"/>
        </w:rPr>
        <w:t>Direccionar en lo posible el uso del bono a gastos de alimentación, vestido, movilización e insumos básicos.</w:t>
      </w:r>
    </w:p>
    <w:p w:rsidR="00A66191" w:rsidRPr="004D6466" w:rsidRDefault="00A66191" w:rsidP="00A66191">
      <w:pPr>
        <w:numPr>
          <w:ilvl w:val="0"/>
          <w:numId w:val="30"/>
        </w:numPr>
        <w:spacing w:before="100" w:beforeAutospacing="1" w:after="100" w:afterAutospacing="1" w:line="360" w:lineRule="auto"/>
        <w:jc w:val="both"/>
        <w:rPr>
          <w:rFonts w:ascii="Arial" w:eastAsia="Times New Roman" w:hAnsi="Arial" w:cs="Arial"/>
          <w:sz w:val="24"/>
          <w:szCs w:val="24"/>
        </w:rPr>
      </w:pPr>
      <w:r w:rsidRPr="004D6466">
        <w:rPr>
          <w:rFonts w:ascii="Arial" w:eastAsia="Times New Roman" w:hAnsi="Arial" w:cs="Arial"/>
          <w:sz w:val="24"/>
          <w:szCs w:val="24"/>
        </w:rPr>
        <w:t>Mantener niveles mínimos de cuidados a la persona con discapacidad severa.</w:t>
      </w:r>
    </w:p>
    <w:p w:rsidR="00A66191" w:rsidRPr="004D6466" w:rsidRDefault="00A66191" w:rsidP="00A66191">
      <w:pPr>
        <w:numPr>
          <w:ilvl w:val="0"/>
          <w:numId w:val="30"/>
        </w:numPr>
        <w:spacing w:before="100" w:beforeAutospacing="1" w:after="100" w:afterAutospacing="1" w:line="360" w:lineRule="auto"/>
        <w:jc w:val="both"/>
        <w:rPr>
          <w:rFonts w:ascii="Arial" w:eastAsia="Times New Roman" w:hAnsi="Arial" w:cs="Arial"/>
          <w:sz w:val="24"/>
          <w:szCs w:val="24"/>
        </w:rPr>
      </w:pPr>
      <w:r w:rsidRPr="004D6466">
        <w:rPr>
          <w:rFonts w:ascii="Arial" w:eastAsia="Times New Roman" w:hAnsi="Arial" w:cs="Arial"/>
          <w:sz w:val="24"/>
          <w:szCs w:val="24"/>
        </w:rPr>
        <w:t>Asistir a cursos de capacitación con los técnicos del Ministerio de Salud y del Seguro Social Campesino, en coordinación con la Vicepresidencia de la República.</w:t>
      </w:r>
    </w:p>
    <w:p w:rsidR="00A66191" w:rsidRPr="004D6466" w:rsidRDefault="00A66191" w:rsidP="00A66191">
      <w:pPr>
        <w:numPr>
          <w:ilvl w:val="0"/>
          <w:numId w:val="30"/>
        </w:numPr>
        <w:spacing w:before="100" w:beforeAutospacing="1" w:after="100" w:afterAutospacing="1" w:line="360" w:lineRule="auto"/>
        <w:jc w:val="both"/>
        <w:rPr>
          <w:rFonts w:ascii="Arial" w:eastAsia="Times New Roman" w:hAnsi="Arial" w:cs="Arial"/>
          <w:sz w:val="24"/>
          <w:szCs w:val="24"/>
        </w:rPr>
      </w:pPr>
      <w:r w:rsidRPr="004D6466">
        <w:rPr>
          <w:rFonts w:ascii="Arial" w:eastAsia="Times New Roman" w:hAnsi="Arial" w:cs="Arial"/>
          <w:sz w:val="24"/>
          <w:szCs w:val="24"/>
        </w:rPr>
        <w:t>Abrir una cuenta de ahorros en cualquiera de las oficinas del Banco Nacional de Fomento (BNF) a nivel nacional, con su cédula de identidad y papeleta de votación (original y copias), así como una factura o recibo de servicios básicos (original y copias). Para abrir las cuentas de ahorro, aquellas personas que no cuenten con su cédula de ciudadanía, deberán acercarse a la sucursal del Registro Civil más cercana, para la emisión de la misma, mientras que quienes no cuenten con la papeleta de votación deberán acercarse a la representación más cercana del Consejo Nacional Electoral (CNE).</w:t>
      </w:r>
    </w:p>
    <w:p w:rsidR="00A66191" w:rsidRPr="004D6466" w:rsidRDefault="00A66191" w:rsidP="00A66191">
      <w:pPr>
        <w:pStyle w:val="NormalWeb"/>
        <w:spacing w:line="360" w:lineRule="auto"/>
        <w:jc w:val="both"/>
        <w:rPr>
          <w:rFonts w:ascii="Arial" w:hAnsi="Arial" w:cs="Arial"/>
        </w:rPr>
      </w:pPr>
      <w:r w:rsidRPr="004D6466">
        <w:rPr>
          <w:rFonts w:ascii="Arial" w:hAnsi="Arial" w:cs="Arial"/>
        </w:rPr>
        <w:t>El Programa Joaquín Gallegos Lara amplía su cobertura a 115 enfermedades: nueve catastróficas y 106 raras o huérfanas y a niños y niñas hasta 14 años de edad con VIH-SIDA.</w:t>
      </w:r>
    </w:p>
    <w:p w:rsidR="00A66191" w:rsidRPr="004D6466" w:rsidRDefault="00A66191" w:rsidP="00A66191">
      <w:pPr>
        <w:pStyle w:val="NormalWeb"/>
        <w:spacing w:line="360" w:lineRule="auto"/>
        <w:jc w:val="both"/>
        <w:rPr>
          <w:rFonts w:ascii="Arial" w:hAnsi="Arial" w:cs="Arial"/>
        </w:rPr>
      </w:pPr>
      <w:r w:rsidRPr="004D6466">
        <w:rPr>
          <w:rFonts w:ascii="Arial" w:hAnsi="Arial" w:cs="Arial"/>
        </w:rPr>
        <w:t>A partir del 1 de octubre de 2012 inicia el registro en los Centros de Atención Integral Manuela Espejo (CAIMES) ubicados en las principales ciudades del país. La inversión para atender a los aproximadamente 3.500 nuevos beneficiarios es de 3’382.700 dólares.</w:t>
      </w:r>
    </w:p>
    <w:p w:rsidR="00A66191" w:rsidRPr="004D6466" w:rsidRDefault="00A66191" w:rsidP="00A66191">
      <w:pPr>
        <w:spacing w:before="100" w:beforeAutospacing="1" w:after="100" w:afterAutospacing="1" w:line="360" w:lineRule="auto"/>
        <w:jc w:val="both"/>
        <w:rPr>
          <w:rFonts w:ascii="Arial" w:eastAsia="Times New Roman" w:hAnsi="Arial" w:cs="Arial"/>
          <w:sz w:val="24"/>
          <w:szCs w:val="24"/>
        </w:rPr>
      </w:pPr>
      <w:r w:rsidRPr="004D6466">
        <w:rPr>
          <w:rFonts w:ascii="Arial" w:eastAsia="Times New Roman" w:hAnsi="Arial" w:cs="Arial"/>
          <w:sz w:val="24"/>
          <w:szCs w:val="24"/>
        </w:rPr>
        <w:t xml:space="preserve">Los requisitos para la inscripción en los centros son los siguientes: Presentar el </w:t>
      </w:r>
      <w:r w:rsidRPr="004D6466">
        <w:rPr>
          <w:rFonts w:ascii="Arial" w:eastAsia="Times New Roman" w:hAnsi="Arial" w:cs="Arial"/>
          <w:bCs/>
          <w:sz w:val="24"/>
          <w:szCs w:val="24"/>
        </w:rPr>
        <w:t>certificado médico actualizado</w:t>
      </w:r>
      <w:r w:rsidRPr="004D6466">
        <w:rPr>
          <w:rFonts w:ascii="Arial" w:eastAsia="Times New Roman" w:hAnsi="Arial" w:cs="Arial"/>
          <w:sz w:val="24"/>
          <w:szCs w:val="24"/>
        </w:rPr>
        <w:t xml:space="preserve"> (hasta 6 meses de vigencia) en el que se indique la</w:t>
      </w:r>
      <w:r w:rsidRPr="004D6466">
        <w:rPr>
          <w:rFonts w:ascii="Arial" w:eastAsia="Times New Roman" w:hAnsi="Arial" w:cs="Arial"/>
          <w:bCs/>
          <w:sz w:val="24"/>
          <w:szCs w:val="24"/>
        </w:rPr>
        <w:t xml:space="preserve"> enfermedad catastrófica, rara o huérfana</w:t>
      </w:r>
      <w:r w:rsidRPr="004D6466">
        <w:rPr>
          <w:rFonts w:ascii="Arial" w:eastAsia="Times New Roman" w:hAnsi="Arial" w:cs="Arial"/>
          <w:sz w:val="24"/>
          <w:szCs w:val="24"/>
        </w:rPr>
        <w:t xml:space="preserve"> y el </w:t>
      </w:r>
      <w:r w:rsidRPr="004D6466">
        <w:rPr>
          <w:rFonts w:ascii="Arial" w:eastAsia="Times New Roman" w:hAnsi="Arial" w:cs="Arial"/>
          <w:bCs/>
          <w:sz w:val="24"/>
          <w:szCs w:val="24"/>
        </w:rPr>
        <w:t>grado de afectación</w:t>
      </w:r>
      <w:r w:rsidRPr="004D6466">
        <w:rPr>
          <w:rFonts w:ascii="Arial" w:eastAsia="Times New Roman" w:hAnsi="Arial" w:cs="Arial"/>
          <w:sz w:val="24"/>
          <w:szCs w:val="24"/>
        </w:rPr>
        <w:t xml:space="preserve">. El </w:t>
      </w:r>
      <w:r w:rsidRPr="004D6466">
        <w:rPr>
          <w:rFonts w:ascii="Arial" w:eastAsia="Times New Roman" w:hAnsi="Arial" w:cs="Arial"/>
          <w:sz w:val="24"/>
          <w:szCs w:val="24"/>
        </w:rPr>
        <w:lastRenderedPageBreak/>
        <w:t xml:space="preserve">certificado deberá ser emitido por el especialista de la Red de Salud Pública Integral: Ministerio de Salud Pública (MSP), incluyendo clínica IESS, ISSFA, ISSPOL; y de la Red Complementaria de Salud: SOLCA,  Junta de Beneficencia de Guayaquil  e instituciones que prestan servicio al MSP; Encontrarse en una </w:t>
      </w:r>
      <w:r w:rsidRPr="004D6466">
        <w:rPr>
          <w:rFonts w:ascii="Arial" w:eastAsia="Times New Roman" w:hAnsi="Arial" w:cs="Arial"/>
          <w:bCs/>
          <w:sz w:val="24"/>
          <w:szCs w:val="24"/>
        </w:rPr>
        <w:t>situación socio-económica crítica</w:t>
      </w:r>
      <w:r w:rsidRPr="004D6466">
        <w:rPr>
          <w:rFonts w:ascii="Arial" w:eastAsia="Times New Roman" w:hAnsi="Arial" w:cs="Arial"/>
          <w:sz w:val="24"/>
          <w:szCs w:val="24"/>
        </w:rPr>
        <w:t xml:space="preserve">, que deberá ser </w:t>
      </w:r>
      <w:r w:rsidRPr="004D6466">
        <w:rPr>
          <w:rFonts w:ascii="Arial" w:eastAsia="Times New Roman" w:hAnsi="Arial" w:cs="Arial"/>
          <w:bCs/>
          <w:sz w:val="24"/>
          <w:szCs w:val="24"/>
        </w:rPr>
        <w:t>igual o menor a 50 puntos, según el Registro Social</w:t>
      </w:r>
      <w:r w:rsidRPr="004D6466">
        <w:rPr>
          <w:rFonts w:ascii="Arial" w:eastAsia="Times New Roman" w:hAnsi="Arial" w:cs="Arial"/>
          <w:sz w:val="24"/>
          <w:szCs w:val="24"/>
        </w:rPr>
        <w:t xml:space="preserve">. De no estar registrados, los brigadistas de “Joaquín Gallegos Lara” realizarán la visita correspondiente; </w:t>
      </w:r>
      <w:r w:rsidRPr="004D6466">
        <w:rPr>
          <w:rFonts w:ascii="Arial" w:eastAsia="Times New Roman" w:hAnsi="Arial" w:cs="Arial"/>
          <w:bCs/>
          <w:sz w:val="24"/>
          <w:szCs w:val="24"/>
        </w:rPr>
        <w:t>No estar afiliado</w:t>
      </w:r>
      <w:r w:rsidRPr="004D6466">
        <w:rPr>
          <w:rFonts w:ascii="Arial" w:eastAsia="Times New Roman" w:hAnsi="Arial" w:cs="Arial"/>
          <w:sz w:val="24"/>
          <w:szCs w:val="24"/>
        </w:rPr>
        <w:t xml:space="preserve"> al seguro social (IESS) o tener cobertura del ISFFA o ISSPOL; Los menores de edad y las personas mayores de edad que no estén en capacidad de auto gobernarse, deberán contar con una </w:t>
      </w:r>
      <w:r w:rsidRPr="004D6466">
        <w:rPr>
          <w:rFonts w:ascii="Arial" w:eastAsia="Times New Roman" w:hAnsi="Arial" w:cs="Arial"/>
          <w:bCs/>
          <w:sz w:val="24"/>
          <w:szCs w:val="24"/>
        </w:rPr>
        <w:t>persona cuidadora</w:t>
      </w:r>
      <w:r w:rsidRPr="004D6466">
        <w:rPr>
          <w:rFonts w:ascii="Arial" w:eastAsia="Times New Roman" w:hAnsi="Arial" w:cs="Arial"/>
          <w:sz w:val="24"/>
          <w:szCs w:val="24"/>
        </w:rPr>
        <w:t>.</w:t>
      </w:r>
    </w:p>
    <w:p w:rsidR="00A66191" w:rsidRPr="004D6466" w:rsidRDefault="00A66191" w:rsidP="00A66191">
      <w:pPr>
        <w:spacing w:before="100" w:beforeAutospacing="1" w:after="100" w:afterAutospacing="1" w:line="360" w:lineRule="auto"/>
        <w:jc w:val="both"/>
        <w:rPr>
          <w:rFonts w:ascii="Arial" w:eastAsia="Times New Roman" w:hAnsi="Arial" w:cs="Arial"/>
          <w:sz w:val="24"/>
          <w:szCs w:val="24"/>
        </w:rPr>
      </w:pPr>
      <w:r w:rsidRPr="004D6466">
        <w:rPr>
          <w:rFonts w:ascii="Arial" w:eastAsia="Times New Roman" w:hAnsi="Arial" w:cs="Arial"/>
          <w:bCs/>
          <w:sz w:val="24"/>
          <w:szCs w:val="24"/>
        </w:rPr>
        <w:t>Como ya se dijo antes entre los beneficios están</w:t>
      </w:r>
      <w:r w:rsidRPr="004D6466">
        <w:rPr>
          <w:rFonts w:ascii="Arial" w:eastAsia="Times New Roman" w:hAnsi="Arial" w:cs="Arial"/>
          <w:b/>
          <w:bCs/>
          <w:sz w:val="24"/>
          <w:szCs w:val="24"/>
        </w:rPr>
        <w:t>:</w:t>
      </w:r>
      <w:r w:rsidRPr="004D6466">
        <w:rPr>
          <w:rFonts w:ascii="Arial" w:eastAsia="Times New Roman" w:hAnsi="Arial" w:cs="Arial"/>
          <w:sz w:val="24"/>
          <w:szCs w:val="24"/>
        </w:rPr>
        <w:t xml:space="preserve"> la asignación mensual de 240 dólares; seguro exequial; y la capacitación en autoestima, higiene, uso de medicamentos, cuidados paliativos e integración social. </w:t>
      </w:r>
    </w:p>
    <w:p w:rsidR="00A66191" w:rsidRPr="004D6466" w:rsidRDefault="00A66191" w:rsidP="00A66191">
      <w:pPr>
        <w:spacing w:before="100" w:beforeAutospacing="1" w:after="100" w:afterAutospacing="1" w:line="360" w:lineRule="auto"/>
        <w:jc w:val="both"/>
        <w:rPr>
          <w:rFonts w:ascii="Arial" w:eastAsia="Times New Roman" w:hAnsi="Arial" w:cs="Arial"/>
          <w:sz w:val="24"/>
          <w:szCs w:val="24"/>
        </w:rPr>
      </w:pPr>
      <w:r w:rsidRPr="004D6466">
        <w:rPr>
          <w:rFonts w:ascii="Arial" w:eastAsia="Times New Roman" w:hAnsi="Arial" w:cs="Arial"/>
          <w:sz w:val="24"/>
          <w:szCs w:val="24"/>
        </w:rPr>
        <w:t xml:space="preserve"> Entre las enfermedades catastróficas definidas por el Ministerio de Salud Pública están: </w:t>
      </w:r>
    </w:p>
    <w:p w:rsidR="00A66191" w:rsidRPr="004D6466" w:rsidRDefault="00A66191" w:rsidP="00A66191">
      <w:pPr>
        <w:pStyle w:val="Prrafodelista"/>
        <w:numPr>
          <w:ilvl w:val="0"/>
          <w:numId w:val="31"/>
        </w:numPr>
        <w:spacing w:before="100" w:beforeAutospacing="1" w:after="100" w:afterAutospacing="1" w:line="360" w:lineRule="auto"/>
        <w:rPr>
          <w:rFonts w:ascii="Arial" w:eastAsia="Times New Roman" w:hAnsi="Arial" w:cs="Arial"/>
          <w:sz w:val="24"/>
          <w:szCs w:val="24"/>
        </w:rPr>
      </w:pPr>
      <w:r w:rsidRPr="004D6466">
        <w:rPr>
          <w:rFonts w:ascii="Arial" w:eastAsia="Times New Roman" w:hAnsi="Arial" w:cs="Arial"/>
          <w:sz w:val="24"/>
          <w:szCs w:val="24"/>
        </w:rPr>
        <w:t xml:space="preserve">Todo tipo de malformaciones congénitas de corazón y todo tipo de valvulopatías cardíacas. </w:t>
      </w:r>
    </w:p>
    <w:p w:rsidR="00A66191" w:rsidRPr="004D6466" w:rsidRDefault="00A66191" w:rsidP="00A66191">
      <w:pPr>
        <w:numPr>
          <w:ilvl w:val="0"/>
          <w:numId w:val="31"/>
        </w:numPr>
        <w:spacing w:before="100" w:beforeAutospacing="1" w:after="100" w:afterAutospacing="1" w:line="360" w:lineRule="auto"/>
        <w:rPr>
          <w:rFonts w:ascii="Arial" w:eastAsia="Times New Roman" w:hAnsi="Arial" w:cs="Arial"/>
          <w:sz w:val="24"/>
          <w:szCs w:val="24"/>
        </w:rPr>
      </w:pPr>
      <w:r w:rsidRPr="004D6466">
        <w:rPr>
          <w:rFonts w:ascii="Arial" w:eastAsia="Times New Roman" w:hAnsi="Arial" w:cs="Arial"/>
          <w:sz w:val="24"/>
          <w:szCs w:val="24"/>
        </w:rPr>
        <w:t xml:space="preserve">Todo tipo de cáncer. </w:t>
      </w:r>
    </w:p>
    <w:p w:rsidR="00A66191" w:rsidRPr="004D6466" w:rsidRDefault="00A66191" w:rsidP="00A66191">
      <w:pPr>
        <w:numPr>
          <w:ilvl w:val="0"/>
          <w:numId w:val="31"/>
        </w:numPr>
        <w:spacing w:before="100" w:beforeAutospacing="1" w:after="100" w:afterAutospacing="1" w:line="360" w:lineRule="auto"/>
        <w:rPr>
          <w:rFonts w:ascii="Arial" w:eastAsia="Times New Roman" w:hAnsi="Arial" w:cs="Arial"/>
          <w:sz w:val="24"/>
          <w:szCs w:val="24"/>
        </w:rPr>
      </w:pPr>
      <w:r w:rsidRPr="004D6466">
        <w:rPr>
          <w:rFonts w:ascii="Arial" w:eastAsia="Times New Roman" w:hAnsi="Arial" w:cs="Arial"/>
          <w:sz w:val="24"/>
          <w:szCs w:val="24"/>
        </w:rPr>
        <w:t xml:space="preserve">Tumor cerebral en cualquier estadío y de cualquier tipo. </w:t>
      </w:r>
    </w:p>
    <w:p w:rsidR="00A66191" w:rsidRPr="004D6466" w:rsidRDefault="00A66191" w:rsidP="00A66191">
      <w:pPr>
        <w:numPr>
          <w:ilvl w:val="0"/>
          <w:numId w:val="31"/>
        </w:numPr>
        <w:spacing w:before="100" w:beforeAutospacing="1" w:after="100" w:afterAutospacing="1" w:line="360" w:lineRule="auto"/>
        <w:rPr>
          <w:rFonts w:ascii="Arial" w:eastAsia="Times New Roman" w:hAnsi="Arial" w:cs="Arial"/>
          <w:sz w:val="24"/>
          <w:szCs w:val="24"/>
        </w:rPr>
      </w:pPr>
      <w:r w:rsidRPr="004D6466">
        <w:rPr>
          <w:rFonts w:ascii="Arial" w:eastAsia="Times New Roman" w:hAnsi="Arial" w:cs="Arial"/>
          <w:sz w:val="24"/>
          <w:szCs w:val="24"/>
        </w:rPr>
        <w:t xml:space="preserve">Insuficiencia renal crónica </w:t>
      </w:r>
    </w:p>
    <w:p w:rsidR="00A66191" w:rsidRPr="004D6466" w:rsidRDefault="00A66191" w:rsidP="00A66191">
      <w:pPr>
        <w:numPr>
          <w:ilvl w:val="0"/>
          <w:numId w:val="31"/>
        </w:numPr>
        <w:spacing w:before="100" w:beforeAutospacing="1" w:after="100" w:afterAutospacing="1" w:line="360" w:lineRule="auto"/>
        <w:rPr>
          <w:rFonts w:ascii="Arial" w:eastAsia="Times New Roman" w:hAnsi="Arial" w:cs="Arial"/>
          <w:sz w:val="24"/>
          <w:szCs w:val="24"/>
        </w:rPr>
      </w:pPr>
      <w:r w:rsidRPr="004D6466">
        <w:rPr>
          <w:rFonts w:ascii="Arial" w:eastAsia="Times New Roman" w:hAnsi="Arial" w:cs="Arial"/>
          <w:sz w:val="24"/>
          <w:szCs w:val="24"/>
        </w:rPr>
        <w:t xml:space="preserve">Trasplante de órganos: riñón, hígado, médula ósea. </w:t>
      </w:r>
    </w:p>
    <w:p w:rsidR="00A66191" w:rsidRPr="004D6466" w:rsidRDefault="00A66191" w:rsidP="00A66191">
      <w:pPr>
        <w:numPr>
          <w:ilvl w:val="0"/>
          <w:numId w:val="31"/>
        </w:numPr>
        <w:spacing w:before="100" w:beforeAutospacing="1" w:after="100" w:afterAutospacing="1" w:line="360" w:lineRule="auto"/>
        <w:rPr>
          <w:rFonts w:ascii="Arial" w:eastAsia="Times New Roman" w:hAnsi="Arial" w:cs="Arial"/>
          <w:sz w:val="24"/>
          <w:szCs w:val="24"/>
        </w:rPr>
      </w:pPr>
      <w:r w:rsidRPr="004D6466">
        <w:rPr>
          <w:rFonts w:ascii="Arial" w:eastAsia="Times New Roman" w:hAnsi="Arial" w:cs="Arial"/>
          <w:sz w:val="24"/>
          <w:szCs w:val="24"/>
        </w:rPr>
        <w:t xml:space="preserve">Secuelas de quemaduras graves. </w:t>
      </w:r>
    </w:p>
    <w:p w:rsidR="00A66191" w:rsidRPr="004D6466" w:rsidRDefault="00A66191" w:rsidP="00A66191">
      <w:pPr>
        <w:numPr>
          <w:ilvl w:val="0"/>
          <w:numId w:val="31"/>
        </w:numPr>
        <w:spacing w:before="100" w:beforeAutospacing="1" w:after="100" w:afterAutospacing="1" w:line="360" w:lineRule="auto"/>
        <w:rPr>
          <w:rFonts w:ascii="Arial" w:eastAsia="Times New Roman" w:hAnsi="Arial" w:cs="Arial"/>
          <w:sz w:val="24"/>
          <w:szCs w:val="24"/>
        </w:rPr>
      </w:pPr>
      <w:r w:rsidRPr="004D6466">
        <w:rPr>
          <w:rFonts w:ascii="Arial" w:eastAsia="Times New Roman" w:hAnsi="Arial" w:cs="Arial"/>
          <w:sz w:val="24"/>
          <w:szCs w:val="24"/>
        </w:rPr>
        <w:t xml:space="preserve">Malformaciones arterio venosas cerebrales. </w:t>
      </w:r>
    </w:p>
    <w:p w:rsidR="00A66191" w:rsidRPr="004D6466" w:rsidRDefault="00A66191" w:rsidP="00A66191">
      <w:pPr>
        <w:numPr>
          <w:ilvl w:val="0"/>
          <w:numId w:val="31"/>
        </w:numPr>
        <w:spacing w:before="100" w:beforeAutospacing="1" w:after="100" w:afterAutospacing="1" w:line="360" w:lineRule="auto"/>
        <w:rPr>
          <w:rFonts w:ascii="Arial" w:eastAsia="Times New Roman" w:hAnsi="Arial" w:cs="Arial"/>
          <w:sz w:val="24"/>
          <w:szCs w:val="24"/>
        </w:rPr>
      </w:pPr>
      <w:r w:rsidRPr="004D6466">
        <w:rPr>
          <w:rFonts w:ascii="Arial" w:eastAsia="Times New Roman" w:hAnsi="Arial" w:cs="Arial"/>
          <w:sz w:val="24"/>
          <w:szCs w:val="24"/>
        </w:rPr>
        <w:t xml:space="preserve">Síndrome de Klippel Trenaunay. </w:t>
      </w:r>
    </w:p>
    <w:p w:rsidR="00A66191" w:rsidRPr="004D6466" w:rsidRDefault="00A66191" w:rsidP="00A66191">
      <w:pPr>
        <w:numPr>
          <w:ilvl w:val="0"/>
          <w:numId w:val="31"/>
        </w:numPr>
        <w:spacing w:before="100" w:beforeAutospacing="1" w:after="100" w:afterAutospacing="1" w:line="360" w:lineRule="auto"/>
        <w:rPr>
          <w:rFonts w:ascii="Arial" w:eastAsia="Times New Roman" w:hAnsi="Arial" w:cs="Arial"/>
          <w:sz w:val="24"/>
          <w:szCs w:val="24"/>
        </w:rPr>
      </w:pPr>
      <w:r w:rsidRPr="004D6466">
        <w:rPr>
          <w:rFonts w:ascii="Arial" w:eastAsia="Times New Roman" w:hAnsi="Arial" w:cs="Arial"/>
          <w:sz w:val="24"/>
          <w:szCs w:val="24"/>
        </w:rPr>
        <w:t xml:space="preserve">Aneurisma torácico-abdominal. </w:t>
      </w:r>
    </w:p>
    <w:p w:rsidR="00A66191" w:rsidRPr="004D6466" w:rsidRDefault="00A66191" w:rsidP="00A66191">
      <w:pPr>
        <w:spacing w:before="100" w:beforeAutospacing="1" w:after="100" w:afterAutospacing="1" w:line="360" w:lineRule="auto"/>
        <w:rPr>
          <w:rFonts w:ascii="Arial" w:eastAsia="Times New Roman" w:hAnsi="Arial" w:cs="Arial"/>
          <w:bCs/>
          <w:sz w:val="24"/>
          <w:szCs w:val="24"/>
        </w:rPr>
      </w:pPr>
      <w:r w:rsidRPr="004D6466">
        <w:rPr>
          <w:rFonts w:ascii="Arial" w:eastAsia="Times New Roman" w:hAnsi="Arial" w:cs="Arial"/>
          <w:sz w:val="24"/>
          <w:szCs w:val="24"/>
        </w:rPr>
        <w:t>Se han identificado también 106 enfermedades</w:t>
      </w:r>
      <w:r w:rsidRPr="004D6466">
        <w:rPr>
          <w:rFonts w:ascii="Arial" w:eastAsia="Times New Roman" w:hAnsi="Arial" w:cs="Arial"/>
          <w:bCs/>
          <w:sz w:val="24"/>
          <w:szCs w:val="24"/>
        </w:rPr>
        <w:t xml:space="preserve"> raras o huérfanas definidas por el Ministerio de Salud Pública.</w:t>
      </w:r>
    </w:p>
    <w:p w:rsidR="00A66191" w:rsidRPr="004D6466" w:rsidRDefault="00A66191" w:rsidP="00A66191">
      <w:pPr>
        <w:spacing w:before="100" w:beforeAutospacing="1" w:after="100" w:afterAutospacing="1" w:line="360" w:lineRule="auto"/>
        <w:rPr>
          <w:rFonts w:ascii="Arial" w:eastAsia="Times New Roman" w:hAnsi="Arial" w:cs="Arial"/>
          <w:bCs/>
          <w:sz w:val="24"/>
          <w:szCs w:val="24"/>
        </w:rPr>
      </w:pPr>
    </w:p>
    <w:p w:rsidR="00A66191" w:rsidRPr="004D6466" w:rsidRDefault="00A66191" w:rsidP="00A66191">
      <w:pPr>
        <w:spacing w:before="100" w:beforeAutospacing="1" w:after="100" w:afterAutospacing="1" w:line="360" w:lineRule="auto"/>
        <w:rPr>
          <w:rFonts w:ascii="Arial" w:eastAsia="Times New Roman" w:hAnsi="Arial" w:cs="Arial"/>
          <w:bCs/>
          <w:sz w:val="24"/>
          <w:szCs w:val="24"/>
        </w:rPr>
      </w:pPr>
    </w:p>
    <w:p w:rsidR="00A66191" w:rsidRPr="004D6466" w:rsidRDefault="00A66191" w:rsidP="00A66191">
      <w:pPr>
        <w:pStyle w:val="NormalWeb"/>
        <w:spacing w:line="360" w:lineRule="auto"/>
        <w:jc w:val="both"/>
        <w:rPr>
          <w:rFonts w:ascii="Arial" w:hAnsi="Arial" w:cs="Arial"/>
          <w:i/>
        </w:rPr>
      </w:pPr>
      <w:r w:rsidRPr="004D6466">
        <w:rPr>
          <w:rFonts w:ascii="Arial" w:hAnsi="Arial" w:cs="Arial"/>
          <w:b/>
          <w:i/>
        </w:rPr>
        <w:lastRenderedPageBreak/>
        <w:t>4.3.3</w:t>
      </w:r>
      <w:r w:rsidRPr="004D6466">
        <w:rPr>
          <w:rFonts w:ascii="Arial" w:hAnsi="Arial" w:cs="Arial"/>
          <w:i/>
        </w:rPr>
        <w:t xml:space="preserve"> “</w:t>
      </w:r>
      <w:r w:rsidRPr="004D6466">
        <w:rPr>
          <w:rFonts w:ascii="Arial" w:hAnsi="Arial" w:cs="Arial"/>
          <w:b/>
          <w:i/>
        </w:rPr>
        <w:t>Aliméntate Ecuador: Proyecto Alimentario Nutricional Integral P.A.N.I</w:t>
      </w:r>
      <w:r w:rsidRPr="004D6466">
        <w:rPr>
          <w:rFonts w:ascii="Arial" w:hAnsi="Arial" w:cs="Arial"/>
          <w:i/>
        </w:rPr>
        <w:t>”</w:t>
      </w:r>
    </w:p>
    <w:p w:rsidR="00A66191" w:rsidRPr="004D6466" w:rsidRDefault="00A66191" w:rsidP="00A66191">
      <w:pPr>
        <w:autoSpaceDE w:val="0"/>
        <w:autoSpaceDN w:val="0"/>
        <w:adjustRightInd w:val="0"/>
        <w:spacing w:after="0" w:line="360" w:lineRule="auto"/>
        <w:jc w:val="both"/>
        <w:rPr>
          <w:rStyle w:val="texto"/>
          <w:rFonts w:ascii="Arial" w:hAnsi="Arial" w:cs="Arial"/>
          <w:sz w:val="24"/>
          <w:szCs w:val="24"/>
        </w:rPr>
      </w:pPr>
      <w:r w:rsidRPr="004D6466">
        <w:rPr>
          <w:rFonts w:ascii="Arial" w:hAnsi="Arial" w:cs="Arial"/>
          <w:sz w:val="24"/>
          <w:szCs w:val="24"/>
        </w:rPr>
        <w:t xml:space="preserve">El proyecto P.A.N.I. tiene como objetivo reducir la prevalencia de anemia en los niños menores de 5 años atendidos en las unidades de atención de Desarrollo Infantil del INFA y proyectos urbanos. La población beneficiaria de este proyecto son </w:t>
      </w:r>
      <w:r w:rsidRPr="004D6466">
        <w:rPr>
          <w:rStyle w:val="texto"/>
          <w:rFonts w:ascii="Arial" w:hAnsi="Arial" w:cs="Arial"/>
          <w:sz w:val="24"/>
          <w:szCs w:val="24"/>
        </w:rPr>
        <w:t>niños entre 6 a 59 meses de edad que se encuentran bajo la línea de pobreza.</w:t>
      </w:r>
    </w:p>
    <w:p w:rsidR="00A66191" w:rsidRPr="004D6466" w:rsidRDefault="00A66191" w:rsidP="00A66191">
      <w:pPr>
        <w:pStyle w:val="NormalWeb"/>
        <w:spacing w:line="360" w:lineRule="auto"/>
        <w:jc w:val="both"/>
        <w:rPr>
          <w:rFonts w:ascii="Arial" w:hAnsi="Arial" w:cs="Arial"/>
        </w:rPr>
      </w:pPr>
      <w:r w:rsidRPr="004D6466">
        <w:rPr>
          <w:rFonts w:ascii="Arial" w:hAnsi="Arial" w:cs="Arial"/>
        </w:rPr>
        <w:t>El P.A.N.I. inició su implementación en el año 2009, atendiendo a través del Instituto para la Niñez y la Familia a 75.937 niños en las provincias de la Sierra Central: Cotopaxi, Chimborazo, Cañar, Bolívar y Tungurahua. A mediados del 2010 incluyó 5 provincias adicionales: Imbabura, Manabí, Pichincha, Pastaza y Guayas, cubriendo 257.070 infantes. A finales de ese mismo año, alcanzó una cobertura nacional aproximada de 456.000 niños.</w:t>
      </w:r>
    </w:p>
    <w:p w:rsidR="00A66191" w:rsidRPr="004D6466" w:rsidRDefault="00A66191" w:rsidP="00A66191">
      <w:pPr>
        <w:pStyle w:val="default0"/>
        <w:spacing w:line="360" w:lineRule="auto"/>
        <w:jc w:val="both"/>
        <w:rPr>
          <w:rFonts w:ascii="Arial" w:hAnsi="Arial" w:cs="Arial"/>
        </w:rPr>
      </w:pPr>
      <w:r w:rsidRPr="004D6466">
        <w:rPr>
          <w:rFonts w:ascii="Arial" w:hAnsi="Arial" w:cs="Arial"/>
        </w:rPr>
        <w:t>En el 2010 el P.A.N.I. intervino en 11.541 niños del Cantón Manta de las parroquias: Los Esteros, Tarqui, Manta, Santa Marianita, San Lorenzo, Eloy Alfaro y San Mateo. Para el 2011, amplió su cobertura en la Administración Zonal Quitumbe del Distrito Metropolitano de Quito, atendiendo a 9.479 infantes de las parroquias: Quitumbe, La Ecuatoriana, Chillogallo, Turubamba y Guamaní.</w:t>
      </w:r>
    </w:p>
    <w:p w:rsidR="00A66191" w:rsidRPr="004D6466" w:rsidRDefault="00A66191" w:rsidP="00A66191">
      <w:pPr>
        <w:pStyle w:val="default0"/>
        <w:spacing w:line="360" w:lineRule="auto"/>
        <w:jc w:val="both"/>
        <w:rPr>
          <w:rFonts w:ascii="Arial" w:hAnsi="Arial" w:cs="Arial"/>
        </w:rPr>
      </w:pPr>
      <w:r w:rsidRPr="004D6466">
        <w:rPr>
          <w:rFonts w:ascii="Arial" w:hAnsi="Arial" w:cs="Arial"/>
        </w:rPr>
        <w:t>Dentro de sus me</w:t>
      </w:r>
      <w:r w:rsidR="00B22C3A">
        <w:rPr>
          <w:rFonts w:ascii="Arial" w:hAnsi="Arial" w:cs="Arial"/>
        </w:rPr>
        <w:t xml:space="preserve">tas para el 2012, el P.A.N.I., </w:t>
      </w:r>
      <w:r w:rsidRPr="004D6466">
        <w:rPr>
          <w:rFonts w:ascii="Arial" w:hAnsi="Arial" w:cs="Arial"/>
        </w:rPr>
        <w:t>pretende intervenir en la Administración Zonal Calderón del Distrito Metropolitano de Quito, por lo que se encuentra actualmente en articulación con actores locales del dicho municipio.</w:t>
      </w:r>
    </w:p>
    <w:p w:rsidR="00A66191" w:rsidRPr="004D6466" w:rsidRDefault="00A66191" w:rsidP="00A66191">
      <w:pPr>
        <w:spacing w:line="360" w:lineRule="auto"/>
        <w:jc w:val="both"/>
        <w:rPr>
          <w:rFonts w:ascii="Arial" w:hAnsi="Arial" w:cs="Arial"/>
          <w:b/>
          <w:sz w:val="24"/>
          <w:szCs w:val="24"/>
        </w:rPr>
      </w:pPr>
      <w:r w:rsidRPr="004D6466">
        <w:rPr>
          <w:rFonts w:ascii="Arial" w:hAnsi="Arial" w:cs="Arial"/>
          <w:b/>
          <w:sz w:val="24"/>
          <w:szCs w:val="24"/>
        </w:rPr>
        <w:t>Resultados de inversión en el sector salud</w:t>
      </w:r>
    </w:p>
    <w:p w:rsidR="00A66191" w:rsidRPr="004D6466" w:rsidRDefault="00A66191" w:rsidP="00A66191">
      <w:pPr>
        <w:spacing w:line="360" w:lineRule="auto"/>
        <w:jc w:val="both"/>
        <w:rPr>
          <w:rFonts w:ascii="Arial" w:hAnsi="Arial" w:cs="Arial"/>
          <w:sz w:val="24"/>
          <w:szCs w:val="24"/>
        </w:rPr>
      </w:pPr>
      <w:r w:rsidRPr="004D6466">
        <w:rPr>
          <w:rFonts w:ascii="Arial" w:hAnsi="Arial" w:cs="Arial"/>
          <w:sz w:val="24"/>
          <w:szCs w:val="24"/>
        </w:rPr>
        <w:t>En el año 2006 se invirtió 535 millones de dólares en el sector salud, mientras que en lo que va del 2012 se ha invertido 1.900 millones de dólares que se han utilizado en 993 centros de salud con estándares internacionales y la construcción de 16 hospitales nuevos con una inversión de 600 millones de dólares.</w:t>
      </w:r>
    </w:p>
    <w:p w:rsidR="00A66191" w:rsidRPr="004D6466" w:rsidRDefault="00A66191" w:rsidP="00A66191">
      <w:pPr>
        <w:tabs>
          <w:tab w:val="left" w:pos="142"/>
        </w:tabs>
        <w:spacing w:line="360" w:lineRule="auto"/>
        <w:jc w:val="both"/>
        <w:rPr>
          <w:rFonts w:ascii="Arial" w:hAnsi="Arial" w:cs="Arial"/>
          <w:sz w:val="24"/>
          <w:szCs w:val="24"/>
        </w:rPr>
      </w:pPr>
      <w:r w:rsidRPr="004D6466">
        <w:rPr>
          <w:rFonts w:ascii="Arial" w:hAnsi="Arial" w:cs="Arial"/>
          <w:sz w:val="24"/>
          <w:szCs w:val="24"/>
        </w:rPr>
        <w:lastRenderedPageBreak/>
        <w:t>En cuanto a medicamentos para el 2012 la inversión ha alcanzado los 177 millones de dólares.</w:t>
      </w:r>
    </w:p>
    <w:p w:rsidR="00A66191" w:rsidRPr="004D6466" w:rsidRDefault="00A66191" w:rsidP="00A66191">
      <w:pPr>
        <w:tabs>
          <w:tab w:val="left" w:pos="142"/>
        </w:tabs>
        <w:spacing w:line="360" w:lineRule="auto"/>
        <w:jc w:val="both"/>
        <w:rPr>
          <w:rFonts w:ascii="Arial" w:hAnsi="Arial" w:cs="Arial"/>
          <w:sz w:val="24"/>
          <w:szCs w:val="24"/>
        </w:rPr>
      </w:pPr>
      <w:r w:rsidRPr="004D6466">
        <w:rPr>
          <w:rFonts w:ascii="Arial" w:hAnsi="Arial" w:cs="Arial"/>
          <w:sz w:val="24"/>
          <w:szCs w:val="24"/>
        </w:rPr>
        <w:t xml:space="preserve">En el 2011 se realizaron 34,28 millones de consultas que reflejan un crecimiento notable en comparación al año 2006 en el que fueron 16 millones. Este incremento se debe a varias causas, entre ellas, la mejora de la calidad de asistencia pública y gratuita. </w:t>
      </w:r>
    </w:p>
    <w:p w:rsidR="00A66191" w:rsidRPr="004D6466" w:rsidRDefault="00A66191" w:rsidP="00A66191">
      <w:pPr>
        <w:tabs>
          <w:tab w:val="left" w:pos="142"/>
        </w:tabs>
        <w:spacing w:line="360" w:lineRule="auto"/>
        <w:jc w:val="both"/>
        <w:rPr>
          <w:rFonts w:ascii="Arial" w:hAnsi="Arial" w:cs="Arial"/>
          <w:sz w:val="24"/>
          <w:szCs w:val="24"/>
        </w:rPr>
      </w:pPr>
      <w:r w:rsidRPr="004D6466">
        <w:rPr>
          <w:rFonts w:ascii="Arial" w:hAnsi="Arial" w:cs="Arial"/>
          <w:sz w:val="24"/>
          <w:szCs w:val="24"/>
        </w:rPr>
        <w:t>Respecto en la gratuidad en el sector salud, en el Ecuador significó un ahorro de 6 mil millones de dólares a la población en los últimos 5 años, según datos del Ministerio de Salud Pública.</w:t>
      </w:r>
    </w:p>
    <w:p w:rsidR="00A66191" w:rsidRPr="004D6466" w:rsidRDefault="00A66191" w:rsidP="00A66191">
      <w:pPr>
        <w:tabs>
          <w:tab w:val="left" w:pos="142"/>
        </w:tabs>
        <w:spacing w:line="360" w:lineRule="auto"/>
        <w:jc w:val="both"/>
        <w:rPr>
          <w:rFonts w:ascii="Arial" w:hAnsi="Arial" w:cs="Arial"/>
          <w:sz w:val="24"/>
          <w:szCs w:val="24"/>
        </w:rPr>
      </w:pPr>
      <w:r w:rsidRPr="004D6466">
        <w:rPr>
          <w:rFonts w:ascii="Arial" w:hAnsi="Arial" w:cs="Arial"/>
          <w:sz w:val="24"/>
          <w:szCs w:val="24"/>
        </w:rPr>
        <w:t>Se está mejorando el sistema de entrega de turnos, por ejemplo en el IESS los afiliados que requieran un turno médico deberán llamar al call center los días que le corresponda según el último dígito de la cédula, si es par deberán llamar martes, jueves y sábado; de esta manera se hace más ordenado el sistema de entrega de turnos aunque todavía hay inconformidad con respecto al tiempo de espera para que le den un turno y las varias veces que hay que llamar para lograr que finalmente te den un turno, pero sin embargo se está trabajando para un mejor servicio de salud.</w:t>
      </w:r>
    </w:p>
    <w:p w:rsidR="00A66191" w:rsidRPr="004D6466" w:rsidRDefault="00A66191" w:rsidP="00A66191">
      <w:pPr>
        <w:tabs>
          <w:tab w:val="left" w:pos="142"/>
        </w:tabs>
        <w:spacing w:line="360" w:lineRule="auto"/>
        <w:jc w:val="both"/>
        <w:rPr>
          <w:rFonts w:ascii="Arial" w:hAnsi="Arial" w:cs="Arial"/>
          <w:sz w:val="24"/>
          <w:szCs w:val="24"/>
        </w:rPr>
      </w:pPr>
      <w:r w:rsidRPr="004D6466">
        <w:rPr>
          <w:rFonts w:ascii="Arial" w:hAnsi="Arial" w:cs="Arial"/>
          <w:sz w:val="24"/>
          <w:szCs w:val="24"/>
        </w:rPr>
        <w:t xml:space="preserve"> Adicionalmente en orden de que la atención sea otorgada a más personas y de manera eficiente los hospitales públicos incrementaron de 4 a 8 las horas de trabajo.</w:t>
      </w:r>
    </w:p>
    <w:p w:rsidR="00A66191" w:rsidRPr="004D6466" w:rsidRDefault="00A66191" w:rsidP="00A66191">
      <w:pPr>
        <w:spacing w:line="360" w:lineRule="auto"/>
        <w:jc w:val="both"/>
        <w:rPr>
          <w:rFonts w:ascii="Arial" w:hAnsi="Arial" w:cs="Arial"/>
          <w:b/>
          <w:sz w:val="24"/>
          <w:szCs w:val="24"/>
        </w:rPr>
      </w:pPr>
      <w:r w:rsidRPr="004D6466">
        <w:rPr>
          <w:rFonts w:ascii="Arial" w:hAnsi="Arial" w:cs="Arial"/>
          <w:b/>
          <w:sz w:val="24"/>
          <w:szCs w:val="24"/>
        </w:rPr>
        <w:t>4.4 Ámbito de educación</w:t>
      </w:r>
    </w:p>
    <w:p w:rsidR="00A66191" w:rsidRPr="004D6466" w:rsidRDefault="00A66191" w:rsidP="00A66191">
      <w:pPr>
        <w:spacing w:line="360" w:lineRule="auto"/>
        <w:jc w:val="both"/>
        <w:rPr>
          <w:rFonts w:ascii="Arial" w:hAnsi="Arial" w:cs="Arial"/>
          <w:sz w:val="24"/>
          <w:szCs w:val="24"/>
        </w:rPr>
      </w:pPr>
      <w:r w:rsidRPr="004D6466">
        <w:rPr>
          <w:rFonts w:ascii="Arial" w:hAnsi="Arial" w:cs="Arial"/>
          <w:sz w:val="24"/>
          <w:szCs w:val="24"/>
        </w:rPr>
        <w:t xml:space="preserve">Para el gobierno actual, el sector de educación en un sector estratégico y prioritario, esta aseveración se puede observar tanto en el énfasis que le ha dado a ciertos proyectos, así como en el monto de las inversiones destinadas a este sector. </w:t>
      </w:r>
    </w:p>
    <w:p w:rsidR="00A66191" w:rsidRPr="004D6466" w:rsidRDefault="00A66191" w:rsidP="00A66191">
      <w:pPr>
        <w:tabs>
          <w:tab w:val="left" w:pos="142"/>
        </w:tabs>
        <w:spacing w:line="360" w:lineRule="auto"/>
        <w:jc w:val="both"/>
        <w:rPr>
          <w:rFonts w:ascii="Arial" w:hAnsi="Arial" w:cs="Arial"/>
          <w:sz w:val="24"/>
          <w:szCs w:val="24"/>
        </w:rPr>
      </w:pPr>
      <w:r w:rsidRPr="004D6466">
        <w:rPr>
          <w:rFonts w:ascii="Arial" w:hAnsi="Arial" w:cs="Arial"/>
          <w:sz w:val="24"/>
          <w:szCs w:val="24"/>
        </w:rPr>
        <w:t>La evolución de las inversiones realizadas por el gobierno en el sector educación se observan en el gráfico N. 9 que se expone a continuación, en él se observa un incremento importante entre las inversiones realizadas en el 2006 y las realizadas en el 2011, de 1.445.000.000.</w:t>
      </w:r>
    </w:p>
    <w:p w:rsidR="00A66191" w:rsidRPr="004D6466" w:rsidRDefault="00A66191" w:rsidP="00A66191">
      <w:pPr>
        <w:pStyle w:val="Sinespaciado"/>
        <w:jc w:val="center"/>
      </w:pPr>
      <w:r w:rsidRPr="004D6466">
        <w:rPr>
          <w:noProof/>
        </w:rPr>
        <w:lastRenderedPageBreak/>
        <w:drawing>
          <wp:inline distT="0" distB="0" distL="0" distR="0">
            <wp:extent cx="5481158" cy="3668232"/>
            <wp:effectExtent l="19050" t="0" r="24292" b="8418"/>
            <wp:docPr id="25" name="Gráfico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46"/>
              </a:graphicData>
            </a:graphic>
          </wp:inline>
        </w:drawing>
      </w:r>
    </w:p>
    <w:p w:rsidR="00A66191" w:rsidRPr="004D6466" w:rsidRDefault="00A66191" w:rsidP="00A66191">
      <w:pPr>
        <w:pStyle w:val="Sinespaciado"/>
        <w:jc w:val="center"/>
      </w:pPr>
      <w:r w:rsidRPr="004D6466">
        <w:rPr>
          <w:sz w:val="16"/>
          <w:szCs w:val="16"/>
        </w:rPr>
        <w:t>Gráfico Nº 9                                                    fuente: SENPLADES                                                Elaborado por María José Ponce</w:t>
      </w:r>
    </w:p>
    <w:p w:rsidR="00A66191" w:rsidRPr="004D6466" w:rsidRDefault="00A66191" w:rsidP="00A66191">
      <w:pPr>
        <w:spacing w:line="360" w:lineRule="auto"/>
        <w:jc w:val="both"/>
        <w:rPr>
          <w:rFonts w:ascii="Arial" w:hAnsi="Arial" w:cs="Arial"/>
          <w:b/>
          <w:sz w:val="24"/>
          <w:szCs w:val="24"/>
        </w:rPr>
      </w:pPr>
    </w:p>
    <w:p w:rsidR="00A66191" w:rsidRPr="004D6466" w:rsidRDefault="00A66191" w:rsidP="00A66191">
      <w:pPr>
        <w:spacing w:line="360" w:lineRule="auto"/>
        <w:jc w:val="both"/>
        <w:rPr>
          <w:rFonts w:ascii="Arial" w:hAnsi="Arial" w:cs="Arial"/>
          <w:sz w:val="24"/>
          <w:szCs w:val="24"/>
        </w:rPr>
      </w:pPr>
      <w:r w:rsidRPr="004D6466">
        <w:rPr>
          <w:rFonts w:ascii="Arial" w:hAnsi="Arial" w:cs="Arial"/>
          <w:sz w:val="24"/>
          <w:szCs w:val="24"/>
        </w:rPr>
        <w:t>Entre los programas de educación más importantes en los que ha trabajado el gobierno tenemos: el Proyecto de Educación Básica para Jóvenes y Adultos, las Unidades Educativas del Milenio y la Ley Orgánica de la Educación Superior que se exponen a continuación con cierto detalle.</w:t>
      </w:r>
    </w:p>
    <w:p w:rsidR="00A66191" w:rsidRPr="004D6466" w:rsidRDefault="00A66191" w:rsidP="00A66191">
      <w:pPr>
        <w:spacing w:line="360" w:lineRule="auto"/>
        <w:jc w:val="both"/>
        <w:rPr>
          <w:rFonts w:ascii="Arial" w:hAnsi="Arial" w:cs="Arial"/>
          <w:i/>
          <w:sz w:val="24"/>
          <w:szCs w:val="24"/>
        </w:rPr>
      </w:pPr>
      <w:r w:rsidRPr="004D6466">
        <w:rPr>
          <w:rFonts w:ascii="Arial" w:hAnsi="Arial" w:cs="Arial"/>
          <w:b/>
          <w:i/>
          <w:sz w:val="24"/>
          <w:szCs w:val="24"/>
        </w:rPr>
        <w:t>4.4.1 “Proyecto de Educación Básica para Jóvenes y Adultos (EBJA)”</w:t>
      </w:r>
    </w:p>
    <w:p w:rsidR="00A66191" w:rsidRPr="004D6466" w:rsidRDefault="00A66191" w:rsidP="00A66191">
      <w:pPr>
        <w:autoSpaceDE w:val="0"/>
        <w:autoSpaceDN w:val="0"/>
        <w:adjustRightInd w:val="0"/>
        <w:spacing w:after="0" w:line="360" w:lineRule="auto"/>
        <w:jc w:val="both"/>
        <w:rPr>
          <w:rFonts w:ascii="Arial" w:hAnsi="Arial" w:cs="Arial"/>
          <w:b/>
          <w:i/>
          <w:sz w:val="24"/>
          <w:szCs w:val="24"/>
        </w:rPr>
      </w:pPr>
      <w:r w:rsidRPr="004D6466">
        <w:rPr>
          <w:rFonts w:ascii="Arial" w:hAnsi="Arial" w:cs="Arial"/>
          <w:sz w:val="24"/>
          <w:szCs w:val="24"/>
        </w:rPr>
        <w:t>El Proyecto de Educación Básica para Jóvenes y Adultos (EBJA) tiene como propósito reducir la tasa de analfabetismo en el Ecuador en 2,8 puntos porcentuales a mayo del 2013. Para ello el Ministerio de Educación se encuentra trabajando en la implementación del Programa Nacional de Alfabetización de Educación Básica y sus dos componentes: alfabetización y post-alfabetización.</w:t>
      </w:r>
    </w:p>
    <w:p w:rsidR="00A66191" w:rsidRPr="004D6466" w:rsidRDefault="00A66191" w:rsidP="00A66191">
      <w:pPr>
        <w:spacing w:line="360" w:lineRule="auto"/>
        <w:jc w:val="both"/>
        <w:rPr>
          <w:rFonts w:ascii="Arial" w:hAnsi="Arial" w:cs="Arial"/>
          <w:sz w:val="24"/>
          <w:szCs w:val="24"/>
        </w:rPr>
      </w:pPr>
      <w:r w:rsidRPr="004D6466">
        <w:rPr>
          <w:rFonts w:ascii="Arial" w:hAnsi="Arial" w:cs="Arial"/>
          <w:sz w:val="24"/>
          <w:szCs w:val="24"/>
        </w:rPr>
        <w:t xml:space="preserve">Los destinatarios del programa es la población adolescente que no pudo ingresar a la educación regular o no la concluyó, a los mayores de  15 años, indígenas de diferentes lenguas nativas, población afro ecuatoriana, habitantes de las zonas fronterizas Ecuador-Colombia y Ecuador-Perú, adultos encarcelados, discapacitados, desplazados y refugiados migrantes.  </w:t>
      </w:r>
    </w:p>
    <w:p w:rsidR="00A66191" w:rsidRPr="004D6466" w:rsidRDefault="00A66191" w:rsidP="00A66191">
      <w:pPr>
        <w:spacing w:line="360" w:lineRule="auto"/>
        <w:jc w:val="both"/>
        <w:rPr>
          <w:rFonts w:ascii="Arial" w:hAnsi="Arial" w:cs="Arial"/>
          <w:b/>
          <w:i/>
          <w:sz w:val="24"/>
          <w:szCs w:val="24"/>
        </w:rPr>
      </w:pPr>
      <w:r w:rsidRPr="004D6466">
        <w:rPr>
          <w:rFonts w:ascii="Arial" w:hAnsi="Arial" w:cs="Arial"/>
          <w:b/>
          <w:i/>
          <w:sz w:val="24"/>
          <w:szCs w:val="24"/>
        </w:rPr>
        <w:lastRenderedPageBreak/>
        <w:t>4.4.2</w:t>
      </w:r>
      <w:r w:rsidRPr="004D6466">
        <w:rPr>
          <w:rFonts w:ascii="Arial" w:hAnsi="Arial" w:cs="Arial"/>
          <w:i/>
          <w:sz w:val="24"/>
          <w:szCs w:val="24"/>
        </w:rPr>
        <w:t xml:space="preserve"> “</w:t>
      </w:r>
      <w:r w:rsidRPr="004D6466">
        <w:rPr>
          <w:rFonts w:ascii="Arial" w:hAnsi="Arial" w:cs="Arial"/>
          <w:b/>
          <w:i/>
          <w:sz w:val="24"/>
          <w:szCs w:val="24"/>
        </w:rPr>
        <w:t>Unidades Educativas del Milenio”</w:t>
      </w:r>
    </w:p>
    <w:p w:rsidR="00A66191" w:rsidRPr="004D6466" w:rsidRDefault="00A66191" w:rsidP="00A66191">
      <w:pPr>
        <w:spacing w:line="360" w:lineRule="auto"/>
        <w:jc w:val="both"/>
        <w:rPr>
          <w:rFonts w:ascii="Arial" w:hAnsi="Arial" w:cs="Arial"/>
          <w:sz w:val="24"/>
          <w:szCs w:val="24"/>
        </w:rPr>
      </w:pPr>
      <w:r w:rsidRPr="004D6466">
        <w:rPr>
          <w:rFonts w:ascii="Arial" w:hAnsi="Arial" w:cs="Arial"/>
          <w:sz w:val="24"/>
          <w:szCs w:val="24"/>
        </w:rPr>
        <w:t xml:space="preserve">Las </w:t>
      </w:r>
      <w:r w:rsidRPr="00727475">
        <w:rPr>
          <w:rStyle w:val="Textoennegrita"/>
          <w:rFonts w:ascii="Arial" w:hAnsi="Arial" w:cs="Arial"/>
          <w:b w:val="0"/>
          <w:sz w:val="24"/>
          <w:szCs w:val="24"/>
        </w:rPr>
        <w:t>Unidades Educativas del Milenio</w:t>
      </w:r>
      <w:r w:rsidRPr="004D6466">
        <w:rPr>
          <w:rFonts w:ascii="Arial" w:hAnsi="Arial" w:cs="Arial"/>
          <w:sz w:val="24"/>
          <w:szCs w:val="24"/>
        </w:rPr>
        <w:t xml:space="preserve"> (UEM) son instituciones educativas públicas, de carácter experimental de alto nivel, basadas en conceptos técnicos, pedagógicos y administrativos innovadores, como ejemplo de la nueva educación pública en el país.</w:t>
      </w:r>
    </w:p>
    <w:p w:rsidR="00A66191" w:rsidRPr="004D6466" w:rsidRDefault="00A66191" w:rsidP="00A66191">
      <w:pPr>
        <w:spacing w:before="100" w:beforeAutospacing="1" w:after="100" w:afterAutospacing="1" w:line="360" w:lineRule="auto"/>
        <w:jc w:val="both"/>
        <w:rPr>
          <w:rFonts w:ascii="Arial" w:eastAsia="Times New Roman" w:hAnsi="Arial" w:cs="Arial"/>
          <w:sz w:val="24"/>
          <w:szCs w:val="24"/>
        </w:rPr>
      </w:pPr>
      <w:r w:rsidRPr="004D6466">
        <w:rPr>
          <w:rFonts w:ascii="Arial" w:eastAsia="Times New Roman" w:hAnsi="Arial" w:cs="Arial"/>
          <w:bCs/>
          <w:sz w:val="24"/>
          <w:szCs w:val="24"/>
        </w:rPr>
        <w:t xml:space="preserve">Dentro de las Unidades Educativas del Milenio se encuentran la comunidad educativa del milenio que </w:t>
      </w:r>
      <w:r w:rsidRPr="004D6466">
        <w:rPr>
          <w:rFonts w:ascii="Arial" w:eastAsia="Times New Roman" w:hAnsi="Arial" w:cs="Arial"/>
          <w:sz w:val="24"/>
          <w:szCs w:val="24"/>
        </w:rPr>
        <w:t xml:space="preserve">es el </w:t>
      </w:r>
      <w:r w:rsidRPr="004D6466">
        <w:rPr>
          <w:rFonts w:ascii="Arial" w:eastAsia="Times New Roman" w:hAnsi="Arial" w:cs="Arial"/>
          <w:bCs/>
          <w:sz w:val="24"/>
          <w:szCs w:val="24"/>
        </w:rPr>
        <w:t>conjunto</w:t>
      </w:r>
      <w:r w:rsidRPr="004D6466">
        <w:rPr>
          <w:rFonts w:ascii="Arial" w:eastAsia="Times New Roman" w:hAnsi="Arial" w:cs="Arial"/>
          <w:sz w:val="24"/>
          <w:szCs w:val="24"/>
        </w:rPr>
        <w:t xml:space="preserve"> formado por una </w:t>
      </w:r>
      <w:r w:rsidRPr="004D6466">
        <w:rPr>
          <w:rFonts w:ascii="Arial" w:eastAsia="Times New Roman" w:hAnsi="Arial" w:cs="Arial"/>
          <w:bCs/>
          <w:sz w:val="24"/>
          <w:szCs w:val="24"/>
        </w:rPr>
        <w:t xml:space="preserve">Unidad Educativa del Milenio </w:t>
      </w:r>
      <w:r w:rsidRPr="004D6466">
        <w:rPr>
          <w:rFonts w:ascii="Arial" w:eastAsia="Times New Roman" w:hAnsi="Arial" w:cs="Arial"/>
          <w:sz w:val="24"/>
          <w:szCs w:val="24"/>
        </w:rPr>
        <w:t xml:space="preserve">y sus </w:t>
      </w:r>
      <w:r w:rsidRPr="004D6466">
        <w:rPr>
          <w:rFonts w:ascii="Arial" w:eastAsia="Times New Roman" w:hAnsi="Arial" w:cs="Arial"/>
          <w:bCs/>
          <w:sz w:val="24"/>
          <w:szCs w:val="24"/>
        </w:rPr>
        <w:t>instituciones anexas</w:t>
      </w:r>
      <w:r w:rsidRPr="004D6466">
        <w:rPr>
          <w:rFonts w:ascii="Arial" w:eastAsia="Times New Roman" w:hAnsi="Arial" w:cs="Arial"/>
          <w:sz w:val="24"/>
          <w:szCs w:val="24"/>
        </w:rPr>
        <w:t>. Cada Comunidad Educativa del Milenio debe ser un referente de excelencia educativa, maximizar el bienestar de los estudiantes, y producir un efecto de “demostración” al ofertar un servicio educativo público de alta calidad en zonas rurales.</w:t>
      </w:r>
    </w:p>
    <w:p w:rsidR="00A66191" w:rsidRPr="004D6466" w:rsidRDefault="00A66191" w:rsidP="00A66191">
      <w:pPr>
        <w:spacing w:before="100" w:beforeAutospacing="1" w:after="100" w:afterAutospacing="1" w:line="240" w:lineRule="auto"/>
        <w:rPr>
          <w:rFonts w:ascii="Arial" w:eastAsia="Times New Roman" w:hAnsi="Arial" w:cs="Arial"/>
          <w:sz w:val="24"/>
          <w:szCs w:val="24"/>
        </w:rPr>
      </w:pPr>
      <w:r w:rsidRPr="004D6466">
        <w:rPr>
          <w:rFonts w:ascii="Arial" w:eastAsia="Times New Roman" w:hAnsi="Arial" w:cs="Arial"/>
          <w:bCs/>
          <w:sz w:val="24"/>
          <w:szCs w:val="24"/>
        </w:rPr>
        <w:t>Entre los objetivos de las Unidades Educativas del Milenio están:</w:t>
      </w:r>
    </w:p>
    <w:p w:rsidR="00A66191" w:rsidRPr="004D6466" w:rsidRDefault="00A66191" w:rsidP="00A66191">
      <w:pPr>
        <w:pStyle w:val="Prrafodelista"/>
        <w:numPr>
          <w:ilvl w:val="0"/>
          <w:numId w:val="16"/>
        </w:numPr>
        <w:spacing w:before="100" w:beforeAutospacing="1" w:after="100" w:afterAutospacing="1" w:line="360" w:lineRule="auto"/>
        <w:jc w:val="both"/>
        <w:rPr>
          <w:rFonts w:ascii="Arial" w:eastAsia="Times New Roman" w:hAnsi="Arial" w:cs="Arial"/>
          <w:sz w:val="24"/>
          <w:szCs w:val="24"/>
        </w:rPr>
      </w:pPr>
      <w:r w:rsidRPr="004D6466">
        <w:rPr>
          <w:rFonts w:ascii="Arial" w:eastAsia="Times New Roman" w:hAnsi="Arial" w:cs="Arial"/>
          <w:sz w:val="24"/>
          <w:szCs w:val="24"/>
        </w:rPr>
        <w:t>Brindar una educación de calidad y calidez.</w:t>
      </w:r>
    </w:p>
    <w:p w:rsidR="00A66191" w:rsidRPr="004D6466" w:rsidRDefault="00A66191" w:rsidP="00A66191">
      <w:pPr>
        <w:pStyle w:val="Prrafodelista"/>
        <w:numPr>
          <w:ilvl w:val="0"/>
          <w:numId w:val="16"/>
        </w:numPr>
        <w:spacing w:before="100" w:beforeAutospacing="1" w:after="100" w:afterAutospacing="1" w:line="360" w:lineRule="auto"/>
        <w:jc w:val="both"/>
        <w:rPr>
          <w:rFonts w:ascii="Arial" w:eastAsia="Times New Roman" w:hAnsi="Arial" w:cs="Arial"/>
          <w:sz w:val="24"/>
          <w:szCs w:val="24"/>
        </w:rPr>
      </w:pPr>
      <w:r w:rsidRPr="004D6466">
        <w:rPr>
          <w:rFonts w:ascii="Arial" w:eastAsia="Times New Roman" w:hAnsi="Arial" w:cs="Arial"/>
          <w:sz w:val="24"/>
          <w:szCs w:val="24"/>
        </w:rPr>
        <w:t>Mejorar las condiciones de escolaridad, el acceso a la educación y su cobertura en zonas de influencia.</w:t>
      </w:r>
    </w:p>
    <w:p w:rsidR="00A66191" w:rsidRPr="004D6466" w:rsidRDefault="00A66191" w:rsidP="00A66191">
      <w:pPr>
        <w:pStyle w:val="Prrafodelista"/>
        <w:numPr>
          <w:ilvl w:val="0"/>
          <w:numId w:val="16"/>
        </w:numPr>
        <w:spacing w:before="100" w:beforeAutospacing="1" w:after="100" w:afterAutospacing="1" w:line="360" w:lineRule="auto"/>
        <w:jc w:val="both"/>
        <w:rPr>
          <w:rFonts w:ascii="Arial" w:eastAsia="Times New Roman" w:hAnsi="Arial" w:cs="Arial"/>
          <w:sz w:val="24"/>
          <w:szCs w:val="24"/>
        </w:rPr>
      </w:pPr>
      <w:r w:rsidRPr="004D6466">
        <w:rPr>
          <w:rFonts w:ascii="Arial" w:eastAsia="Times New Roman" w:hAnsi="Arial" w:cs="Arial"/>
          <w:sz w:val="24"/>
          <w:szCs w:val="24"/>
        </w:rPr>
        <w:t>Desarrollar un modelo educativo que responda a necesidades locales y nacionales.</w:t>
      </w:r>
    </w:p>
    <w:p w:rsidR="00A66191" w:rsidRPr="004D6466" w:rsidRDefault="00A66191" w:rsidP="00A66191">
      <w:pPr>
        <w:spacing w:before="100" w:beforeAutospacing="1" w:after="100" w:afterAutospacing="1" w:line="360" w:lineRule="auto"/>
        <w:jc w:val="both"/>
        <w:rPr>
          <w:rFonts w:ascii="Arial" w:eastAsia="Times New Roman" w:hAnsi="Arial" w:cs="Arial"/>
          <w:sz w:val="24"/>
          <w:szCs w:val="24"/>
        </w:rPr>
      </w:pPr>
      <w:r w:rsidRPr="004D6466">
        <w:rPr>
          <w:rFonts w:ascii="Arial" w:hAnsi="Arial" w:cs="Arial"/>
          <w:sz w:val="24"/>
          <w:szCs w:val="24"/>
        </w:rPr>
        <w:t>La siguiente tabla muestra las unidades educativas del milenio en ejecución en todo el país.</w:t>
      </w:r>
    </w:p>
    <w:p w:rsidR="00A66191" w:rsidRPr="004D6466" w:rsidRDefault="00A66191" w:rsidP="00A66191">
      <w:pPr>
        <w:pStyle w:val="Sinespaciado"/>
      </w:pPr>
      <w:r w:rsidRPr="004D6466">
        <w:rPr>
          <w:noProof/>
        </w:rPr>
        <w:lastRenderedPageBreak/>
        <w:drawing>
          <wp:inline distT="0" distB="0" distL="0" distR="0">
            <wp:extent cx="5248275" cy="3707923"/>
            <wp:effectExtent l="19050" t="0" r="9525"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7" cstate="print"/>
                    <a:srcRect/>
                    <a:stretch>
                      <a:fillRect/>
                    </a:stretch>
                  </pic:blipFill>
                  <pic:spPr bwMode="auto">
                    <a:xfrm>
                      <a:off x="0" y="0"/>
                      <a:ext cx="5261546" cy="3717299"/>
                    </a:xfrm>
                    <a:prstGeom prst="rect">
                      <a:avLst/>
                    </a:prstGeom>
                    <a:noFill/>
                    <a:ln w="9525">
                      <a:noFill/>
                      <a:miter lim="800000"/>
                      <a:headEnd/>
                      <a:tailEnd/>
                    </a:ln>
                  </pic:spPr>
                </pic:pic>
              </a:graphicData>
            </a:graphic>
          </wp:inline>
        </w:drawing>
      </w:r>
    </w:p>
    <w:p w:rsidR="00A66191" w:rsidRPr="004D6466" w:rsidRDefault="00A66191" w:rsidP="00A66191">
      <w:pPr>
        <w:pStyle w:val="Sinespaciado"/>
        <w:rPr>
          <w:rFonts w:ascii="Arial" w:hAnsi="Arial" w:cs="Arial"/>
          <w:sz w:val="16"/>
          <w:szCs w:val="16"/>
        </w:rPr>
      </w:pPr>
    </w:p>
    <w:p w:rsidR="00A66191" w:rsidRPr="004D6466" w:rsidRDefault="00A66191" w:rsidP="00A66191">
      <w:pPr>
        <w:pStyle w:val="Sinespaciado"/>
        <w:rPr>
          <w:rFonts w:ascii="Arial" w:hAnsi="Arial" w:cs="Arial"/>
          <w:sz w:val="16"/>
          <w:szCs w:val="16"/>
        </w:rPr>
      </w:pPr>
      <w:r w:rsidRPr="004D6466">
        <w:rPr>
          <w:rFonts w:ascii="Arial" w:hAnsi="Arial" w:cs="Arial"/>
          <w:sz w:val="16"/>
          <w:szCs w:val="16"/>
        </w:rPr>
        <w:t xml:space="preserve">Gráfico  Nº 10                                                                                                                    fuente:   Ministerio de Educación              </w:t>
      </w:r>
    </w:p>
    <w:p w:rsidR="00A66191" w:rsidRPr="004D6466" w:rsidRDefault="00A66191" w:rsidP="00A66191">
      <w:pPr>
        <w:autoSpaceDE w:val="0"/>
        <w:autoSpaceDN w:val="0"/>
        <w:adjustRightInd w:val="0"/>
        <w:spacing w:after="0" w:line="360" w:lineRule="auto"/>
        <w:jc w:val="both"/>
        <w:rPr>
          <w:rFonts w:ascii="Arial" w:hAnsi="Arial" w:cs="Arial"/>
          <w:sz w:val="24"/>
          <w:szCs w:val="24"/>
        </w:rPr>
      </w:pPr>
    </w:p>
    <w:p w:rsidR="00A66191" w:rsidRPr="004D6466" w:rsidRDefault="00A66191" w:rsidP="00A66191">
      <w:pPr>
        <w:autoSpaceDE w:val="0"/>
        <w:autoSpaceDN w:val="0"/>
        <w:adjustRightInd w:val="0"/>
        <w:spacing w:after="0" w:line="360" w:lineRule="auto"/>
        <w:jc w:val="both"/>
        <w:rPr>
          <w:rFonts w:ascii="Arial" w:hAnsi="Arial" w:cs="Arial"/>
          <w:sz w:val="24"/>
          <w:szCs w:val="24"/>
        </w:rPr>
      </w:pPr>
      <w:r w:rsidRPr="004D6466">
        <w:rPr>
          <w:rFonts w:ascii="Arial" w:hAnsi="Arial" w:cs="Arial"/>
          <w:sz w:val="24"/>
          <w:szCs w:val="24"/>
        </w:rPr>
        <w:t>Los posibles lugares donde se ubicarán las nuevas Unidades Educativas del Milenio han sido seleccionados en función de los siguientes criterios: atender a sectores históricamente relegados, satisfacer la demanda estudiantil rural, mejorar la calidad académica y las condiciones locales.</w:t>
      </w:r>
    </w:p>
    <w:p w:rsidR="00A66191" w:rsidRPr="004D6466" w:rsidRDefault="00A66191" w:rsidP="00A66191">
      <w:pPr>
        <w:autoSpaceDE w:val="0"/>
        <w:autoSpaceDN w:val="0"/>
        <w:adjustRightInd w:val="0"/>
        <w:spacing w:after="0" w:line="360" w:lineRule="auto"/>
        <w:jc w:val="both"/>
        <w:rPr>
          <w:rFonts w:ascii="Arial" w:hAnsi="Arial" w:cs="Arial"/>
          <w:sz w:val="24"/>
          <w:szCs w:val="24"/>
        </w:rPr>
      </w:pPr>
      <w:r w:rsidRPr="004D6466">
        <w:rPr>
          <w:rFonts w:ascii="Arial" w:hAnsi="Arial" w:cs="Arial"/>
          <w:sz w:val="24"/>
          <w:szCs w:val="24"/>
        </w:rPr>
        <w:t>Los factores que priorizan la ubicación son: nivel de pobreza de la población, falta de oferta de servicios educativos, bajos resultados académicos en las pruebas nacionales (Pruebas SER).</w:t>
      </w:r>
    </w:p>
    <w:p w:rsidR="00A66191" w:rsidRPr="004D6466" w:rsidRDefault="00A66191" w:rsidP="00A66191">
      <w:pPr>
        <w:spacing w:line="360" w:lineRule="auto"/>
        <w:jc w:val="both"/>
        <w:rPr>
          <w:rFonts w:ascii="Arial" w:hAnsi="Arial" w:cs="Arial"/>
          <w:sz w:val="24"/>
          <w:szCs w:val="24"/>
        </w:rPr>
      </w:pPr>
      <w:r w:rsidRPr="004D6466">
        <w:rPr>
          <w:rFonts w:ascii="Arial" w:hAnsi="Arial" w:cs="Arial"/>
          <w:sz w:val="24"/>
          <w:szCs w:val="24"/>
        </w:rPr>
        <w:t>“Las principales características de las Unidades Educativas del Milenio son las siguientes:</w:t>
      </w:r>
    </w:p>
    <w:p w:rsidR="00A66191" w:rsidRPr="004D6466" w:rsidRDefault="00A66191" w:rsidP="00A66191">
      <w:pPr>
        <w:spacing w:line="360" w:lineRule="auto"/>
        <w:jc w:val="both"/>
        <w:rPr>
          <w:rFonts w:ascii="Arial" w:hAnsi="Arial" w:cs="Arial"/>
          <w:sz w:val="24"/>
          <w:szCs w:val="24"/>
        </w:rPr>
      </w:pPr>
      <w:r w:rsidRPr="004D6466">
        <w:rPr>
          <w:rStyle w:val="Textoennegrita"/>
          <w:rFonts w:ascii="Arial" w:hAnsi="Arial" w:cs="Arial"/>
          <w:sz w:val="24"/>
          <w:szCs w:val="24"/>
        </w:rPr>
        <w:t>Tecnología</w:t>
      </w:r>
      <w:r w:rsidRPr="004D6466">
        <w:rPr>
          <w:rFonts w:ascii="Arial" w:hAnsi="Arial" w:cs="Arial"/>
          <w:sz w:val="24"/>
          <w:szCs w:val="24"/>
        </w:rPr>
        <w:t>: las Unidades Educativas del Milenio incorporan elementos modernos de tecnología de la información en el proceso de enseñanza-aprendizaje, y utilizan la tecnología como un medio para potenciar la educación desde las etapas más tempranas de desarrollo.</w:t>
      </w:r>
    </w:p>
    <w:p w:rsidR="00A66191" w:rsidRPr="004D6466" w:rsidRDefault="00A66191" w:rsidP="00A66191">
      <w:pPr>
        <w:spacing w:line="360" w:lineRule="auto"/>
        <w:jc w:val="both"/>
        <w:rPr>
          <w:rFonts w:ascii="Arial" w:hAnsi="Arial" w:cs="Arial"/>
          <w:sz w:val="24"/>
          <w:szCs w:val="24"/>
        </w:rPr>
      </w:pPr>
      <w:r w:rsidRPr="004D6466">
        <w:rPr>
          <w:rStyle w:val="Textoennegrita"/>
          <w:rFonts w:ascii="Arial" w:hAnsi="Arial" w:cs="Arial"/>
          <w:sz w:val="24"/>
          <w:szCs w:val="24"/>
        </w:rPr>
        <w:t>Calidad</w:t>
      </w:r>
      <w:r w:rsidRPr="004D6466">
        <w:rPr>
          <w:rFonts w:ascii="Arial" w:hAnsi="Arial" w:cs="Arial"/>
          <w:sz w:val="24"/>
          <w:szCs w:val="24"/>
        </w:rPr>
        <w:t xml:space="preserve">: cada U.E.M. proporcionará la oferta educativa que complemente las necesidades de la comunidad en donde esta se ubique; la oferta podrá cubrir la educación básica y bachillerato, ya sea con cobertura propia o mediante instituciones “anexas”. Gracias a su carácter experimental, las U.E.M. elaboran </w:t>
      </w:r>
      <w:r w:rsidRPr="004D6466">
        <w:rPr>
          <w:rFonts w:ascii="Arial" w:hAnsi="Arial" w:cs="Arial"/>
          <w:sz w:val="24"/>
          <w:szCs w:val="24"/>
        </w:rPr>
        <w:lastRenderedPageBreak/>
        <w:t>su plan educativo institucional de forma participativa, y respetan así las características culturales, sociales y económicas.</w:t>
      </w:r>
    </w:p>
    <w:p w:rsidR="00A66191" w:rsidRPr="004D6466" w:rsidRDefault="00A66191" w:rsidP="00A66191">
      <w:pPr>
        <w:spacing w:line="360" w:lineRule="auto"/>
        <w:jc w:val="both"/>
        <w:rPr>
          <w:rFonts w:ascii="Arial" w:hAnsi="Arial" w:cs="Arial"/>
          <w:sz w:val="24"/>
          <w:szCs w:val="24"/>
        </w:rPr>
      </w:pPr>
      <w:r w:rsidRPr="004D6466">
        <w:rPr>
          <w:rStyle w:val="Textoennegrita"/>
          <w:rFonts w:ascii="Arial" w:hAnsi="Arial" w:cs="Arial"/>
          <w:sz w:val="24"/>
          <w:szCs w:val="24"/>
        </w:rPr>
        <w:t>Integración con la comunidad</w:t>
      </w:r>
      <w:r w:rsidRPr="004D6466">
        <w:rPr>
          <w:rFonts w:ascii="Arial" w:hAnsi="Arial" w:cs="Arial"/>
          <w:sz w:val="24"/>
          <w:szCs w:val="24"/>
        </w:rPr>
        <w:t>: las Unidades Educativas del Milenio forman parte de un plan educativo institucional que contempla una perspectiva estratégica y que incorpora articuladamente a los padres de familia, a la comunidad y a diversos sectores sociales”</w:t>
      </w:r>
      <w:r w:rsidRPr="004D6466">
        <w:rPr>
          <w:rStyle w:val="Refdenotaalpie"/>
          <w:rFonts w:ascii="Arial" w:hAnsi="Arial" w:cs="Arial"/>
          <w:sz w:val="24"/>
          <w:szCs w:val="24"/>
        </w:rPr>
        <w:footnoteReference w:id="50"/>
      </w:r>
    </w:p>
    <w:p w:rsidR="00A66191" w:rsidRPr="004D6466" w:rsidRDefault="00A66191" w:rsidP="00A66191">
      <w:pPr>
        <w:spacing w:line="360" w:lineRule="auto"/>
        <w:jc w:val="both"/>
        <w:rPr>
          <w:rFonts w:ascii="Arial" w:hAnsi="Arial" w:cs="Arial"/>
          <w:sz w:val="24"/>
          <w:szCs w:val="24"/>
        </w:rPr>
      </w:pPr>
      <w:r w:rsidRPr="004D6466">
        <w:rPr>
          <w:rFonts w:ascii="Arial" w:hAnsi="Arial" w:cs="Arial"/>
          <w:sz w:val="24"/>
          <w:szCs w:val="24"/>
        </w:rPr>
        <w:t xml:space="preserve">Adicionalmente, en el sector de educación primaria y secundaria se creó la Ley Orgánica de educación Intercultural (LOEI) la cual fue publicada en el registro oficial el 31 de marzo del 2011. El Presidente de la República, el 11 de febrero del 2011, mandó a la asamblea el veto parcial a esta ley, el mismo que fue tratado en la Asamblea pero ésta no dio solución y  se aprobó por el ministerio de la ley. El marco de acción de la LOEI es la educación secundaria y bachillerato, se basa en los preceptos del buen vivir y establece que la calidad de la educación será sometida a un proceso de evaluación continua por parte de los estudiantes y también por parte de los organismos del Estado, los resultados de este proceso no han sido estudiados en el marco del presente trabajo. </w:t>
      </w:r>
    </w:p>
    <w:p w:rsidR="00A66191" w:rsidRPr="004D6466" w:rsidRDefault="00A66191" w:rsidP="00A66191">
      <w:pPr>
        <w:pStyle w:val="NormalWeb"/>
        <w:spacing w:line="360" w:lineRule="auto"/>
        <w:jc w:val="both"/>
        <w:rPr>
          <w:rStyle w:val="Textoennegrita"/>
          <w:rFonts w:ascii="Arial" w:hAnsi="Arial" w:cs="Arial"/>
          <w:i/>
        </w:rPr>
      </w:pPr>
      <w:r w:rsidRPr="004D6466">
        <w:rPr>
          <w:rStyle w:val="Textoennegrita"/>
          <w:rFonts w:ascii="Arial" w:hAnsi="Arial" w:cs="Arial"/>
          <w:i/>
        </w:rPr>
        <w:t xml:space="preserve">4.4.3 Ley Orgánica de Educación Superior (LOES) </w:t>
      </w:r>
    </w:p>
    <w:p w:rsidR="00A66191" w:rsidRPr="004D6466" w:rsidRDefault="00A66191" w:rsidP="00A66191">
      <w:pPr>
        <w:autoSpaceDE w:val="0"/>
        <w:autoSpaceDN w:val="0"/>
        <w:adjustRightInd w:val="0"/>
        <w:spacing w:after="0" w:line="360" w:lineRule="auto"/>
        <w:jc w:val="both"/>
        <w:rPr>
          <w:rFonts w:ascii="Arial" w:hAnsi="Arial" w:cs="Arial"/>
          <w:sz w:val="24"/>
          <w:szCs w:val="24"/>
        </w:rPr>
      </w:pPr>
      <w:r w:rsidRPr="00727475">
        <w:rPr>
          <w:rStyle w:val="Textoennegrita"/>
          <w:rFonts w:ascii="Arial" w:hAnsi="Arial" w:cs="Arial"/>
          <w:b w:val="0"/>
          <w:sz w:val="24"/>
          <w:szCs w:val="24"/>
        </w:rPr>
        <w:t>En el 2010 se publicó la Ley Orgánica de Educación Superior (LOES) la cual establece según el art.</w:t>
      </w:r>
      <w:r w:rsidRPr="004D6466">
        <w:rPr>
          <w:rFonts w:ascii="Arial" w:hAnsi="Arial" w:cs="Arial"/>
          <w:bCs/>
          <w:sz w:val="24"/>
          <w:szCs w:val="24"/>
        </w:rPr>
        <w:t xml:space="preserve">3: </w:t>
      </w:r>
      <w:r w:rsidRPr="004D6466">
        <w:rPr>
          <w:rFonts w:ascii="Arial" w:hAnsi="Arial" w:cs="Arial"/>
          <w:sz w:val="24"/>
          <w:szCs w:val="24"/>
        </w:rPr>
        <w:t>La educación superior de carácter humanista, cultural y científica constituye un derecho de las personas y un bien público social que, de conformidad con la Constitución de la República, responderá al interés público y no estará al servicio de intereses individuales y corporativos.</w:t>
      </w:r>
    </w:p>
    <w:p w:rsidR="00A66191" w:rsidRPr="004D6466" w:rsidRDefault="00A66191" w:rsidP="00A66191">
      <w:pPr>
        <w:autoSpaceDE w:val="0"/>
        <w:autoSpaceDN w:val="0"/>
        <w:adjustRightInd w:val="0"/>
        <w:spacing w:after="0" w:line="360" w:lineRule="auto"/>
        <w:jc w:val="both"/>
        <w:rPr>
          <w:rFonts w:ascii="Arial" w:hAnsi="Arial" w:cs="Arial"/>
          <w:sz w:val="24"/>
          <w:szCs w:val="24"/>
        </w:rPr>
      </w:pPr>
    </w:p>
    <w:p w:rsidR="00A66191" w:rsidRPr="004D6466" w:rsidRDefault="00A66191" w:rsidP="00A66191">
      <w:pPr>
        <w:spacing w:line="360" w:lineRule="auto"/>
        <w:jc w:val="both"/>
        <w:rPr>
          <w:rFonts w:ascii="Arial" w:hAnsi="Arial" w:cs="Arial"/>
          <w:sz w:val="24"/>
          <w:szCs w:val="24"/>
        </w:rPr>
      </w:pPr>
      <w:r w:rsidRPr="004D6466">
        <w:rPr>
          <w:rFonts w:ascii="Arial" w:hAnsi="Arial" w:cs="Arial"/>
          <w:sz w:val="24"/>
          <w:szCs w:val="24"/>
        </w:rPr>
        <w:t xml:space="preserve">La ley establece que las instituciones que forman parte del Sistema de  Educación Superior son: las universidades, escuelas politécnicas públicas y particulares, debidamente evaluadas y acreditadas y los institutos superiores técnicos, tecnológicos, pedagógicos, de artes y los conservatorios superiores, tanto públicos como particulares, debidamente evaluados y acreditados; y crea 2 organismos de regulación del Sistema de Educación Superior los cuales son </w:t>
      </w:r>
      <w:r w:rsidRPr="004D6466">
        <w:rPr>
          <w:rFonts w:ascii="Arial" w:hAnsi="Arial" w:cs="Arial"/>
          <w:sz w:val="24"/>
          <w:szCs w:val="24"/>
        </w:rPr>
        <w:lastRenderedPageBreak/>
        <w:t xml:space="preserve">el Consejo de Educación Superior (CES) y el Consejo de Evaluación, Acreditación y Aseguramiento de la Calidad de la Educación Superior (CEAACES). </w:t>
      </w:r>
    </w:p>
    <w:p w:rsidR="00A66191" w:rsidRPr="004D6466" w:rsidRDefault="00A66191" w:rsidP="00A66191">
      <w:pPr>
        <w:spacing w:line="360" w:lineRule="auto"/>
        <w:jc w:val="both"/>
        <w:rPr>
          <w:rFonts w:ascii="Arial" w:hAnsi="Arial" w:cs="Arial"/>
          <w:sz w:val="24"/>
          <w:szCs w:val="24"/>
        </w:rPr>
      </w:pPr>
      <w:r w:rsidRPr="004D6466">
        <w:rPr>
          <w:rFonts w:ascii="Arial" w:hAnsi="Arial" w:cs="Arial"/>
          <w:sz w:val="24"/>
          <w:szCs w:val="24"/>
        </w:rPr>
        <w:t xml:space="preserve">Con la LOES se determinó que para ser profesor de universidades o centro politécnicos se necesitan los siguientes requisitos como lo indica el art. 150 de esta ley: </w:t>
      </w:r>
    </w:p>
    <w:p w:rsidR="00A66191" w:rsidRPr="004D6466" w:rsidRDefault="00A66191" w:rsidP="00A66191">
      <w:pPr>
        <w:autoSpaceDE w:val="0"/>
        <w:autoSpaceDN w:val="0"/>
        <w:adjustRightInd w:val="0"/>
        <w:spacing w:after="0" w:line="360" w:lineRule="auto"/>
        <w:jc w:val="both"/>
        <w:rPr>
          <w:rFonts w:ascii="Arial" w:hAnsi="Arial" w:cs="Arial"/>
          <w:sz w:val="24"/>
          <w:szCs w:val="24"/>
        </w:rPr>
      </w:pPr>
      <w:r w:rsidRPr="004D6466">
        <w:rPr>
          <w:rFonts w:ascii="Arial" w:hAnsi="Arial" w:cs="Arial"/>
          <w:sz w:val="24"/>
          <w:szCs w:val="24"/>
        </w:rPr>
        <w:t>a) Tener título de posgrado correspondiente a doctorado (PhD o su equivalente) en el área afín en que ejercerá la cátedra;</w:t>
      </w:r>
    </w:p>
    <w:p w:rsidR="00A66191" w:rsidRPr="004D6466" w:rsidRDefault="00A66191" w:rsidP="00A66191">
      <w:pPr>
        <w:autoSpaceDE w:val="0"/>
        <w:autoSpaceDN w:val="0"/>
        <w:adjustRightInd w:val="0"/>
        <w:spacing w:after="0" w:line="360" w:lineRule="auto"/>
        <w:jc w:val="both"/>
        <w:rPr>
          <w:rFonts w:ascii="Arial" w:hAnsi="Arial" w:cs="Arial"/>
          <w:sz w:val="24"/>
          <w:szCs w:val="24"/>
        </w:rPr>
      </w:pPr>
      <w:r w:rsidRPr="004D6466">
        <w:rPr>
          <w:rFonts w:ascii="Arial" w:hAnsi="Arial" w:cs="Arial"/>
          <w:sz w:val="24"/>
          <w:szCs w:val="24"/>
        </w:rPr>
        <w:t>b) Haber realizado o publicado obras de relevancia o artículos indexados en el área afín en que ejercerá la cátedra, individual o colectivamente, en los últimos cinco años;</w:t>
      </w:r>
    </w:p>
    <w:p w:rsidR="00A66191" w:rsidRPr="004D6466" w:rsidRDefault="00A66191" w:rsidP="00A66191">
      <w:pPr>
        <w:autoSpaceDE w:val="0"/>
        <w:autoSpaceDN w:val="0"/>
        <w:adjustRightInd w:val="0"/>
        <w:spacing w:after="0" w:line="360" w:lineRule="auto"/>
        <w:jc w:val="both"/>
        <w:rPr>
          <w:rFonts w:ascii="Arial" w:hAnsi="Arial" w:cs="Arial"/>
          <w:sz w:val="24"/>
          <w:szCs w:val="24"/>
        </w:rPr>
      </w:pPr>
      <w:r w:rsidRPr="004D6466">
        <w:rPr>
          <w:rFonts w:ascii="Arial" w:hAnsi="Arial" w:cs="Arial"/>
          <w:sz w:val="24"/>
          <w:szCs w:val="24"/>
        </w:rPr>
        <w:t>c) Ser ganador del correspondiente concurso público de merecimientos y oposición; y,</w:t>
      </w:r>
    </w:p>
    <w:p w:rsidR="00A66191" w:rsidRPr="004D6466" w:rsidRDefault="00A66191" w:rsidP="00A66191">
      <w:pPr>
        <w:autoSpaceDE w:val="0"/>
        <w:autoSpaceDN w:val="0"/>
        <w:adjustRightInd w:val="0"/>
        <w:spacing w:after="0" w:line="360" w:lineRule="auto"/>
        <w:jc w:val="both"/>
        <w:rPr>
          <w:rFonts w:ascii="Arial" w:hAnsi="Arial" w:cs="Arial"/>
          <w:sz w:val="24"/>
          <w:szCs w:val="24"/>
        </w:rPr>
      </w:pPr>
      <w:r w:rsidRPr="004D6466">
        <w:rPr>
          <w:rFonts w:ascii="Arial" w:hAnsi="Arial" w:cs="Arial"/>
          <w:sz w:val="24"/>
          <w:szCs w:val="24"/>
        </w:rPr>
        <w:t>d) Tener cuatro años de experiencia docente, y reunir los requisitos adicionales, señalados en los estatutos de cada universidad o escuela politécnica, en ejercicio de su autonomía responsable, los que tendrán plena concordancia con el Reglamento de Carrera y Escalafón del Profesor e Investigador del Sistema de Educación Superior.</w:t>
      </w:r>
    </w:p>
    <w:p w:rsidR="00A66191" w:rsidRPr="004D6466" w:rsidRDefault="00A66191" w:rsidP="00A66191">
      <w:pPr>
        <w:autoSpaceDE w:val="0"/>
        <w:autoSpaceDN w:val="0"/>
        <w:adjustRightInd w:val="0"/>
        <w:spacing w:after="0" w:line="360" w:lineRule="auto"/>
        <w:jc w:val="both"/>
        <w:rPr>
          <w:rFonts w:ascii="Arial" w:hAnsi="Arial" w:cs="Arial"/>
          <w:sz w:val="24"/>
          <w:szCs w:val="24"/>
        </w:rPr>
      </w:pPr>
    </w:p>
    <w:p w:rsidR="00A66191" w:rsidRPr="004D6466" w:rsidRDefault="00A66191" w:rsidP="00A66191">
      <w:pPr>
        <w:spacing w:line="360" w:lineRule="auto"/>
        <w:jc w:val="both"/>
        <w:rPr>
          <w:rFonts w:ascii="Arial" w:hAnsi="Arial" w:cs="Arial"/>
          <w:sz w:val="24"/>
          <w:szCs w:val="24"/>
        </w:rPr>
      </w:pPr>
      <w:r w:rsidRPr="004D6466">
        <w:rPr>
          <w:rFonts w:ascii="Arial" w:hAnsi="Arial" w:cs="Arial"/>
          <w:sz w:val="24"/>
          <w:szCs w:val="24"/>
        </w:rPr>
        <w:t>Los profesores titulares agregados o auxiliares deberán contar como mínimo con título de maestría afín al área en que ejercerán la cátedra, los demás requisitos se establecerán en el reglamento respectivo.</w:t>
      </w:r>
    </w:p>
    <w:p w:rsidR="00A66191" w:rsidRPr="004D6466" w:rsidRDefault="00A66191" w:rsidP="00A66191">
      <w:pPr>
        <w:spacing w:line="360" w:lineRule="auto"/>
        <w:jc w:val="both"/>
        <w:rPr>
          <w:rFonts w:ascii="Arial" w:hAnsi="Arial" w:cs="Arial"/>
          <w:sz w:val="24"/>
          <w:szCs w:val="24"/>
        </w:rPr>
      </w:pPr>
      <w:r w:rsidRPr="004D6466">
        <w:rPr>
          <w:rFonts w:ascii="Arial" w:hAnsi="Arial" w:cs="Arial"/>
          <w:sz w:val="24"/>
          <w:szCs w:val="24"/>
        </w:rPr>
        <w:t>Según la LOES, los recursos económicos que provengan del Estado tienen que ser destinados a becas de escolaridad (a quienes tienen dificultad de acceder al sistema de educación superior) y a becas de docencia e investigación para obtener el título de cuarto nivel, esto de manera obligatoria. Adicionalmente la LOES establece que se tienen que incorporar de manera obligatoria el uso de programas informáticos de software libre.</w:t>
      </w:r>
    </w:p>
    <w:p w:rsidR="00A66191" w:rsidRPr="004D6466" w:rsidRDefault="00A66191" w:rsidP="00A66191">
      <w:pPr>
        <w:spacing w:line="360" w:lineRule="auto"/>
        <w:jc w:val="both"/>
        <w:rPr>
          <w:rFonts w:ascii="Arial" w:hAnsi="Arial" w:cs="Arial"/>
          <w:sz w:val="24"/>
          <w:szCs w:val="24"/>
        </w:rPr>
      </w:pPr>
      <w:r w:rsidRPr="004D6466">
        <w:rPr>
          <w:rFonts w:ascii="Arial" w:hAnsi="Arial" w:cs="Arial"/>
          <w:sz w:val="24"/>
          <w:szCs w:val="24"/>
        </w:rPr>
        <w:t>En la LOES también están previstos los siguientes cambios:</w:t>
      </w:r>
    </w:p>
    <w:p w:rsidR="00A66191" w:rsidRPr="004D6466" w:rsidRDefault="00A66191" w:rsidP="00A66191">
      <w:pPr>
        <w:pStyle w:val="Prrafodelista"/>
        <w:numPr>
          <w:ilvl w:val="0"/>
          <w:numId w:val="26"/>
        </w:numPr>
        <w:autoSpaceDE w:val="0"/>
        <w:autoSpaceDN w:val="0"/>
        <w:adjustRightInd w:val="0"/>
        <w:spacing w:after="0" w:line="360" w:lineRule="auto"/>
        <w:jc w:val="both"/>
        <w:rPr>
          <w:rFonts w:ascii="Arial" w:hAnsi="Arial" w:cs="Arial"/>
          <w:sz w:val="24"/>
          <w:szCs w:val="24"/>
        </w:rPr>
      </w:pPr>
      <w:r w:rsidRPr="004D6466">
        <w:rPr>
          <w:rFonts w:ascii="Arial" w:hAnsi="Arial" w:cs="Arial"/>
          <w:sz w:val="24"/>
          <w:szCs w:val="24"/>
        </w:rPr>
        <w:t xml:space="preserve">Entregar de manera obligatoria los presupuestos anuales debidamente aprobados y la liquidación presupuestaria </w:t>
      </w:r>
    </w:p>
    <w:p w:rsidR="00A66191" w:rsidRPr="004D6466" w:rsidRDefault="00A66191" w:rsidP="00A66191">
      <w:pPr>
        <w:pStyle w:val="Prrafodelista"/>
        <w:numPr>
          <w:ilvl w:val="0"/>
          <w:numId w:val="26"/>
        </w:numPr>
        <w:autoSpaceDE w:val="0"/>
        <w:autoSpaceDN w:val="0"/>
        <w:adjustRightInd w:val="0"/>
        <w:spacing w:after="0" w:line="360" w:lineRule="auto"/>
        <w:jc w:val="both"/>
        <w:rPr>
          <w:rFonts w:ascii="Arial" w:hAnsi="Arial" w:cs="Arial"/>
          <w:sz w:val="24"/>
          <w:szCs w:val="24"/>
        </w:rPr>
      </w:pPr>
      <w:r w:rsidRPr="004D6466">
        <w:rPr>
          <w:rFonts w:ascii="Arial" w:hAnsi="Arial" w:cs="Arial"/>
          <w:sz w:val="24"/>
          <w:szCs w:val="24"/>
        </w:rPr>
        <w:lastRenderedPageBreak/>
        <w:t>Que las elecciones de autoridades se haga por votación universal, directa, secreta y obligatoria y fija la participación en la votación para rectores y vice rectores que los estudiantes participen con un porcentaje del 10-25% (desde segundo año) los servidores y trabajadores con el 1-5% (titulares), los graduados con el 1-5% del total del personal académico con derecho al voto.</w:t>
      </w:r>
    </w:p>
    <w:p w:rsidR="00A66191" w:rsidRPr="004D6466" w:rsidRDefault="00A66191" w:rsidP="00A66191">
      <w:pPr>
        <w:pStyle w:val="Prrafodelista"/>
        <w:numPr>
          <w:ilvl w:val="0"/>
          <w:numId w:val="26"/>
        </w:numPr>
        <w:autoSpaceDE w:val="0"/>
        <w:autoSpaceDN w:val="0"/>
        <w:adjustRightInd w:val="0"/>
        <w:spacing w:after="0" w:line="360" w:lineRule="auto"/>
        <w:jc w:val="both"/>
        <w:rPr>
          <w:rFonts w:ascii="Arial" w:hAnsi="Arial" w:cs="Arial"/>
          <w:sz w:val="24"/>
          <w:szCs w:val="24"/>
        </w:rPr>
      </w:pPr>
      <w:r w:rsidRPr="004D6466">
        <w:rPr>
          <w:rFonts w:ascii="Arial" w:hAnsi="Arial" w:cs="Arial"/>
          <w:sz w:val="24"/>
          <w:szCs w:val="24"/>
        </w:rPr>
        <w:t>Que no se cobre ningún monto por los derechos de grado o el otorgamiento del título académico.</w:t>
      </w:r>
    </w:p>
    <w:p w:rsidR="00A66191" w:rsidRPr="004D6466" w:rsidRDefault="00A66191" w:rsidP="00A66191">
      <w:pPr>
        <w:pStyle w:val="Prrafodelista"/>
        <w:numPr>
          <w:ilvl w:val="0"/>
          <w:numId w:val="26"/>
        </w:numPr>
        <w:autoSpaceDE w:val="0"/>
        <w:autoSpaceDN w:val="0"/>
        <w:adjustRightInd w:val="0"/>
        <w:spacing w:after="0" w:line="360" w:lineRule="auto"/>
        <w:jc w:val="both"/>
        <w:rPr>
          <w:rFonts w:ascii="Arial" w:hAnsi="Arial" w:cs="Arial"/>
          <w:sz w:val="24"/>
          <w:szCs w:val="24"/>
        </w:rPr>
      </w:pPr>
      <w:r w:rsidRPr="004D6466">
        <w:rPr>
          <w:rFonts w:ascii="Arial" w:hAnsi="Arial" w:cs="Arial"/>
          <w:sz w:val="24"/>
          <w:szCs w:val="24"/>
        </w:rPr>
        <w:t>Que en el presupuesto debe constar una partida adecuada para el proceso de autoevaluación.</w:t>
      </w:r>
    </w:p>
    <w:p w:rsidR="00A66191" w:rsidRPr="004D6466" w:rsidRDefault="00A66191" w:rsidP="00A66191">
      <w:pPr>
        <w:pStyle w:val="Prrafodelista"/>
        <w:numPr>
          <w:ilvl w:val="0"/>
          <w:numId w:val="26"/>
        </w:numPr>
        <w:autoSpaceDE w:val="0"/>
        <w:autoSpaceDN w:val="0"/>
        <w:adjustRightInd w:val="0"/>
        <w:spacing w:after="0" w:line="360" w:lineRule="auto"/>
        <w:jc w:val="both"/>
        <w:rPr>
          <w:rFonts w:ascii="Arial" w:hAnsi="Arial" w:cs="Arial"/>
          <w:sz w:val="24"/>
          <w:szCs w:val="24"/>
        </w:rPr>
      </w:pPr>
      <w:r w:rsidRPr="004D6466">
        <w:rPr>
          <w:rFonts w:ascii="Arial" w:hAnsi="Arial" w:cs="Arial"/>
          <w:sz w:val="24"/>
          <w:szCs w:val="24"/>
        </w:rPr>
        <w:t xml:space="preserve">Que las universidades que sostengan convenios con universidades extranjeras deben suscribir un convenio especial sometido a la aprobación y supervisión del Consejo de Educación Superior. </w:t>
      </w:r>
    </w:p>
    <w:p w:rsidR="00A66191" w:rsidRPr="004D6466" w:rsidRDefault="00A66191" w:rsidP="00A66191">
      <w:pPr>
        <w:pStyle w:val="Prrafodelista"/>
        <w:numPr>
          <w:ilvl w:val="0"/>
          <w:numId w:val="26"/>
        </w:numPr>
        <w:autoSpaceDE w:val="0"/>
        <w:autoSpaceDN w:val="0"/>
        <w:adjustRightInd w:val="0"/>
        <w:spacing w:after="0" w:line="360" w:lineRule="auto"/>
        <w:jc w:val="both"/>
        <w:rPr>
          <w:rFonts w:ascii="Arial" w:hAnsi="Arial" w:cs="Arial"/>
          <w:sz w:val="24"/>
          <w:szCs w:val="24"/>
        </w:rPr>
      </w:pPr>
      <w:r w:rsidRPr="004D6466">
        <w:rPr>
          <w:rFonts w:ascii="Arial" w:hAnsi="Arial" w:cs="Arial"/>
          <w:sz w:val="24"/>
          <w:szCs w:val="24"/>
        </w:rPr>
        <w:t>Contar con un sistema de seguimiento a graduados y los resultados enviarlos al Consejo de Evaluación, Acreditación y Aseguramiento de la Calidad de la Educación Superior.</w:t>
      </w:r>
    </w:p>
    <w:p w:rsidR="00A66191" w:rsidRPr="004D6466" w:rsidRDefault="00A66191" w:rsidP="00A66191">
      <w:pPr>
        <w:pStyle w:val="Prrafodelista"/>
        <w:numPr>
          <w:ilvl w:val="0"/>
          <w:numId w:val="26"/>
        </w:numPr>
        <w:autoSpaceDE w:val="0"/>
        <w:autoSpaceDN w:val="0"/>
        <w:adjustRightInd w:val="0"/>
        <w:spacing w:after="0" w:line="360" w:lineRule="auto"/>
        <w:jc w:val="both"/>
        <w:rPr>
          <w:rFonts w:ascii="Arial" w:hAnsi="Arial" w:cs="Arial"/>
          <w:sz w:val="24"/>
          <w:szCs w:val="24"/>
        </w:rPr>
      </w:pPr>
      <w:r w:rsidRPr="004D6466">
        <w:rPr>
          <w:rFonts w:ascii="Arial" w:hAnsi="Arial" w:cs="Arial"/>
          <w:sz w:val="24"/>
          <w:szCs w:val="24"/>
        </w:rPr>
        <w:t>La entrega de tesis digitalizadas para el Sistema Nacional de Información de la Educación Superior.</w:t>
      </w:r>
    </w:p>
    <w:p w:rsidR="00A66191" w:rsidRPr="004D6466" w:rsidRDefault="00A66191" w:rsidP="00A66191">
      <w:pPr>
        <w:pStyle w:val="Prrafodelista"/>
        <w:numPr>
          <w:ilvl w:val="0"/>
          <w:numId w:val="26"/>
        </w:numPr>
        <w:spacing w:line="360" w:lineRule="auto"/>
        <w:jc w:val="both"/>
        <w:rPr>
          <w:rFonts w:ascii="Arial" w:hAnsi="Arial" w:cs="Arial"/>
          <w:sz w:val="24"/>
          <w:szCs w:val="24"/>
        </w:rPr>
      </w:pPr>
      <w:r w:rsidRPr="004D6466">
        <w:rPr>
          <w:rFonts w:ascii="Arial" w:hAnsi="Arial" w:cs="Arial"/>
          <w:sz w:val="24"/>
          <w:szCs w:val="24"/>
        </w:rPr>
        <w:t>Someterse  de manera obligatoria a la evaluación interna y externa, a la acreditación, a la clasificación académica y al aseguramiento de la calidad en un plazo de 5 años con la condición de que dejarán de funcionar si no lo hacen.</w:t>
      </w:r>
    </w:p>
    <w:p w:rsidR="00A66191" w:rsidRPr="004D6466" w:rsidRDefault="00A66191" w:rsidP="00A66191">
      <w:pPr>
        <w:tabs>
          <w:tab w:val="left" w:pos="142"/>
        </w:tabs>
        <w:spacing w:line="360" w:lineRule="auto"/>
        <w:jc w:val="both"/>
        <w:rPr>
          <w:rFonts w:ascii="Arial" w:hAnsi="Arial" w:cs="Arial"/>
          <w:b/>
          <w:sz w:val="24"/>
          <w:szCs w:val="24"/>
        </w:rPr>
      </w:pPr>
      <w:r w:rsidRPr="004D6466">
        <w:rPr>
          <w:rFonts w:ascii="Arial" w:hAnsi="Arial" w:cs="Arial"/>
          <w:b/>
          <w:sz w:val="24"/>
          <w:szCs w:val="24"/>
        </w:rPr>
        <w:t>Resultados de la aplicación de la Ley de Educación Superior</w:t>
      </w:r>
    </w:p>
    <w:p w:rsidR="00A66191" w:rsidRPr="004D6466" w:rsidRDefault="00A66191" w:rsidP="00A66191">
      <w:pPr>
        <w:tabs>
          <w:tab w:val="left" w:pos="142"/>
        </w:tabs>
        <w:spacing w:line="360" w:lineRule="auto"/>
        <w:jc w:val="both"/>
        <w:rPr>
          <w:rFonts w:ascii="Arial" w:hAnsi="Arial" w:cs="Arial"/>
          <w:sz w:val="24"/>
          <w:szCs w:val="24"/>
        </w:rPr>
      </w:pPr>
      <w:r w:rsidRPr="004D6466">
        <w:rPr>
          <w:rFonts w:ascii="Arial" w:hAnsi="Arial" w:cs="Arial"/>
          <w:sz w:val="24"/>
          <w:szCs w:val="24"/>
        </w:rPr>
        <w:t>La aplicación de la Ley de Educación Superior significó en la práctica el incremento del control de Estado sobre las universidades, para garantizar la calidad de la educación y facilitar el acceso a ellas de los estudiantes. El proceso ha sido difícil y ha tenido resultados considerados muy polémicos por unos sectores y adecuados por otros.</w:t>
      </w:r>
    </w:p>
    <w:p w:rsidR="00A66191" w:rsidRPr="004D6466" w:rsidRDefault="00A66191" w:rsidP="00A66191">
      <w:pPr>
        <w:tabs>
          <w:tab w:val="left" w:pos="142"/>
        </w:tabs>
        <w:spacing w:line="360" w:lineRule="auto"/>
        <w:jc w:val="both"/>
        <w:rPr>
          <w:rFonts w:ascii="Arial" w:hAnsi="Arial" w:cs="Arial"/>
          <w:sz w:val="24"/>
          <w:szCs w:val="24"/>
        </w:rPr>
      </w:pPr>
      <w:r w:rsidRPr="004D6466">
        <w:rPr>
          <w:rFonts w:ascii="Arial" w:hAnsi="Arial" w:cs="Arial"/>
          <w:sz w:val="24"/>
          <w:szCs w:val="24"/>
        </w:rPr>
        <w:t>En primera instancia en el año 2009 el Consejo de Evaluación y Acreditación de la Educación Superior (CONEA) evaluó a las universidades a nivel nacional con un rango de calificaciones de la A, a la E. Siendo, A, la calificación más alta.</w:t>
      </w:r>
    </w:p>
    <w:p w:rsidR="00A66191" w:rsidRPr="004D6466" w:rsidRDefault="00A66191" w:rsidP="00A66191">
      <w:pPr>
        <w:tabs>
          <w:tab w:val="left" w:pos="142"/>
        </w:tabs>
        <w:spacing w:line="360" w:lineRule="auto"/>
        <w:jc w:val="both"/>
        <w:rPr>
          <w:rFonts w:ascii="Arial" w:hAnsi="Arial" w:cs="Arial"/>
          <w:sz w:val="24"/>
          <w:szCs w:val="24"/>
        </w:rPr>
      </w:pPr>
      <w:r w:rsidRPr="004D6466">
        <w:rPr>
          <w:rFonts w:ascii="Arial" w:hAnsi="Arial" w:cs="Arial"/>
          <w:sz w:val="24"/>
          <w:szCs w:val="24"/>
        </w:rPr>
        <w:lastRenderedPageBreak/>
        <w:t>Solamente 11 de la 75 universidades, 145 extensiones y 285 institutos obtuvieron la calificación A; en cambio 26 universidades recibieron calificación E.</w:t>
      </w:r>
    </w:p>
    <w:p w:rsidR="00A66191" w:rsidRPr="004D6466" w:rsidRDefault="00A66191" w:rsidP="00A66191">
      <w:pPr>
        <w:spacing w:line="360" w:lineRule="auto"/>
        <w:jc w:val="both"/>
        <w:rPr>
          <w:rFonts w:ascii="Arial" w:hAnsi="Arial" w:cs="Arial"/>
          <w:sz w:val="24"/>
          <w:szCs w:val="24"/>
        </w:rPr>
      </w:pPr>
      <w:r w:rsidRPr="004D6466">
        <w:rPr>
          <w:rFonts w:ascii="Arial" w:hAnsi="Arial" w:cs="Arial"/>
          <w:sz w:val="24"/>
          <w:szCs w:val="24"/>
        </w:rPr>
        <w:t>En el 2012 el Consejo de Evaluación, Acreditación y Aseguramiento de la Calidad de la Educación Superior (CEAACES) evaluó las universidades de categoría E y 14 fueron cerradas por no poseer la calidad académica necesaria para seguir funcionando, en estas universidades estaban inscritos 38.000 estudiantes que son parte de un plan de contingencia que asegura su cupo dentro de las universidades de calificación A. En lo que respecta a aquellos estudiantes que estaban cursando el último semestre de la carrera podrán seguir estudiando en su centro educativo pero dirigido por un nuevo administrador, ellos si fueron afectados por la aplicación de la Ley porque muchos de ellos no pudieron seguir cursando sus estudios y debieron cambiarse de carrera iniciando a niveles más bajos.</w:t>
      </w:r>
    </w:p>
    <w:p w:rsidR="00A66191" w:rsidRPr="004D6466" w:rsidRDefault="00A66191" w:rsidP="00A66191">
      <w:pPr>
        <w:spacing w:line="360" w:lineRule="auto"/>
        <w:jc w:val="both"/>
        <w:rPr>
          <w:rFonts w:ascii="Arial" w:hAnsi="Arial" w:cs="Arial"/>
          <w:sz w:val="24"/>
          <w:szCs w:val="24"/>
        </w:rPr>
      </w:pPr>
      <w:r w:rsidRPr="004D6466">
        <w:rPr>
          <w:rFonts w:ascii="Arial" w:hAnsi="Arial" w:cs="Arial"/>
          <w:sz w:val="24"/>
          <w:szCs w:val="24"/>
        </w:rPr>
        <w:t>En el 2013 se realizó la evaluación de 86 extensiones universitarias a nivel nacional y dio como resultado el cierre de 44 extensiones, sin embargo los estudiantes que ya estaban matriculados podrán graduarse, siendo la matriz quien asuma esta responsabilidad.</w:t>
      </w:r>
    </w:p>
    <w:p w:rsidR="00A66191" w:rsidRPr="004D6466" w:rsidRDefault="00A66191" w:rsidP="00A66191">
      <w:pPr>
        <w:spacing w:line="360" w:lineRule="auto"/>
        <w:jc w:val="both"/>
        <w:rPr>
          <w:rFonts w:ascii="Arial" w:hAnsi="Arial" w:cs="Arial"/>
          <w:sz w:val="24"/>
          <w:szCs w:val="24"/>
        </w:rPr>
      </w:pPr>
      <w:r w:rsidRPr="004D6466">
        <w:rPr>
          <w:rFonts w:ascii="Arial" w:hAnsi="Arial" w:cs="Arial"/>
          <w:sz w:val="24"/>
          <w:szCs w:val="24"/>
        </w:rPr>
        <w:t xml:space="preserve">En cuanto a los resultados de examen de ingreso a las universidades se puede observar que: en el 2012 se creó el Sistema Nacional de Nivelación y Admisión que sirve para que los bachilleres puedan acceder a una educación de calidad rindiendo un examen de ingreso. De una totalidad de 129.814 alumnos de sextos cursos se inscribieron en el Sistema Nacional de Nivelación y Admisión (SNNA) hasta el 18 de marzo del 2012, de los cuales 26.708 no rindieron el examen, es decir que hubo un ausentismo del 20,57%. </w:t>
      </w:r>
      <w:r w:rsidRPr="004D6466">
        <w:rPr>
          <w:rFonts w:ascii="Arial" w:hAnsi="Arial" w:cs="Arial"/>
        </w:rPr>
        <w:t xml:space="preserve">En noviembre de ese año se realizó otra convocatoria para rendir el examen de admisión.  </w:t>
      </w:r>
    </w:p>
    <w:p w:rsidR="00A66191" w:rsidRPr="004D6466" w:rsidRDefault="00A66191" w:rsidP="00A66191">
      <w:pPr>
        <w:spacing w:before="100" w:beforeAutospacing="1" w:after="100" w:afterAutospacing="1" w:line="360" w:lineRule="auto"/>
        <w:jc w:val="both"/>
        <w:rPr>
          <w:rFonts w:ascii="Arial" w:eastAsia="Times New Roman" w:hAnsi="Arial" w:cs="Arial"/>
          <w:sz w:val="24"/>
          <w:szCs w:val="24"/>
        </w:rPr>
      </w:pPr>
      <w:r w:rsidRPr="004D6466">
        <w:rPr>
          <w:rFonts w:ascii="Arial" w:eastAsia="Times New Roman" w:hAnsi="Arial" w:cs="Arial"/>
          <w:sz w:val="24"/>
          <w:szCs w:val="24"/>
        </w:rPr>
        <w:t>Los estudiantes necesitan un puntaje mayor a 555 para acceder al proceso de nivelación que dura seis meses, y un mínimo de 800 quienes quieran estudiar medicina o docencia. </w:t>
      </w:r>
    </w:p>
    <w:p w:rsidR="00A66191" w:rsidRPr="004D6466" w:rsidRDefault="00A66191" w:rsidP="00A66191">
      <w:pPr>
        <w:spacing w:before="100" w:beforeAutospacing="1" w:after="100" w:afterAutospacing="1" w:line="360" w:lineRule="auto"/>
        <w:jc w:val="both"/>
        <w:rPr>
          <w:rFonts w:ascii="Arial" w:eastAsia="Times New Roman" w:hAnsi="Arial" w:cs="Arial"/>
          <w:sz w:val="24"/>
          <w:szCs w:val="24"/>
        </w:rPr>
      </w:pPr>
    </w:p>
    <w:p w:rsidR="00A66191" w:rsidRPr="004D6466" w:rsidRDefault="00A66191" w:rsidP="00A66191">
      <w:pPr>
        <w:spacing w:before="100" w:beforeAutospacing="1" w:after="100" w:afterAutospacing="1" w:line="360" w:lineRule="auto"/>
        <w:jc w:val="both"/>
        <w:rPr>
          <w:rFonts w:ascii="Arial" w:hAnsi="Arial" w:cs="Arial"/>
          <w:b/>
          <w:sz w:val="24"/>
          <w:szCs w:val="24"/>
        </w:rPr>
      </w:pPr>
      <w:r w:rsidRPr="004D6466">
        <w:rPr>
          <w:rFonts w:ascii="Arial" w:hAnsi="Arial" w:cs="Arial"/>
          <w:b/>
          <w:sz w:val="24"/>
          <w:szCs w:val="24"/>
        </w:rPr>
        <w:lastRenderedPageBreak/>
        <w:t>Otras medidas adoptadas por el gobierno y sus resultados en la educación superior</w:t>
      </w:r>
    </w:p>
    <w:p w:rsidR="00A66191" w:rsidRPr="004D6466" w:rsidRDefault="00A66191" w:rsidP="00A66191">
      <w:pPr>
        <w:pStyle w:val="Prrafodelista"/>
        <w:numPr>
          <w:ilvl w:val="0"/>
          <w:numId w:val="45"/>
        </w:numPr>
        <w:spacing w:before="100" w:beforeAutospacing="1" w:after="100" w:afterAutospacing="1" w:line="360" w:lineRule="auto"/>
        <w:jc w:val="both"/>
        <w:rPr>
          <w:rFonts w:ascii="Arial" w:hAnsi="Arial" w:cs="Arial"/>
          <w:b/>
          <w:i/>
          <w:sz w:val="24"/>
          <w:szCs w:val="24"/>
        </w:rPr>
      </w:pPr>
      <w:r w:rsidRPr="004D6466">
        <w:rPr>
          <w:rFonts w:ascii="Arial" w:hAnsi="Arial" w:cs="Arial"/>
          <w:b/>
          <w:i/>
          <w:sz w:val="24"/>
          <w:szCs w:val="24"/>
        </w:rPr>
        <w:t xml:space="preserve">SENESCYT </w:t>
      </w:r>
    </w:p>
    <w:p w:rsidR="00A66191" w:rsidRPr="004D6466" w:rsidRDefault="00A66191" w:rsidP="00A66191">
      <w:pPr>
        <w:spacing w:before="100" w:beforeAutospacing="1" w:after="100" w:afterAutospacing="1" w:line="360" w:lineRule="auto"/>
        <w:jc w:val="both"/>
        <w:rPr>
          <w:rFonts w:ascii="Arial" w:hAnsi="Arial" w:cs="Arial"/>
          <w:b/>
          <w:sz w:val="24"/>
          <w:szCs w:val="24"/>
        </w:rPr>
      </w:pPr>
      <w:r w:rsidRPr="004D6466">
        <w:rPr>
          <w:rFonts w:ascii="Arial" w:hAnsi="Arial" w:cs="Arial"/>
          <w:sz w:val="24"/>
          <w:szCs w:val="24"/>
        </w:rPr>
        <w:t>Respecto a becas entre 2007 y 2012 la inversión de Ecuador en becas sumó US$313 millones. Desde 2007 hasta ahora se han entregado 2.000 becas y se prevé otorgar al menos 3.500 adicionales al finalizar 2012.</w:t>
      </w:r>
    </w:p>
    <w:p w:rsidR="00A66191" w:rsidRPr="004D6466" w:rsidRDefault="00A66191" w:rsidP="00A66191">
      <w:pPr>
        <w:spacing w:line="360" w:lineRule="auto"/>
        <w:jc w:val="both"/>
        <w:rPr>
          <w:rFonts w:ascii="Arial" w:hAnsi="Arial" w:cs="Arial"/>
          <w:sz w:val="24"/>
          <w:szCs w:val="24"/>
        </w:rPr>
      </w:pPr>
      <w:r w:rsidRPr="004D6466">
        <w:rPr>
          <w:rFonts w:ascii="Arial" w:hAnsi="Arial" w:cs="Arial"/>
          <w:sz w:val="24"/>
          <w:szCs w:val="24"/>
        </w:rPr>
        <w:t>Entre 2007 y 2010, el  SENESCYT, entregó 631 becas dirigidas a fortalecer el talento humano en el Ecuador, lo que significó un incremento del 453,51% respecto al período 2004-2006</w:t>
      </w:r>
    </w:p>
    <w:p w:rsidR="00A66191" w:rsidRPr="004D6466" w:rsidRDefault="00A66191" w:rsidP="00A66191">
      <w:pPr>
        <w:spacing w:line="360" w:lineRule="auto"/>
        <w:jc w:val="both"/>
        <w:rPr>
          <w:rFonts w:ascii="Arial" w:hAnsi="Arial" w:cs="Arial"/>
          <w:sz w:val="24"/>
          <w:szCs w:val="24"/>
        </w:rPr>
      </w:pPr>
      <w:r w:rsidRPr="004D6466">
        <w:rPr>
          <w:rFonts w:ascii="Arial" w:hAnsi="Arial" w:cs="Arial"/>
          <w:sz w:val="24"/>
          <w:szCs w:val="24"/>
        </w:rPr>
        <w:t>En el 2012 se adjudicaron 803 becas para estudiar en el extranjero, las mismas que son otorgadas por la Secretaría Nacional de Ciencia y Tecnología (SENESCYT).</w:t>
      </w:r>
    </w:p>
    <w:p w:rsidR="00A66191" w:rsidRPr="004D6466" w:rsidRDefault="00A66191" w:rsidP="00A66191">
      <w:pPr>
        <w:spacing w:line="360" w:lineRule="auto"/>
        <w:jc w:val="both"/>
        <w:rPr>
          <w:rFonts w:ascii="Arial" w:hAnsi="Arial" w:cs="Arial"/>
          <w:sz w:val="24"/>
          <w:szCs w:val="24"/>
        </w:rPr>
      </w:pPr>
      <w:r w:rsidRPr="004D6466">
        <w:rPr>
          <w:rFonts w:ascii="Arial" w:hAnsi="Arial" w:cs="Arial"/>
          <w:sz w:val="24"/>
          <w:szCs w:val="24"/>
        </w:rPr>
        <w:t xml:space="preserve">De acuerdo a la SENESCYT, las provincias con mayor número de adjudicatarios a becas son Pichincha (409), Guayas (112) y Azuay (76), pero también en el exterior existen 100 beneficiarios. </w:t>
      </w:r>
    </w:p>
    <w:p w:rsidR="00A66191" w:rsidRPr="004D6466" w:rsidRDefault="00A66191" w:rsidP="00A66191">
      <w:pPr>
        <w:spacing w:line="360" w:lineRule="auto"/>
        <w:jc w:val="both"/>
        <w:rPr>
          <w:rFonts w:ascii="Arial" w:hAnsi="Arial" w:cs="Arial"/>
          <w:sz w:val="24"/>
          <w:szCs w:val="24"/>
        </w:rPr>
      </w:pPr>
      <w:r w:rsidRPr="004D6466">
        <w:rPr>
          <w:rFonts w:ascii="Arial" w:hAnsi="Arial" w:cs="Arial"/>
          <w:sz w:val="24"/>
          <w:szCs w:val="24"/>
        </w:rPr>
        <w:t xml:space="preserve">Los becarios deberán regresar a Ecuador para aportar con su talento humano al desarrollo del país. </w:t>
      </w:r>
    </w:p>
    <w:p w:rsidR="00A66191" w:rsidRPr="004D6466" w:rsidRDefault="00A66191" w:rsidP="00A66191">
      <w:pPr>
        <w:spacing w:line="360" w:lineRule="auto"/>
        <w:jc w:val="both"/>
        <w:rPr>
          <w:rFonts w:ascii="Arial" w:hAnsi="Arial" w:cs="Arial"/>
          <w:sz w:val="24"/>
          <w:szCs w:val="24"/>
        </w:rPr>
      </w:pPr>
      <w:r w:rsidRPr="004D6466">
        <w:rPr>
          <w:rFonts w:ascii="Arial" w:hAnsi="Arial" w:cs="Arial"/>
          <w:sz w:val="24"/>
          <w:szCs w:val="24"/>
        </w:rPr>
        <w:t>Las becas cubrirán el 100% de los gastos, con un monto máximo referencial de US$ 250.000. Además, para obtener una mayor respuesta, el Estado eliminó la restricción del número de becas. Los becarios deberán devengar en el país el doble de tiempo que estuvieron en el extranjero, para así contribuir al fortalecimiento de la matriz productiva nacional.</w:t>
      </w:r>
    </w:p>
    <w:p w:rsidR="00A66191" w:rsidRPr="004D6466" w:rsidRDefault="00A66191" w:rsidP="00A66191">
      <w:pPr>
        <w:pStyle w:val="Prrafodelista"/>
        <w:numPr>
          <w:ilvl w:val="0"/>
          <w:numId w:val="45"/>
        </w:numPr>
        <w:spacing w:line="360" w:lineRule="auto"/>
        <w:jc w:val="both"/>
        <w:rPr>
          <w:rFonts w:ascii="Arial" w:hAnsi="Arial" w:cs="Arial"/>
          <w:b/>
          <w:i/>
          <w:sz w:val="24"/>
          <w:szCs w:val="24"/>
        </w:rPr>
      </w:pPr>
      <w:r w:rsidRPr="004D6466">
        <w:rPr>
          <w:rFonts w:ascii="Arial" w:hAnsi="Arial" w:cs="Arial"/>
          <w:b/>
          <w:i/>
          <w:sz w:val="24"/>
          <w:szCs w:val="24"/>
        </w:rPr>
        <w:t>IECE</w:t>
      </w:r>
    </w:p>
    <w:p w:rsidR="00A66191" w:rsidRPr="004D6466" w:rsidRDefault="00A66191" w:rsidP="00A66191">
      <w:pPr>
        <w:spacing w:before="100" w:beforeAutospacing="1" w:after="100" w:afterAutospacing="1" w:line="360" w:lineRule="auto"/>
        <w:jc w:val="both"/>
        <w:rPr>
          <w:rFonts w:ascii="Arial" w:eastAsia="Times New Roman" w:hAnsi="Arial" w:cs="Arial"/>
          <w:sz w:val="24"/>
          <w:szCs w:val="24"/>
        </w:rPr>
      </w:pPr>
      <w:r w:rsidRPr="004D6466">
        <w:rPr>
          <w:rFonts w:ascii="Arial" w:eastAsia="Times New Roman" w:hAnsi="Arial" w:cs="Arial"/>
          <w:sz w:val="24"/>
          <w:szCs w:val="24"/>
        </w:rPr>
        <w:t>En cuanto a créditos educativos otorgados por el IECE se puede observar que en los 9 años antes el período de Correa, desde 1998 al 2007, hay 62.573 beneficiarios, mientras que en 4 años durante el período de Correa desde el 2007 al 2011, hay 91.955. Esto significó un aumento de 29.382 beneficiarios cuyo detalle se muestra en el siguiente gráfico:</w:t>
      </w:r>
    </w:p>
    <w:p w:rsidR="00A66191" w:rsidRPr="004D6466" w:rsidRDefault="00A66191" w:rsidP="00A66191">
      <w:pPr>
        <w:pStyle w:val="Sinespaciado"/>
        <w:jc w:val="center"/>
      </w:pPr>
      <w:r w:rsidRPr="004D6466">
        <w:rPr>
          <w:rFonts w:ascii="Arial" w:eastAsia="Times New Roman" w:hAnsi="Arial" w:cs="Arial"/>
          <w:noProof/>
          <w:sz w:val="24"/>
          <w:szCs w:val="24"/>
        </w:rPr>
        <w:lastRenderedPageBreak/>
        <w:drawing>
          <wp:inline distT="0" distB="0" distL="0" distR="0">
            <wp:extent cx="4581348" cy="2743200"/>
            <wp:effectExtent l="19050" t="0" r="9702" b="0"/>
            <wp:docPr id="24" name="Gráfico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48"/>
              </a:graphicData>
            </a:graphic>
          </wp:inline>
        </w:drawing>
      </w:r>
    </w:p>
    <w:p w:rsidR="00A66191" w:rsidRPr="004D6466" w:rsidRDefault="00A66191" w:rsidP="00A66191">
      <w:pPr>
        <w:pStyle w:val="Sinespaciado"/>
        <w:jc w:val="right"/>
        <w:rPr>
          <w:rFonts w:ascii="Arial" w:hAnsi="Arial" w:cs="Arial"/>
          <w:sz w:val="16"/>
          <w:szCs w:val="16"/>
        </w:rPr>
      </w:pPr>
    </w:p>
    <w:p w:rsidR="00A66191" w:rsidRPr="004D6466" w:rsidRDefault="00A66191" w:rsidP="00A66191">
      <w:pPr>
        <w:pStyle w:val="Sinespaciado"/>
        <w:rPr>
          <w:rFonts w:ascii="Arial" w:hAnsi="Arial" w:cs="Arial"/>
          <w:sz w:val="16"/>
          <w:szCs w:val="16"/>
        </w:rPr>
      </w:pPr>
      <w:r w:rsidRPr="004D6466">
        <w:rPr>
          <w:rFonts w:ascii="Arial" w:hAnsi="Arial" w:cs="Arial"/>
          <w:sz w:val="16"/>
          <w:szCs w:val="16"/>
        </w:rPr>
        <w:t>Gráfico Nº 11      Fuente: Instituto Ecuatoriano para Crédito Educativo y Becas        Elaborado por María José Ponce</w:t>
      </w:r>
    </w:p>
    <w:p w:rsidR="00A66191" w:rsidRPr="004D6466" w:rsidRDefault="00A66191" w:rsidP="00A66191">
      <w:pPr>
        <w:pStyle w:val="Sinespaciado"/>
      </w:pPr>
    </w:p>
    <w:p w:rsidR="00A66191" w:rsidRPr="004D6466" w:rsidRDefault="00A66191" w:rsidP="00A66191">
      <w:pPr>
        <w:spacing w:line="360" w:lineRule="auto"/>
        <w:jc w:val="both"/>
        <w:rPr>
          <w:rFonts w:ascii="Arial" w:hAnsi="Arial" w:cs="Arial"/>
          <w:b/>
          <w:sz w:val="24"/>
          <w:szCs w:val="24"/>
        </w:rPr>
      </w:pPr>
      <w:r w:rsidRPr="004D6466">
        <w:rPr>
          <w:rFonts w:ascii="Arial" w:hAnsi="Arial" w:cs="Arial"/>
          <w:b/>
          <w:sz w:val="24"/>
          <w:szCs w:val="24"/>
        </w:rPr>
        <w:t xml:space="preserve">4.5 Ámbito económico  </w:t>
      </w:r>
    </w:p>
    <w:p w:rsidR="00A66191" w:rsidRPr="004D6466" w:rsidRDefault="00A66191" w:rsidP="00A66191">
      <w:pPr>
        <w:spacing w:line="360" w:lineRule="auto"/>
        <w:jc w:val="both"/>
        <w:rPr>
          <w:rFonts w:ascii="Arial" w:hAnsi="Arial" w:cs="Arial"/>
          <w:sz w:val="24"/>
          <w:szCs w:val="24"/>
        </w:rPr>
      </w:pPr>
      <w:r w:rsidRPr="004D6466">
        <w:rPr>
          <w:rFonts w:ascii="Arial" w:hAnsi="Arial" w:cs="Arial"/>
          <w:sz w:val="24"/>
          <w:szCs w:val="24"/>
        </w:rPr>
        <w:t>El plan de gobierno de 2013-2017, tal como en el primero periodo presidencial, en el ámbito económico señala que  está orientado a la reorganización productiva sobre la base de la concertación de intereses entre el Estado y los sectores sociales y económicos (cooperativas, asociaciones, comunidades, empresa pública, empresa privada, empresa de economía popular y solidaria, empresa mixta grande, media y pequeña) es por esto que los aspectos más importantes en este sector han sido el impulso a la Economía Popular y Solidaria; el Cambio en el Sector Económico cuyas principales medidas han sido: la renegociación de la deuda externa, el cambio en la matriz energética, la reforma al sistema tributario y la renegociación de los contratos petroleros.</w:t>
      </w:r>
    </w:p>
    <w:p w:rsidR="00A66191" w:rsidRPr="004D6466" w:rsidRDefault="00A66191" w:rsidP="00A66191">
      <w:pPr>
        <w:spacing w:line="360" w:lineRule="auto"/>
        <w:ind w:left="708"/>
        <w:jc w:val="both"/>
        <w:rPr>
          <w:rFonts w:ascii="Arial" w:hAnsi="Arial" w:cs="Arial"/>
          <w:b/>
          <w:i/>
          <w:sz w:val="24"/>
          <w:szCs w:val="24"/>
        </w:rPr>
      </w:pPr>
      <w:r w:rsidRPr="004D6466">
        <w:rPr>
          <w:rFonts w:ascii="Arial" w:hAnsi="Arial" w:cs="Arial"/>
          <w:b/>
          <w:i/>
          <w:sz w:val="24"/>
          <w:szCs w:val="24"/>
        </w:rPr>
        <w:t>4.5.1</w:t>
      </w:r>
      <w:r w:rsidR="0037126D">
        <w:rPr>
          <w:rFonts w:ascii="Arial" w:hAnsi="Arial" w:cs="Arial"/>
          <w:b/>
          <w:i/>
          <w:sz w:val="24"/>
          <w:szCs w:val="24"/>
        </w:rPr>
        <w:t xml:space="preserve"> </w:t>
      </w:r>
      <w:r w:rsidRPr="004D6466">
        <w:rPr>
          <w:rFonts w:ascii="Arial" w:hAnsi="Arial" w:cs="Arial"/>
          <w:b/>
          <w:i/>
          <w:sz w:val="24"/>
          <w:szCs w:val="24"/>
        </w:rPr>
        <w:t xml:space="preserve">Economía Popular y Solidaria (EPS) </w:t>
      </w:r>
    </w:p>
    <w:p w:rsidR="00A66191" w:rsidRPr="004D6466" w:rsidRDefault="00A66191" w:rsidP="00A66191">
      <w:pPr>
        <w:spacing w:line="360" w:lineRule="auto"/>
        <w:jc w:val="both"/>
        <w:rPr>
          <w:rFonts w:ascii="Arial" w:hAnsi="Arial" w:cs="Arial"/>
          <w:sz w:val="24"/>
          <w:szCs w:val="24"/>
          <w:lang w:val="es-EC"/>
        </w:rPr>
      </w:pPr>
      <w:r w:rsidRPr="004D6466">
        <w:rPr>
          <w:rFonts w:ascii="Arial" w:hAnsi="Arial" w:cs="Arial"/>
          <w:sz w:val="24"/>
          <w:szCs w:val="24"/>
        </w:rPr>
        <w:t xml:space="preserve">La Economía Popular y Solidaria (EPS) es el </w:t>
      </w:r>
      <w:r w:rsidRPr="004D6466">
        <w:rPr>
          <w:rFonts w:ascii="Arial" w:hAnsi="Arial" w:cs="Arial"/>
          <w:sz w:val="24"/>
          <w:szCs w:val="24"/>
          <w:lang w:val="es-EC"/>
        </w:rPr>
        <w:t xml:space="preserve">conjunto de actividades económicas y prácticas sociales desarrolladas por los sectores productivos, de comercio, de consumo, de servicios de tipo popular con miras a garantizar, a través de la utilización de su propia fuerza de trabajo y de los recursos disponibles, la satisfacción de las necesidades básicas, tanto materiales como inmateriales. </w:t>
      </w:r>
    </w:p>
    <w:p w:rsidR="00A66191" w:rsidRPr="004D6466" w:rsidRDefault="00A66191" w:rsidP="00A66191">
      <w:pPr>
        <w:spacing w:line="360" w:lineRule="auto"/>
        <w:jc w:val="both"/>
        <w:rPr>
          <w:rFonts w:ascii="Arial" w:hAnsi="Arial" w:cs="Arial"/>
          <w:sz w:val="24"/>
          <w:szCs w:val="24"/>
        </w:rPr>
      </w:pPr>
      <w:r w:rsidRPr="004D6466">
        <w:rPr>
          <w:rFonts w:ascii="Arial" w:hAnsi="Arial" w:cs="Arial"/>
          <w:sz w:val="24"/>
          <w:szCs w:val="24"/>
          <w:lang w:val="es-EC"/>
        </w:rPr>
        <w:t xml:space="preserve">La Economía Popular y Solidaria es </w:t>
      </w:r>
      <w:r w:rsidRPr="004D6466">
        <w:rPr>
          <w:rFonts w:ascii="Arial" w:hAnsi="Arial" w:cs="Arial"/>
          <w:sz w:val="24"/>
          <w:szCs w:val="24"/>
        </w:rPr>
        <w:t xml:space="preserve">una forma de organización económica, donde sus integrantes, individual o colectivamente, organizan y desarrollan </w:t>
      </w:r>
      <w:r w:rsidRPr="004D6466">
        <w:rPr>
          <w:rFonts w:ascii="Arial" w:hAnsi="Arial" w:cs="Arial"/>
          <w:sz w:val="24"/>
          <w:szCs w:val="24"/>
        </w:rPr>
        <w:lastRenderedPageBreak/>
        <w:t xml:space="preserve">procesos de producción, intercambio, comercialización, financiamiento y consumo de bienes y servicios, para satisfacer necesidades y generar ingresos, basadas en relaciones de solidaridad, cooperación y reciprocidad, privilegiando al trabajo y al ser humano. Esto siempre en el marco del buen vivir. </w:t>
      </w:r>
    </w:p>
    <w:p w:rsidR="00A66191" w:rsidRPr="004D6466" w:rsidRDefault="00A66191" w:rsidP="00A66191">
      <w:pPr>
        <w:spacing w:line="360" w:lineRule="auto"/>
        <w:jc w:val="both"/>
        <w:rPr>
          <w:rFonts w:ascii="Arial" w:hAnsi="Arial" w:cs="Arial"/>
          <w:sz w:val="24"/>
          <w:szCs w:val="24"/>
        </w:rPr>
      </w:pPr>
      <w:r w:rsidRPr="004D6466">
        <w:rPr>
          <w:rFonts w:ascii="Arial" w:hAnsi="Arial" w:cs="Arial"/>
          <w:sz w:val="24"/>
          <w:szCs w:val="24"/>
          <w:lang w:val="es-EC"/>
        </w:rPr>
        <w:t xml:space="preserve">La Economía Popular y Solidaria se regula de acuerdo con la Ley de Economía Popular y Solidaria y del Sector Financiero Popular y Solidario  (LOEPS), expedidos por el actual gobierno y su reglamento incluye a los sectores cooperativistas, asociativos y comunitarios.   </w:t>
      </w:r>
    </w:p>
    <w:p w:rsidR="00A66191" w:rsidRPr="004D6466" w:rsidRDefault="00A66191" w:rsidP="00A66191">
      <w:pPr>
        <w:spacing w:line="360" w:lineRule="auto"/>
        <w:jc w:val="both"/>
        <w:rPr>
          <w:rFonts w:ascii="Arial" w:hAnsi="Arial" w:cs="Arial"/>
          <w:sz w:val="24"/>
          <w:szCs w:val="24"/>
        </w:rPr>
      </w:pPr>
      <w:r w:rsidRPr="004D6466">
        <w:rPr>
          <w:rFonts w:ascii="Arial" w:hAnsi="Arial" w:cs="Arial"/>
          <w:sz w:val="24"/>
          <w:szCs w:val="24"/>
        </w:rPr>
        <w:t>Entre los actores de la Economía Popular y Solidaria están:</w:t>
      </w:r>
    </w:p>
    <w:p w:rsidR="00A66191" w:rsidRPr="004D6466" w:rsidRDefault="00A66191" w:rsidP="00A66191">
      <w:pPr>
        <w:pStyle w:val="Prrafodelista"/>
        <w:numPr>
          <w:ilvl w:val="0"/>
          <w:numId w:val="20"/>
        </w:numPr>
        <w:spacing w:line="360" w:lineRule="auto"/>
        <w:jc w:val="both"/>
        <w:rPr>
          <w:rFonts w:ascii="Arial" w:hAnsi="Arial" w:cs="Arial"/>
          <w:sz w:val="24"/>
          <w:szCs w:val="24"/>
        </w:rPr>
      </w:pPr>
      <w:r w:rsidRPr="004D6466">
        <w:rPr>
          <w:rFonts w:ascii="Arial" w:hAnsi="Arial" w:cs="Arial"/>
          <w:sz w:val="24"/>
          <w:szCs w:val="24"/>
        </w:rPr>
        <w:t>Emprendimientos unipersonales, familiares; trabajadores a domicilio</w:t>
      </w:r>
    </w:p>
    <w:p w:rsidR="00A66191" w:rsidRPr="004D6466" w:rsidRDefault="00A66191" w:rsidP="00A66191">
      <w:pPr>
        <w:pStyle w:val="Prrafodelista"/>
        <w:numPr>
          <w:ilvl w:val="0"/>
          <w:numId w:val="20"/>
        </w:numPr>
        <w:spacing w:line="360" w:lineRule="auto"/>
        <w:jc w:val="both"/>
        <w:rPr>
          <w:rFonts w:ascii="Arial" w:hAnsi="Arial" w:cs="Arial"/>
          <w:sz w:val="24"/>
          <w:szCs w:val="24"/>
        </w:rPr>
      </w:pPr>
      <w:r w:rsidRPr="004D6466">
        <w:rPr>
          <w:rFonts w:ascii="Arial" w:hAnsi="Arial" w:cs="Arial"/>
          <w:sz w:val="24"/>
          <w:szCs w:val="24"/>
        </w:rPr>
        <w:t>Talleres artesanales, comerciantes minoristas, microempresarios, otros</w:t>
      </w:r>
    </w:p>
    <w:p w:rsidR="00A66191" w:rsidRPr="004D6466" w:rsidRDefault="00A66191" w:rsidP="00A66191">
      <w:pPr>
        <w:pStyle w:val="Prrafodelista"/>
        <w:numPr>
          <w:ilvl w:val="0"/>
          <w:numId w:val="20"/>
        </w:numPr>
        <w:spacing w:line="360" w:lineRule="auto"/>
        <w:jc w:val="both"/>
        <w:rPr>
          <w:rFonts w:ascii="Arial" w:hAnsi="Arial" w:cs="Arial"/>
          <w:sz w:val="24"/>
          <w:szCs w:val="24"/>
        </w:rPr>
      </w:pPr>
      <w:r w:rsidRPr="004D6466">
        <w:rPr>
          <w:rFonts w:ascii="Arial" w:hAnsi="Arial" w:cs="Arial"/>
          <w:sz w:val="24"/>
          <w:szCs w:val="24"/>
        </w:rPr>
        <w:t>Comedores populares, turismo comunitarios  comunidades campesinas, fondos mortuorios, otros</w:t>
      </w:r>
    </w:p>
    <w:p w:rsidR="00A66191" w:rsidRPr="004D6466" w:rsidRDefault="00A66191" w:rsidP="00A66191">
      <w:pPr>
        <w:pStyle w:val="Prrafodelista"/>
        <w:numPr>
          <w:ilvl w:val="0"/>
          <w:numId w:val="20"/>
        </w:numPr>
        <w:spacing w:line="360" w:lineRule="auto"/>
        <w:jc w:val="both"/>
        <w:rPr>
          <w:rFonts w:ascii="Arial" w:hAnsi="Arial" w:cs="Arial"/>
          <w:sz w:val="24"/>
          <w:szCs w:val="24"/>
        </w:rPr>
      </w:pPr>
      <w:r w:rsidRPr="004D6466">
        <w:rPr>
          <w:rFonts w:ascii="Arial" w:hAnsi="Arial" w:cs="Arial"/>
          <w:sz w:val="24"/>
          <w:szCs w:val="24"/>
        </w:rPr>
        <w:t>Cajas de ahorro, bancos comunales y cajas solidarias</w:t>
      </w:r>
    </w:p>
    <w:p w:rsidR="00A66191" w:rsidRPr="004D6466" w:rsidRDefault="00A66191" w:rsidP="00A66191">
      <w:pPr>
        <w:pStyle w:val="Prrafodelista"/>
        <w:numPr>
          <w:ilvl w:val="0"/>
          <w:numId w:val="20"/>
        </w:numPr>
        <w:spacing w:line="360" w:lineRule="auto"/>
        <w:jc w:val="both"/>
        <w:rPr>
          <w:rFonts w:ascii="Arial" w:hAnsi="Arial" w:cs="Arial"/>
          <w:sz w:val="24"/>
          <w:szCs w:val="24"/>
        </w:rPr>
      </w:pPr>
      <w:r w:rsidRPr="004D6466">
        <w:rPr>
          <w:rFonts w:ascii="Arial" w:hAnsi="Arial" w:cs="Arial"/>
          <w:sz w:val="24"/>
          <w:szCs w:val="24"/>
        </w:rPr>
        <w:t>Asociaciones de productores</w:t>
      </w:r>
    </w:p>
    <w:p w:rsidR="00A66191" w:rsidRPr="004D6466" w:rsidRDefault="00A66191" w:rsidP="00A66191">
      <w:pPr>
        <w:pStyle w:val="Prrafodelista"/>
        <w:numPr>
          <w:ilvl w:val="0"/>
          <w:numId w:val="20"/>
        </w:numPr>
        <w:spacing w:line="360" w:lineRule="auto"/>
        <w:jc w:val="both"/>
        <w:rPr>
          <w:rFonts w:ascii="Arial" w:hAnsi="Arial" w:cs="Arial"/>
          <w:sz w:val="24"/>
          <w:szCs w:val="24"/>
        </w:rPr>
      </w:pPr>
      <w:r w:rsidRPr="004D6466">
        <w:rPr>
          <w:rFonts w:ascii="Arial" w:hAnsi="Arial" w:cs="Arial"/>
          <w:sz w:val="24"/>
          <w:szCs w:val="24"/>
        </w:rPr>
        <w:t>Fundaciones y corporaciones vinculadas a la EPS</w:t>
      </w:r>
    </w:p>
    <w:p w:rsidR="00A66191" w:rsidRPr="004D6466" w:rsidRDefault="00A66191" w:rsidP="00A66191">
      <w:pPr>
        <w:pStyle w:val="Prrafodelista"/>
        <w:numPr>
          <w:ilvl w:val="0"/>
          <w:numId w:val="20"/>
        </w:numPr>
        <w:spacing w:line="360" w:lineRule="auto"/>
        <w:jc w:val="both"/>
        <w:rPr>
          <w:rFonts w:ascii="Arial" w:hAnsi="Arial" w:cs="Arial"/>
          <w:sz w:val="24"/>
          <w:szCs w:val="24"/>
        </w:rPr>
      </w:pPr>
      <w:r w:rsidRPr="004D6466">
        <w:rPr>
          <w:rFonts w:ascii="Arial" w:hAnsi="Arial" w:cs="Arial"/>
          <w:sz w:val="24"/>
          <w:szCs w:val="24"/>
        </w:rPr>
        <w:t>Cooperativas de ahorro y crédito, de vivienda, de transportes, de producción, de servicios, de trabajo asociado, otros</w:t>
      </w:r>
    </w:p>
    <w:p w:rsidR="00A66191" w:rsidRPr="004D6466" w:rsidRDefault="00A66191" w:rsidP="00A66191">
      <w:pPr>
        <w:pStyle w:val="Prrafodelista"/>
        <w:numPr>
          <w:ilvl w:val="0"/>
          <w:numId w:val="20"/>
        </w:numPr>
        <w:spacing w:line="360" w:lineRule="auto"/>
        <w:jc w:val="both"/>
        <w:rPr>
          <w:rFonts w:ascii="Arial" w:hAnsi="Arial" w:cs="Arial"/>
          <w:sz w:val="24"/>
          <w:szCs w:val="24"/>
        </w:rPr>
      </w:pPr>
      <w:r w:rsidRPr="004D6466">
        <w:rPr>
          <w:rFonts w:ascii="Arial" w:hAnsi="Arial" w:cs="Arial"/>
          <w:sz w:val="24"/>
          <w:szCs w:val="24"/>
        </w:rPr>
        <w:t>Organismos de integración económica de la EPS (redes, consorcios, grupos, alianzas estratégicas. otros)</w:t>
      </w:r>
    </w:p>
    <w:p w:rsidR="00A66191" w:rsidRPr="004D6466" w:rsidRDefault="00A66191" w:rsidP="00A66191">
      <w:pPr>
        <w:pStyle w:val="Prrafodelista"/>
        <w:numPr>
          <w:ilvl w:val="0"/>
          <w:numId w:val="20"/>
        </w:numPr>
        <w:spacing w:line="360" w:lineRule="auto"/>
        <w:jc w:val="both"/>
        <w:rPr>
          <w:rFonts w:ascii="Arial" w:hAnsi="Arial" w:cs="Arial"/>
          <w:sz w:val="24"/>
          <w:szCs w:val="24"/>
        </w:rPr>
      </w:pPr>
      <w:r w:rsidRPr="004D6466">
        <w:rPr>
          <w:rFonts w:ascii="Arial" w:hAnsi="Arial" w:cs="Arial"/>
          <w:sz w:val="24"/>
          <w:szCs w:val="24"/>
        </w:rPr>
        <w:t>Organismos de integración representativa de la EPS (uniones y federaciones)</w:t>
      </w:r>
    </w:p>
    <w:p w:rsidR="00A66191" w:rsidRPr="004D6466" w:rsidRDefault="00A66191" w:rsidP="00A66191">
      <w:pPr>
        <w:pStyle w:val="Sinespaciado"/>
        <w:spacing w:line="360" w:lineRule="auto"/>
        <w:jc w:val="both"/>
        <w:rPr>
          <w:rFonts w:ascii="Arial" w:hAnsi="Arial" w:cs="Arial"/>
          <w:sz w:val="24"/>
          <w:szCs w:val="24"/>
        </w:rPr>
      </w:pPr>
      <w:r w:rsidRPr="004D6466">
        <w:rPr>
          <w:rFonts w:ascii="Arial" w:hAnsi="Arial" w:cs="Arial"/>
          <w:sz w:val="24"/>
          <w:szCs w:val="24"/>
        </w:rPr>
        <w:t xml:space="preserve">Entre los logros institucionales y resultados concretos para fortalecer este sector están: la creación en el 2008 del Programa Nacional de Finanzas Populares (próximamente se llamará Corporación), como un mecanismo financiero de segundo piso. Hasta el 2011, a través de 204 entidades del sector financiero popular y solidario se otorgó US$ 167 millones, mediante 271.000 operaciones. </w:t>
      </w:r>
    </w:p>
    <w:p w:rsidR="00A66191" w:rsidRPr="004D6466" w:rsidRDefault="00A66191" w:rsidP="00A66191">
      <w:pPr>
        <w:pStyle w:val="Sinespaciado"/>
        <w:spacing w:line="360" w:lineRule="auto"/>
        <w:jc w:val="both"/>
        <w:rPr>
          <w:rFonts w:ascii="Arial" w:hAnsi="Arial" w:cs="Arial"/>
          <w:sz w:val="24"/>
          <w:szCs w:val="24"/>
        </w:rPr>
      </w:pPr>
      <w:r w:rsidRPr="004D6466">
        <w:rPr>
          <w:rFonts w:ascii="Arial" w:hAnsi="Arial" w:cs="Arial"/>
          <w:sz w:val="24"/>
          <w:szCs w:val="24"/>
        </w:rPr>
        <w:lastRenderedPageBreak/>
        <w:t>Para el 2012, el Gobierno está realizando diversas gestiones que permitirán incrementar en más de US$ 100 millones los recursos para este importante sector.</w:t>
      </w:r>
    </w:p>
    <w:p w:rsidR="00A66191" w:rsidRPr="004D6466" w:rsidRDefault="00A66191" w:rsidP="00A66191">
      <w:pPr>
        <w:pStyle w:val="Sinespaciado"/>
        <w:spacing w:line="360" w:lineRule="auto"/>
        <w:jc w:val="both"/>
        <w:rPr>
          <w:rFonts w:ascii="Arial" w:hAnsi="Arial" w:cs="Arial"/>
          <w:sz w:val="24"/>
          <w:szCs w:val="24"/>
        </w:rPr>
      </w:pPr>
      <w:r w:rsidRPr="004D6466">
        <w:rPr>
          <w:rFonts w:ascii="Arial" w:hAnsi="Arial" w:cs="Arial"/>
          <w:sz w:val="24"/>
          <w:szCs w:val="24"/>
        </w:rPr>
        <w:t>En el 2009 se crea el Instituto Nacional de Economía Popular y Solidaria, adscrito al MIES como entidad especializada para fomentar la economía popular y solidaria; articular mercados y dinámicas territoriales; y, ofrecer asistencia técnica y mejorar empleo e ingresos de la población atendida. Entre el 2009 y el 2011, cofinanció 313 proyectos con una inversión de US$ 51.5 millones, impactando en 51.000 familias. A través del Programa “Hilando el Desarrollo”, se fomenta la economía de la gente sencilla y de sus organizaciones. En este programa han participado más de 1.100 artesanos, en la producción de más de 1.120.000 kits escolares para los niños del sector rural, tanto de la Costa, como de la Sierra, Oriente y Región Insular, sus ingresos sumaron cerca de US$ 16 millones y generaron más de 5.250 nuevas plazas de trabajo.</w:t>
      </w:r>
    </w:p>
    <w:p w:rsidR="00A66191" w:rsidRPr="004D6466" w:rsidRDefault="00A66191" w:rsidP="00A66191">
      <w:pPr>
        <w:spacing w:line="360" w:lineRule="auto"/>
        <w:jc w:val="both"/>
        <w:rPr>
          <w:rFonts w:ascii="Arial" w:hAnsi="Arial" w:cs="Arial"/>
          <w:sz w:val="24"/>
          <w:szCs w:val="24"/>
        </w:rPr>
      </w:pPr>
      <w:r w:rsidRPr="004D6466">
        <w:rPr>
          <w:rFonts w:ascii="Arial" w:hAnsi="Arial" w:cs="Arial"/>
          <w:sz w:val="24"/>
          <w:szCs w:val="24"/>
        </w:rPr>
        <w:t>En el 2011, se aprobó la Ley Orgánica de Economía Popular y Solidaria y se publicó en el Registro Oficial No.444. Esta Ley fue consensuada, durante casi tres años, con los aportes de muchas organizaciones de la EPS, organismos públicos, ONG’s, universidades, otros. La Asamblea Nacional aprobó, con 85 votos a favor, 3 en blanco, 9 abstenciones y cero en contra. Esta norma es compatible con la naturaleza de los sectores comunitarios, asociativos, cooperativos, unidades económicas populares y su objetivo es, el desarrollo de las normas constitucionales que determinan que el sistema económico ecuatoriano, es social y solidario, obligando al Estado a visibilizar, fomentar, promocionar y controlar a las organizaciones de este sector y beneficiará a más de dos millones de personas que están involucradas en el desarrollo local, en la generación de empleos productivos en sus territorios.</w:t>
      </w:r>
    </w:p>
    <w:p w:rsidR="00A66191" w:rsidRPr="004D6466" w:rsidRDefault="00A66191" w:rsidP="00A66191">
      <w:pPr>
        <w:spacing w:line="360" w:lineRule="auto"/>
        <w:jc w:val="both"/>
        <w:rPr>
          <w:rFonts w:ascii="Arial" w:hAnsi="Arial" w:cs="Arial"/>
          <w:sz w:val="24"/>
          <w:szCs w:val="24"/>
        </w:rPr>
      </w:pPr>
      <w:r w:rsidRPr="004D6466">
        <w:rPr>
          <w:rFonts w:ascii="Arial" w:hAnsi="Arial" w:cs="Arial"/>
          <w:sz w:val="24"/>
          <w:szCs w:val="24"/>
        </w:rPr>
        <w:t xml:space="preserve">La aprobación del Reglamento General de la LOEPS, para operativizar la Ley de Economía Popular y Solidaria se aprobó en a mediados de enero del 2012. Este reglamento crea un marco institucional especializado para la economía popular y solidaria y del sector financiero popular y solidario, para bajar barreras y mejorar su acceso a las compras públicas, a la capacitación, asistencia técnica, servicios financieros, entre otros. En este sentido, crea la </w:t>
      </w:r>
      <w:r w:rsidRPr="004D6466">
        <w:rPr>
          <w:rFonts w:ascii="Arial" w:hAnsi="Arial" w:cs="Arial"/>
          <w:sz w:val="24"/>
          <w:szCs w:val="24"/>
        </w:rPr>
        <w:lastRenderedPageBreak/>
        <w:t>Junta de Regulación para el Sector Financiero Popular y Solidario, la Secretaria Técnica de la Economía Popular y Solidaria, como instancia de apoyo para la elaboración de políticas y regulaciones, la Superintendencia de Economía Popular y Solidaria para el control, la Corporación Nacional de Finanzas Populares y Solidarias, como ejecutor de servicios financieros de segundo piso; y el Fondo de Liquidez y Seguro de Depósitos, como mecanismos de protección y seguridad financiera.</w:t>
      </w:r>
    </w:p>
    <w:p w:rsidR="00A66191" w:rsidRPr="004D6466" w:rsidRDefault="00A66191" w:rsidP="00A66191">
      <w:pPr>
        <w:tabs>
          <w:tab w:val="left" w:pos="142"/>
        </w:tabs>
        <w:spacing w:line="360" w:lineRule="auto"/>
        <w:rPr>
          <w:rFonts w:ascii="Arial" w:hAnsi="Arial" w:cs="Arial"/>
          <w:b/>
          <w:sz w:val="24"/>
          <w:szCs w:val="24"/>
        </w:rPr>
      </w:pPr>
      <w:r w:rsidRPr="004D6466">
        <w:rPr>
          <w:rFonts w:ascii="Arial" w:hAnsi="Arial" w:cs="Arial"/>
          <w:b/>
          <w:sz w:val="24"/>
          <w:szCs w:val="24"/>
        </w:rPr>
        <w:t>Resultados de Economía Popular y Solidaria</w:t>
      </w:r>
    </w:p>
    <w:p w:rsidR="00A66191" w:rsidRPr="004D6466" w:rsidRDefault="00A66191" w:rsidP="00A66191">
      <w:pPr>
        <w:tabs>
          <w:tab w:val="left" w:pos="142"/>
        </w:tabs>
        <w:spacing w:line="360" w:lineRule="auto"/>
        <w:jc w:val="both"/>
        <w:rPr>
          <w:rFonts w:ascii="Arial" w:hAnsi="Arial" w:cs="Arial"/>
          <w:b/>
          <w:sz w:val="24"/>
          <w:szCs w:val="24"/>
        </w:rPr>
      </w:pPr>
      <w:r w:rsidRPr="004D6466">
        <w:rPr>
          <w:rFonts w:ascii="Arial" w:hAnsi="Arial" w:cs="Arial"/>
          <w:sz w:val="24"/>
          <w:szCs w:val="24"/>
        </w:rPr>
        <w:t xml:space="preserve"> El Programa Nacional de Finanzas Populares desde el inicio de su gestión, ha permitido a 152.125 pequeños emprendedores acceder a créditos a través de operadoras que trabajan en el sector de la economía popular y solidaria. Lo cual ha significado una inversión superior a 71.563.000 dólares, consolidando así la política de inclusión económica.</w:t>
      </w:r>
    </w:p>
    <w:p w:rsidR="00A66191" w:rsidRPr="004D6466" w:rsidRDefault="00A66191" w:rsidP="00A66191">
      <w:pPr>
        <w:spacing w:line="360" w:lineRule="auto"/>
        <w:rPr>
          <w:rFonts w:ascii="Arial" w:hAnsi="Arial" w:cs="Arial"/>
          <w:sz w:val="24"/>
          <w:szCs w:val="24"/>
        </w:rPr>
      </w:pPr>
      <w:r w:rsidRPr="004D6466">
        <w:rPr>
          <w:rFonts w:ascii="Arial" w:hAnsi="Arial" w:cs="Arial"/>
          <w:sz w:val="24"/>
          <w:szCs w:val="24"/>
        </w:rPr>
        <w:t>En el diario el telégrafo del 07 de julio del 2012 se cita: “Soliz afirmó que a 305 millones de dólares asciende la inversión del Gobierno en el fortalecimiento de la economía popular y solidaria entre 2009 y 2012, de este monto, el 70% fue distribuido a través del sistema cooperativo”.</w:t>
      </w:r>
      <w:r w:rsidRPr="004D6466">
        <w:rPr>
          <w:rStyle w:val="Refdenotaalpie"/>
          <w:rFonts w:ascii="Arial" w:hAnsi="Arial" w:cs="Arial"/>
          <w:sz w:val="24"/>
          <w:szCs w:val="24"/>
        </w:rPr>
        <w:footnoteReference w:id="51"/>
      </w:r>
    </w:p>
    <w:p w:rsidR="00A66191" w:rsidRPr="004D6466" w:rsidRDefault="00A66191" w:rsidP="00A66191">
      <w:pPr>
        <w:spacing w:line="360" w:lineRule="auto"/>
        <w:rPr>
          <w:rFonts w:ascii="Arial" w:hAnsi="Arial" w:cs="Arial"/>
          <w:sz w:val="24"/>
          <w:szCs w:val="24"/>
        </w:rPr>
      </w:pPr>
      <w:r w:rsidRPr="004D6466">
        <w:rPr>
          <w:rFonts w:ascii="Arial" w:hAnsi="Arial" w:cs="Arial"/>
          <w:sz w:val="24"/>
          <w:szCs w:val="24"/>
        </w:rPr>
        <w:t>En el 2008 se concedió microcréditos a 74.407 beneficiaros por un monto de 26.072.949,76 dólares.</w:t>
      </w:r>
    </w:p>
    <w:p w:rsidR="00A66191" w:rsidRPr="004D6466" w:rsidRDefault="00A66191" w:rsidP="00A66191">
      <w:pPr>
        <w:spacing w:line="360" w:lineRule="auto"/>
        <w:rPr>
          <w:rFonts w:ascii="Arial" w:hAnsi="Arial" w:cs="Arial"/>
          <w:sz w:val="24"/>
          <w:szCs w:val="24"/>
        </w:rPr>
      </w:pPr>
      <w:r w:rsidRPr="004D6466">
        <w:rPr>
          <w:rFonts w:ascii="Arial" w:hAnsi="Arial" w:cs="Arial"/>
          <w:sz w:val="24"/>
          <w:szCs w:val="24"/>
        </w:rPr>
        <w:t>En el 2009 se concedió microcréditos a 62.330 beneficiaros por un monto de 33.298.184,87 dólares.</w:t>
      </w:r>
    </w:p>
    <w:p w:rsidR="00A66191" w:rsidRPr="004D6466" w:rsidRDefault="00A66191" w:rsidP="00A66191">
      <w:pPr>
        <w:spacing w:line="360" w:lineRule="auto"/>
        <w:rPr>
          <w:rFonts w:ascii="Arial" w:hAnsi="Arial" w:cs="Arial"/>
          <w:sz w:val="24"/>
          <w:szCs w:val="24"/>
        </w:rPr>
      </w:pPr>
      <w:r w:rsidRPr="004D6466">
        <w:rPr>
          <w:rFonts w:ascii="Arial" w:hAnsi="Arial" w:cs="Arial"/>
          <w:sz w:val="24"/>
          <w:szCs w:val="24"/>
        </w:rPr>
        <w:t xml:space="preserve">Hasta abril del 2010 se concedió microcréditos a 20.092 beneficiarios por un monto de 14.820.796,24 dólares </w:t>
      </w:r>
    </w:p>
    <w:p w:rsidR="00A66191" w:rsidRPr="004D6466" w:rsidRDefault="00A66191" w:rsidP="00A66191">
      <w:pPr>
        <w:spacing w:line="360" w:lineRule="auto"/>
        <w:rPr>
          <w:rFonts w:ascii="Arial" w:hAnsi="Arial" w:cs="Arial"/>
          <w:sz w:val="24"/>
          <w:szCs w:val="24"/>
        </w:rPr>
      </w:pPr>
      <w:r w:rsidRPr="004D6466">
        <w:rPr>
          <w:rFonts w:ascii="Arial" w:hAnsi="Arial" w:cs="Arial"/>
          <w:sz w:val="24"/>
          <w:szCs w:val="24"/>
        </w:rPr>
        <w:t>En total se concedió microcréditos a 156.829 beneficiarios por un monto de 74.191.939,87 dólares.</w:t>
      </w:r>
    </w:p>
    <w:p w:rsidR="00A66191" w:rsidRPr="004D6466" w:rsidRDefault="00A66191" w:rsidP="00A66191">
      <w:pPr>
        <w:rPr>
          <w:rFonts w:ascii="Arial" w:hAnsi="Arial" w:cs="Arial"/>
          <w:sz w:val="24"/>
          <w:szCs w:val="24"/>
        </w:rPr>
      </w:pPr>
      <w:r w:rsidRPr="004D6466">
        <w:rPr>
          <w:rFonts w:ascii="Arial" w:hAnsi="Arial" w:cs="Arial"/>
          <w:sz w:val="24"/>
          <w:szCs w:val="24"/>
        </w:rPr>
        <w:br w:type="page"/>
      </w:r>
    </w:p>
    <w:p w:rsidR="00A66191" w:rsidRPr="004D6466" w:rsidRDefault="00A66191" w:rsidP="00A66191">
      <w:pPr>
        <w:spacing w:line="360" w:lineRule="auto"/>
        <w:jc w:val="both"/>
        <w:rPr>
          <w:rFonts w:ascii="Arial" w:hAnsi="Arial" w:cs="Arial"/>
          <w:b/>
          <w:i/>
          <w:sz w:val="24"/>
          <w:szCs w:val="24"/>
        </w:rPr>
      </w:pPr>
      <w:r w:rsidRPr="004D6466">
        <w:rPr>
          <w:rFonts w:ascii="Arial" w:hAnsi="Arial" w:cs="Arial"/>
          <w:b/>
          <w:i/>
          <w:sz w:val="24"/>
          <w:szCs w:val="24"/>
        </w:rPr>
        <w:lastRenderedPageBreak/>
        <w:t>4.5.2 Cambio en la Matriz Económica</w:t>
      </w:r>
    </w:p>
    <w:p w:rsidR="00A66191" w:rsidRPr="004D6466" w:rsidRDefault="00A66191" w:rsidP="00A66191">
      <w:pPr>
        <w:pStyle w:val="NormalWeb"/>
        <w:spacing w:line="360" w:lineRule="auto"/>
        <w:jc w:val="both"/>
        <w:rPr>
          <w:rFonts w:ascii="Arial" w:hAnsi="Arial" w:cs="Arial"/>
        </w:rPr>
      </w:pPr>
      <w:r w:rsidRPr="004D6466">
        <w:rPr>
          <w:rFonts w:ascii="Arial" w:hAnsi="Arial" w:cs="Arial"/>
        </w:rPr>
        <w:t>Desde el 2006 se ha venido dando una serie de cambios económicos en el país tales como la renegociación de la deuda externa, renegociación de los contratos petroleros, redistribución del plan anual de inversiones, cambio en la matriz energética, medidas proteccionistas de la industria ecuatoriana entre otros.</w:t>
      </w:r>
    </w:p>
    <w:p w:rsidR="00A66191" w:rsidRPr="004D6466" w:rsidRDefault="00A66191" w:rsidP="00A66191">
      <w:pPr>
        <w:pStyle w:val="NormalWeb"/>
        <w:numPr>
          <w:ilvl w:val="0"/>
          <w:numId w:val="35"/>
        </w:numPr>
        <w:spacing w:line="360" w:lineRule="auto"/>
        <w:jc w:val="both"/>
        <w:rPr>
          <w:rFonts w:ascii="Arial" w:hAnsi="Arial" w:cs="Arial"/>
          <w:b/>
          <w:i/>
        </w:rPr>
      </w:pPr>
      <w:r w:rsidRPr="004D6466">
        <w:rPr>
          <w:rFonts w:ascii="Arial" w:hAnsi="Arial" w:cs="Arial"/>
          <w:b/>
          <w:i/>
        </w:rPr>
        <w:t>Renegociación de la deuda externa</w:t>
      </w:r>
    </w:p>
    <w:p w:rsidR="00A66191" w:rsidRPr="004D6466" w:rsidRDefault="00A66191" w:rsidP="00A66191">
      <w:pPr>
        <w:pStyle w:val="NormalWeb"/>
        <w:spacing w:line="360" w:lineRule="auto"/>
        <w:jc w:val="both"/>
        <w:rPr>
          <w:rFonts w:ascii="Arial" w:hAnsi="Arial" w:cs="Arial"/>
        </w:rPr>
      </w:pPr>
      <w:r w:rsidRPr="004D6466">
        <w:rPr>
          <w:rFonts w:ascii="Arial" w:hAnsi="Arial" w:cs="Arial"/>
        </w:rPr>
        <w:t xml:space="preserve">En el 2008, el presidente </w:t>
      </w:r>
      <w:hyperlink r:id="rId149" w:tooltip="Rafael Correa" w:history="1">
        <w:r w:rsidRPr="004D6466">
          <w:rPr>
            <w:rStyle w:val="Hipervnculo"/>
            <w:rFonts w:ascii="Arial" w:hAnsi="Arial" w:cs="Arial"/>
            <w:color w:val="auto"/>
            <w:u w:val="none"/>
          </w:rPr>
          <w:t>Rafael Correa</w:t>
        </w:r>
      </w:hyperlink>
      <w:r w:rsidRPr="004D6466">
        <w:rPr>
          <w:rFonts w:ascii="Arial" w:hAnsi="Arial" w:cs="Arial"/>
        </w:rPr>
        <w:t xml:space="preserve"> declaró que la deuda externa contraída por Ecuador era una deuda ilegítima, odiosa e inconstitucional que obligaba a destinar más del 50% de los recursos económicos del estado a pagar la deuda. El presidente Correa manifestó: “</w:t>
      </w:r>
      <w:r w:rsidRPr="004D6466">
        <w:rPr>
          <w:rFonts w:ascii="Arial" w:hAnsi="Arial" w:cs="Arial"/>
          <w:i/>
          <w:iCs/>
        </w:rPr>
        <w:t>Lo primero es la vida, después la deuda”</w:t>
      </w:r>
      <w:r w:rsidRPr="004D6466">
        <w:rPr>
          <w:rFonts w:ascii="Arial" w:hAnsi="Arial" w:cs="Arial"/>
        </w:rPr>
        <w:t xml:space="preserve">. El gobierno se enfrentó a las amenazas del </w:t>
      </w:r>
      <w:hyperlink r:id="rId150" w:tooltip="Banco Mundial" w:history="1">
        <w:r w:rsidRPr="004D6466">
          <w:rPr>
            <w:rStyle w:val="Hipervnculo"/>
            <w:rFonts w:ascii="Arial" w:hAnsi="Arial" w:cs="Arial"/>
            <w:color w:val="auto"/>
            <w:u w:val="none"/>
          </w:rPr>
          <w:t>Banco Mundial</w:t>
        </w:r>
      </w:hyperlink>
      <w:r w:rsidRPr="004D6466">
        <w:rPr>
          <w:rFonts w:ascii="Arial" w:hAnsi="Arial" w:cs="Arial"/>
        </w:rPr>
        <w:t xml:space="preserve"> y del </w:t>
      </w:r>
      <w:hyperlink r:id="rId151" w:tooltip="Fondo Monetario Internacional" w:history="1">
        <w:r w:rsidRPr="004D6466">
          <w:rPr>
            <w:rStyle w:val="Hipervnculo"/>
            <w:rFonts w:ascii="Arial" w:hAnsi="Arial" w:cs="Arial"/>
            <w:color w:val="auto"/>
            <w:u w:val="none"/>
          </w:rPr>
          <w:t>Fondo Monetario Internacional</w:t>
        </w:r>
      </w:hyperlink>
      <w:r w:rsidRPr="004D6466">
        <w:rPr>
          <w:rFonts w:ascii="Arial" w:hAnsi="Arial" w:cs="Arial"/>
        </w:rPr>
        <w:t xml:space="preserve"> (FMI), expulsó a los enviados del FMI del Banco Central de Ecuador, creó una Comité de Auditoría que concluyó que una gran parte de la deuda de gobiernos anteriores era ilegitima, especialmente los contratos de deuda del año 2000. El informe fue trasladado tanto al gobierno como a los ciudadanos de </w:t>
      </w:r>
      <w:r w:rsidR="00830DFF" w:rsidRPr="004D6466">
        <w:rPr>
          <w:rFonts w:ascii="Arial" w:hAnsi="Arial" w:cs="Arial"/>
        </w:rPr>
        <w:t>Ecuador. El</w:t>
      </w:r>
      <w:r w:rsidRPr="004D6466">
        <w:rPr>
          <w:rFonts w:ascii="Arial" w:hAnsi="Arial" w:cs="Arial"/>
        </w:rPr>
        <w:t xml:space="preserve"> Gobierno declaró el cese de pagos del 70% de la deuda de Ecuador en bonos. Frente a esta medida los acreedores o tenedores de la deuda de Ecuador sacaron dichos bonos al mercado, con valores muy bajos reduciéndolos 20% de su valor. Posteriormente el Ecuador utilizó 800 millones de dólares para comprar 3.000 millones de su propia deuda lo que supuso una reducción de su deuda real y de los intereses lo que pudo suponer un ahorro de unos 7.000 millones de dólares para Ecuador, constituyendo así una medida sagaz que logró reducir la deuda externa.</w:t>
      </w:r>
    </w:p>
    <w:p w:rsidR="00A66191" w:rsidRPr="004D6466" w:rsidRDefault="00A66191" w:rsidP="00A66191">
      <w:pPr>
        <w:rPr>
          <w:rFonts w:ascii="Arial" w:eastAsia="Times New Roman" w:hAnsi="Arial" w:cs="Arial"/>
          <w:sz w:val="24"/>
          <w:szCs w:val="24"/>
        </w:rPr>
      </w:pPr>
      <w:r w:rsidRPr="004D6466">
        <w:rPr>
          <w:rFonts w:ascii="Arial" w:hAnsi="Arial" w:cs="Arial"/>
        </w:rPr>
        <w:br w:type="page"/>
      </w:r>
    </w:p>
    <w:p w:rsidR="00A66191" w:rsidRPr="004D6466" w:rsidRDefault="00A66191" w:rsidP="00A66191">
      <w:pPr>
        <w:pStyle w:val="NormalWeb"/>
        <w:numPr>
          <w:ilvl w:val="0"/>
          <w:numId w:val="35"/>
        </w:numPr>
        <w:spacing w:line="360" w:lineRule="auto"/>
        <w:jc w:val="both"/>
        <w:rPr>
          <w:rFonts w:ascii="Arial" w:hAnsi="Arial" w:cs="Arial"/>
          <w:b/>
          <w:i/>
        </w:rPr>
      </w:pPr>
      <w:r w:rsidRPr="004D6466">
        <w:rPr>
          <w:rFonts w:ascii="Arial" w:hAnsi="Arial" w:cs="Arial"/>
          <w:b/>
          <w:i/>
        </w:rPr>
        <w:lastRenderedPageBreak/>
        <w:t>Redistribución del Plan Anual de Inversiones</w:t>
      </w:r>
    </w:p>
    <w:p w:rsidR="00A66191" w:rsidRPr="004D6466" w:rsidRDefault="00A66191" w:rsidP="00A66191">
      <w:pPr>
        <w:spacing w:line="360" w:lineRule="auto"/>
        <w:jc w:val="both"/>
        <w:rPr>
          <w:rFonts w:ascii="Arial" w:hAnsi="Arial" w:cs="Arial"/>
          <w:sz w:val="24"/>
          <w:szCs w:val="24"/>
        </w:rPr>
      </w:pPr>
      <w:r w:rsidRPr="004D6466">
        <w:rPr>
          <w:rFonts w:ascii="Arial" w:hAnsi="Arial" w:cs="Arial"/>
          <w:sz w:val="24"/>
          <w:szCs w:val="24"/>
        </w:rPr>
        <w:t xml:space="preserve">En el 2011 la distribución del plan anual de inversiones estuvo desarrollada de esta manera: </w:t>
      </w:r>
    </w:p>
    <w:p w:rsidR="00A66191" w:rsidRPr="004D6466" w:rsidRDefault="00A66191" w:rsidP="00A66191">
      <w:pPr>
        <w:pStyle w:val="Sinespaciado"/>
        <w:jc w:val="right"/>
      </w:pPr>
      <w:r w:rsidRPr="004D6466">
        <w:rPr>
          <w:noProof/>
        </w:rPr>
        <w:drawing>
          <wp:inline distT="0" distB="0" distL="0" distR="0">
            <wp:extent cx="5238750" cy="3695700"/>
            <wp:effectExtent l="19050" t="0" r="19050" b="0"/>
            <wp:docPr id="27" name="Gráfico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52"/>
              </a:graphicData>
            </a:graphic>
          </wp:inline>
        </w:drawing>
      </w:r>
    </w:p>
    <w:p w:rsidR="00A66191" w:rsidRPr="004D6466" w:rsidRDefault="00A66191" w:rsidP="00A66191">
      <w:pPr>
        <w:pStyle w:val="Sinespaciado"/>
        <w:jc w:val="right"/>
        <w:rPr>
          <w:rFonts w:ascii="Arial" w:hAnsi="Arial" w:cs="Arial"/>
          <w:sz w:val="16"/>
          <w:szCs w:val="16"/>
        </w:rPr>
      </w:pPr>
      <w:r w:rsidRPr="004D6466">
        <w:rPr>
          <w:rFonts w:ascii="Arial" w:hAnsi="Arial" w:cs="Arial"/>
          <w:sz w:val="16"/>
          <w:szCs w:val="16"/>
        </w:rPr>
        <w:t>Gráfico Nº 12                                    Fuente: SENPLADES                                         Elaborado por María José Ponce</w:t>
      </w:r>
    </w:p>
    <w:p w:rsidR="00A66191" w:rsidRPr="004D6466" w:rsidRDefault="00A66191" w:rsidP="00A66191">
      <w:pPr>
        <w:rPr>
          <w:rFonts w:ascii="Arial" w:hAnsi="Arial" w:cs="Arial"/>
          <w:sz w:val="24"/>
          <w:szCs w:val="16"/>
        </w:rPr>
      </w:pPr>
    </w:p>
    <w:p w:rsidR="00A66191" w:rsidRPr="004D6466" w:rsidRDefault="00A66191" w:rsidP="00A66191">
      <w:pPr>
        <w:spacing w:line="360" w:lineRule="auto"/>
        <w:jc w:val="both"/>
        <w:rPr>
          <w:rFonts w:ascii="Arial" w:hAnsi="Arial" w:cs="Arial"/>
          <w:sz w:val="24"/>
          <w:szCs w:val="16"/>
        </w:rPr>
      </w:pPr>
      <w:r w:rsidRPr="004D6466">
        <w:rPr>
          <w:rFonts w:ascii="Arial" w:hAnsi="Arial" w:cs="Arial"/>
          <w:sz w:val="24"/>
          <w:szCs w:val="16"/>
        </w:rPr>
        <w:t>En este gráfico se puede observar que la inversión en desarrollo social y en sectores estratégicos, así como, la inversión en producción son los rubros más altos, lo que responde a la lógica del gobierno y al Plan Nacional del Buen Vivir, respecto a invertir el ahorro nacional en sectores que han sido tradicionalmente olvidados por otros gobiernos.</w:t>
      </w:r>
    </w:p>
    <w:p w:rsidR="00A66191" w:rsidRPr="004D6466" w:rsidRDefault="00A66191" w:rsidP="00A66191">
      <w:pPr>
        <w:pStyle w:val="Prrafodelista"/>
        <w:numPr>
          <w:ilvl w:val="0"/>
          <w:numId w:val="35"/>
        </w:numPr>
        <w:spacing w:line="360" w:lineRule="auto"/>
        <w:jc w:val="both"/>
        <w:rPr>
          <w:rFonts w:ascii="Arial" w:hAnsi="Arial" w:cs="Arial"/>
          <w:sz w:val="24"/>
          <w:szCs w:val="24"/>
        </w:rPr>
      </w:pPr>
      <w:r w:rsidRPr="004D6466">
        <w:rPr>
          <w:rFonts w:ascii="Arial" w:hAnsi="Arial" w:cs="Arial"/>
          <w:b/>
          <w:i/>
          <w:sz w:val="24"/>
          <w:szCs w:val="24"/>
        </w:rPr>
        <w:t>Cambio en la matriz energética</w:t>
      </w:r>
    </w:p>
    <w:p w:rsidR="00A66191" w:rsidRPr="004D6466" w:rsidRDefault="00A66191" w:rsidP="00A66191">
      <w:pPr>
        <w:spacing w:line="360" w:lineRule="auto"/>
        <w:jc w:val="both"/>
        <w:rPr>
          <w:rFonts w:ascii="Arial" w:hAnsi="Arial" w:cs="Arial"/>
          <w:sz w:val="24"/>
          <w:szCs w:val="24"/>
        </w:rPr>
      </w:pPr>
      <w:r w:rsidRPr="004D6466">
        <w:rPr>
          <w:rFonts w:ascii="Arial" w:hAnsi="Arial" w:cs="Arial"/>
          <w:sz w:val="24"/>
          <w:szCs w:val="24"/>
        </w:rPr>
        <w:t>La propuesta implicó dejar atrás la energía térmica y pasar a la energía hídrica (energía que utiliza la fuerza de los ríos) para diversificar las fuentes de energía: Se crea el Plan de Acción de Energía Sostenible que tiene 3 componentes:</w:t>
      </w:r>
    </w:p>
    <w:p w:rsidR="00A66191" w:rsidRPr="004D6466" w:rsidRDefault="00A66191" w:rsidP="00A66191">
      <w:pPr>
        <w:spacing w:line="360" w:lineRule="auto"/>
        <w:jc w:val="both"/>
        <w:rPr>
          <w:rFonts w:ascii="Arial" w:hAnsi="Arial" w:cs="Arial"/>
          <w:sz w:val="24"/>
          <w:szCs w:val="24"/>
        </w:rPr>
      </w:pPr>
    </w:p>
    <w:p w:rsidR="00A66191" w:rsidRPr="004D6466" w:rsidRDefault="00A66191" w:rsidP="00A66191">
      <w:pPr>
        <w:spacing w:line="360" w:lineRule="auto"/>
        <w:jc w:val="both"/>
        <w:rPr>
          <w:rFonts w:ascii="Arial" w:hAnsi="Arial" w:cs="Arial"/>
          <w:sz w:val="24"/>
          <w:szCs w:val="24"/>
        </w:rPr>
      </w:pPr>
    </w:p>
    <w:p w:rsidR="00A66191" w:rsidRPr="004D6466" w:rsidRDefault="00A66191" w:rsidP="00A66191">
      <w:pPr>
        <w:spacing w:line="360" w:lineRule="auto"/>
        <w:jc w:val="both"/>
        <w:rPr>
          <w:rFonts w:ascii="Arial" w:eastAsia="Times New Roman" w:hAnsi="Arial" w:cs="Arial"/>
          <w:b/>
          <w:sz w:val="24"/>
          <w:szCs w:val="24"/>
        </w:rPr>
      </w:pPr>
      <w:r w:rsidRPr="004D6466">
        <w:rPr>
          <w:rFonts w:ascii="Arial" w:eastAsia="Times New Roman" w:hAnsi="Arial" w:cs="Arial"/>
          <w:b/>
          <w:bCs/>
          <w:sz w:val="24"/>
          <w:szCs w:val="24"/>
        </w:rPr>
        <w:lastRenderedPageBreak/>
        <w:t>Programa de Eficiencia Energética</w:t>
      </w:r>
    </w:p>
    <w:p w:rsidR="00A66191" w:rsidRPr="004D6466" w:rsidRDefault="00A66191" w:rsidP="00A66191">
      <w:pPr>
        <w:spacing w:line="360" w:lineRule="auto"/>
        <w:jc w:val="both"/>
        <w:rPr>
          <w:rFonts w:ascii="Arial" w:eastAsia="Times New Roman" w:hAnsi="Arial" w:cs="Arial"/>
          <w:sz w:val="24"/>
          <w:szCs w:val="24"/>
        </w:rPr>
      </w:pPr>
      <w:r w:rsidRPr="004D6466">
        <w:rPr>
          <w:rFonts w:ascii="Arial" w:eastAsia="Times New Roman" w:hAnsi="Arial" w:cs="Arial"/>
          <w:sz w:val="24"/>
          <w:szCs w:val="24"/>
        </w:rPr>
        <w:t>Actualización de la matriz de usos finales de energía en los sectores residencial, industrial, comercial, servicios y sector público del Ecuador y diseño de una plataforma informática. Se adjudicó el contrato a la firma consultora argentina QUANTUM S.A. y se esperaba que el producto esté implementado y disponible hasta el tercer trimestre del 2012.</w:t>
      </w:r>
    </w:p>
    <w:p w:rsidR="00A66191" w:rsidRPr="004D6466" w:rsidRDefault="00A66191" w:rsidP="00A66191">
      <w:pPr>
        <w:spacing w:before="100" w:beforeAutospacing="1" w:after="100" w:afterAutospacing="1" w:line="360" w:lineRule="auto"/>
        <w:jc w:val="both"/>
        <w:rPr>
          <w:rFonts w:ascii="Arial" w:eastAsia="Times New Roman" w:hAnsi="Arial" w:cs="Arial"/>
          <w:sz w:val="24"/>
          <w:szCs w:val="24"/>
        </w:rPr>
      </w:pPr>
      <w:r w:rsidRPr="004D6466">
        <w:rPr>
          <w:rFonts w:ascii="Arial" w:eastAsia="Times New Roman" w:hAnsi="Arial" w:cs="Arial"/>
          <w:sz w:val="24"/>
          <w:szCs w:val="24"/>
        </w:rPr>
        <w:t>En cuanto al Plan de Ahorro de Energía para los Sectores Residencial, Público e Industrial del Ecuador está en ejecución con el consorcio español ecuatoriano CREARA – ENERPRO. El informe final cuenta con la no objeción del BID y se presentó al Ministro el 15 de marzo 2012.</w:t>
      </w:r>
    </w:p>
    <w:p w:rsidR="00A66191" w:rsidRPr="004D6466" w:rsidRDefault="00A66191" w:rsidP="00A66191">
      <w:pPr>
        <w:spacing w:before="100" w:beforeAutospacing="1" w:after="100" w:afterAutospacing="1" w:line="240" w:lineRule="auto"/>
        <w:jc w:val="both"/>
        <w:rPr>
          <w:rFonts w:ascii="Arial" w:eastAsia="Times New Roman" w:hAnsi="Arial" w:cs="Arial"/>
          <w:sz w:val="24"/>
          <w:szCs w:val="24"/>
        </w:rPr>
      </w:pPr>
      <w:r w:rsidRPr="004D6466">
        <w:rPr>
          <w:rFonts w:ascii="Arial" w:eastAsia="Times New Roman" w:hAnsi="Arial" w:cs="Arial"/>
          <w:b/>
          <w:bCs/>
          <w:sz w:val="24"/>
          <w:szCs w:val="24"/>
        </w:rPr>
        <w:t>Evaluación del Potencial de Energía Renovable</w:t>
      </w:r>
    </w:p>
    <w:p w:rsidR="00A66191" w:rsidRPr="004D6466" w:rsidRDefault="00A66191" w:rsidP="00A66191">
      <w:pPr>
        <w:spacing w:before="100" w:beforeAutospacing="1" w:after="100" w:afterAutospacing="1" w:line="360" w:lineRule="auto"/>
        <w:jc w:val="both"/>
        <w:rPr>
          <w:rFonts w:ascii="Arial" w:eastAsia="Times New Roman" w:hAnsi="Arial" w:cs="Arial"/>
          <w:sz w:val="24"/>
          <w:szCs w:val="24"/>
        </w:rPr>
      </w:pPr>
      <w:r w:rsidRPr="004D6466">
        <w:rPr>
          <w:rFonts w:ascii="Arial" w:eastAsia="Times New Roman" w:hAnsi="Arial" w:cs="Arial"/>
          <w:sz w:val="24"/>
          <w:szCs w:val="24"/>
        </w:rPr>
        <w:t>La campaña de Medición de Viento de los Proyectos Eólicos Salinas Fase 2 en Imbabura y Membrillo y Chinchas (Huacacocha) en Loja. El contrato inició el 7 de diciembre de 2011, tiene una duración de 16 meses calendario y el primer informe de evaluación del recurso eólico estuvo disponible a mediados del 2012.</w:t>
      </w:r>
    </w:p>
    <w:p w:rsidR="00A66191" w:rsidRPr="004D6466" w:rsidRDefault="00A66191" w:rsidP="00A66191">
      <w:pPr>
        <w:spacing w:before="100" w:beforeAutospacing="1" w:after="100" w:afterAutospacing="1" w:line="360" w:lineRule="auto"/>
        <w:jc w:val="both"/>
        <w:rPr>
          <w:rFonts w:ascii="Arial" w:eastAsia="Times New Roman" w:hAnsi="Arial" w:cs="Arial"/>
          <w:sz w:val="24"/>
          <w:szCs w:val="24"/>
        </w:rPr>
      </w:pPr>
      <w:r w:rsidRPr="004D6466">
        <w:rPr>
          <w:rFonts w:ascii="Arial" w:eastAsia="Times New Roman" w:hAnsi="Arial" w:cs="Arial"/>
          <w:sz w:val="24"/>
          <w:szCs w:val="24"/>
        </w:rPr>
        <w:t>Estudio de Integración de la Energía Eólica en la Red Eléctrica del Ecuador. Se prevé su ejecución con recursos fiscales en el año 2012. Se cuenta con los pliegos para el proceso en el INCOP y se está solicitando la autorización para que participen firmas consultoras nacionales y extranjeras.</w:t>
      </w:r>
    </w:p>
    <w:p w:rsidR="00A66191" w:rsidRPr="004D6466" w:rsidRDefault="00A66191" w:rsidP="00A66191">
      <w:pPr>
        <w:spacing w:before="100" w:beforeAutospacing="1" w:after="100" w:afterAutospacing="1" w:line="360" w:lineRule="auto"/>
        <w:jc w:val="both"/>
        <w:rPr>
          <w:rFonts w:ascii="Arial" w:eastAsia="Times New Roman" w:hAnsi="Arial" w:cs="Arial"/>
          <w:sz w:val="24"/>
          <w:szCs w:val="24"/>
        </w:rPr>
      </w:pPr>
      <w:r w:rsidRPr="004D6466">
        <w:rPr>
          <w:rFonts w:ascii="Arial" w:eastAsia="Times New Roman" w:hAnsi="Arial" w:cs="Arial"/>
          <w:sz w:val="24"/>
          <w:szCs w:val="24"/>
        </w:rPr>
        <w:t xml:space="preserve">Atlas Eólico del Ecuador está adjudicado a la firma Meteosim Truewind en diciembre de 2011. Se suscribirá el contrato una vez que la firma internacional se domicilie en Ecuador (Actualmente la compañía Meteosim Truewind todavía no </w:t>
      </w:r>
      <w:r w:rsidR="00727475" w:rsidRPr="004D6466">
        <w:rPr>
          <w:rFonts w:ascii="Arial" w:eastAsia="Times New Roman" w:hAnsi="Arial" w:cs="Arial"/>
          <w:sz w:val="24"/>
          <w:szCs w:val="24"/>
        </w:rPr>
        <w:t>está</w:t>
      </w:r>
      <w:r w:rsidRPr="004D6466">
        <w:rPr>
          <w:rFonts w:ascii="Arial" w:eastAsia="Times New Roman" w:hAnsi="Arial" w:cs="Arial"/>
          <w:sz w:val="24"/>
          <w:szCs w:val="24"/>
        </w:rPr>
        <w:t xml:space="preserve"> domiciliada en el Ecuador). </w:t>
      </w:r>
    </w:p>
    <w:p w:rsidR="00A66191" w:rsidRPr="004D6466" w:rsidRDefault="00A66191" w:rsidP="00A66191">
      <w:pPr>
        <w:spacing w:before="100" w:beforeAutospacing="1" w:after="100" w:afterAutospacing="1" w:line="240" w:lineRule="auto"/>
        <w:jc w:val="both"/>
        <w:rPr>
          <w:rFonts w:ascii="Arial" w:eastAsia="Times New Roman" w:hAnsi="Arial" w:cs="Arial"/>
          <w:sz w:val="24"/>
          <w:szCs w:val="24"/>
        </w:rPr>
      </w:pPr>
      <w:r w:rsidRPr="004D6466">
        <w:rPr>
          <w:rFonts w:ascii="Arial" w:eastAsia="Times New Roman" w:hAnsi="Arial" w:cs="Arial"/>
          <w:b/>
          <w:bCs/>
          <w:sz w:val="24"/>
          <w:szCs w:val="24"/>
        </w:rPr>
        <w:t>Fortalecimiento Institucional</w:t>
      </w:r>
    </w:p>
    <w:p w:rsidR="00A66191" w:rsidRPr="004D6466" w:rsidRDefault="00A66191" w:rsidP="00A66191">
      <w:pPr>
        <w:spacing w:before="100" w:beforeAutospacing="1" w:after="100" w:afterAutospacing="1" w:line="360" w:lineRule="auto"/>
        <w:jc w:val="both"/>
        <w:rPr>
          <w:rFonts w:ascii="Arial" w:eastAsia="Times New Roman" w:hAnsi="Arial" w:cs="Arial"/>
          <w:sz w:val="24"/>
          <w:szCs w:val="24"/>
        </w:rPr>
      </w:pPr>
      <w:r w:rsidRPr="004D6466">
        <w:rPr>
          <w:rFonts w:ascii="Arial" w:eastAsia="Times New Roman" w:hAnsi="Arial" w:cs="Arial"/>
          <w:sz w:val="24"/>
          <w:szCs w:val="24"/>
        </w:rPr>
        <w:t>Estudio de Barreras para la Eficiencia Energética, Energía Renovable y Bioenergía y de Instrumentos para incentivar estos mismos sectores. Se adjudicó el contrato a la firma consultora chilena, AETS SUDAMÉRICA S.A. El estudio está disponible desde el tercer trimestre de 2012.</w:t>
      </w:r>
    </w:p>
    <w:p w:rsidR="00A66191" w:rsidRPr="004D6466" w:rsidRDefault="00A66191" w:rsidP="00A66191">
      <w:pPr>
        <w:spacing w:before="100" w:beforeAutospacing="1" w:after="100" w:afterAutospacing="1" w:line="360" w:lineRule="auto"/>
        <w:jc w:val="both"/>
        <w:rPr>
          <w:rFonts w:ascii="Arial" w:eastAsia="Times New Roman" w:hAnsi="Arial" w:cs="Arial"/>
          <w:sz w:val="24"/>
          <w:szCs w:val="24"/>
        </w:rPr>
      </w:pPr>
      <w:r w:rsidRPr="004D6466">
        <w:rPr>
          <w:rFonts w:ascii="Arial" w:eastAsia="Times New Roman" w:hAnsi="Arial" w:cs="Arial"/>
          <w:sz w:val="24"/>
          <w:szCs w:val="24"/>
        </w:rPr>
        <w:lastRenderedPageBreak/>
        <w:t>Capacitación en Reducción de Emisiones de Efecto Invernadero y Mercados de Carbono. Se capacitó a más de 50 técnicos del sector eléctrico en octubre de 2011.</w:t>
      </w:r>
    </w:p>
    <w:p w:rsidR="00A66191" w:rsidRPr="004D6466" w:rsidRDefault="00A66191" w:rsidP="00A66191">
      <w:pPr>
        <w:spacing w:before="100" w:beforeAutospacing="1" w:after="100" w:afterAutospacing="1" w:line="360" w:lineRule="auto"/>
        <w:jc w:val="both"/>
        <w:rPr>
          <w:rFonts w:ascii="Arial" w:eastAsia="Times New Roman" w:hAnsi="Arial" w:cs="Arial"/>
          <w:sz w:val="24"/>
          <w:szCs w:val="24"/>
        </w:rPr>
      </w:pPr>
      <w:r w:rsidRPr="004D6466">
        <w:rPr>
          <w:rFonts w:ascii="Arial" w:eastAsia="Times New Roman" w:hAnsi="Arial" w:cs="Arial"/>
          <w:sz w:val="24"/>
          <w:szCs w:val="24"/>
        </w:rPr>
        <w:t>Capacitación en Administración y Gestión de Proyectos. Se adjudicó el contrato al Tecnológico de Monterrey en marzo de 2012.  Se capacitó a  25 funcionarios del MEER, quienes podrán certificarse como Project Management Profesional (PMP).</w:t>
      </w:r>
    </w:p>
    <w:p w:rsidR="00A66191" w:rsidRPr="004D6466" w:rsidRDefault="00A66191" w:rsidP="00A66191">
      <w:pPr>
        <w:spacing w:before="100" w:beforeAutospacing="1" w:after="100" w:afterAutospacing="1" w:line="360" w:lineRule="auto"/>
        <w:jc w:val="both"/>
        <w:rPr>
          <w:rFonts w:ascii="Arial" w:hAnsi="Arial" w:cs="Arial"/>
          <w:sz w:val="24"/>
          <w:szCs w:val="24"/>
        </w:rPr>
      </w:pPr>
      <w:r w:rsidRPr="004D6466">
        <w:rPr>
          <w:rFonts w:ascii="Arial" w:eastAsia="Times New Roman" w:hAnsi="Arial" w:cs="Arial"/>
          <w:sz w:val="24"/>
          <w:szCs w:val="24"/>
        </w:rPr>
        <w:t xml:space="preserve">Dentro de este cambio también se puede introducir que en el 2007 </w:t>
      </w:r>
      <w:r w:rsidRPr="004D6466">
        <w:rPr>
          <w:rFonts w:ascii="Arial" w:hAnsi="Arial" w:cs="Arial"/>
          <w:sz w:val="24"/>
          <w:szCs w:val="24"/>
        </w:rPr>
        <w:t xml:space="preserve">el presidente Rafael Correa puso en vigencia la “Tarifa de la Dignidad”, como política de Estado, reduciéndose a 4 centavos de dólar el </w:t>
      </w:r>
      <w:r w:rsidR="00912113">
        <w:rPr>
          <w:rFonts w:ascii="Arial" w:hAnsi="Arial" w:cs="Arial"/>
          <w:sz w:val="24"/>
          <w:szCs w:val="24"/>
        </w:rPr>
        <w:t>costo del kilovatio-hora para 1.</w:t>
      </w:r>
      <w:r w:rsidRPr="004D6466">
        <w:rPr>
          <w:rFonts w:ascii="Arial" w:hAnsi="Arial" w:cs="Arial"/>
          <w:sz w:val="24"/>
          <w:szCs w:val="24"/>
        </w:rPr>
        <w:t>500.000 usuarios de escasos recursos económicos.  </w:t>
      </w:r>
    </w:p>
    <w:p w:rsidR="00A66191" w:rsidRPr="004D6466" w:rsidRDefault="00A66191" w:rsidP="00A66191">
      <w:pPr>
        <w:spacing w:before="100" w:beforeAutospacing="1" w:after="100" w:afterAutospacing="1" w:line="360" w:lineRule="auto"/>
        <w:jc w:val="both"/>
        <w:rPr>
          <w:rFonts w:ascii="Arial" w:hAnsi="Arial" w:cs="Arial"/>
          <w:b/>
          <w:sz w:val="24"/>
          <w:szCs w:val="24"/>
        </w:rPr>
      </w:pPr>
      <w:r w:rsidRPr="004D6466">
        <w:rPr>
          <w:rFonts w:ascii="Arial" w:hAnsi="Arial" w:cs="Arial"/>
          <w:b/>
          <w:sz w:val="24"/>
          <w:szCs w:val="24"/>
        </w:rPr>
        <w:t xml:space="preserve">Proyectos hidroeléctricos </w:t>
      </w:r>
    </w:p>
    <w:p w:rsidR="00A66191" w:rsidRPr="004D6466" w:rsidRDefault="00A66191" w:rsidP="00A66191">
      <w:pPr>
        <w:spacing w:before="100" w:beforeAutospacing="1" w:after="100" w:afterAutospacing="1" w:line="360" w:lineRule="auto"/>
        <w:jc w:val="both"/>
        <w:rPr>
          <w:rFonts w:ascii="Arial" w:eastAsia="Times New Roman" w:hAnsi="Arial" w:cs="Arial"/>
          <w:sz w:val="24"/>
          <w:szCs w:val="24"/>
        </w:rPr>
      </w:pPr>
      <w:r w:rsidRPr="004D6466">
        <w:rPr>
          <w:rFonts w:ascii="Arial" w:hAnsi="Arial" w:cs="Arial"/>
          <w:sz w:val="24"/>
          <w:szCs w:val="24"/>
        </w:rPr>
        <w:t xml:space="preserve">Entre los proyectos hidroeléctricos importantes por inversión y capacidad de generación tenemos: Coca Codo Sinclair, Minas San Francisco, Toachi- Pilatón, Sopladora, Mazar Dudas, Delsitanisagua, </w:t>
      </w:r>
      <w:r w:rsidRPr="004D6466">
        <w:rPr>
          <w:rFonts w:ascii="Arial" w:eastAsia="Times New Roman" w:hAnsi="Arial" w:cs="Arial"/>
          <w:sz w:val="24"/>
          <w:szCs w:val="24"/>
        </w:rPr>
        <w:t xml:space="preserve">Maduriacu y Quijos. Estos proyectos hidroeléctricos pretenden: incrementar la oferta del mercado eléctrico ecuatoriano, aprovechar la capacidad hídrica del país y disminuir la importación de energía eléctrica;  permitiendo el ahorro de manera sostenida del Estado. </w:t>
      </w:r>
    </w:p>
    <w:p w:rsidR="00A66191" w:rsidRPr="004D6466" w:rsidRDefault="00A66191" w:rsidP="00A66191">
      <w:pPr>
        <w:spacing w:before="100" w:beforeAutospacing="1" w:after="100" w:afterAutospacing="1" w:line="360" w:lineRule="auto"/>
        <w:jc w:val="both"/>
        <w:rPr>
          <w:rFonts w:ascii="Arial" w:eastAsia="Times New Roman" w:hAnsi="Arial" w:cs="Arial"/>
          <w:sz w:val="24"/>
          <w:szCs w:val="24"/>
        </w:rPr>
      </w:pPr>
      <w:r w:rsidRPr="004D6466">
        <w:rPr>
          <w:rFonts w:ascii="Arial" w:eastAsia="Times New Roman" w:hAnsi="Arial" w:cs="Arial"/>
          <w:sz w:val="24"/>
          <w:szCs w:val="24"/>
        </w:rPr>
        <w:t>También se ha considerado en el presente estudio al proyecto eólico Villonaco por la importancia que tiene el viento para generar energía en sitios desérticos o que tienen escasez de agua.</w:t>
      </w:r>
    </w:p>
    <w:p w:rsidR="00A66191" w:rsidRPr="004D6466" w:rsidRDefault="00A66191" w:rsidP="00A66191">
      <w:pPr>
        <w:spacing w:before="100" w:beforeAutospacing="1" w:after="100" w:afterAutospacing="1" w:line="360" w:lineRule="auto"/>
        <w:jc w:val="both"/>
        <w:rPr>
          <w:rFonts w:ascii="Arial" w:eastAsia="Times New Roman" w:hAnsi="Arial" w:cs="Arial"/>
          <w:sz w:val="24"/>
          <w:szCs w:val="24"/>
        </w:rPr>
      </w:pPr>
      <w:r w:rsidRPr="004D6466">
        <w:rPr>
          <w:rFonts w:ascii="Arial" w:eastAsia="Times New Roman" w:hAnsi="Arial" w:cs="Arial"/>
          <w:sz w:val="24"/>
          <w:szCs w:val="24"/>
        </w:rPr>
        <w:t>La información de detalle de los proyectos se expone a continuación y ha sido tomada de los informes técnicos que aparecen en las páginas web de cada uno de los ministerios e instituciones responsables de los proyectos.</w:t>
      </w:r>
    </w:p>
    <w:p w:rsidR="00A66191" w:rsidRPr="004D6466" w:rsidRDefault="00A66191" w:rsidP="00A66191">
      <w:pPr>
        <w:spacing w:before="100" w:beforeAutospacing="1" w:after="100" w:afterAutospacing="1" w:line="360" w:lineRule="auto"/>
        <w:jc w:val="both"/>
        <w:rPr>
          <w:rFonts w:ascii="Arial" w:eastAsia="Times New Roman" w:hAnsi="Arial" w:cs="Arial"/>
          <w:sz w:val="24"/>
          <w:szCs w:val="24"/>
        </w:rPr>
      </w:pPr>
    </w:p>
    <w:p w:rsidR="00A66191" w:rsidRPr="004D6466" w:rsidRDefault="00A66191" w:rsidP="00A66191">
      <w:pPr>
        <w:spacing w:before="100" w:beforeAutospacing="1" w:after="100" w:afterAutospacing="1" w:line="360" w:lineRule="auto"/>
        <w:jc w:val="both"/>
        <w:rPr>
          <w:rFonts w:ascii="Arial" w:eastAsia="Times New Roman" w:hAnsi="Arial" w:cs="Arial"/>
          <w:sz w:val="24"/>
          <w:szCs w:val="24"/>
        </w:rPr>
      </w:pPr>
    </w:p>
    <w:p w:rsidR="00A66191" w:rsidRPr="004D6466" w:rsidRDefault="00A66191" w:rsidP="00A66191">
      <w:pPr>
        <w:spacing w:before="100" w:beforeAutospacing="1" w:after="100" w:afterAutospacing="1" w:line="360" w:lineRule="auto"/>
        <w:jc w:val="both"/>
        <w:rPr>
          <w:rFonts w:ascii="Arial" w:eastAsia="Times New Roman" w:hAnsi="Arial" w:cs="Arial"/>
          <w:sz w:val="24"/>
          <w:szCs w:val="24"/>
        </w:rPr>
      </w:pPr>
    </w:p>
    <w:tbl>
      <w:tblPr>
        <w:tblW w:w="9140" w:type="dxa"/>
        <w:jc w:val="center"/>
        <w:tblInd w:w="55" w:type="dxa"/>
        <w:tblCellMar>
          <w:left w:w="70" w:type="dxa"/>
          <w:right w:w="70" w:type="dxa"/>
        </w:tblCellMar>
        <w:tblLook w:val="04A0"/>
      </w:tblPr>
      <w:tblGrid>
        <w:gridCol w:w="1451"/>
        <w:gridCol w:w="1503"/>
        <w:gridCol w:w="1154"/>
        <w:gridCol w:w="1514"/>
        <w:gridCol w:w="1432"/>
        <w:gridCol w:w="1200"/>
        <w:gridCol w:w="1177"/>
      </w:tblGrid>
      <w:tr w:rsidR="00A66191" w:rsidRPr="004D6466" w:rsidTr="004D6466">
        <w:trPr>
          <w:trHeight w:val="300"/>
          <w:jc w:val="center"/>
        </w:trPr>
        <w:tc>
          <w:tcPr>
            <w:tcW w:w="9140" w:type="dxa"/>
            <w:gridSpan w:val="7"/>
            <w:tcBorders>
              <w:top w:val="single" w:sz="8" w:space="0" w:color="auto"/>
              <w:left w:val="single" w:sz="8" w:space="0" w:color="auto"/>
              <w:bottom w:val="nil"/>
              <w:right w:val="single" w:sz="8" w:space="0" w:color="000000"/>
            </w:tcBorders>
            <w:shd w:val="clear" w:color="000000" w:fill="95B3D7"/>
            <w:noWrap/>
            <w:vAlign w:val="bottom"/>
            <w:hideMark/>
          </w:tcPr>
          <w:p w:rsidR="00A66191" w:rsidRPr="004D6466" w:rsidRDefault="00A66191" w:rsidP="004D6466">
            <w:pPr>
              <w:spacing w:after="0" w:line="240" w:lineRule="auto"/>
              <w:jc w:val="center"/>
              <w:rPr>
                <w:rFonts w:ascii="Calibri" w:eastAsia="Times New Roman" w:hAnsi="Calibri" w:cs="Times New Roman"/>
                <w:b/>
                <w:bCs/>
              </w:rPr>
            </w:pPr>
            <w:r w:rsidRPr="004D6466">
              <w:rPr>
                <w:rFonts w:ascii="Calibri" w:eastAsia="Times New Roman" w:hAnsi="Calibri" w:cs="Times New Roman"/>
                <w:b/>
                <w:bCs/>
              </w:rPr>
              <w:lastRenderedPageBreak/>
              <w:t xml:space="preserve">proyectos energéticos </w:t>
            </w:r>
          </w:p>
        </w:tc>
      </w:tr>
      <w:tr w:rsidR="00A66191" w:rsidRPr="004D6466" w:rsidTr="00AF53C2">
        <w:trPr>
          <w:trHeight w:val="1082"/>
          <w:jc w:val="center"/>
        </w:trPr>
        <w:tc>
          <w:tcPr>
            <w:tcW w:w="1451" w:type="dxa"/>
            <w:tcBorders>
              <w:top w:val="single" w:sz="4" w:space="0" w:color="auto"/>
              <w:left w:val="single" w:sz="8" w:space="0" w:color="auto"/>
              <w:bottom w:val="single" w:sz="4" w:space="0" w:color="auto"/>
              <w:right w:val="single" w:sz="4" w:space="0" w:color="auto"/>
            </w:tcBorders>
            <w:shd w:val="clear" w:color="000000" w:fill="C5D9F1"/>
            <w:vAlign w:val="center"/>
            <w:hideMark/>
          </w:tcPr>
          <w:p w:rsidR="00A66191" w:rsidRPr="004D6466" w:rsidRDefault="00A66191" w:rsidP="004D6466">
            <w:pPr>
              <w:spacing w:after="0" w:line="240" w:lineRule="auto"/>
              <w:jc w:val="center"/>
              <w:rPr>
                <w:rFonts w:ascii="Calibri" w:eastAsia="Times New Roman" w:hAnsi="Calibri" w:cs="Times New Roman"/>
                <w:b/>
                <w:bCs/>
              </w:rPr>
            </w:pPr>
            <w:r w:rsidRPr="004D6466">
              <w:rPr>
                <w:rFonts w:ascii="Calibri" w:eastAsia="Times New Roman" w:hAnsi="Calibri" w:cs="Times New Roman"/>
                <w:b/>
                <w:bCs/>
              </w:rPr>
              <w:t>nombre del proyecto</w:t>
            </w:r>
          </w:p>
        </w:tc>
        <w:tc>
          <w:tcPr>
            <w:tcW w:w="1501" w:type="dxa"/>
            <w:tcBorders>
              <w:top w:val="single" w:sz="4" w:space="0" w:color="auto"/>
              <w:left w:val="nil"/>
              <w:bottom w:val="single" w:sz="4" w:space="0" w:color="auto"/>
              <w:right w:val="single" w:sz="4" w:space="0" w:color="auto"/>
            </w:tcBorders>
            <w:shd w:val="clear" w:color="000000" w:fill="C5D9F1"/>
            <w:vAlign w:val="center"/>
            <w:hideMark/>
          </w:tcPr>
          <w:p w:rsidR="00A66191" w:rsidRPr="004D6466" w:rsidRDefault="00A66191" w:rsidP="004D6466">
            <w:pPr>
              <w:spacing w:after="0" w:line="240" w:lineRule="auto"/>
              <w:jc w:val="center"/>
              <w:rPr>
                <w:rFonts w:ascii="Calibri" w:eastAsia="Times New Roman" w:hAnsi="Calibri" w:cs="Times New Roman"/>
                <w:b/>
                <w:bCs/>
              </w:rPr>
            </w:pPr>
            <w:r w:rsidRPr="004D6466">
              <w:rPr>
                <w:rFonts w:ascii="Calibri" w:eastAsia="Times New Roman" w:hAnsi="Calibri" w:cs="Times New Roman"/>
                <w:b/>
                <w:bCs/>
              </w:rPr>
              <w:t xml:space="preserve">ubicación </w:t>
            </w:r>
          </w:p>
        </w:tc>
        <w:tc>
          <w:tcPr>
            <w:tcW w:w="1118" w:type="dxa"/>
            <w:tcBorders>
              <w:top w:val="single" w:sz="4" w:space="0" w:color="auto"/>
              <w:left w:val="nil"/>
              <w:bottom w:val="single" w:sz="4" w:space="0" w:color="auto"/>
              <w:right w:val="single" w:sz="4" w:space="0" w:color="auto"/>
            </w:tcBorders>
            <w:shd w:val="clear" w:color="000000" w:fill="C5D9F1"/>
            <w:vAlign w:val="center"/>
            <w:hideMark/>
          </w:tcPr>
          <w:p w:rsidR="00A66191" w:rsidRPr="004D6466" w:rsidRDefault="00A66191" w:rsidP="004D6466">
            <w:pPr>
              <w:spacing w:after="0" w:line="240" w:lineRule="auto"/>
              <w:jc w:val="center"/>
              <w:rPr>
                <w:rFonts w:ascii="Calibri" w:eastAsia="Times New Roman" w:hAnsi="Calibri" w:cs="Times New Roman"/>
                <w:b/>
                <w:bCs/>
              </w:rPr>
            </w:pPr>
            <w:r w:rsidRPr="004D6466">
              <w:rPr>
                <w:rFonts w:ascii="Calibri" w:eastAsia="Times New Roman" w:hAnsi="Calibri" w:cs="Times New Roman"/>
                <w:b/>
                <w:bCs/>
              </w:rPr>
              <w:t>capacidad de generación</w:t>
            </w:r>
          </w:p>
        </w:tc>
        <w:tc>
          <w:tcPr>
            <w:tcW w:w="1404" w:type="dxa"/>
            <w:tcBorders>
              <w:top w:val="single" w:sz="4" w:space="0" w:color="auto"/>
              <w:left w:val="nil"/>
              <w:bottom w:val="single" w:sz="4" w:space="0" w:color="auto"/>
              <w:right w:val="single" w:sz="4" w:space="0" w:color="auto"/>
            </w:tcBorders>
            <w:shd w:val="clear" w:color="000000" w:fill="C5D9F1"/>
            <w:vAlign w:val="center"/>
            <w:hideMark/>
          </w:tcPr>
          <w:p w:rsidR="00A66191" w:rsidRPr="004D6466" w:rsidRDefault="00A66191" w:rsidP="004D6466">
            <w:pPr>
              <w:spacing w:after="0" w:line="240" w:lineRule="auto"/>
              <w:jc w:val="center"/>
              <w:rPr>
                <w:rFonts w:ascii="Calibri" w:eastAsia="Times New Roman" w:hAnsi="Calibri" w:cs="Times New Roman"/>
                <w:b/>
                <w:bCs/>
              </w:rPr>
            </w:pPr>
            <w:r w:rsidRPr="004D6466">
              <w:rPr>
                <w:rFonts w:ascii="Calibri" w:eastAsia="Times New Roman" w:hAnsi="Calibri" w:cs="Times New Roman"/>
                <w:b/>
                <w:bCs/>
              </w:rPr>
              <w:t>producción de energía</w:t>
            </w:r>
          </w:p>
        </w:tc>
        <w:tc>
          <w:tcPr>
            <w:tcW w:w="1399" w:type="dxa"/>
            <w:tcBorders>
              <w:top w:val="single" w:sz="4" w:space="0" w:color="auto"/>
              <w:left w:val="nil"/>
              <w:bottom w:val="single" w:sz="4" w:space="0" w:color="auto"/>
              <w:right w:val="single" w:sz="4" w:space="0" w:color="auto"/>
            </w:tcBorders>
            <w:shd w:val="clear" w:color="000000" w:fill="C5D9F1"/>
            <w:vAlign w:val="center"/>
            <w:hideMark/>
          </w:tcPr>
          <w:p w:rsidR="00A66191" w:rsidRPr="004D6466" w:rsidRDefault="00A66191" w:rsidP="004D6466">
            <w:pPr>
              <w:spacing w:after="0" w:line="240" w:lineRule="auto"/>
              <w:jc w:val="center"/>
              <w:rPr>
                <w:rFonts w:ascii="Calibri" w:eastAsia="Times New Roman" w:hAnsi="Calibri" w:cs="Times New Roman"/>
                <w:b/>
                <w:bCs/>
              </w:rPr>
            </w:pPr>
            <w:r w:rsidRPr="004D6466">
              <w:rPr>
                <w:rFonts w:ascii="Calibri" w:eastAsia="Times New Roman" w:hAnsi="Calibri" w:cs="Times New Roman"/>
                <w:b/>
                <w:bCs/>
              </w:rPr>
              <w:t>monto invertido</w:t>
            </w:r>
          </w:p>
        </w:tc>
        <w:tc>
          <w:tcPr>
            <w:tcW w:w="1200" w:type="dxa"/>
            <w:tcBorders>
              <w:top w:val="single" w:sz="4" w:space="0" w:color="auto"/>
              <w:left w:val="nil"/>
              <w:bottom w:val="single" w:sz="4" w:space="0" w:color="auto"/>
              <w:right w:val="single" w:sz="4" w:space="0" w:color="auto"/>
            </w:tcBorders>
            <w:shd w:val="clear" w:color="000000" w:fill="C5D9F1"/>
            <w:vAlign w:val="center"/>
            <w:hideMark/>
          </w:tcPr>
          <w:p w:rsidR="00A66191" w:rsidRPr="004D6466" w:rsidRDefault="00A66191" w:rsidP="004D6466">
            <w:pPr>
              <w:spacing w:after="0" w:line="240" w:lineRule="auto"/>
              <w:jc w:val="center"/>
              <w:rPr>
                <w:rFonts w:ascii="Calibri" w:eastAsia="Times New Roman" w:hAnsi="Calibri" w:cs="Times New Roman"/>
                <w:b/>
                <w:bCs/>
              </w:rPr>
            </w:pPr>
            <w:r w:rsidRPr="004D6466">
              <w:rPr>
                <w:rFonts w:ascii="Calibri" w:eastAsia="Times New Roman" w:hAnsi="Calibri" w:cs="Times New Roman"/>
                <w:b/>
                <w:bCs/>
              </w:rPr>
              <w:t>avance del proyecto</w:t>
            </w:r>
          </w:p>
        </w:tc>
        <w:tc>
          <w:tcPr>
            <w:tcW w:w="1067" w:type="dxa"/>
            <w:tcBorders>
              <w:top w:val="single" w:sz="4" w:space="0" w:color="auto"/>
              <w:left w:val="nil"/>
              <w:bottom w:val="single" w:sz="4" w:space="0" w:color="auto"/>
              <w:right w:val="single" w:sz="8" w:space="0" w:color="auto"/>
            </w:tcBorders>
            <w:shd w:val="clear" w:color="000000" w:fill="C5D9F1"/>
            <w:vAlign w:val="center"/>
            <w:hideMark/>
          </w:tcPr>
          <w:p w:rsidR="00A66191" w:rsidRPr="004D6466" w:rsidRDefault="00A66191" w:rsidP="004D6466">
            <w:pPr>
              <w:spacing w:after="0" w:line="240" w:lineRule="auto"/>
              <w:jc w:val="center"/>
              <w:rPr>
                <w:rFonts w:ascii="Calibri" w:eastAsia="Times New Roman" w:hAnsi="Calibri" w:cs="Times New Roman"/>
                <w:b/>
                <w:bCs/>
              </w:rPr>
            </w:pPr>
            <w:r w:rsidRPr="004D6466">
              <w:rPr>
                <w:rFonts w:ascii="Calibri" w:eastAsia="Times New Roman" w:hAnsi="Calibri" w:cs="Times New Roman"/>
                <w:b/>
                <w:bCs/>
              </w:rPr>
              <w:t xml:space="preserve">fecha de finalización </w:t>
            </w:r>
          </w:p>
        </w:tc>
      </w:tr>
      <w:tr w:rsidR="00A66191" w:rsidRPr="004D6466" w:rsidTr="004D6466">
        <w:trPr>
          <w:trHeight w:val="1635"/>
          <w:jc w:val="center"/>
        </w:trPr>
        <w:tc>
          <w:tcPr>
            <w:tcW w:w="1451" w:type="dxa"/>
            <w:tcBorders>
              <w:top w:val="nil"/>
              <w:left w:val="single" w:sz="8" w:space="0" w:color="auto"/>
              <w:bottom w:val="single" w:sz="4" w:space="0" w:color="auto"/>
              <w:right w:val="single" w:sz="4" w:space="0" w:color="auto"/>
            </w:tcBorders>
            <w:shd w:val="clear" w:color="000000" w:fill="FFFFFF"/>
            <w:vAlign w:val="center"/>
            <w:hideMark/>
          </w:tcPr>
          <w:p w:rsidR="00A66191" w:rsidRPr="004D6466" w:rsidRDefault="00B30AFE" w:rsidP="004D6466">
            <w:pPr>
              <w:spacing w:after="0" w:line="240" w:lineRule="auto"/>
              <w:rPr>
                <w:rFonts w:ascii="Calibri" w:eastAsia="Times New Roman" w:hAnsi="Calibri" w:cs="Times New Roman"/>
              </w:rPr>
            </w:pPr>
            <w:r>
              <w:rPr>
                <w:rFonts w:ascii="Calibri" w:eastAsia="Times New Roman" w:hAnsi="Calibri" w:cs="Times New Roman"/>
              </w:rPr>
              <w:t>Coca codo S</w:t>
            </w:r>
            <w:r w:rsidR="00A66191" w:rsidRPr="004D6466">
              <w:rPr>
                <w:rFonts w:ascii="Calibri" w:eastAsia="Times New Roman" w:hAnsi="Calibri" w:cs="Times New Roman"/>
              </w:rPr>
              <w:t>inclair</w:t>
            </w:r>
          </w:p>
        </w:tc>
        <w:tc>
          <w:tcPr>
            <w:tcW w:w="1501" w:type="dxa"/>
            <w:tcBorders>
              <w:top w:val="nil"/>
              <w:left w:val="nil"/>
              <w:bottom w:val="single" w:sz="4" w:space="0" w:color="auto"/>
              <w:right w:val="single" w:sz="4" w:space="0" w:color="auto"/>
            </w:tcBorders>
            <w:shd w:val="clear" w:color="auto" w:fill="auto"/>
            <w:hideMark/>
          </w:tcPr>
          <w:p w:rsidR="00A66191" w:rsidRPr="004D6466" w:rsidRDefault="00A66191" w:rsidP="004D6466">
            <w:pPr>
              <w:spacing w:after="0" w:line="240" w:lineRule="auto"/>
              <w:rPr>
                <w:rFonts w:ascii="Calibri" w:eastAsia="Times New Roman" w:hAnsi="Calibri" w:cs="Times New Roman"/>
              </w:rPr>
            </w:pPr>
            <w:r w:rsidRPr="004D6466">
              <w:rPr>
                <w:rFonts w:ascii="Calibri" w:eastAsia="Times New Roman" w:hAnsi="Calibri" w:cs="Times New Roman"/>
              </w:rPr>
              <w:t>Provincia del Napo, Cantón El Chaco, Provincia de Sucumbíos, Cantón Gonzalo Pizarro</w:t>
            </w:r>
          </w:p>
        </w:tc>
        <w:tc>
          <w:tcPr>
            <w:tcW w:w="1118" w:type="dxa"/>
            <w:tcBorders>
              <w:top w:val="nil"/>
              <w:left w:val="nil"/>
              <w:bottom w:val="single" w:sz="4" w:space="0" w:color="auto"/>
              <w:right w:val="single" w:sz="4" w:space="0" w:color="auto"/>
            </w:tcBorders>
            <w:shd w:val="clear" w:color="000000" w:fill="FFFFFF"/>
            <w:noWrap/>
            <w:vAlign w:val="center"/>
            <w:hideMark/>
          </w:tcPr>
          <w:p w:rsidR="00A66191" w:rsidRPr="004D6466" w:rsidRDefault="00A66191" w:rsidP="004D6466">
            <w:pPr>
              <w:spacing w:after="0" w:line="240" w:lineRule="auto"/>
              <w:jc w:val="center"/>
              <w:rPr>
                <w:rFonts w:ascii="Calibri" w:eastAsia="Times New Roman" w:hAnsi="Calibri" w:cs="Times New Roman"/>
              </w:rPr>
            </w:pPr>
            <w:r w:rsidRPr="004D6466">
              <w:rPr>
                <w:rFonts w:ascii="Calibri" w:eastAsia="Times New Roman" w:hAnsi="Calibri" w:cs="Times New Roman"/>
              </w:rPr>
              <w:t>1.500 MW</w:t>
            </w:r>
          </w:p>
        </w:tc>
        <w:tc>
          <w:tcPr>
            <w:tcW w:w="1404" w:type="dxa"/>
            <w:tcBorders>
              <w:top w:val="nil"/>
              <w:left w:val="nil"/>
              <w:bottom w:val="single" w:sz="4" w:space="0" w:color="auto"/>
              <w:right w:val="single" w:sz="4" w:space="0" w:color="auto"/>
            </w:tcBorders>
            <w:shd w:val="clear" w:color="000000" w:fill="FFFFFF"/>
            <w:vAlign w:val="center"/>
            <w:hideMark/>
          </w:tcPr>
          <w:p w:rsidR="00A66191" w:rsidRPr="004D6466" w:rsidRDefault="00A66191" w:rsidP="004D6466">
            <w:pPr>
              <w:spacing w:after="0" w:line="240" w:lineRule="auto"/>
              <w:jc w:val="center"/>
              <w:rPr>
                <w:rFonts w:ascii="Calibri" w:eastAsia="Times New Roman" w:hAnsi="Calibri" w:cs="Times New Roman"/>
              </w:rPr>
            </w:pPr>
            <w:r w:rsidRPr="004D6466">
              <w:rPr>
                <w:rFonts w:ascii="Calibri" w:eastAsia="Times New Roman" w:hAnsi="Calibri" w:cs="Times New Roman"/>
              </w:rPr>
              <w:t>8.731 GWh/año</w:t>
            </w:r>
          </w:p>
        </w:tc>
        <w:tc>
          <w:tcPr>
            <w:tcW w:w="1399" w:type="dxa"/>
            <w:tcBorders>
              <w:top w:val="nil"/>
              <w:left w:val="nil"/>
              <w:bottom w:val="single" w:sz="4" w:space="0" w:color="auto"/>
              <w:right w:val="single" w:sz="4" w:space="0" w:color="auto"/>
            </w:tcBorders>
            <w:shd w:val="clear" w:color="000000" w:fill="FFFFFF"/>
            <w:noWrap/>
            <w:vAlign w:val="center"/>
            <w:hideMark/>
          </w:tcPr>
          <w:p w:rsidR="00A66191" w:rsidRPr="004D6466" w:rsidRDefault="00A66191" w:rsidP="004D6466">
            <w:pPr>
              <w:spacing w:after="0" w:line="240" w:lineRule="auto"/>
              <w:jc w:val="right"/>
              <w:rPr>
                <w:rFonts w:ascii="Calibri" w:eastAsia="Times New Roman" w:hAnsi="Calibri" w:cs="Times New Roman"/>
              </w:rPr>
            </w:pPr>
            <w:r w:rsidRPr="004D6466">
              <w:rPr>
                <w:rFonts w:ascii="Calibri" w:eastAsia="Times New Roman" w:hAnsi="Calibri" w:cs="Times New Roman"/>
              </w:rPr>
              <w:t>2.245.000.000</w:t>
            </w:r>
          </w:p>
        </w:tc>
        <w:tc>
          <w:tcPr>
            <w:tcW w:w="1200" w:type="dxa"/>
            <w:tcBorders>
              <w:top w:val="nil"/>
              <w:left w:val="nil"/>
              <w:bottom w:val="single" w:sz="4" w:space="0" w:color="auto"/>
              <w:right w:val="single" w:sz="4" w:space="0" w:color="auto"/>
            </w:tcBorders>
            <w:shd w:val="clear" w:color="000000" w:fill="FFFFFF"/>
            <w:vAlign w:val="center"/>
            <w:hideMark/>
          </w:tcPr>
          <w:p w:rsidR="00A66191" w:rsidRPr="004D6466" w:rsidRDefault="00A66191" w:rsidP="004D6466">
            <w:pPr>
              <w:spacing w:after="0" w:line="240" w:lineRule="auto"/>
              <w:jc w:val="center"/>
              <w:rPr>
                <w:rFonts w:ascii="Calibri" w:eastAsia="Times New Roman" w:hAnsi="Calibri" w:cs="Times New Roman"/>
              </w:rPr>
            </w:pPr>
            <w:r w:rsidRPr="004D6466">
              <w:rPr>
                <w:rFonts w:ascii="Calibri" w:eastAsia="Times New Roman" w:hAnsi="Calibri" w:cs="Times New Roman"/>
              </w:rPr>
              <w:t>41% a febrero del 2013</w:t>
            </w:r>
          </w:p>
        </w:tc>
        <w:tc>
          <w:tcPr>
            <w:tcW w:w="1067" w:type="dxa"/>
            <w:tcBorders>
              <w:top w:val="nil"/>
              <w:left w:val="nil"/>
              <w:bottom w:val="single" w:sz="4" w:space="0" w:color="auto"/>
              <w:right w:val="single" w:sz="8" w:space="0" w:color="auto"/>
            </w:tcBorders>
            <w:shd w:val="clear" w:color="000000" w:fill="FFFFFF"/>
            <w:noWrap/>
            <w:vAlign w:val="center"/>
            <w:hideMark/>
          </w:tcPr>
          <w:p w:rsidR="00A66191" w:rsidRPr="004D6466" w:rsidRDefault="00A66191" w:rsidP="004D6466">
            <w:pPr>
              <w:spacing w:after="0" w:line="240" w:lineRule="auto"/>
              <w:jc w:val="center"/>
              <w:rPr>
                <w:rFonts w:ascii="Calibri" w:eastAsia="Times New Roman" w:hAnsi="Calibri" w:cs="Times New Roman"/>
              </w:rPr>
            </w:pPr>
            <w:r w:rsidRPr="004D6466">
              <w:rPr>
                <w:rFonts w:ascii="Calibri" w:eastAsia="Times New Roman" w:hAnsi="Calibri" w:cs="Times New Roman"/>
              </w:rPr>
              <w:t>ene-16</w:t>
            </w:r>
          </w:p>
        </w:tc>
      </w:tr>
      <w:tr w:rsidR="00A66191" w:rsidRPr="004D6466" w:rsidTr="004D6466">
        <w:trPr>
          <w:trHeight w:val="1978"/>
          <w:jc w:val="center"/>
        </w:trPr>
        <w:tc>
          <w:tcPr>
            <w:tcW w:w="1451" w:type="dxa"/>
            <w:tcBorders>
              <w:top w:val="nil"/>
              <w:left w:val="single" w:sz="8" w:space="0" w:color="auto"/>
              <w:bottom w:val="single" w:sz="4" w:space="0" w:color="auto"/>
              <w:right w:val="single" w:sz="4" w:space="0" w:color="auto"/>
            </w:tcBorders>
            <w:shd w:val="clear" w:color="000000" w:fill="FFFFFF"/>
            <w:vAlign w:val="center"/>
            <w:hideMark/>
          </w:tcPr>
          <w:p w:rsidR="00A66191" w:rsidRPr="004D6466" w:rsidRDefault="00A66191" w:rsidP="004D6466">
            <w:pPr>
              <w:spacing w:after="0" w:line="240" w:lineRule="auto"/>
              <w:rPr>
                <w:rFonts w:ascii="Calibri" w:eastAsia="Times New Roman" w:hAnsi="Calibri" w:cs="Times New Roman"/>
              </w:rPr>
            </w:pPr>
            <w:r w:rsidRPr="004D6466">
              <w:rPr>
                <w:rFonts w:ascii="Calibri" w:eastAsia="Times New Roman" w:hAnsi="Calibri" w:cs="Times New Roman"/>
              </w:rPr>
              <w:t>Minas San Francisco</w:t>
            </w:r>
          </w:p>
        </w:tc>
        <w:tc>
          <w:tcPr>
            <w:tcW w:w="1501" w:type="dxa"/>
            <w:tcBorders>
              <w:top w:val="nil"/>
              <w:left w:val="nil"/>
              <w:bottom w:val="single" w:sz="4" w:space="0" w:color="auto"/>
              <w:right w:val="single" w:sz="4" w:space="0" w:color="auto"/>
            </w:tcBorders>
            <w:shd w:val="clear" w:color="auto" w:fill="auto"/>
            <w:hideMark/>
          </w:tcPr>
          <w:p w:rsidR="00A66191" w:rsidRPr="004D6466" w:rsidRDefault="00A66191" w:rsidP="004D6466">
            <w:pPr>
              <w:spacing w:after="0" w:line="240" w:lineRule="auto"/>
              <w:rPr>
                <w:rFonts w:ascii="Calibri" w:eastAsia="Times New Roman" w:hAnsi="Calibri" w:cs="Times New Roman"/>
              </w:rPr>
            </w:pPr>
            <w:r w:rsidRPr="004D6466">
              <w:rPr>
                <w:rFonts w:ascii="Calibri" w:eastAsia="Times New Roman" w:hAnsi="Calibri" w:cs="Times New Roman"/>
              </w:rPr>
              <w:t>Provincia del Azuay, Cantón Pucará, Provincia de El Oro, Cantones Zaruma y Pasaje</w:t>
            </w:r>
          </w:p>
        </w:tc>
        <w:tc>
          <w:tcPr>
            <w:tcW w:w="1118" w:type="dxa"/>
            <w:tcBorders>
              <w:top w:val="nil"/>
              <w:left w:val="nil"/>
              <w:bottom w:val="single" w:sz="4" w:space="0" w:color="auto"/>
              <w:right w:val="single" w:sz="4" w:space="0" w:color="auto"/>
            </w:tcBorders>
            <w:shd w:val="clear" w:color="000000" w:fill="FFFFFF"/>
            <w:noWrap/>
            <w:vAlign w:val="center"/>
            <w:hideMark/>
          </w:tcPr>
          <w:p w:rsidR="00A66191" w:rsidRPr="004D6466" w:rsidRDefault="00A66191" w:rsidP="004D6466">
            <w:pPr>
              <w:spacing w:after="0" w:line="240" w:lineRule="auto"/>
              <w:jc w:val="center"/>
              <w:rPr>
                <w:rFonts w:ascii="Calibri" w:eastAsia="Times New Roman" w:hAnsi="Calibri" w:cs="Times New Roman"/>
              </w:rPr>
            </w:pPr>
            <w:r w:rsidRPr="004D6466">
              <w:rPr>
                <w:rFonts w:ascii="Calibri" w:eastAsia="Times New Roman" w:hAnsi="Calibri" w:cs="Times New Roman"/>
              </w:rPr>
              <w:t>270 MW</w:t>
            </w:r>
          </w:p>
        </w:tc>
        <w:tc>
          <w:tcPr>
            <w:tcW w:w="1404" w:type="dxa"/>
            <w:tcBorders>
              <w:top w:val="nil"/>
              <w:left w:val="nil"/>
              <w:bottom w:val="single" w:sz="4" w:space="0" w:color="auto"/>
              <w:right w:val="single" w:sz="4" w:space="0" w:color="auto"/>
            </w:tcBorders>
            <w:shd w:val="clear" w:color="000000" w:fill="FFFFFF"/>
            <w:vAlign w:val="center"/>
            <w:hideMark/>
          </w:tcPr>
          <w:p w:rsidR="00A66191" w:rsidRPr="004D6466" w:rsidRDefault="00A66191" w:rsidP="004D6466">
            <w:pPr>
              <w:spacing w:after="0" w:line="240" w:lineRule="auto"/>
              <w:jc w:val="center"/>
              <w:rPr>
                <w:rFonts w:ascii="Calibri" w:eastAsia="Times New Roman" w:hAnsi="Calibri" w:cs="Times New Roman"/>
              </w:rPr>
            </w:pPr>
            <w:r w:rsidRPr="004D6466">
              <w:rPr>
                <w:rFonts w:ascii="Calibri" w:eastAsia="Times New Roman" w:hAnsi="Calibri" w:cs="Times New Roman"/>
              </w:rPr>
              <w:t>1.290 GWh/año</w:t>
            </w:r>
          </w:p>
        </w:tc>
        <w:tc>
          <w:tcPr>
            <w:tcW w:w="1399" w:type="dxa"/>
            <w:tcBorders>
              <w:top w:val="nil"/>
              <w:left w:val="nil"/>
              <w:bottom w:val="single" w:sz="4" w:space="0" w:color="auto"/>
              <w:right w:val="single" w:sz="4" w:space="0" w:color="auto"/>
            </w:tcBorders>
            <w:shd w:val="clear" w:color="000000" w:fill="FFFFFF"/>
            <w:noWrap/>
            <w:vAlign w:val="center"/>
            <w:hideMark/>
          </w:tcPr>
          <w:p w:rsidR="00A66191" w:rsidRPr="004D6466" w:rsidRDefault="00A66191" w:rsidP="004D6466">
            <w:pPr>
              <w:spacing w:after="0" w:line="240" w:lineRule="auto"/>
              <w:jc w:val="center"/>
              <w:rPr>
                <w:rFonts w:ascii="Calibri" w:eastAsia="Times New Roman" w:hAnsi="Calibri" w:cs="Times New Roman"/>
              </w:rPr>
            </w:pPr>
            <w:r w:rsidRPr="004D6466">
              <w:rPr>
                <w:rFonts w:ascii="Calibri" w:eastAsia="Times New Roman" w:hAnsi="Calibri" w:cs="Times New Roman"/>
              </w:rPr>
              <w:t>508.000.000</w:t>
            </w:r>
          </w:p>
        </w:tc>
        <w:tc>
          <w:tcPr>
            <w:tcW w:w="1200" w:type="dxa"/>
            <w:tcBorders>
              <w:top w:val="nil"/>
              <w:left w:val="nil"/>
              <w:bottom w:val="single" w:sz="4" w:space="0" w:color="auto"/>
              <w:right w:val="single" w:sz="4" w:space="0" w:color="auto"/>
            </w:tcBorders>
            <w:shd w:val="clear" w:color="000000" w:fill="FFFFFF"/>
            <w:noWrap/>
            <w:vAlign w:val="center"/>
            <w:hideMark/>
          </w:tcPr>
          <w:p w:rsidR="00A66191" w:rsidRPr="004D6466" w:rsidRDefault="00A66191" w:rsidP="004D6466">
            <w:pPr>
              <w:spacing w:after="0" w:line="240" w:lineRule="auto"/>
              <w:jc w:val="center"/>
              <w:rPr>
                <w:rFonts w:ascii="Calibri" w:eastAsia="Times New Roman" w:hAnsi="Calibri" w:cs="Times New Roman"/>
              </w:rPr>
            </w:pPr>
            <w:r w:rsidRPr="004D6466">
              <w:rPr>
                <w:rFonts w:ascii="Calibri" w:eastAsia="Times New Roman" w:hAnsi="Calibri" w:cs="Times New Roman"/>
              </w:rPr>
              <w:t>7% sin fecha</w:t>
            </w:r>
          </w:p>
        </w:tc>
        <w:tc>
          <w:tcPr>
            <w:tcW w:w="1067" w:type="dxa"/>
            <w:tcBorders>
              <w:top w:val="nil"/>
              <w:left w:val="nil"/>
              <w:bottom w:val="single" w:sz="4" w:space="0" w:color="auto"/>
              <w:right w:val="single" w:sz="8" w:space="0" w:color="auto"/>
            </w:tcBorders>
            <w:shd w:val="clear" w:color="000000" w:fill="FFFFFF"/>
            <w:vAlign w:val="center"/>
            <w:hideMark/>
          </w:tcPr>
          <w:p w:rsidR="00A66191" w:rsidRPr="004D6466" w:rsidRDefault="00A66191" w:rsidP="004D6466">
            <w:pPr>
              <w:spacing w:after="0" w:line="240" w:lineRule="auto"/>
              <w:jc w:val="center"/>
              <w:rPr>
                <w:rFonts w:ascii="Calibri" w:eastAsia="Times New Roman" w:hAnsi="Calibri" w:cs="Times New Roman"/>
              </w:rPr>
            </w:pPr>
            <w:r w:rsidRPr="004D6466">
              <w:rPr>
                <w:rFonts w:ascii="Calibri" w:eastAsia="Times New Roman" w:hAnsi="Calibri" w:cs="Times New Roman"/>
              </w:rPr>
              <w:t xml:space="preserve">no hay fecha </w:t>
            </w:r>
          </w:p>
        </w:tc>
      </w:tr>
      <w:tr w:rsidR="00A66191" w:rsidRPr="004D6466" w:rsidTr="004D6466">
        <w:trPr>
          <w:trHeight w:val="2565"/>
          <w:jc w:val="center"/>
        </w:trPr>
        <w:tc>
          <w:tcPr>
            <w:tcW w:w="1451" w:type="dxa"/>
            <w:tcBorders>
              <w:top w:val="nil"/>
              <w:left w:val="single" w:sz="8" w:space="0" w:color="auto"/>
              <w:bottom w:val="single" w:sz="4" w:space="0" w:color="auto"/>
              <w:right w:val="single" w:sz="4" w:space="0" w:color="auto"/>
            </w:tcBorders>
            <w:shd w:val="clear" w:color="000000" w:fill="FFFFFF"/>
            <w:noWrap/>
            <w:vAlign w:val="center"/>
            <w:hideMark/>
          </w:tcPr>
          <w:p w:rsidR="00A66191" w:rsidRPr="004D6466" w:rsidRDefault="00B30AFE" w:rsidP="004D6466">
            <w:pPr>
              <w:spacing w:after="0" w:line="240" w:lineRule="auto"/>
              <w:rPr>
                <w:rFonts w:ascii="Calibri" w:eastAsia="Times New Roman" w:hAnsi="Calibri" w:cs="Times New Roman"/>
              </w:rPr>
            </w:pPr>
            <w:r>
              <w:rPr>
                <w:rFonts w:ascii="Calibri" w:eastAsia="Times New Roman" w:hAnsi="Calibri" w:cs="Times New Roman"/>
              </w:rPr>
              <w:t>Toachi P</w:t>
            </w:r>
            <w:r w:rsidR="00A66191" w:rsidRPr="004D6466">
              <w:rPr>
                <w:rFonts w:ascii="Calibri" w:eastAsia="Times New Roman" w:hAnsi="Calibri" w:cs="Times New Roman"/>
              </w:rPr>
              <w:t>ilatón</w:t>
            </w:r>
          </w:p>
        </w:tc>
        <w:tc>
          <w:tcPr>
            <w:tcW w:w="1501" w:type="dxa"/>
            <w:tcBorders>
              <w:top w:val="nil"/>
              <w:left w:val="nil"/>
              <w:bottom w:val="single" w:sz="4" w:space="0" w:color="auto"/>
              <w:right w:val="single" w:sz="4" w:space="0" w:color="auto"/>
            </w:tcBorders>
            <w:shd w:val="clear" w:color="auto" w:fill="auto"/>
            <w:hideMark/>
          </w:tcPr>
          <w:p w:rsidR="00A66191" w:rsidRPr="004D6466" w:rsidRDefault="00A66191" w:rsidP="004D6466">
            <w:pPr>
              <w:spacing w:after="0" w:line="240" w:lineRule="auto"/>
              <w:rPr>
                <w:rFonts w:ascii="Calibri" w:eastAsia="Times New Roman" w:hAnsi="Calibri" w:cs="Times New Roman"/>
              </w:rPr>
            </w:pPr>
            <w:r w:rsidRPr="004D6466">
              <w:rPr>
                <w:rFonts w:ascii="Calibri" w:eastAsia="Times New Roman" w:hAnsi="Calibri" w:cs="Times New Roman"/>
              </w:rPr>
              <w:t>Provincias de Pichincha, Sto. Domingo de los Tsáchilas y Cotopaxi, cantones Mejía, Santo Domingo de los Tsáchilas y Sigchos.</w:t>
            </w:r>
          </w:p>
        </w:tc>
        <w:tc>
          <w:tcPr>
            <w:tcW w:w="1118" w:type="dxa"/>
            <w:tcBorders>
              <w:top w:val="nil"/>
              <w:left w:val="nil"/>
              <w:bottom w:val="single" w:sz="4" w:space="0" w:color="auto"/>
              <w:right w:val="single" w:sz="4" w:space="0" w:color="auto"/>
            </w:tcBorders>
            <w:shd w:val="clear" w:color="000000" w:fill="FFFFFF"/>
            <w:noWrap/>
            <w:vAlign w:val="center"/>
            <w:hideMark/>
          </w:tcPr>
          <w:p w:rsidR="00A66191" w:rsidRPr="004D6466" w:rsidRDefault="00A66191" w:rsidP="004D6466">
            <w:pPr>
              <w:spacing w:after="0" w:line="240" w:lineRule="auto"/>
              <w:jc w:val="center"/>
              <w:rPr>
                <w:rFonts w:ascii="Calibri" w:eastAsia="Times New Roman" w:hAnsi="Calibri" w:cs="Times New Roman"/>
              </w:rPr>
            </w:pPr>
            <w:r w:rsidRPr="004D6466">
              <w:rPr>
                <w:rFonts w:ascii="Calibri" w:eastAsia="Times New Roman" w:hAnsi="Calibri" w:cs="Times New Roman"/>
              </w:rPr>
              <w:t>253 MW</w:t>
            </w:r>
          </w:p>
        </w:tc>
        <w:tc>
          <w:tcPr>
            <w:tcW w:w="1404" w:type="dxa"/>
            <w:tcBorders>
              <w:top w:val="nil"/>
              <w:left w:val="nil"/>
              <w:bottom w:val="single" w:sz="4" w:space="0" w:color="auto"/>
              <w:right w:val="single" w:sz="4" w:space="0" w:color="auto"/>
            </w:tcBorders>
            <w:shd w:val="clear" w:color="000000" w:fill="FFFFFF"/>
            <w:vAlign w:val="center"/>
            <w:hideMark/>
          </w:tcPr>
          <w:p w:rsidR="00A66191" w:rsidRPr="004D6466" w:rsidRDefault="00A66191" w:rsidP="004D6466">
            <w:pPr>
              <w:spacing w:after="0" w:line="240" w:lineRule="auto"/>
              <w:jc w:val="center"/>
              <w:rPr>
                <w:rFonts w:ascii="Calibri" w:eastAsia="Times New Roman" w:hAnsi="Calibri" w:cs="Times New Roman"/>
              </w:rPr>
            </w:pPr>
            <w:r w:rsidRPr="004D6466">
              <w:rPr>
                <w:rFonts w:ascii="Calibri" w:eastAsia="Times New Roman" w:hAnsi="Calibri" w:cs="Times New Roman"/>
              </w:rPr>
              <w:t>1.120 GWh/año</w:t>
            </w:r>
          </w:p>
        </w:tc>
        <w:tc>
          <w:tcPr>
            <w:tcW w:w="1399" w:type="dxa"/>
            <w:tcBorders>
              <w:top w:val="nil"/>
              <w:left w:val="nil"/>
              <w:bottom w:val="single" w:sz="4" w:space="0" w:color="auto"/>
              <w:right w:val="single" w:sz="4" w:space="0" w:color="auto"/>
            </w:tcBorders>
            <w:shd w:val="clear" w:color="000000" w:fill="FFFFFF"/>
            <w:noWrap/>
            <w:vAlign w:val="center"/>
            <w:hideMark/>
          </w:tcPr>
          <w:p w:rsidR="00A66191" w:rsidRPr="004D6466" w:rsidRDefault="00A66191" w:rsidP="004D6466">
            <w:pPr>
              <w:spacing w:after="0" w:line="240" w:lineRule="auto"/>
              <w:jc w:val="right"/>
              <w:rPr>
                <w:rFonts w:ascii="Calibri" w:eastAsia="Times New Roman" w:hAnsi="Calibri" w:cs="Times New Roman"/>
              </w:rPr>
            </w:pPr>
            <w:r w:rsidRPr="004D6466">
              <w:rPr>
                <w:rFonts w:ascii="Calibri" w:eastAsia="Times New Roman" w:hAnsi="Calibri" w:cs="Times New Roman"/>
              </w:rPr>
              <w:t>517.000.000</w:t>
            </w:r>
          </w:p>
        </w:tc>
        <w:tc>
          <w:tcPr>
            <w:tcW w:w="1200" w:type="dxa"/>
            <w:tcBorders>
              <w:top w:val="nil"/>
              <w:left w:val="nil"/>
              <w:bottom w:val="single" w:sz="4" w:space="0" w:color="auto"/>
              <w:right w:val="single" w:sz="4" w:space="0" w:color="auto"/>
            </w:tcBorders>
            <w:shd w:val="clear" w:color="000000" w:fill="FFFFFF"/>
            <w:vAlign w:val="center"/>
            <w:hideMark/>
          </w:tcPr>
          <w:p w:rsidR="00A66191" w:rsidRPr="004D6466" w:rsidRDefault="00A66191" w:rsidP="004D6466">
            <w:pPr>
              <w:spacing w:after="0" w:line="240" w:lineRule="auto"/>
              <w:jc w:val="center"/>
              <w:rPr>
                <w:rFonts w:ascii="Calibri" w:eastAsia="Times New Roman" w:hAnsi="Calibri" w:cs="Times New Roman"/>
              </w:rPr>
            </w:pPr>
            <w:r w:rsidRPr="004D6466">
              <w:rPr>
                <w:rFonts w:ascii="Calibri" w:eastAsia="Times New Roman" w:hAnsi="Calibri" w:cs="Times New Roman"/>
              </w:rPr>
              <w:t>23% a diciembre del 2012</w:t>
            </w:r>
          </w:p>
        </w:tc>
        <w:tc>
          <w:tcPr>
            <w:tcW w:w="1067" w:type="dxa"/>
            <w:tcBorders>
              <w:top w:val="nil"/>
              <w:left w:val="nil"/>
              <w:bottom w:val="single" w:sz="4" w:space="0" w:color="auto"/>
              <w:right w:val="single" w:sz="8" w:space="0" w:color="auto"/>
            </w:tcBorders>
            <w:shd w:val="clear" w:color="000000" w:fill="FFFFFF"/>
            <w:noWrap/>
            <w:vAlign w:val="center"/>
            <w:hideMark/>
          </w:tcPr>
          <w:p w:rsidR="00A66191" w:rsidRPr="004D6466" w:rsidRDefault="00A66191" w:rsidP="004D6466">
            <w:pPr>
              <w:spacing w:after="0" w:line="240" w:lineRule="auto"/>
              <w:jc w:val="center"/>
              <w:rPr>
                <w:rFonts w:ascii="Calibri" w:eastAsia="Times New Roman" w:hAnsi="Calibri" w:cs="Times New Roman"/>
              </w:rPr>
            </w:pPr>
            <w:r w:rsidRPr="004D6466">
              <w:rPr>
                <w:rFonts w:ascii="Calibri" w:eastAsia="Times New Roman" w:hAnsi="Calibri" w:cs="Times New Roman"/>
              </w:rPr>
              <w:t>may-16</w:t>
            </w:r>
          </w:p>
        </w:tc>
      </w:tr>
      <w:tr w:rsidR="00A66191" w:rsidRPr="004D6466" w:rsidTr="004D6466">
        <w:trPr>
          <w:trHeight w:val="1875"/>
          <w:jc w:val="center"/>
        </w:trPr>
        <w:tc>
          <w:tcPr>
            <w:tcW w:w="1451" w:type="dxa"/>
            <w:tcBorders>
              <w:top w:val="nil"/>
              <w:left w:val="single" w:sz="8" w:space="0" w:color="auto"/>
              <w:bottom w:val="single" w:sz="4" w:space="0" w:color="auto"/>
              <w:right w:val="single" w:sz="4" w:space="0" w:color="auto"/>
            </w:tcBorders>
            <w:shd w:val="clear" w:color="000000" w:fill="FFFFFF"/>
            <w:noWrap/>
            <w:vAlign w:val="center"/>
            <w:hideMark/>
          </w:tcPr>
          <w:p w:rsidR="00A66191" w:rsidRPr="004D6466" w:rsidRDefault="00A66191" w:rsidP="004D6466">
            <w:pPr>
              <w:spacing w:after="0" w:line="240" w:lineRule="auto"/>
              <w:rPr>
                <w:rFonts w:ascii="Calibri" w:eastAsia="Times New Roman" w:hAnsi="Calibri" w:cs="Times New Roman"/>
              </w:rPr>
            </w:pPr>
            <w:r w:rsidRPr="004D6466">
              <w:rPr>
                <w:rFonts w:ascii="Calibri" w:eastAsia="Times New Roman" w:hAnsi="Calibri" w:cs="Times New Roman"/>
              </w:rPr>
              <w:t>Sopladora</w:t>
            </w:r>
          </w:p>
        </w:tc>
        <w:tc>
          <w:tcPr>
            <w:tcW w:w="1501" w:type="dxa"/>
            <w:tcBorders>
              <w:top w:val="nil"/>
              <w:left w:val="nil"/>
              <w:bottom w:val="single" w:sz="4" w:space="0" w:color="auto"/>
              <w:right w:val="single" w:sz="4" w:space="0" w:color="auto"/>
            </w:tcBorders>
            <w:shd w:val="clear" w:color="auto" w:fill="auto"/>
            <w:hideMark/>
          </w:tcPr>
          <w:p w:rsidR="00A66191" w:rsidRPr="004D6466" w:rsidRDefault="00A66191" w:rsidP="004D6466">
            <w:pPr>
              <w:spacing w:after="0" w:line="240" w:lineRule="auto"/>
              <w:rPr>
                <w:rFonts w:ascii="Calibri" w:eastAsia="Times New Roman" w:hAnsi="Calibri" w:cs="Times New Roman"/>
              </w:rPr>
            </w:pPr>
            <w:r w:rsidRPr="004D6466">
              <w:rPr>
                <w:rFonts w:ascii="Calibri" w:eastAsia="Times New Roman" w:hAnsi="Calibri" w:cs="Times New Roman"/>
              </w:rPr>
              <w:t>Provincia del Azuay, Cantón Sevilla de Oro, Provincia de Morona Santiago, Cantón Santiago de Méndez.</w:t>
            </w:r>
          </w:p>
        </w:tc>
        <w:tc>
          <w:tcPr>
            <w:tcW w:w="1118" w:type="dxa"/>
            <w:tcBorders>
              <w:top w:val="nil"/>
              <w:left w:val="nil"/>
              <w:bottom w:val="single" w:sz="4" w:space="0" w:color="auto"/>
              <w:right w:val="single" w:sz="4" w:space="0" w:color="auto"/>
            </w:tcBorders>
            <w:shd w:val="clear" w:color="000000" w:fill="FFFFFF"/>
            <w:noWrap/>
            <w:vAlign w:val="center"/>
            <w:hideMark/>
          </w:tcPr>
          <w:p w:rsidR="00A66191" w:rsidRPr="004D6466" w:rsidRDefault="00A66191" w:rsidP="004D6466">
            <w:pPr>
              <w:spacing w:after="0" w:line="240" w:lineRule="auto"/>
              <w:jc w:val="center"/>
              <w:rPr>
                <w:rFonts w:ascii="Calibri" w:eastAsia="Times New Roman" w:hAnsi="Calibri" w:cs="Times New Roman"/>
              </w:rPr>
            </w:pPr>
            <w:r w:rsidRPr="004D6466">
              <w:rPr>
                <w:rFonts w:ascii="Calibri" w:eastAsia="Times New Roman" w:hAnsi="Calibri" w:cs="Times New Roman"/>
              </w:rPr>
              <w:t>487 MW</w:t>
            </w:r>
          </w:p>
        </w:tc>
        <w:tc>
          <w:tcPr>
            <w:tcW w:w="1404" w:type="dxa"/>
            <w:tcBorders>
              <w:top w:val="nil"/>
              <w:left w:val="nil"/>
              <w:bottom w:val="single" w:sz="4" w:space="0" w:color="auto"/>
              <w:right w:val="single" w:sz="4" w:space="0" w:color="auto"/>
            </w:tcBorders>
            <w:shd w:val="clear" w:color="000000" w:fill="FFFFFF"/>
            <w:vAlign w:val="center"/>
            <w:hideMark/>
          </w:tcPr>
          <w:p w:rsidR="00A66191" w:rsidRPr="004D6466" w:rsidRDefault="00A66191" w:rsidP="004D6466">
            <w:pPr>
              <w:spacing w:after="0" w:line="240" w:lineRule="auto"/>
              <w:jc w:val="center"/>
              <w:rPr>
                <w:rFonts w:ascii="Calibri" w:eastAsia="Times New Roman" w:hAnsi="Calibri" w:cs="Times New Roman"/>
              </w:rPr>
            </w:pPr>
            <w:r w:rsidRPr="004D6466">
              <w:rPr>
                <w:rFonts w:ascii="Calibri" w:eastAsia="Times New Roman" w:hAnsi="Calibri" w:cs="Times New Roman"/>
              </w:rPr>
              <w:t>2.800GWh/año</w:t>
            </w:r>
          </w:p>
        </w:tc>
        <w:tc>
          <w:tcPr>
            <w:tcW w:w="1399" w:type="dxa"/>
            <w:tcBorders>
              <w:top w:val="nil"/>
              <w:left w:val="nil"/>
              <w:bottom w:val="single" w:sz="4" w:space="0" w:color="auto"/>
              <w:right w:val="single" w:sz="4" w:space="0" w:color="auto"/>
            </w:tcBorders>
            <w:shd w:val="clear" w:color="000000" w:fill="FFFFFF"/>
            <w:noWrap/>
            <w:vAlign w:val="center"/>
            <w:hideMark/>
          </w:tcPr>
          <w:p w:rsidR="00A66191" w:rsidRPr="004D6466" w:rsidRDefault="00A66191" w:rsidP="004D6466">
            <w:pPr>
              <w:spacing w:after="0" w:line="240" w:lineRule="auto"/>
              <w:jc w:val="right"/>
              <w:rPr>
                <w:rFonts w:ascii="Calibri" w:eastAsia="Times New Roman" w:hAnsi="Calibri" w:cs="Times New Roman"/>
              </w:rPr>
            </w:pPr>
            <w:r w:rsidRPr="004D6466">
              <w:rPr>
                <w:rFonts w:ascii="Calibri" w:eastAsia="Times New Roman" w:hAnsi="Calibri" w:cs="Times New Roman"/>
              </w:rPr>
              <w:t>735.000.000</w:t>
            </w:r>
          </w:p>
        </w:tc>
        <w:tc>
          <w:tcPr>
            <w:tcW w:w="1200" w:type="dxa"/>
            <w:tcBorders>
              <w:top w:val="nil"/>
              <w:left w:val="nil"/>
              <w:bottom w:val="single" w:sz="4" w:space="0" w:color="auto"/>
              <w:right w:val="single" w:sz="4" w:space="0" w:color="auto"/>
            </w:tcBorders>
            <w:shd w:val="clear" w:color="000000" w:fill="FFFFFF"/>
            <w:vAlign w:val="center"/>
            <w:hideMark/>
          </w:tcPr>
          <w:p w:rsidR="00A66191" w:rsidRPr="004D6466" w:rsidRDefault="00A66191" w:rsidP="004D6466">
            <w:pPr>
              <w:spacing w:after="0" w:line="240" w:lineRule="auto"/>
              <w:jc w:val="center"/>
              <w:rPr>
                <w:rFonts w:ascii="Calibri" w:eastAsia="Times New Roman" w:hAnsi="Calibri" w:cs="Times New Roman"/>
              </w:rPr>
            </w:pPr>
            <w:r w:rsidRPr="004D6466">
              <w:rPr>
                <w:rFonts w:ascii="Calibri" w:eastAsia="Times New Roman" w:hAnsi="Calibri" w:cs="Times New Roman"/>
              </w:rPr>
              <w:t>22% diciembre del 2012</w:t>
            </w:r>
          </w:p>
        </w:tc>
        <w:tc>
          <w:tcPr>
            <w:tcW w:w="1067" w:type="dxa"/>
            <w:tcBorders>
              <w:top w:val="nil"/>
              <w:left w:val="nil"/>
              <w:bottom w:val="single" w:sz="4" w:space="0" w:color="auto"/>
              <w:right w:val="single" w:sz="8" w:space="0" w:color="auto"/>
            </w:tcBorders>
            <w:shd w:val="clear" w:color="000000" w:fill="FFFFFF"/>
            <w:vAlign w:val="bottom"/>
            <w:hideMark/>
          </w:tcPr>
          <w:p w:rsidR="00A66191" w:rsidRPr="004D6466" w:rsidRDefault="00A66191" w:rsidP="004D6466">
            <w:pPr>
              <w:spacing w:after="0" w:line="240" w:lineRule="auto"/>
              <w:rPr>
                <w:rFonts w:ascii="Calibri" w:eastAsia="Times New Roman" w:hAnsi="Calibri" w:cs="Times New Roman"/>
              </w:rPr>
            </w:pPr>
            <w:r w:rsidRPr="004D6466">
              <w:rPr>
                <w:rFonts w:ascii="Calibri" w:eastAsia="Times New Roman" w:hAnsi="Calibri" w:cs="Times New Roman"/>
              </w:rPr>
              <w:t>no hay fecha</w:t>
            </w:r>
          </w:p>
        </w:tc>
      </w:tr>
      <w:tr w:rsidR="00A66191" w:rsidRPr="004D6466" w:rsidTr="004D6466">
        <w:trPr>
          <w:trHeight w:val="2790"/>
          <w:jc w:val="center"/>
        </w:trPr>
        <w:tc>
          <w:tcPr>
            <w:tcW w:w="1451" w:type="dxa"/>
            <w:tcBorders>
              <w:top w:val="nil"/>
              <w:left w:val="single" w:sz="8" w:space="0" w:color="auto"/>
              <w:bottom w:val="single" w:sz="4" w:space="0" w:color="auto"/>
              <w:right w:val="single" w:sz="4" w:space="0" w:color="auto"/>
            </w:tcBorders>
            <w:shd w:val="clear" w:color="000000" w:fill="FFFFFF"/>
            <w:noWrap/>
            <w:vAlign w:val="center"/>
            <w:hideMark/>
          </w:tcPr>
          <w:p w:rsidR="00A66191" w:rsidRPr="004D6466" w:rsidRDefault="00A66191" w:rsidP="004D6466">
            <w:pPr>
              <w:spacing w:after="0" w:line="240" w:lineRule="auto"/>
              <w:rPr>
                <w:rFonts w:ascii="Calibri" w:eastAsia="Times New Roman" w:hAnsi="Calibri" w:cs="Times New Roman"/>
              </w:rPr>
            </w:pPr>
            <w:r w:rsidRPr="004D6466">
              <w:rPr>
                <w:rFonts w:ascii="Calibri" w:eastAsia="Times New Roman" w:hAnsi="Calibri" w:cs="Times New Roman"/>
              </w:rPr>
              <w:t>Mazar Dudas</w:t>
            </w:r>
          </w:p>
        </w:tc>
        <w:tc>
          <w:tcPr>
            <w:tcW w:w="1501" w:type="dxa"/>
            <w:tcBorders>
              <w:top w:val="nil"/>
              <w:left w:val="nil"/>
              <w:bottom w:val="single" w:sz="4" w:space="0" w:color="auto"/>
              <w:right w:val="single" w:sz="4" w:space="0" w:color="auto"/>
            </w:tcBorders>
            <w:shd w:val="clear" w:color="auto" w:fill="auto"/>
            <w:hideMark/>
          </w:tcPr>
          <w:p w:rsidR="00A66191" w:rsidRPr="004D6466" w:rsidRDefault="00A66191" w:rsidP="004D6466">
            <w:pPr>
              <w:spacing w:after="0" w:line="240" w:lineRule="auto"/>
              <w:rPr>
                <w:rFonts w:ascii="Calibri" w:eastAsia="Times New Roman" w:hAnsi="Calibri" w:cs="Times New Roman"/>
              </w:rPr>
            </w:pPr>
            <w:r w:rsidRPr="004D6466">
              <w:rPr>
                <w:rFonts w:ascii="Calibri" w:eastAsia="Times New Roman" w:hAnsi="Calibri" w:cs="Times New Roman"/>
              </w:rPr>
              <w:t>Provincia del Cañar, cantón Azogues, con implantaciones en las parroquias Rivera, Pindilig, Taday y Luis Cordero</w:t>
            </w:r>
          </w:p>
        </w:tc>
        <w:tc>
          <w:tcPr>
            <w:tcW w:w="1118" w:type="dxa"/>
            <w:tcBorders>
              <w:top w:val="nil"/>
              <w:left w:val="nil"/>
              <w:bottom w:val="single" w:sz="4" w:space="0" w:color="auto"/>
              <w:right w:val="single" w:sz="4" w:space="0" w:color="auto"/>
            </w:tcBorders>
            <w:shd w:val="clear" w:color="000000" w:fill="FFFFFF"/>
            <w:noWrap/>
            <w:vAlign w:val="center"/>
            <w:hideMark/>
          </w:tcPr>
          <w:p w:rsidR="00A66191" w:rsidRPr="004D6466" w:rsidRDefault="00A66191" w:rsidP="004D6466">
            <w:pPr>
              <w:spacing w:after="0" w:line="240" w:lineRule="auto"/>
              <w:jc w:val="center"/>
              <w:rPr>
                <w:rFonts w:ascii="Calibri" w:eastAsia="Times New Roman" w:hAnsi="Calibri" w:cs="Times New Roman"/>
              </w:rPr>
            </w:pPr>
            <w:r w:rsidRPr="004D6466">
              <w:rPr>
                <w:rFonts w:ascii="Calibri" w:eastAsia="Times New Roman" w:hAnsi="Calibri" w:cs="Times New Roman"/>
              </w:rPr>
              <w:t>20,8 MW</w:t>
            </w:r>
          </w:p>
        </w:tc>
        <w:tc>
          <w:tcPr>
            <w:tcW w:w="1404" w:type="dxa"/>
            <w:tcBorders>
              <w:top w:val="nil"/>
              <w:left w:val="nil"/>
              <w:bottom w:val="single" w:sz="4" w:space="0" w:color="auto"/>
              <w:right w:val="single" w:sz="4" w:space="0" w:color="auto"/>
            </w:tcBorders>
            <w:shd w:val="clear" w:color="000000" w:fill="FFFFFF"/>
            <w:vAlign w:val="center"/>
            <w:hideMark/>
          </w:tcPr>
          <w:p w:rsidR="00A66191" w:rsidRPr="004D6466" w:rsidRDefault="00A66191" w:rsidP="004D6466">
            <w:pPr>
              <w:spacing w:after="0" w:line="240" w:lineRule="auto"/>
              <w:jc w:val="center"/>
              <w:rPr>
                <w:rFonts w:ascii="Calibri" w:eastAsia="Times New Roman" w:hAnsi="Calibri" w:cs="Times New Roman"/>
              </w:rPr>
            </w:pPr>
            <w:r w:rsidRPr="004D6466">
              <w:rPr>
                <w:rFonts w:ascii="Calibri" w:eastAsia="Times New Roman" w:hAnsi="Calibri" w:cs="Times New Roman"/>
              </w:rPr>
              <w:t>125,27 GWh/año</w:t>
            </w:r>
          </w:p>
        </w:tc>
        <w:tc>
          <w:tcPr>
            <w:tcW w:w="1399" w:type="dxa"/>
            <w:tcBorders>
              <w:top w:val="nil"/>
              <w:left w:val="nil"/>
              <w:bottom w:val="single" w:sz="4" w:space="0" w:color="auto"/>
              <w:right w:val="single" w:sz="4" w:space="0" w:color="auto"/>
            </w:tcBorders>
            <w:shd w:val="clear" w:color="000000" w:fill="FFFFFF"/>
            <w:noWrap/>
            <w:vAlign w:val="center"/>
            <w:hideMark/>
          </w:tcPr>
          <w:p w:rsidR="00A66191" w:rsidRPr="004D6466" w:rsidRDefault="00A66191" w:rsidP="004D6466">
            <w:pPr>
              <w:spacing w:after="0" w:line="240" w:lineRule="auto"/>
              <w:jc w:val="right"/>
              <w:rPr>
                <w:rFonts w:ascii="Calibri" w:eastAsia="Times New Roman" w:hAnsi="Calibri" w:cs="Times New Roman"/>
              </w:rPr>
            </w:pPr>
            <w:r w:rsidRPr="004D6466">
              <w:rPr>
                <w:rFonts w:ascii="Calibri" w:eastAsia="Times New Roman" w:hAnsi="Calibri" w:cs="Times New Roman"/>
              </w:rPr>
              <w:t>51.000.000</w:t>
            </w:r>
          </w:p>
        </w:tc>
        <w:tc>
          <w:tcPr>
            <w:tcW w:w="1200" w:type="dxa"/>
            <w:tcBorders>
              <w:top w:val="nil"/>
              <w:left w:val="nil"/>
              <w:bottom w:val="single" w:sz="4" w:space="0" w:color="auto"/>
              <w:right w:val="single" w:sz="4" w:space="0" w:color="auto"/>
            </w:tcBorders>
            <w:shd w:val="clear" w:color="000000" w:fill="FFFFFF"/>
            <w:vAlign w:val="center"/>
            <w:hideMark/>
          </w:tcPr>
          <w:p w:rsidR="00A66191" w:rsidRPr="004D6466" w:rsidRDefault="00A66191" w:rsidP="004D6466">
            <w:pPr>
              <w:spacing w:after="0" w:line="240" w:lineRule="auto"/>
              <w:jc w:val="center"/>
              <w:rPr>
                <w:rFonts w:ascii="Calibri" w:eastAsia="Times New Roman" w:hAnsi="Calibri" w:cs="Times New Roman"/>
              </w:rPr>
            </w:pPr>
            <w:r w:rsidRPr="004D6466">
              <w:rPr>
                <w:rFonts w:ascii="Calibri" w:eastAsia="Times New Roman" w:hAnsi="Calibri" w:cs="Times New Roman"/>
              </w:rPr>
              <w:t>no hay dato</w:t>
            </w:r>
          </w:p>
        </w:tc>
        <w:tc>
          <w:tcPr>
            <w:tcW w:w="1067" w:type="dxa"/>
            <w:tcBorders>
              <w:top w:val="nil"/>
              <w:left w:val="nil"/>
              <w:bottom w:val="single" w:sz="4" w:space="0" w:color="auto"/>
              <w:right w:val="single" w:sz="8" w:space="0" w:color="auto"/>
            </w:tcBorders>
            <w:shd w:val="clear" w:color="000000" w:fill="FFFFFF"/>
            <w:vAlign w:val="center"/>
            <w:hideMark/>
          </w:tcPr>
          <w:p w:rsidR="00A66191" w:rsidRPr="004D6466" w:rsidRDefault="00A66191" w:rsidP="004D6466">
            <w:pPr>
              <w:spacing w:after="0" w:line="240" w:lineRule="auto"/>
              <w:jc w:val="center"/>
              <w:rPr>
                <w:rFonts w:ascii="Calibri" w:eastAsia="Times New Roman" w:hAnsi="Calibri" w:cs="Times New Roman"/>
              </w:rPr>
            </w:pPr>
            <w:r w:rsidRPr="004D6466">
              <w:rPr>
                <w:rFonts w:ascii="Calibri" w:eastAsia="Times New Roman" w:hAnsi="Calibri" w:cs="Times New Roman"/>
              </w:rPr>
              <w:t>no hay fecha</w:t>
            </w:r>
          </w:p>
        </w:tc>
      </w:tr>
      <w:tr w:rsidR="00A66191" w:rsidRPr="004D6466" w:rsidTr="004D6466">
        <w:trPr>
          <w:trHeight w:val="1200"/>
          <w:jc w:val="center"/>
        </w:trPr>
        <w:tc>
          <w:tcPr>
            <w:tcW w:w="1451" w:type="dxa"/>
            <w:tcBorders>
              <w:top w:val="nil"/>
              <w:left w:val="single" w:sz="8" w:space="0" w:color="auto"/>
              <w:bottom w:val="single" w:sz="4" w:space="0" w:color="auto"/>
              <w:right w:val="single" w:sz="4" w:space="0" w:color="auto"/>
            </w:tcBorders>
            <w:shd w:val="clear" w:color="000000" w:fill="FFFFFF"/>
            <w:noWrap/>
            <w:vAlign w:val="center"/>
            <w:hideMark/>
          </w:tcPr>
          <w:p w:rsidR="00A66191" w:rsidRPr="004D6466" w:rsidRDefault="00A66191" w:rsidP="004D6466">
            <w:pPr>
              <w:spacing w:after="0" w:line="240" w:lineRule="auto"/>
              <w:rPr>
                <w:rFonts w:ascii="Calibri" w:eastAsia="Times New Roman" w:hAnsi="Calibri" w:cs="Times New Roman"/>
              </w:rPr>
            </w:pPr>
            <w:r w:rsidRPr="004D6466">
              <w:rPr>
                <w:rFonts w:ascii="Calibri" w:eastAsia="Times New Roman" w:hAnsi="Calibri" w:cs="Times New Roman"/>
              </w:rPr>
              <w:lastRenderedPageBreak/>
              <w:t>Delsitanisagua</w:t>
            </w:r>
          </w:p>
        </w:tc>
        <w:tc>
          <w:tcPr>
            <w:tcW w:w="1501" w:type="dxa"/>
            <w:tcBorders>
              <w:top w:val="nil"/>
              <w:left w:val="nil"/>
              <w:bottom w:val="single" w:sz="4" w:space="0" w:color="auto"/>
              <w:right w:val="single" w:sz="4" w:space="0" w:color="auto"/>
            </w:tcBorders>
            <w:shd w:val="clear" w:color="auto" w:fill="auto"/>
            <w:hideMark/>
          </w:tcPr>
          <w:p w:rsidR="00A66191" w:rsidRPr="004D6466" w:rsidRDefault="00830DFF" w:rsidP="004D6466">
            <w:pPr>
              <w:spacing w:after="0" w:line="240" w:lineRule="auto"/>
              <w:rPr>
                <w:rFonts w:ascii="Calibri" w:eastAsia="Times New Roman" w:hAnsi="Calibri" w:cs="Times New Roman"/>
                <w:lang w:val="pt-BR"/>
              </w:rPr>
            </w:pPr>
            <w:r w:rsidRPr="004D6466">
              <w:rPr>
                <w:rFonts w:ascii="Calibri" w:eastAsia="Times New Roman" w:hAnsi="Calibri" w:cs="Times New Roman"/>
                <w:lang w:val="pt-BR"/>
              </w:rPr>
              <w:t>Província</w:t>
            </w:r>
            <w:r w:rsidR="00A66191" w:rsidRPr="004D6466">
              <w:rPr>
                <w:rFonts w:ascii="Calibri" w:eastAsia="Times New Roman" w:hAnsi="Calibri" w:cs="Times New Roman"/>
                <w:lang w:val="pt-BR"/>
              </w:rPr>
              <w:t xml:space="preserve"> Zamora Chinchipe, cantón Zamora</w:t>
            </w:r>
          </w:p>
        </w:tc>
        <w:tc>
          <w:tcPr>
            <w:tcW w:w="1118" w:type="dxa"/>
            <w:tcBorders>
              <w:top w:val="nil"/>
              <w:left w:val="nil"/>
              <w:bottom w:val="single" w:sz="4" w:space="0" w:color="auto"/>
              <w:right w:val="single" w:sz="4" w:space="0" w:color="auto"/>
            </w:tcBorders>
            <w:shd w:val="clear" w:color="000000" w:fill="FFFFFF"/>
            <w:noWrap/>
            <w:vAlign w:val="center"/>
            <w:hideMark/>
          </w:tcPr>
          <w:p w:rsidR="00A66191" w:rsidRPr="004D6466" w:rsidRDefault="00A66191" w:rsidP="004D6466">
            <w:pPr>
              <w:spacing w:after="0" w:line="240" w:lineRule="auto"/>
              <w:jc w:val="center"/>
              <w:rPr>
                <w:rFonts w:ascii="Calibri" w:eastAsia="Times New Roman" w:hAnsi="Calibri" w:cs="Times New Roman"/>
              </w:rPr>
            </w:pPr>
            <w:r w:rsidRPr="004D6466">
              <w:rPr>
                <w:rFonts w:ascii="Calibri" w:eastAsia="Times New Roman" w:hAnsi="Calibri" w:cs="Times New Roman"/>
              </w:rPr>
              <w:t>115 MW</w:t>
            </w:r>
          </w:p>
        </w:tc>
        <w:tc>
          <w:tcPr>
            <w:tcW w:w="1404" w:type="dxa"/>
            <w:tcBorders>
              <w:top w:val="nil"/>
              <w:left w:val="nil"/>
              <w:bottom w:val="single" w:sz="4" w:space="0" w:color="auto"/>
              <w:right w:val="single" w:sz="4" w:space="0" w:color="auto"/>
            </w:tcBorders>
            <w:shd w:val="clear" w:color="000000" w:fill="FFFFFF"/>
            <w:vAlign w:val="center"/>
            <w:hideMark/>
          </w:tcPr>
          <w:p w:rsidR="00A66191" w:rsidRPr="004D6466" w:rsidRDefault="00A66191" w:rsidP="004D6466">
            <w:pPr>
              <w:spacing w:after="0" w:line="240" w:lineRule="auto"/>
              <w:jc w:val="center"/>
              <w:rPr>
                <w:rFonts w:ascii="Calibri" w:eastAsia="Times New Roman" w:hAnsi="Calibri" w:cs="Times New Roman"/>
              </w:rPr>
            </w:pPr>
            <w:r w:rsidRPr="004D6466">
              <w:rPr>
                <w:rFonts w:ascii="Calibri" w:eastAsia="Times New Roman" w:hAnsi="Calibri" w:cs="Times New Roman"/>
              </w:rPr>
              <w:t>904 GWh/año</w:t>
            </w:r>
          </w:p>
        </w:tc>
        <w:tc>
          <w:tcPr>
            <w:tcW w:w="1399" w:type="dxa"/>
            <w:tcBorders>
              <w:top w:val="nil"/>
              <w:left w:val="nil"/>
              <w:bottom w:val="single" w:sz="4" w:space="0" w:color="auto"/>
              <w:right w:val="single" w:sz="4" w:space="0" w:color="auto"/>
            </w:tcBorders>
            <w:shd w:val="clear" w:color="000000" w:fill="FFFFFF"/>
            <w:noWrap/>
            <w:vAlign w:val="center"/>
            <w:hideMark/>
          </w:tcPr>
          <w:p w:rsidR="00A66191" w:rsidRPr="004D6466" w:rsidRDefault="00A66191" w:rsidP="004D6466">
            <w:pPr>
              <w:spacing w:after="0" w:line="240" w:lineRule="auto"/>
              <w:jc w:val="right"/>
              <w:rPr>
                <w:rFonts w:ascii="Calibri" w:eastAsia="Times New Roman" w:hAnsi="Calibri" w:cs="Times New Roman"/>
              </w:rPr>
            </w:pPr>
            <w:r w:rsidRPr="004D6466">
              <w:rPr>
                <w:rFonts w:ascii="Calibri" w:eastAsia="Times New Roman" w:hAnsi="Calibri" w:cs="Times New Roman"/>
              </w:rPr>
              <w:t>215.000.000</w:t>
            </w:r>
          </w:p>
        </w:tc>
        <w:tc>
          <w:tcPr>
            <w:tcW w:w="1200" w:type="dxa"/>
            <w:tcBorders>
              <w:top w:val="nil"/>
              <w:left w:val="nil"/>
              <w:bottom w:val="single" w:sz="4" w:space="0" w:color="auto"/>
              <w:right w:val="single" w:sz="4" w:space="0" w:color="auto"/>
            </w:tcBorders>
            <w:shd w:val="clear" w:color="000000" w:fill="FFFFFF"/>
            <w:vAlign w:val="center"/>
            <w:hideMark/>
          </w:tcPr>
          <w:p w:rsidR="00A66191" w:rsidRPr="004D6466" w:rsidRDefault="00A66191" w:rsidP="004D6466">
            <w:pPr>
              <w:spacing w:after="0" w:line="240" w:lineRule="auto"/>
              <w:jc w:val="center"/>
              <w:rPr>
                <w:rFonts w:ascii="Calibri" w:eastAsia="Times New Roman" w:hAnsi="Calibri" w:cs="Times New Roman"/>
              </w:rPr>
            </w:pPr>
            <w:r w:rsidRPr="004D6466">
              <w:rPr>
                <w:rFonts w:ascii="Calibri" w:eastAsia="Times New Roman" w:hAnsi="Calibri" w:cs="Times New Roman"/>
              </w:rPr>
              <w:t>6,14% a febrero del 2012</w:t>
            </w:r>
          </w:p>
        </w:tc>
        <w:tc>
          <w:tcPr>
            <w:tcW w:w="1067" w:type="dxa"/>
            <w:tcBorders>
              <w:top w:val="nil"/>
              <w:left w:val="nil"/>
              <w:bottom w:val="single" w:sz="4" w:space="0" w:color="auto"/>
              <w:right w:val="single" w:sz="8" w:space="0" w:color="auto"/>
            </w:tcBorders>
            <w:shd w:val="clear" w:color="000000" w:fill="FFFFFF"/>
            <w:vAlign w:val="center"/>
            <w:hideMark/>
          </w:tcPr>
          <w:p w:rsidR="00A66191" w:rsidRPr="004D6466" w:rsidRDefault="00A66191" w:rsidP="004D6466">
            <w:pPr>
              <w:spacing w:after="0" w:line="240" w:lineRule="auto"/>
              <w:jc w:val="center"/>
              <w:rPr>
                <w:rFonts w:ascii="Calibri" w:eastAsia="Times New Roman" w:hAnsi="Calibri" w:cs="Times New Roman"/>
              </w:rPr>
            </w:pPr>
            <w:r w:rsidRPr="004D6466">
              <w:rPr>
                <w:rFonts w:ascii="Calibri" w:eastAsia="Times New Roman" w:hAnsi="Calibri" w:cs="Times New Roman"/>
              </w:rPr>
              <w:t>no hay fecha</w:t>
            </w:r>
          </w:p>
        </w:tc>
      </w:tr>
      <w:tr w:rsidR="00A66191" w:rsidRPr="004D6466" w:rsidTr="004D6466">
        <w:trPr>
          <w:trHeight w:val="2805"/>
          <w:jc w:val="center"/>
        </w:trPr>
        <w:tc>
          <w:tcPr>
            <w:tcW w:w="1451" w:type="dxa"/>
            <w:tcBorders>
              <w:top w:val="nil"/>
              <w:left w:val="single" w:sz="8" w:space="0" w:color="auto"/>
              <w:bottom w:val="single" w:sz="4" w:space="0" w:color="auto"/>
              <w:right w:val="single" w:sz="4" w:space="0" w:color="auto"/>
            </w:tcBorders>
            <w:shd w:val="clear" w:color="000000" w:fill="FFFFFF"/>
            <w:noWrap/>
            <w:vAlign w:val="center"/>
            <w:hideMark/>
          </w:tcPr>
          <w:p w:rsidR="00A66191" w:rsidRPr="004D6466" w:rsidRDefault="00A66191" w:rsidP="004D6466">
            <w:pPr>
              <w:spacing w:after="0" w:line="240" w:lineRule="auto"/>
              <w:rPr>
                <w:rFonts w:ascii="Calibri" w:eastAsia="Times New Roman" w:hAnsi="Calibri" w:cs="Times New Roman"/>
              </w:rPr>
            </w:pPr>
            <w:r w:rsidRPr="004D6466">
              <w:rPr>
                <w:rFonts w:ascii="Calibri" w:eastAsia="Times New Roman" w:hAnsi="Calibri" w:cs="Times New Roman"/>
              </w:rPr>
              <w:t>Manduriacu</w:t>
            </w:r>
          </w:p>
        </w:tc>
        <w:tc>
          <w:tcPr>
            <w:tcW w:w="1501" w:type="dxa"/>
            <w:tcBorders>
              <w:top w:val="nil"/>
              <w:left w:val="nil"/>
              <w:bottom w:val="single" w:sz="4" w:space="0" w:color="auto"/>
              <w:right w:val="single" w:sz="4" w:space="0" w:color="auto"/>
            </w:tcBorders>
            <w:shd w:val="clear" w:color="auto" w:fill="auto"/>
            <w:hideMark/>
          </w:tcPr>
          <w:p w:rsidR="00A66191" w:rsidRPr="004D6466" w:rsidRDefault="00A66191" w:rsidP="004D6466">
            <w:pPr>
              <w:spacing w:after="0" w:line="240" w:lineRule="auto"/>
              <w:rPr>
                <w:rFonts w:ascii="Calibri" w:eastAsia="Times New Roman" w:hAnsi="Calibri" w:cs="Times New Roman"/>
              </w:rPr>
            </w:pPr>
            <w:r w:rsidRPr="004D6466">
              <w:rPr>
                <w:rFonts w:ascii="Calibri" w:eastAsia="Times New Roman" w:hAnsi="Calibri" w:cs="Times New Roman"/>
              </w:rPr>
              <w:t>Parroquia Pacto del cantón Quito de la provincia de Pichincha y parroquia García Moreno del cantón Cotacachi de la provincia de Imbabura.</w:t>
            </w:r>
          </w:p>
        </w:tc>
        <w:tc>
          <w:tcPr>
            <w:tcW w:w="1118" w:type="dxa"/>
            <w:tcBorders>
              <w:top w:val="nil"/>
              <w:left w:val="nil"/>
              <w:bottom w:val="single" w:sz="4" w:space="0" w:color="auto"/>
              <w:right w:val="single" w:sz="4" w:space="0" w:color="auto"/>
            </w:tcBorders>
            <w:shd w:val="clear" w:color="000000" w:fill="FFFFFF"/>
            <w:noWrap/>
            <w:vAlign w:val="center"/>
            <w:hideMark/>
          </w:tcPr>
          <w:p w:rsidR="00A66191" w:rsidRPr="004D6466" w:rsidRDefault="00A66191" w:rsidP="004D6466">
            <w:pPr>
              <w:spacing w:after="0" w:line="240" w:lineRule="auto"/>
              <w:jc w:val="center"/>
              <w:rPr>
                <w:rFonts w:ascii="Calibri" w:eastAsia="Times New Roman" w:hAnsi="Calibri" w:cs="Times New Roman"/>
              </w:rPr>
            </w:pPr>
            <w:r w:rsidRPr="004D6466">
              <w:rPr>
                <w:rFonts w:ascii="Calibri" w:eastAsia="Times New Roman" w:hAnsi="Calibri" w:cs="Times New Roman"/>
              </w:rPr>
              <w:t>60 MW</w:t>
            </w:r>
          </w:p>
        </w:tc>
        <w:tc>
          <w:tcPr>
            <w:tcW w:w="1404" w:type="dxa"/>
            <w:tcBorders>
              <w:top w:val="nil"/>
              <w:left w:val="nil"/>
              <w:bottom w:val="single" w:sz="4" w:space="0" w:color="auto"/>
              <w:right w:val="single" w:sz="4" w:space="0" w:color="auto"/>
            </w:tcBorders>
            <w:shd w:val="clear" w:color="000000" w:fill="FFFFFF"/>
            <w:vAlign w:val="center"/>
            <w:hideMark/>
          </w:tcPr>
          <w:p w:rsidR="00A66191" w:rsidRPr="004D6466" w:rsidRDefault="00A66191" w:rsidP="004D6466">
            <w:pPr>
              <w:spacing w:after="0" w:line="240" w:lineRule="auto"/>
              <w:jc w:val="center"/>
              <w:rPr>
                <w:rFonts w:ascii="Calibri" w:eastAsia="Times New Roman" w:hAnsi="Calibri" w:cs="Times New Roman"/>
              </w:rPr>
            </w:pPr>
            <w:r w:rsidRPr="004D6466">
              <w:rPr>
                <w:rFonts w:ascii="Calibri" w:eastAsia="Times New Roman" w:hAnsi="Calibri" w:cs="Times New Roman"/>
              </w:rPr>
              <w:t>341 GWh/año</w:t>
            </w:r>
          </w:p>
        </w:tc>
        <w:tc>
          <w:tcPr>
            <w:tcW w:w="1399" w:type="dxa"/>
            <w:tcBorders>
              <w:top w:val="nil"/>
              <w:left w:val="nil"/>
              <w:bottom w:val="single" w:sz="4" w:space="0" w:color="auto"/>
              <w:right w:val="single" w:sz="4" w:space="0" w:color="auto"/>
            </w:tcBorders>
            <w:shd w:val="clear" w:color="000000" w:fill="FFFFFF"/>
            <w:noWrap/>
            <w:vAlign w:val="center"/>
            <w:hideMark/>
          </w:tcPr>
          <w:p w:rsidR="00A66191" w:rsidRPr="004D6466" w:rsidRDefault="00A66191" w:rsidP="004D6466">
            <w:pPr>
              <w:spacing w:after="0" w:line="240" w:lineRule="auto"/>
              <w:jc w:val="right"/>
              <w:rPr>
                <w:rFonts w:ascii="Calibri" w:eastAsia="Times New Roman" w:hAnsi="Calibri" w:cs="Times New Roman"/>
              </w:rPr>
            </w:pPr>
            <w:r w:rsidRPr="004D6466">
              <w:rPr>
                <w:rFonts w:ascii="Calibri" w:eastAsia="Times New Roman" w:hAnsi="Calibri" w:cs="Times New Roman"/>
              </w:rPr>
              <w:t>133.000.000</w:t>
            </w:r>
          </w:p>
        </w:tc>
        <w:tc>
          <w:tcPr>
            <w:tcW w:w="1200" w:type="dxa"/>
            <w:tcBorders>
              <w:top w:val="nil"/>
              <w:left w:val="nil"/>
              <w:bottom w:val="single" w:sz="4" w:space="0" w:color="auto"/>
              <w:right w:val="single" w:sz="4" w:space="0" w:color="auto"/>
            </w:tcBorders>
            <w:shd w:val="clear" w:color="000000" w:fill="FFFFFF"/>
            <w:vAlign w:val="center"/>
            <w:hideMark/>
          </w:tcPr>
          <w:p w:rsidR="00A66191" w:rsidRPr="004D6466" w:rsidRDefault="00A66191" w:rsidP="004D6466">
            <w:pPr>
              <w:spacing w:after="0" w:line="240" w:lineRule="auto"/>
              <w:jc w:val="center"/>
              <w:rPr>
                <w:rFonts w:ascii="Calibri" w:eastAsia="Times New Roman" w:hAnsi="Calibri" w:cs="Times New Roman"/>
              </w:rPr>
            </w:pPr>
            <w:r w:rsidRPr="004D6466">
              <w:rPr>
                <w:rFonts w:ascii="Calibri" w:eastAsia="Times New Roman" w:hAnsi="Calibri" w:cs="Times New Roman"/>
              </w:rPr>
              <w:t>17,03% a noviembre del 2012</w:t>
            </w:r>
          </w:p>
        </w:tc>
        <w:tc>
          <w:tcPr>
            <w:tcW w:w="1067" w:type="dxa"/>
            <w:tcBorders>
              <w:top w:val="nil"/>
              <w:left w:val="nil"/>
              <w:bottom w:val="single" w:sz="4" w:space="0" w:color="auto"/>
              <w:right w:val="single" w:sz="8" w:space="0" w:color="auto"/>
            </w:tcBorders>
            <w:shd w:val="clear" w:color="000000" w:fill="FFFFFF"/>
            <w:vAlign w:val="center"/>
            <w:hideMark/>
          </w:tcPr>
          <w:p w:rsidR="00A66191" w:rsidRPr="004D6466" w:rsidRDefault="00A66191" w:rsidP="004D6466">
            <w:pPr>
              <w:spacing w:after="0" w:line="240" w:lineRule="auto"/>
              <w:jc w:val="center"/>
              <w:rPr>
                <w:rFonts w:ascii="Calibri" w:eastAsia="Times New Roman" w:hAnsi="Calibri" w:cs="Times New Roman"/>
              </w:rPr>
            </w:pPr>
            <w:r w:rsidRPr="004D6466">
              <w:rPr>
                <w:rFonts w:ascii="Calibri" w:eastAsia="Times New Roman" w:hAnsi="Calibri" w:cs="Times New Roman"/>
              </w:rPr>
              <w:t>no hay fecha</w:t>
            </w:r>
          </w:p>
        </w:tc>
      </w:tr>
      <w:tr w:rsidR="00A66191" w:rsidRPr="004D6466" w:rsidTr="004D6466">
        <w:trPr>
          <w:trHeight w:val="975"/>
          <w:jc w:val="center"/>
        </w:trPr>
        <w:tc>
          <w:tcPr>
            <w:tcW w:w="1451" w:type="dxa"/>
            <w:tcBorders>
              <w:top w:val="nil"/>
              <w:left w:val="single" w:sz="8" w:space="0" w:color="auto"/>
              <w:bottom w:val="single" w:sz="4" w:space="0" w:color="auto"/>
              <w:right w:val="single" w:sz="4" w:space="0" w:color="auto"/>
            </w:tcBorders>
            <w:shd w:val="clear" w:color="000000" w:fill="FFFFFF"/>
            <w:noWrap/>
            <w:vAlign w:val="center"/>
            <w:hideMark/>
          </w:tcPr>
          <w:p w:rsidR="00A66191" w:rsidRPr="004D6466" w:rsidRDefault="00A66191" w:rsidP="004D6466">
            <w:pPr>
              <w:spacing w:after="0" w:line="240" w:lineRule="auto"/>
              <w:rPr>
                <w:rFonts w:ascii="Calibri" w:eastAsia="Times New Roman" w:hAnsi="Calibri" w:cs="Times New Roman"/>
              </w:rPr>
            </w:pPr>
            <w:r w:rsidRPr="004D6466">
              <w:rPr>
                <w:rFonts w:ascii="Calibri" w:eastAsia="Times New Roman" w:hAnsi="Calibri" w:cs="Times New Roman"/>
              </w:rPr>
              <w:t>Quijos</w:t>
            </w:r>
          </w:p>
        </w:tc>
        <w:tc>
          <w:tcPr>
            <w:tcW w:w="1501" w:type="dxa"/>
            <w:tcBorders>
              <w:top w:val="nil"/>
              <w:left w:val="nil"/>
              <w:bottom w:val="single" w:sz="4" w:space="0" w:color="auto"/>
              <w:right w:val="single" w:sz="4" w:space="0" w:color="auto"/>
            </w:tcBorders>
            <w:shd w:val="clear" w:color="auto" w:fill="auto"/>
            <w:hideMark/>
          </w:tcPr>
          <w:p w:rsidR="00A66191" w:rsidRPr="004D6466" w:rsidRDefault="00A66191" w:rsidP="004D6466">
            <w:pPr>
              <w:spacing w:after="0" w:line="240" w:lineRule="auto"/>
              <w:rPr>
                <w:rFonts w:ascii="Calibri" w:eastAsia="Times New Roman" w:hAnsi="Calibri" w:cs="Times New Roman"/>
              </w:rPr>
            </w:pPr>
            <w:r w:rsidRPr="004D6466">
              <w:rPr>
                <w:rFonts w:ascii="Calibri" w:eastAsia="Times New Roman" w:hAnsi="Calibri" w:cs="Times New Roman"/>
              </w:rPr>
              <w:t>Provincia del Napo, cantón Quijos parroquia Cuyuja</w:t>
            </w:r>
          </w:p>
        </w:tc>
        <w:tc>
          <w:tcPr>
            <w:tcW w:w="1118" w:type="dxa"/>
            <w:tcBorders>
              <w:top w:val="nil"/>
              <w:left w:val="nil"/>
              <w:bottom w:val="single" w:sz="4" w:space="0" w:color="auto"/>
              <w:right w:val="single" w:sz="4" w:space="0" w:color="auto"/>
            </w:tcBorders>
            <w:shd w:val="clear" w:color="000000" w:fill="FFFFFF"/>
            <w:noWrap/>
            <w:vAlign w:val="center"/>
            <w:hideMark/>
          </w:tcPr>
          <w:p w:rsidR="00A66191" w:rsidRPr="004D6466" w:rsidRDefault="00A66191" w:rsidP="004D6466">
            <w:pPr>
              <w:spacing w:after="0" w:line="240" w:lineRule="auto"/>
              <w:jc w:val="center"/>
              <w:rPr>
                <w:rFonts w:ascii="Calibri" w:eastAsia="Times New Roman" w:hAnsi="Calibri" w:cs="Times New Roman"/>
              </w:rPr>
            </w:pPr>
            <w:r w:rsidRPr="004D6466">
              <w:rPr>
                <w:rFonts w:ascii="Calibri" w:eastAsia="Times New Roman" w:hAnsi="Calibri" w:cs="Times New Roman"/>
              </w:rPr>
              <w:t>50 MW</w:t>
            </w:r>
          </w:p>
        </w:tc>
        <w:tc>
          <w:tcPr>
            <w:tcW w:w="1404" w:type="dxa"/>
            <w:tcBorders>
              <w:top w:val="nil"/>
              <w:left w:val="nil"/>
              <w:bottom w:val="single" w:sz="4" w:space="0" w:color="auto"/>
              <w:right w:val="single" w:sz="4" w:space="0" w:color="auto"/>
            </w:tcBorders>
            <w:shd w:val="clear" w:color="000000" w:fill="FFFFFF"/>
            <w:vAlign w:val="center"/>
            <w:hideMark/>
          </w:tcPr>
          <w:p w:rsidR="00A66191" w:rsidRPr="004D6466" w:rsidRDefault="00A66191" w:rsidP="004D6466">
            <w:pPr>
              <w:spacing w:after="0" w:line="240" w:lineRule="auto"/>
              <w:jc w:val="center"/>
              <w:rPr>
                <w:rFonts w:ascii="Calibri" w:eastAsia="Times New Roman" w:hAnsi="Calibri" w:cs="Times New Roman"/>
              </w:rPr>
            </w:pPr>
            <w:r w:rsidRPr="004D6466">
              <w:rPr>
                <w:rFonts w:ascii="Calibri" w:eastAsia="Times New Roman" w:hAnsi="Calibri" w:cs="Times New Roman"/>
              </w:rPr>
              <w:t>355 GWh/año</w:t>
            </w:r>
          </w:p>
        </w:tc>
        <w:tc>
          <w:tcPr>
            <w:tcW w:w="1399" w:type="dxa"/>
            <w:tcBorders>
              <w:top w:val="nil"/>
              <w:left w:val="nil"/>
              <w:bottom w:val="single" w:sz="4" w:space="0" w:color="auto"/>
              <w:right w:val="single" w:sz="4" w:space="0" w:color="auto"/>
            </w:tcBorders>
            <w:shd w:val="clear" w:color="000000" w:fill="FFFFFF"/>
            <w:noWrap/>
            <w:vAlign w:val="center"/>
            <w:hideMark/>
          </w:tcPr>
          <w:p w:rsidR="00A66191" w:rsidRPr="004D6466" w:rsidRDefault="00A66191" w:rsidP="004D6466">
            <w:pPr>
              <w:spacing w:after="0" w:line="240" w:lineRule="auto"/>
              <w:jc w:val="right"/>
              <w:rPr>
                <w:rFonts w:ascii="Calibri" w:eastAsia="Times New Roman" w:hAnsi="Calibri" w:cs="Times New Roman"/>
              </w:rPr>
            </w:pPr>
            <w:r w:rsidRPr="004D6466">
              <w:rPr>
                <w:rFonts w:ascii="Calibri" w:eastAsia="Times New Roman" w:hAnsi="Calibri" w:cs="Times New Roman"/>
              </w:rPr>
              <w:t>118.000.000</w:t>
            </w:r>
          </w:p>
        </w:tc>
        <w:tc>
          <w:tcPr>
            <w:tcW w:w="1200" w:type="dxa"/>
            <w:tcBorders>
              <w:top w:val="nil"/>
              <w:left w:val="nil"/>
              <w:bottom w:val="single" w:sz="4" w:space="0" w:color="auto"/>
              <w:right w:val="single" w:sz="4" w:space="0" w:color="auto"/>
            </w:tcBorders>
            <w:shd w:val="clear" w:color="000000" w:fill="FFFFFF"/>
            <w:vAlign w:val="center"/>
            <w:hideMark/>
          </w:tcPr>
          <w:p w:rsidR="00A66191" w:rsidRPr="004D6466" w:rsidRDefault="00A66191" w:rsidP="004D6466">
            <w:pPr>
              <w:spacing w:after="0" w:line="240" w:lineRule="auto"/>
              <w:jc w:val="center"/>
              <w:rPr>
                <w:rFonts w:ascii="Calibri" w:eastAsia="Times New Roman" w:hAnsi="Calibri" w:cs="Times New Roman"/>
              </w:rPr>
            </w:pPr>
            <w:r w:rsidRPr="004D6466">
              <w:rPr>
                <w:rFonts w:ascii="Calibri" w:eastAsia="Times New Roman" w:hAnsi="Calibri" w:cs="Times New Roman"/>
              </w:rPr>
              <w:t>12,53 a diciembre del 2012</w:t>
            </w:r>
          </w:p>
        </w:tc>
        <w:tc>
          <w:tcPr>
            <w:tcW w:w="1067" w:type="dxa"/>
            <w:tcBorders>
              <w:top w:val="nil"/>
              <w:left w:val="nil"/>
              <w:bottom w:val="single" w:sz="4" w:space="0" w:color="auto"/>
              <w:right w:val="single" w:sz="8" w:space="0" w:color="auto"/>
            </w:tcBorders>
            <w:shd w:val="clear" w:color="000000" w:fill="FFFFFF"/>
            <w:vAlign w:val="center"/>
            <w:hideMark/>
          </w:tcPr>
          <w:p w:rsidR="00A66191" w:rsidRPr="004D6466" w:rsidRDefault="00A66191" w:rsidP="004D6466">
            <w:pPr>
              <w:spacing w:after="0" w:line="240" w:lineRule="auto"/>
              <w:jc w:val="center"/>
              <w:rPr>
                <w:rFonts w:ascii="Calibri" w:eastAsia="Times New Roman" w:hAnsi="Calibri" w:cs="Times New Roman"/>
              </w:rPr>
            </w:pPr>
            <w:r w:rsidRPr="004D6466">
              <w:rPr>
                <w:rFonts w:ascii="Calibri" w:eastAsia="Times New Roman" w:hAnsi="Calibri" w:cs="Times New Roman"/>
              </w:rPr>
              <w:t>no hay fecha</w:t>
            </w:r>
          </w:p>
        </w:tc>
      </w:tr>
      <w:tr w:rsidR="00A66191" w:rsidRPr="004D6466" w:rsidTr="004D6466">
        <w:trPr>
          <w:trHeight w:val="300"/>
          <w:jc w:val="center"/>
        </w:trPr>
        <w:tc>
          <w:tcPr>
            <w:tcW w:w="2952" w:type="dxa"/>
            <w:gridSpan w:val="2"/>
            <w:tcBorders>
              <w:top w:val="single" w:sz="4" w:space="0" w:color="auto"/>
              <w:left w:val="single" w:sz="8" w:space="0" w:color="auto"/>
              <w:bottom w:val="single" w:sz="4" w:space="0" w:color="auto"/>
              <w:right w:val="single" w:sz="4" w:space="0" w:color="auto"/>
            </w:tcBorders>
            <w:shd w:val="clear" w:color="000000" w:fill="FFFFFF"/>
            <w:noWrap/>
            <w:vAlign w:val="center"/>
            <w:hideMark/>
          </w:tcPr>
          <w:p w:rsidR="00A66191" w:rsidRPr="004D6466" w:rsidRDefault="00A66191" w:rsidP="004D6466">
            <w:pPr>
              <w:spacing w:after="0" w:line="240" w:lineRule="auto"/>
              <w:jc w:val="center"/>
              <w:rPr>
                <w:rFonts w:ascii="Calibri" w:eastAsia="Times New Roman" w:hAnsi="Calibri" w:cs="Times New Roman"/>
                <w:b/>
                <w:bCs/>
              </w:rPr>
            </w:pPr>
            <w:r w:rsidRPr="004D6466">
              <w:rPr>
                <w:rFonts w:ascii="Calibri" w:eastAsia="Times New Roman" w:hAnsi="Calibri" w:cs="Times New Roman"/>
                <w:b/>
                <w:bCs/>
              </w:rPr>
              <w:t>total hidroeléctricos</w:t>
            </w:r>
          </w:p>
        </w:tc>
        <w:tc>
          <w:tcPr>
            <w:tcW w:w="1118" w:type="dxa"/>
            <w:tcBorders>
              <w:top w:val="nil"/>
              <w:left w:val="nil"/>
              <w:bottom w:val="single" w:sz="4" w:space="0" w:color="auto"/>
              <w:right w:val="single" w:sz="4" w:space="0" w:color="auto"/>
            </w:tcBorders>
            <w:shd w:val="clear" w:color="000000" w:fill="FFFFFF"/>
            <w:noWrap/>
            <w:vAlign w:val="center"/>
            <w:hideMark/>
          </w:tcPr>
          <w:p w:rsidR="00A66191" w:rsidRPr="004D6466" w:rsidRDefault="00A66191" w:rsidP="004D6466">
            <w:pPr>
              <w:spacing w:after="0" w:line="240" w:lineRule="auto"/>
              <w:rPr>
                <w:rFonts w:ascii="Calibri" w:eastAsia="Times New Roman" w:hAnsi="Calibri" w:cs="Times New Roman"/>
              </w:rPr>
            </w:pPr>
            <w:r w:rsidRPr="004D6466">
              <w:rPr>
                <w:rFonts w:ascii="Calibri" w:eastAsia="Times New Roman" w:hAnsi="Calibri" w:cs="Times New Roman"/>
              </w:rPr>
              <w:t> </w:t>
            </w:r>
          </w:p>
        </w:tc>
        <w:tc>
          <w:tcPr>
            <w:tcW w:w="1404" w:type="dxa"/>
            <w:tcBorders>
              <w:top w:val="nil"/>
              <w:left w:val="nil"/>
              <w:bottom w:val="single" w:sz="4" w:space="0" w:color="auto"/>
              <w:right w:val="single" w:sz="4" w:space="0" w:color="auto"/>
            </w:tcBorders>
            <w:shd w:val="clear" w:color="000000" w:fill="FFFFFF"/>
            <w:noWrap/>
            <w:vAlign w:val="center"/>
            <w:hideMark/>
          </w:tcPr>
          <w:p w:rsidR="00A66191" w:rsidRPr="004D6466" w:rsidRDefault="00A66191" w:rsidP="004D6466">
            <w:pPr>
              <w:spacing w:after="0" w:line="240" w:lineRule="auto"/>
              <w:jc w:val="center"/>
              <w:rPr>
                <w:rFonts w:ascii="Calibri" w:eastAsia="Times New Roman" w:hAnsi="Calibri" w:cs="Times New Roman"/>
              </w:rPr>
            </w:pPr>
            <w:r w:rsidRPr="004D6466">
              <w:rPr>
                <w:rFonts w:ascii="Calibri" w:eastAsia="Times New Roman" w:hAnsi="Calibri" w:cs="Times New Roman"/>
              </w:rPr>
              <w:t> </w:t>
            </w:r>
          </w:p>
        </w:tc>
        <w:tc>
          <w:tcPr>
            <w:tcW w:w="1399" w:type="dxa"/>
            <w:tcBorders>
              <w:top w:val="nil"/>
              <w:left w:val="nil"/>
              <w:bottom w:val="single" w:sz="4" w:space="0" w:color="auto"/>
              <w:right w:val="single" w:sz="4" w:space="0" w:color="auto"/>
            </w:tcBorders>
            <w:shd w:val="clear" w:color="000000" w:fill="FFFFFF"/>
            <w:noWrap/>
            <w:vAlign w:val="center"/>
            <w:hideMark/>
          </w:tcPr>
          <w:p w:rsidR="00A66191" w:rsidRPr="004D6466" w:rsidRDefault="00A66191" w:rsidP="004D6466">
            <w:pPr>
              <w:spacing w:after="0" w:line="240" w:lineRule="auto"/>
              <w:jc w:val="right"/>
              <w:rPr>
                <w:rFonts w:ascii="Calibri" w:eastAsia="Times New Roman" w:hAnsi="Calibri" w:cs="Times New Roman"/>
                <w:b/>
                <w:bCs/>
              </w:rPr>
            </w:pPr>
            <w:r w:rsidRPr="004D6466">
              <w:rPr>
                <w:rFonts w:ascii="Calibri" w:eastAsia="Times New Roman" w:hAnsi="Calibri" w:cs="Times New Roman"/>
                <w:b/>
                <w:bCs/>
              </w:rPr>
              <w:t>4.522.000.000</w:t>
            </w:r>
          </w:p>
        </w:tc>
        <w:tc>
          <w:tcPr>
            <w:tcW w:w="1200" w:type="dxa"/>
            <w:tcBorders>
              <w:top w:val="nil"/>
              <w:left w:val="nil"/>
              <w:bottom w:val="single" w:sz="4" w:space="0" w:color="auto"/>
              <w:right w:val="single" w:sz="4" w:space="0" w:color="auto"/>
            </w:tcBorders>
            <w:shd w:val="clear" w:color="000000" w:fill="FFFFFF"/>
            <w:vAlign w:val="center"/>
            <w:hideMark/>
          </w:tcPr>
          <w:p w:rsidR="00A66191" w:rsidRPr="004D6466" w:rsidRDefault="00A66191" w:rsidP="004D6466">
            <w:pPr>
              <w:spacing w:after="0" w:line="240" w:lineRule="auto"/>
              <w:jc w:val="center"/>
              <w:rPr>
                <w:rFonts w:ascii="Calibri" w:eastAsia="Times New Roman" w:hAnsi="Calibri" w:cs="Times New Roman"/>
              </w:rPr>
            </w:pPr>
            <w:r w:rsidRPr="004D6466">
              <w:rPr>
                <w:rFonts w:ascii="Calibri" w:eastAsia="Times New Roman" w:hAnsi="Calibri" w:cs="Times New Roman"/>
              </w:rPr>
              <w:t> </w:t>
            </w:r>
          </w:p>
        </w:tc>
        <w:tc>
          <w:tcPr>
            <w:tcW w:w="1067" w:type="dxa"/>
            <w:tcBorders>
              <w:top w:val="nil"/>
              <w:left w:val="nil"/>
              <w:bottom w:val="single" w:sz="4" w:space="0" w:color="auto"/>
              <w:right w:val="single" w:sz="8" w:space="0" w:color="auto"/>
            </w:tcBorders>
            <w:shd w:val="clear" w:color="000000" w:fill="FFFFFF"/>
            <w:noWrap/>
            <w:vAlign w:val="center"/>
            <w:hideMark/>
          </w:tcPr>
          <w:p w:rsidR="00A66191" w:rsidRPr="004D6466" w:rsidRDefault="00A66191" w:rsidP="004D6466">
            <w:pPr>
              <w:spacing w:after="0" w:line="240" w:lineRule="auto"/>
              <w:jc w:val="center"/>
              <w:rPr>
                <w:rFonts w:ascii="Calibri" w:eastAsia="Times New Roman" w:hAnsi="Calibri" w:cs="Times New Roman"/>
              </w:rPr>
            </w:pPr>
            <w:r w:rsidRPr="004D6466">
              <w:rPr>
                <w:rFonts w:ascii="Calibri" w:eastAsia="Times New Roman" w:hAnsi="Calibri" w:cs="Times New Roman"/>
              </w:rPr>
              <w:t> </w:t>
            </w:r>
          </w:p>
        </w:tc>
      </w:tr>
      <w:tr w:rsidR="00A66191" w:rsidRPr="004D6466" w:rsidTr="004D6466">
        <w:trPr>
          <w:trHeight w:val="900"/>
          <w:jc w:val="center"/>
        </w:trPr>
        <w:tc>
          <w:tcPr>
            <w:tcW w:w="1451" w:type="dxa"/>
            <w:tcBorders>
              <w:top w:val="nil"/>
              <w:left w:val="single" w:sz="8" w:space="0" w:color="auto"/>
              <w:bottom w:val="single" w:sz="4" w:space="0" w:color="auto"/>
              <w:right w:val="single" w:sz="4" w:space="0" w:color="auto"/>
            </w:tcBorders>
            <w:shd w:val="clear" w:color="000000" w:fill="FFFFFF"/>
            <w:hideMark/>
          </w:tcPr>
          <w:p w:rsidR="00A66191" w:rsidRPr="004D6466" w:rsidRDefault="00A66191" w:rsidP="004D6466">
            <w:pPr>
              <w:spacing w:after="0" w:line="240" w:lineRule="auto"/>
              <w:rPr>
                <w:rFonts w:ascii="Calibri" w:eastAsia="Times New Roman" w:hAnsi="Calibri" w:cs="Times New Roman"/>
              </w:rPr>
            </w:pPr>
            <w:r w:rsidRPr="004D6466">
              <w:rPr>
                <w:rFonts w:ascii="Calibri" w:eastAsia="Times New Roman" w:hAnsi="Calibri" w:cs="Times New Roman"/>
              </w:rPr>
              <w:t>Proyecto eólico Villonaco</w:t>
            </w:r>
          </w:p>
        </w:tc>
        <w:tc>
          <w:tcPr>
            <w:tcW w:w="1501" w:type="dxa"/>
            <w:tcBorders>
              <w:top w:val="nil"/>
              <w:left w:val="nil"/>
              <w:bottom w:val="single" w:sz="4" w:space="0" w:color="auto"/>
              <w:right w:val="single" w:sz="4" w:space="0" w:color="auto"/>
            </w:tcBorders>
            <w:shd w:val="clear" w:color="auto" w:fill="auto"/>
            <w:hideMark/>
          </w:tcPr>
          <w:p w:rsidR="00A66191" w:rsidRPr="004D6466" w:rsidRDefault="00A66191" w:rsidP="004D6466">
            <w:pPr>
              <w:spacing w:after="0" w:line="240" w:lineRule="auto"/>
              <w:rPr>
                <w:rFonts w:ascii="Calibri" w:eastAsia="Times New Roman" w:hAnsi="Calibri" w:cs="Times New Roman"/>
              </w:rPr>
            </w:pPr>
            <w:r w:rsidRPr="004D6466">
              <w:rPr>
                <w:rFonts w:ascii="Calibri" w:eastAsia="Times New Roman" w:hAnsi="Calibri" w:cs="Times New Roman"/>
              </w:rPr>
              <w:t>Provincia de Loja, Cantón Loja</w:t>
            </w:r>
          </w:p>
        </w:tc>
        <w:tc>
          <w:tcPr>
            <w:tcW w:w="1118" w:type="dxa"/>
            <w:tcBorders>
              <w:top w:val="nil"/>
              <w:left w:val="nil"/>
              <w:bottom w:val="single" w:sz="4" w:space="0" w:color="auto"/>
              <w:right w:val="single" w:sz="4" w:space="0" w:color="auto"/>
            </w:tcBorders>
            <w:shd w:val="clear" w:color="000000" w:fill="FFFFFF"/>
            <w:noWrap/>
            <w:vAlign w:val="center"/>
            <w:hideMark/>
          </w:tcPr>
          <w:p w:rsidR="00A66191" w:rsidRPr="004D6466" w:rsidRDefault="00A66191" w:rsidP="004D6466">
            <w:pPr>
              <w:spacing w:after="0" w:line="240" w:lineRule="auto"/>
              <w:jc w:val="center"/>
              <w:rPr>
                <w:rFonts w:ascii="Calibri" w:eastAsia="Times New Roman" w:hAnsi="Calibri" w:cs="Times New Roman"/>
              </w:rPr>
            </w:pPr>
            <w:r w:rsidRPr="004D6466">
              <w:rPr>
                <w:rFonts w:ascii="Calibri" w:eastAsia="Times New Roman" w:hAnsi="Calibri" w:cs="Times New Roman"/>
              </w:rPr>
              <w:t>16,5 MW</w:t>
            </w:r>
          </w:p>
        </w:tc>
        <w:tc>
          <w:tcPr>
            <w:tcW w:w="1404" w:type="dxa"/>
            <w:tcBorders>
              <w:top w:val="nil"/>
              <w:left w:val="nil"/>
              <w:bottom w:val="single" w:sz="4" w:space="0" w:color="auto"/>
              <w:right w:val="single" w:sz="4" w:space="0" w:color="auto"/>
            </w:tcBorders>
            <w:shd w:val="clear" w:color="000000" w:fill="FFFFFF"/>
            <w:noWrap/>
            <w:vAlign w:val="center"/>
            <w:hideMark/>
          </w:tcPr>
          <w:p w:rsidR="00A66191" w:rsidRPr="004D6466" w:rsidRDefault="00A66191" w:rsidP="004D6466">
            <w:pPr>
              <w:spacing w:after="0" w:line="240" w:lineRule="auto"/>
              <w:jc w:val="center"/>
              <w:rPr>
                <w:rFonts w:ascii="Calibri" w:eastAsia="Times New Roman" w:hAnsi="Calibri" w:cs="Times New Roman"/>
              </w:rPr>
            </w:pPr>
            <w:r w:rsidRPr="004D6466">
              <w:rPr>
                <w:rFonts w:ascii="Calibri" w:eastAsia="Times New Roman" w:hAnsi="Calibri" w:cs="Times New Roman"/>
              </w:rPr>
              <w:t>59 GWh/año</w:t>
            </w:r>
          </w:p>
        </w:tc>
        <w:tc>
          <w:tcPr>
            <w:tcW w:w="1399" w:type="dxa"/>
            <w:tcBorders>
              <w:top w:val="nil"/>
              <w:left w:val="nil"/>
              <w:bottom w:val="single" w:sz="4" w:space="0" w:color="auto"/>
              <w:right w:val="single" w:sz="4" w:space="0" w:color="auto"/>
            </w:tcBorders>
            <w:shd w:val="clear" w:color="000000" w:fill="FFFFFF"/>
            <w:noWrap/>
            <w:vAlign w:val="center"/>
            <w:hideMark/>
          </w:tcPr>
          <w:p w:rsidR="00A66191" w:rsidRPr="004D6466" w:rsidRDefault="00A66191" w:rsidP="004D6466">
            <w:pPr>
              <w:spacing w:after="0" w:line="240" w:lineRule="auto"/>
              <w:jc w:val="right"/>
              <w:rPr>
                <w:rFonts w:ascii="Calibri" w:eastAsia="Times New Roman" w:hAnsi="Calibri" w:cs="Times New Roman"/>
              </w:rPr>
            </w:pPr>
            <w:r w:rsidRPr="004D6466">
              <w:rPr>
                <w:rFonts w:ascii="Calibri" w:eastAsia="Times New Roman" w:hAnsi="Calibri" w:cs="Times New Roman"/>
              </w:rPr>
              <w:t>41.000.000</w:t>
            </w:r>
          </w:p>
        </w:tc>
        <w:tc>
          <w:tcPr>
            <w:tcW w:w="1200" w:type="dxa"/>
            <w:tcBorders>
              <w:top w:val="nil"/>
              <w:left w:val="nil"/>
              <w:bottom w:val="single" w:sz="4" w:space="0" w:color="auto"/>
              <w:right w:val="single" w:sz="4" w:space="0" w:color="auto"/>
            </w:tcBorders>
            <w:shd w:val="clear" w:color="000000" w:fill="FFFFFF"/>
            <w:vAlign w:val="center"/>
            <w:hideMark/>
          </w:tcPr>
          <w:p w:rsidR="00A66191" w:rsidRPr="004D6466" w:rsidRDefault="00A66191" w:rsidP="004D6466">
            <w:pPr>
              <w:spacing w:after="0" w:line="240" w:lineRule="auto"/>
              <w:jc w:val="center"/>
              <w:rPr>
                <w:rFonts w:ascii="Calibri" w:eastAsia="Times New Roman" w:hAnsi="Calibri" w:cs="Times New Roman"/>
              </w:rPr>
            </w:pPr>
            <w:r w:rsidRPr="004D6466">
              <w:rPr>
                <w:rFonts w:ascii="Calibri" w:eastAsia="Times New Roman" w:hAnsi="Calibri" w:cs="Times New Roman"/>
              </w:rPr>
              <w:t>no hay dato</w:t>
            </w:r>
          </w:p>
        </w:tc>
        <w:tc>
          <w:tcPr>
            <w:tcW w:w="1067" w:type="dxa"/>
            <w:tcBorders>
              <w:top w:val="nil"/>
              <w:left w:val="nil"/>
              <w:bottom w:val="single" w:sz="4" w:space="0" w:color="auto"/>
              <w:right w:val="single" w:sz="8" w:space="0" w:color="auto"/>
            </w:tcBorders>
            <w:shd w:val="clear" w:color="000000" w:fill="FFFFFF"/>
            <w:vAlign w:val="center"/>
            <w:hideMark/>
          </w:tcPr>
          <w:p w:rsidR="00A66191" w:rsidRPr="004D6466" w:rsidRDefault="00A66191" w:rsidP="004D6466">
            <w:pPr>
              <w:spacing w:after="0" w:line="240" w:lineRule="auto"/>
              <w:jc w:val="center"/>
              <w:rPr>
                <w:rFonts w:ascii="Calibri" w:eastAsia="Times New Roman" w:hAnsi="Calibri" w:cs="Times New Roman"/>
              </w:rPr>
            </w:pPr>
            <w:r w:rsidRPr="004D6466">
              <w:rPr>
                <w:rFonts w:ascii="Calibri" w:eastAsia="Times New Roman" w:hAnsi="Calibri" w:cs="Times New Roman"/>
              </w:rPr>
              <w:t>no hay fecha</w:t>
            </w:r>
          </w:p>
        </w:tc>
      </w:tr>
      <w:tr w:rsidR="00A66191" w:rsidRPr="004D6466" w:rsidTr="004D6466">
        <w:trPr>
          <w:trHeight w:val="315"/>
          <w:jc w:val="center"/>
        </w:trPr>
        <w:tc>
          <w:tcPr>
            <w:tcW w:w="2952" w:type="dxa"/>
            <w:gridSpan w:val="2"/>
            <w:tcBorders>
              <w:top w:val="single" w:sz="4" w:space="0" w:color="auto"/>
              <w:left w:val="single" w:sz="8" w:space="0" w:color="auto"/>
              <w:bottom w:val="single" w:sz="8" w:space="0" w:color="auto"/>
              <w:right w:val="single" w:sz="4" w:space="0" w:color="auto"/>
            </w:tcBorders>
            <w:shd w:val="clear" w:color="000000" w:fill="FFFFFF"/>
            <w:noWrap/>
            <w:vAlign w:val="center"/>
            <w:hideMark/>
          </w:tcPr>
          <w:p w:rsidR="00A66191" w:rsidRPr="004D6466" w:rsidRDefault="00A66191" w:rsidP="004D6466">
            <w:pPr>
              <w:spacing w:after="0" w:line="240" w:lineRule="auto"/>
              <w:jc w:val="center"/>
              <w:rPr>
                <w:rFonts w:ascii="Calibri" w:eastAsia="Times New Roman" w:hAnsi="Calibri" w:cs="Times New Roman"/>
                <w:b/>
                <w:bCs/>
              </w:rPr>
            </w:pPr>
            <w:r w:rsidRPr="004D6466">
              <w:rPr>
                <w:rFonts w:ascii="Calibri" w:eastAsia="Times New Roman" w:hAnsi="Calibri" w:cs="Times New Roman"/>
                <w:b/>
                <w:bCs/>
              </w:rPr>
              <w:t>total hidroeléctricos + eólico</w:t>
            </w:r>
          </w:p>
        </w:tc>
        <w:tc>
          <w:tcPr>
            <w:tcW w:w="1118" w:type="dxa"/>
            <w:tcBorders>
              <w:top w:val="nil"/>
              <w:left w:val="nil"/>
              <w:bottom w:val="single" w:sz="8" w:space="0" w:color="auto"/>
              <w:right w:val="nil"/>
            </w:tcBorders>
            <w:shd w:val="clear" w:color="000000" w:fill="FFFFFF"/>
            <w:noWrap/>
            <w:vAlign w:val="bottom"/>
            <w:hideMark/>
          </w:tcPr>
          <w:p w:rsidR="00A66191" w:rsidRPr="004D6466" w:rsidRDefault="00A66191" w:rsidP="004D6466">
            <w:pPr>
              <w:spacing w:after="0" w:line="240" w:lineRule="auto"/>
              <w:rPr>
                <w:rFonts w:ascii="Calibri" w:eastAsia="Times New Roman" w:hAnsi="Calibri" w:cs="Times New Roman"/>
              </w:rPr>
            </w:pPr>
            <w:r w:rsidRPr="004D6466">
              <w:rPr>
                <w:rFonts w:ascii="Calibri" w:eastAsia="Times New Roman" w:hAnsi="Calibri" w:cs="Times New Roman"/>
              </w:rPr>
              <w:t> </w:t>
            </w:r>
          </w:p>
        </w:tc>
        <w:tc>
          <w:tcPr>
            <w:tcW w:w="1404" w:type="dxa"/>
            <w:tcBorders>
              <w:top w:val="nil"/>
              <w:left w:val="nil"/>
              <w:bottom w:val="single" w:sz="8" w:space="0" w:color="auto"/>
              <w:right w:val="nil"/>
            </w:tcBorders>
            <w:shd w:val="clear" w:color="000000" w:fill="FFFFFF"/>
            <w:noWrap/>
            <w:vAlign w:val="bottom"/>
            <w:hideMark/>
          </w:tcPr>
          <w:p w:rsidR="00A66191" w:rsidRPr="004D6466" w:rsidRDefault="00A66191" w:rsidP="004D6466">
            <w:pPr>
              <w:spacing w:after="0" w:line="240" w:lineRule="auto"/>
              <w:rPr>
                <w:rFonts w:ascii="Calibri" w:eastAsia="Times New Roman" w:hAnsi="Calibri" w:cs="Times New Roman"/>
              </w:rPr>
            </w:pPr>
            <w:r w:rsidRPr="004D6466">
              <w:rPr>
                <w:rFonts w:ascii="Calibri" w:eastAsia="Times New Roman" w:hAnsi="Calibri" w:cs="Times New Roman"/>
              </w:rPr>
              <w:t> </w:t>
            </w:r>
          </w:p>
        </w:tc>
        <w:tc>
          <w:tcPr>
            <w:tcW w:w="1399" w:type="dxa"/>
            <w:tcBorders>
              <w:top w:val="nil"/>
              <w:left w:val="nil"/>
              <w:bottom w:val="single" w:sz="8" w:space="0" w:color="auto"/>
              <w:right w:val="nil"/>
            </w:tcBorders>
            <w:shd w:val="clear" w:color="000000" w:fill="FFFFFF"/>
            <w:noWrap/>
            <w:vAlign w:val="center"/>
            <w:hideMark/>
          </w:tcPr>
          <w:p w:rsidR="00A66191" w:rsidRPr="004D6466" w:rsidRDefault="00A66191" w:rsidP="004D6466">
            <w:pPr>
              <w:spacing w:after="0" w:line="240" w:lineRule="auto"/>
              <w:jc w:val="right"/>
              <w:rPr>
                <w:rFonts w:ascii="Calibri" w:eastAsia="Times New Roman" w:hAnsi="Calibri" w:cs="Times New Roman"/>
                <w:b/>
                <w:bCs/>
              </w:rPr>
            </w:pPr>
            <w:r w:rsidRPr="004D6466">
              <w:rPr>
                <w:rFonts w:ascii="Calibri" w:eastAsia="Times New Roman" w:hAnsi="Calibri" w:cs="Times New Roman"/>
                <w:b/>
                <w:bCs/>
              </w:rPr>
              <w:t>4.563.000.000</w:t>
            </w:r>
          </w:p>
        </w:tc>
        <w:tc>
          <w:tcPr>
            <w:tcW w:w="1200" w:type="dxa"/>
            <w:tcBorders>
              <w:top w:val="nil"/>
              <w:left w:val="nil"/>
              <w:bottom w:val="single" w:sz="8" w:space="0" w:color="auto"/>
              <w:right w:val="nil"/>
            </w:tcBorders>
            <w:shd w:val="clear" w:color="000000" w:fill="FFFFFF"/>
            <w:noWrap/>
            <w:vAlign w:val="bottom"/>
            <w:hideMark/>
          </w:tcPr>
          <w:p w:rsidR="00A66191" w:rsidRPr="004D6466" w:rsidRDefault="00A66191" w:rsidP="004D6466">
            <w:pPr>
              <w:spacing w:after="0" w:line="240" w:lineRule="auto"/>
              <w:rPr>
                <w:rFonts w:ascii="Calibri" w:eastAsia="Times New Roman" w:hAnsi="Calibri" w:cs="Times New Roman"/>
              </w:rPr>
            </w:pPr>
            <w:r w:rsidRPr="004D6466">
              <w:rPr>
                <w:rFonts w:ascii="Calibri" w:eastAsia="Times New Roman" w:hAnsi="Calibri" w:cs="Times New Roman"/>
              </w:rPr>
              <w:t> </w:t>
            </w:r>
          </w:p>
        </w:tc>
        <w:tc>
          <w:tcPr>
            <w:tcW w:w="1067" w:type="dxa"/>
            <w:tcBorders>
              <w:top w:val="nil"/>
              <w:left w:val="nil"/>
              <w:bottom w:val="single" w:sz="8" w:space="0" w:color="auto"/>
              <w:right w:val="single" w:sz="8" w:space="0" w:color="auto"/>
            </w:tcBorders>
            <w:shd w:val="clear" w:color="000000" w:fill="FFFFFF"/>
            <w:noWrap/>
            <w:vAlign w:val="center"/>
            <w:hideMark/>
          </w:tcPr>
          <w:p w:rsidR="00A66191" w:rsidRPr="004D6466" w:rsidRDefault="00A66191" w:rsidP="004D6466">
            <w:pPr>
              <w:spacing w:after="0" w:line="240" w:lineRule="auto"/>
              <w:jc w:val="center"/>
              <w:rPr>
                <w:rFonts w:ascii="Calibri" w:eastAsia="Times New Roman" w:hAnsi="Calibri" w:cs="Times New Roman"/>
              </w:rPr>
            </w:pPr>
            <w:r w:rsidRPr="004D6466">
              <w:rPr>
                <w:rFonts w:ascii="Calibri" w:eastAsia="Times New Roman" w:hAnsi="Calibri" w:cs="Times New Roman"/>
              </w:rPr>
              <w:t> </w:t>
            </w:r>
          </w:p>
        </w:tc>
      </w:tr>
    </w:tbl>
    <w:p w:rsidR="00A66191" w:rsidRPr="004D6466" w:rsidRDefault="00A66191" w:rsidP="00A66191">
      <w:pPr>
        <w:pStyle w:val="Sinespaciado"/>
        <w:rPr>
          <w:rFonts w:ascii="Arial" w:hAnsi="Arial" w:cs="Arial"/>
          <w:sz w:val="16"/>
          <w:szCs w:val="16"/>
        </w:rPr>
      </w:pPr>
      <w:r w:rsidRPr="004D6466">
        <w:rPr>
          <w:rFonts w:ascii="Arial" w:hAnsi="Arial" w:cs="Arial"/>
          <w:sz w:val="16"/>
          <w:szCs w:val="16"/>
        </w:rPr>
        <w:t>Tabla nº 8                       fuente: ministerio de electricidad y energía renovable              elaborado por. María José Ponce</w:t>
      </w:r>
    </w:p>
    <w:p w:rsidR="00A66191" w:rsidRPr="004D6466" w:rsidRDefault="00A66191" w:rsidP="00A66191">
      <w:pPr>
        <w:spacing w:before="100" w:beforeAutospacing="1" w:after="100" w:afterAutospacing="1" w:line="360" w:lineRule="auto"/>
        <w:jc w:val="both"/>
        <w:rPr>
          <w:rFonts w:ascii="Arial" w:eastAsia="Times New Roman" w:hAnsi="Arial" w:cs="Arial"/>
          <w:sz w:val="24"/>
          <w:szCs w:val="24"/>
        </w:rPr>
      </w:pPr>
      <w:r w:rsidRPr="004D6466">
        <w:rPr>
          <w:rFonts w:ascii="Arial" w:eastAsia="Times New Roman" w:hAnsi="Arial" w:cs="Arial"/>
          <w:sz w:val="24"/>
          <w:szCs w:val="24"/>
        </w:rPr>
        <w:t xml:space="preserve">También existen otros proyectos hidroeléctricos como: la re potenciación de Baba y un total de 15 centrales más pequeñas que el gobierno inaugurará hasta 2016. </w:t>
      </w:r>
    </w:p>
    <w:tbl>
      <w:tblPr>
        <w:tblpPr w:leftFromText="45" w:rightFromText="45" w:vertAnchor="text"/>
        <w:tblW w:w="0" w:type="auto"/>
        <w:tblCellSpacing w:w="0" w:type="dxa"/>
        <w:tblCellMar>
          <w:left w:w="0" w:type="dxa"/>
          <w:right w:w="0" w:type="dxa"/>
        </w:tblCellMar>
        <w:tblLook w:val="04A0"/>
      </w:tblPr>
      <w:tblGrid>
        <w:gridCol w:w="6"/>
      </w:tblGrid>
      <w:tr w:rsidR="00A66191" w:rsidRPr="004D6466" w:rsidTr="004D6466">
        <w:trPr>
          <w:tblCellSpacing w:w="0" w:type="dxa"/>
        </w:trPr>
        <w:tc>
          <w:tcPr>
            <w:tcW w:w="0" w:type="auto"/>
            <w:hideMark/>
          </w:tcPr>
          <w:p w:rsidR="00A66191" w:rsidRPr="004D6466" w:rsidRDefault="00A66191" w:rsidP="004D6466">
            <w:pPr>
              <w:spacing w:before="100" w:beforeAutospacing="1" w:after="100" w:afterAutospacing="1" w:line="240" w:lineRule="auto"/>
              <w:rPr>
                <w:rFonts w:ascii="Times New Roman" w:eastAsia="Times New Roman" w:hAnsi="Times New Roman" w:cs="Times New Roman"/>
                <w:sz w:val="24"/>
                <w:szCs w:val="24"/>
              </w:rPr>
            </w:pPr>
          </w:p>
        </w:tc>
      </w:tr>
    </w:tbl>
    <w:p w:rsidR="00A66191" w:rsidRPr="004D6466" w:rsidRDefault="00A66191" w:rsidP="00A66191">
      <w:pPr>
        <w:pStyle w:val="Prrafodelista"/>
        <w:numPr>
          <w:ilvl w:val="0"/>
          <w:numId w:val="35"/>
        </w:numPr>
        <w:spacing w:before="100" w:beforeAutospacing="1" w:after="100" w:afterAutospacing="1" w:line="360" w:lineRule="auto"/>
        <w:jc w:val="both"/>
        <w:rPr>
          <w:rFonts w:ascii="Arial" w:eastAsia="Times New Roman" w:hAnsi="Arial" w:cs="Arial"/>
          <w:sz w:val="24"/>
          <w:szCs w:val="24"/>
        </w:rPr>
      </w:pPr>
      <w:r w:rsidRPr="004D6466">
        <w:rPr>
          <w:rFonts w:ascii="Arial" w:hAnsi="Arial" w:cs="Arial"/>
          <w:b/>
          <w:i/>
          <w:sz w:val="24"/>
          <w:szCs w:val="24"/>
        </w:rPr>
        <w:t>Medidas proteccionistas de la industria ecuatoriana</w:t>
      </w:r>
    </w:p>
    <w:p w:rsidR="00A66191" w:rsidRPr="004D6466" w:rsidRDefault="00A66191" w:rsidP="00A66191">
      <w:pPr>
        <w:spacing w:before="100" w:beforeAutospacing="1" w:after="100" w:afterAutospacing="1" w:line="360" w:lineRule="auto"/>
        <w:jc w:val="both"/>
        <w:rPr>
          <w:rFonts w:ascii="Arial" w:eastAsia="Times New Roman" w:hAnsi="Arial" w:cs="Arial"/>
          <w:sz w:val="24"/>
          <w:szCs w:val="24"/>
        </w:rPr>
      </w:pPr>
      <w:r w:rsidRPr="004D6466">
        <w:rPr>
          <w:rFonts w:ascii="Arial" w:hAnsi="Arial" w:cs="Arial"/>
          <w:sz w:val="24"/>
          <w:szCs w:val="24"/>
        </w:rPr>
        <w:t xml:space="preserve">Entre las medidas proteccionistas adoptadas para la industria ecuatoriana están: la campaña “Primero Ecuador” cuyo objetivo es promover el consumo de bienes locales; y la campaña de carácter social </w:t>
      </w:r>
      <w:hyperlink r:id="rId153" w:history="1">
        <w:r w:rsidRPr="004D6466">
          <w:rPr>
            <w:rStyle w:val="Hipervnculo"/>
            <w:rFonts w:ascii="Arial" w:hAnsi="Arial" w:cs="Arial"/>
            <w:color w:val="auto"/>
            <w:sz w:val="24"/>
            <w:szCs w:val="24"/>
            <w:u w:val="none"/>
          </w:rPr>
          <w:t>“Mucho mejor si es hecho en Ecuador”</w:t>
        </w:r>
      </w:hyperlink>
      <w:r w:rsidRPr="004D6466">
        <w:rPr>
          <w:rFonts w:ascii="Arial" w:hAnsi="Arial" w:cs="Arial"/>
          <w:sz w:val="24"/>
          <w:szCs w:val="24"/>
        </w:rPr>
        <w:t xml:space="preserve"> cuyo objetivo es identificar con su sello a la producción nacional de calidad para que los consumidores prefieran comprar productos, que además de tener buenos precios, calidad y servicio, generan empleo para los ecuatorianos.</w:t>
      </w:r>
    </w:p>
    <w:p w:rsidR="00A66191" w:rsidRPr="004D6466" w:rsidRDefault="00A66191" w:rsidP="00A66191">
      <w:pPr>
        <w:pStyle w:val="NormalWeb"/>
        <w:spacing w:line="360" w:lineRule="auto"/>
        <w:jc w:val="both"/>
        <w:rPr>
          <w:rFonts w:ascii="Arial" w:hAnsi="Arial" w:cs="Arial"/>
        </w:rPr>
      </w:pPr>
      <w:r w:rsidRPr="004D6466">
        <w:rPr>
          <w:rFonts w:ascii="Arial" w:hAnsi="Arial" w:cs="Arial"/>
        </w:rPr>
        <w:t xml:space="preserve">La campaña “Mucho Mejor si es hecho en Ecuador” ha obtenido importantes resultados, según un estudio de mercado realizado por “Advance Consultora”, </w:t>
      </w:r>
      <w:r w:rsidRPr="004D6466">
        <w:rPr>
          <w:rFonts w:ascii="Arial" w:hAnsi="Arial" w:cs="Arial"/>
        </w:rPr>
        <w:lastRenderedPageBreak/>
        <w:t>en Quito, Guayaquil y Cuenca, con una base de 900 encuestas a hombres y mujeres de 15 a 60 años. Según el estudio, la huella tricolor de calidad (imagen de esta campaña) cuenta con un 62% de  penetración en el mercado nacional, gozando de un reconocimiento por parte de los consumidores.</w:t>
      </w:r>
    </w:p>
    <w:p w:rsidR="00A66191" w:rsidRPr="004D6466" w:rsidRDefault="00A66191" w:rsidP="00A66191">
      <w:pPr>
        <w:pStyle w:val="NormalWeb"/>
        <w:spacing w:line="360" w:lineRule="auto"/>
        <w:jc w:val="both"/>
      </w:pPr>
      <w:r w:rsidRPr="004D6466">
        <w:rPr>
          <w:rFonts w:ascii="Arial" w:hAnsi="Arial" w:cs="Arial"/>
        </w:rPr>
        <w:t>Además el 60% de los ecuatorianos considera a los productos ecuatorianos de calidad versus a un 33% que los considera de calidad regular y un 8% de mala calidad, estadística que muestra que cada vez, más bienes y servicios fabricados en el país son aceptados por la ciudadanía</w:t>
      </w:r>
      <w:r w:rsidRPr="004D6466">
        <w:t>.</w:t>
      </w:r>
    </w:p>
    <w:p w:rsidR="00A66191" w:rsidRPr="004D6466" w:rsidRDefault="00A66191" w:rsidP="00A66191">
      <w:pPr>
        <w:rPr>
          <w:rFonts w:ascii="Times New Roman" w:eastAsia="Times New Roman" w:hAnsi="Times New Roman" w:cs="Times New Roman"/>
          <w:sz w:val="24"/>
          <w:szCs w:val="24"/>
        </w:rPr>
      </w:pPr>
      <w:r w:rsidRPr="004D6466">
        <w:rPr>
          <w:rFonts w:ascii="Arial" w:hAnsi="Arial" w:cs="Arial"/>
          <w:b/>
          <w:i/>
          <w:sz w:val="24"/>
          <w:szCs w:val="24"/>
        </w:rPr>
        <w:t>4.5.3 Renegociación de los Contratos Petroleros</w:t>
      </w:r>
    </w:p>
    <w:p w:rsidR="00A66191" w:rsidRPr="004D6466" w:rsidRDefault="00A66191" w:rsidP="00A66191">
      <w:pPr>
        <w:pStyle w:val="NormalWeb"/>
        <w:spacing w:line="360" w:lineRule="auto"/>
        <w:jc w:val="both"/>
        <w:rPr>
          <w:rFonts w:ascii="Arial" w:hAnsi="Arial" w:cs="Arial"/>
        </w:rPr>
      </w:pPr>
      <w:r w:rsidRPr="004D6466">
        <w:rPr>
          <w:rFonts w:ascii="Arial" w:hAnsi="Arial" w:cs="Arial"/>
        </w:rPr>
        <w:t>Ecuador logró renegociar 15 de sus 24 contratos petroleros con multinacionales, tras finalizar los acuerdos sobre los llamados campos menores, lo que le garantiza una renta del 80% en promedio de inversiones por 1.385 millones de dólares en el sector.</w:t>
      </w:r>
    </w:p>
    <w:p w:rsidR="00A66191" w:rsidRPr="004D6466" w:rsidRDefault="00A66191" w:rsidP="00A66191">
      <w:pPr>
        <w:pStyle w:val="NormalWeb"/>
        <w:spacing w:line="360" w:lineRule="auto"/>
        <w:jc w:val="both"/>
        <w:rPr>
          <w:rFonts w:ascii="Arial" w:hAnsi="Arial" w:cs="Arial"/>
        </w:rPr>
      </w:pPr>
      <w:r w:rsidRPr="004D6466">
        <w:rPr>
          <w:rFonts w:ascii="Arial" w:hAnsi="Arial" w:cs="Arial"/>
        </w:rPr>
        <w:t xml:space="preserve">Esta medida está relacionada con cambiar el tipo de contrato. Se cambia del contrato de participación que dejaba al país 18% de lo extraído al contrato de prestación de servicios, que le confiere al Estado la propiedad del 100% de la producción, obliga a las firmas a invertir y reduce sus beneficios. </w:t>
      </w:r>
    </w:p>
    <w:p w:rsidR="00A66191" w:rsidRPr="004D6466" w:rsidRDefault="00A66191" w:rsidP="00A66191">
      <w:pPr>
        <w:pStyle w:val="NormalWeb"/>
        <w:spacing w:line="360" w:lineRule="auto"/>
        <w:jc w:val="both"/>
        <w:rPr>
          <w:rFonts w:ascii="Arial" w:hAnsi="Arial" w:cs="Arial"/>
        </w:rPr>
      </w:pPr>
      <w:r w:rsidRPr="004D6466">
        <w:rPr>
          <w:rFonts w:ascii="Arial" w:hAnsi="Arial" w:cs="Arial"/>
        </w:rPr>
        <w:t>En el 2009 con los acuerdos firmados con las compañías Repsol, Petroriental y Petrobras, el Estado ecuatoriano recibirá inversiones totales de 466,5 millones de dólares, en los próximos años de vigencia de esos contratos.</w:t>
      </w:r>
    </w:p>
    <w:p w:rsidR="00A66191" w:rsidRPr="004D6466" w:rsidRDefault="00A66191" w:rsidP="00A66191">
      <w:pPr>
        <w:pStyle w:val="NormalWeb"/>
        <w:spacing w:line="360" w:lineRule="auto"/>
        <w:jc w:val="both"/>
        <w:rPr>
          <w:rFonts w:ascii="Arial" w:hAnsi="Arial" w:cs="Arial"/>
        </w:rPr>
      </w:pPr>
      <w:r w:rsidRPr="004D6466">
        <w:rPr>
          <w:rFonts w:ascii="Arial" w:hAnsi="Arial" w:cs="Arial"/>
        </w:rPr>
        <w:t>Con la renegociación de los contratos, el Estado aumenta sus ingresos en un 32%. Cabe resaltar que sin la negociación, el país habría recibido 4 mil 522 millones 516 mil 846 dólares, pero al ser renegociados los contratos recibirá 5 mil 989 millones 334 mil 461 dólares.</w:t>
      </w:r>
    </w:p>
    <w:p w:rsidR="00A66191" w:rsidRPr="004D6466" w:rsidRDefault="00A66191" w:rsidP="00A66191">
      <w:pPr>
        <w:pStyle w:val="NormalWeb"/>
        <w:spacing w:line="360" w:lineRule="auto"/>
        <w:jc w:val="both"/>
        <w:rPr>
          <w:rFonts w:ascii="Arial" w:hAnsi="Arial" w:cs="Arial"/>
        </w:rPr>
      </w:pPr>
      <w:r w:rsidRPr="004D6466">
        <w:rPr>
          <w:rFonts w:ascii="Arial" w:hAnsi="Arial" w:cs="Arial"/>
        </w:rPr>
        <w:t xml:space="preserve">Existe también un proyecto petrolero importante que es la refinería del Pacífico Eloy Alfaro (RDP) que constituirá el primer complejo refinador y petroquímico en el Ecuador, ya que además de la refinación de petróleo generará materia prima para la industria petroquímica. La inversión prevista hasta el año 2015 será de 11.800 millones de dólares. El complejo estará en pleno </w:t>
      </w:r>
      <w:r w:rsidRPr="004D6466">
        <w:rPr>
          <w:rFonts w:ascii="Arial" w:hAnsi="Arial" w:cs="Arial"/>
        </w:rPr>
        <w:lastRenderedPageBreak/>
        <w:t>funcionamiento en el año 2016 según fuentes oficiales, pero actualmente la primera etapa de la refinería del Pacifico está completada en un 21,44%.</w:t>
      </w:r>
    </w:p>
    <w:p w:rsidR="00A66191" w:rsidRPr="004D6466" w:rsidRDefault="00A66191" w:rsidP="00A66191">
      <w:pPr>
        <w:spacing w:line="360" w:lineRule="auto"/>
        <w:jc w:val="both"/>
        <w:rPr>
          <w:rFonts w:ascii="Times New Roman" w:eastAsia="Times New Roman" w:hAnsi="Times New Roman" w:cs="Times New Roman"/>
          <w:sz w:val="24"/>
          <w:szCs w:val="24"/>
        </w:rPr>
      </w:pPr>
      <w:r w:rsidRPr="004D6466">
        <w:rPr>
          <w:rFonts w:ascii="Arial" w:hAnsi="Arial" w:cs="Arial"/>
          <w:sz w:val="24"/>
          <w:szCs w:val="24"/>
        </w:rPr>
        <w:t>Dentro de este cambio también se puede hacer mención al reingreso del Ecuador a la Organización de Países Exportadores de Petróleo (OPEP).</w:t>
      </w:r>
      <w:r w:rsidRPr="004D6466">
        <w:rPr>
          <w:rFonts w:ascii="Arial" w:eastAsia="Times New Roman" w:hAnsi="Arial" w:cs="Arial"/>
          <w:sz w:val="24"/>
          <w:szCs w:val="24"/>
        </w:rPr>
        <w:t xml:space="preserve"> Los días 17 y 18 de noviembre del 2007, en la reunión de la Organización de Países Exportadores de Petróleo (OPEP) en Arabia Saudita, con la intervención del presidente Rafael Correa el país retornó de forma oficial a la Organización después de 13 años de haber salido de ella.</w:t>
      </w:r>
    </w:p>
    <w:p w:rsidR="00A66191" w:rsidRPr="004D6466" w:rsidRDefault="00A66191" w:rsidP="00A66191">
      <w:pPr>
        <w:spacing w:line="360" w:lineRule="auto"/>
        <w:jc w:val="both"/>
        <w:rPr>
          <w:rFonts w:ascii="Arial" w:hAnsi="Arial" w:cs="Arial"/>
          <w:sz w:val="24"/>
          <w:szCs w:val="24"/>
        </w:rPr>
      </w:pPr>
      <w:r w:rsidRPr="004D6466">
        <w:rPr>
          <w:rFonts w:ascii="Arial" w:hAnsi="Arial" w:cs="Arial"/>
          <w:sz w:val="24"/>
          <w:szCs w:val="24"/>
        </w:rPr>
        <w:t>El país deberá abonar $4,7 millones en concepto de cuotas y $1 millón para el fondo de la OPEP, situación que puede abrir las puertas al país para obtener cooperación tecnológica y económica. </w:t>
      </w:r>
    </w:p>
    <w:p w:rsidR="00A66191" w:rsidRPr="004D6466" w:rsidRDefault="00A66191" w:rsidP="00A66191">
      <w:pPr>
        <w:spacing w:line="360" w:lineRule="auto"/>
        <w:jc w:val="both"/>
        <w:rPr>
          <w:rFonts w:ascii="Arial" w:hAnsi="Arial" w:cs="Arial"/>
          <w:sz w:val="24"/>
          <w:szCs w:val="24"/>
        </w:rPr>
      </w:pPr>
      <w:r w:rsidRPr="004D6466">
        <w:rPr>
          <w:rFonts w:ascii="Arial" w:hAnsi="Arial" w:cs="Arial"/>
          <w:b/>
          <w:sz w:val="24"/>
          <w:szCs w:val="24"/>
        </w:rPr>
        <w:t>Resultados en inversiones en el sector público</w:t>
      </w:r>
    </w:p>
    <w:p w:rsidR="00A66191" w:rsidRPr="004D6466" w:rsidRDefault="00A66191" w:rsidP="00A66191">
      <w:pPr>
        <w:spacing w:line="360" w:lineRule="auto"/>
        <w:jc w:val="both"/>
        <w:rPr>
          <w:rFonts w:ascii="Arial" w:hAnsi="Arial" w:cs="Arial"/>
          <w:sz w:val="24"/>
          <w:szCs w:val="24"/>
        </w:rPr>
      </w:pPr>
      <w:r w:rsidRPr="004D6466">
        <w:rPr>
          <w:rFonts w:ascii="Arial" w:hAnsi="Arial" w:cs="Arial"/>
          <w:sz w:val="24"/>
          <w:szCs w:val="24"/>
        </w:rPr>
        <w:t>Según la revista Vistazo del 19 de agosto de 2010 en su artículo “</w:t>
      </w:r>
      <w:r w:rsidRPr="004D6466">
        <w:rPr>
          <w:rStyle w:val="int-titulo"/>
          <w:rFonts w:ascii="Arial" w:hAnsi="Arial" w:cs="Arial"/>
          <w:sz w:val="24"/>
          <w:szCs w:val="24"/>
        </w:rPr>
        <w:t>Lo bueno y lo malo de la “Revolución Vial”</w:t>
      </w:r>
      <w:r w:rsidRPr="004D6466">
        <w:rPr>
          <w:rFonts w:ascii="Arial" w:hAnsi="Arial" w:cs="Arial"/>
          <w:sz w:val="24"/>
          <w:szCs w:val="24"/>
        </w:rPr>
        <w:t xml:space="preserve"> dice: “En 3 años desde el 2007 se ha invertido 3.600 millones de dólares en carreteras. </w:t>
      </w:r>
      <w:r w:rsidRPr="004D6466">
        <w:rPr>
          <w:rStyle w:val="int-txt"/>
          <w:rFonts w:ascii="Arial" w:hAnsi="Arial" w:cs="Arial"/>
          <w:sz w:val="24"/>
          <w:szCs w:val="24"/>
        </w:rPr>
        <w:t>De los 3.400 millones invertidos por Correa, la mitad corresponde a lo que se contrató en base a cinco declaratorias de emergencia en lo que se llamó Plan Relámpago. La emergencia buscaba agilitar la contratación evitando licitaciones engorrosas. Actualmente el 65% de la red primaria del país está en buenas condiciones”</w:t>
      </w:r>
      <w:r w:rsidRPr="004D6466">
        <w:rPr>
          <w:rStyle w:val="Refdenotaalpie"/>
          <w:rFonts w:ascii="Arial" w:hAnsi="Arial" w:cs="Arial"/>
          <w:sz w:val="24"/>
          <w:szCs w:val="24"/>
        </w:rPr>
        <w:footnoteReference w:id="52"/>
      </w:r>
      <w:r w:rsidRPr="004D6466">
        <w:rPr>
          <w:rStyle w:val="int-txt"/>
          <w:rFonts w:ascii="Arial" w:hAnsi="Arial" w:cs="Arial"/>
          <w:sz w:val="24"/>
          <w:szCs w:val="24"/>
        </w:rPr>
        <w:t>.</w:t>
      </w:r>
    </w:p>
    <w:p w:rsidR="00A66191" w:rsidRPr="004D6466" w:rsidRDefault="00A66191" w:rsidP="00A66191">
      <w:pPr>
        <w:spacing w:line="360" w:lineRule="auto"/>
        <w:jc w:val="both"/>
        <w:rPr>
          <w:rFonts w:ascii="Arial" w:hAnsi="Arial" w:cs="Arial"/>
          <w:sz w:val="24"/>
          <w:szCs w:val="24"/>
        </w:rPr>
      </w:pPr>
      <w:r w:rsidRPr="004D6466">
        <w:rPr>
          <w:rFonts w:ascii="Arial" w:hAnsi="Arial" w:cs="Arial"/>
          <w:b/>
          <w:sz w:val="24"/>
          <w:szCs w:val="24"/>
        </w:rPr>
        <w:t>Análisis de la evolución del gasto en el sector público</w:t>
      </w:r>
    </w:p>
    <w:p w:rsidR="00A66191" w:rsidRPr="004D6466" w:rsidRDefault="00A66191" w:rsidP="00A66191">
      <w:pPr>
        <w:spacing w:line="360" w:lineRule="auto"/>
        <w:jc w:val="both"/>
        <w:rPr>
          <w:rFonts w:ascii="Arial" w:hAnsi="Arial" w:cs="Arial"/>
          <w:sz w:val="24"/>
          <w:szCs w:val="24"/>
        </w:rPr>
      </w:pPr>
      <w:r w:rsidRPr="004D6466">
        <w:rPr>
          <w:rFonts w:ascii="Arial" w:hAnsi="Arial" w:cs="Arial"/>
          <w:sz w:val="24"/>
          <w:szCs w:val="24"/>
        </w:rPr>
        <w:t>Desde el 2007 a 2011 el gasto público en el gobierno de Rafael Correa ha sido de 105.000 millones según el observatorio de la política fiscal.</w:t>
      </w:r>
    </w:p>
    <w:p w:rsidR="00A66191" w:rsidRPr="004D6466" w:rsidRDefault="00A66191" w:rsidP="00A66191">
      <w:pPr>
        <w:spacing w:line="360" w:lineRule="auto"/>
        <w:jc w:val="both"/>
        <w:rPr>
          <w:rFonts w:ascii="Arial" w:hAnsi="Arial" w:cs="Arial"/>
          <w:sz w:val="24"/>
          <w:szCs w:val="24"/>
        </w:rPr>
      </w:pPr>
      <w:r w:rsidRPr="004D6466">
        <w:rPr>
          <w:rFonts w:ascii="Arial" w:hAnsi="Arial" w:cs="Arial"/>
          <w:sz w:val="24"/>
          <w:szCs w:val="24"/>
        </w:rPr>
        <w:t>Según Ecuador Inmediato  “por el 2007 el gasto público significaba no más del 20% del PIB, ahora significa el 40%. Esa expansión de cerca de 20 puntos es principalmente por el aumento del tamaño del Estado y de la burocracia antes que de la inversión de capital.</w:t>
      </w:r>
    </w:p>
    <w:p w:rsidR="00A66191" w:rsidRPr="004D6466" w:rsidRDefault="00A66191" w:rsidP="00A66191">
      <w:pPr>
        <w:spacing w:line="360" w:lineRule="auto"/>
        <w:jc w:val="both"/>
        <w:rPr>
          <w:rFonts w:ascii="Arial" w:hAnsi="Arial" w:cs="Arial"/>
          <w:sz w:val="24"/>
          <w:szCs w:val="24"/>
        </w:rPr>
      </w:pPr>
      <w:r w:rsidRPr="004D6466">
        <w:rPr>
          <w:rFonts w:ascii="Arial" w:hAnsi="Arial" w:cs="Arial"/>
          <w:sz w:val="24"/>
          <w:szCs w:val="24"/>
        </w:rPr>
        <w:t xml:space="preserve">En el 2011, el gasto público creció  29% (en ese año se incluyó a la entidades autónomas) mientras que la economía (PIB) 8%. El observatorio de la política </w:t>
      </w:r>
      <w:r w:rsidRPr="004D6466">
        <w:rPr>
          <w:rFonts w:ascii="Arial" w:hAnsi="Arial" w:cs="Arial"/>
          <w:sz w:val="24"/>
          <w:szCs w:val="24"/>
        </w:rPr>
        <w:lastRenderedPageBreak/>
        <w:t>fiscal señala que entre el 2006-2011, en valores corrientes, el gasto aumenta 162% y el PIB 56%”</w:t>
      </w:r>
      <w:r w:rsidRPr="004D6466">
        <w:rPr>
          <w:rStyle w:val="Refdenotaalpie"/>
          <w:rFonts w:ascii="Arial" w:hAnsi="Arial" w:cs="Arial"/>
          <w:sz w:val="24"/>
          <w:szCs w:val="24"/>
        </w:rPr>
        <w:footnoteReference w:id="53"/>
      </w:r>
      <w:r w:rsidRPr="004D6466">
        <w:rPr>
          <w:rFonts w:ascii="Arial" w:hAnsi="Arial" w:cs="Arial"/>
          <w:sz w:val="24"/>
          <w:szCs w:val="24"/>
        </w:rPr>
        <w:t>.</w:t>
      </w:r>
    </w:p>
    <w:p w:rsidR="00A66191" w:rsidRPr="004D6466" w:rsidRDefault="00A66191" w:rsidP="00A66191">
      <w:pPr>
        <w:rPr>
          <w:rFonts w:ascii="Arial" w:hAnsi="Arial" w:cs="Arial"/>
          <w:b/>
          <w:sz w:val="24"/>
          <w:szCs w:val="24"/>
        </w:rPr>
      </w:pPr>
      <w:r w:rsidRPr="004D6466">
        <w:rPr>
          <w:rFonts w:ascii="Arial" w:hAnsi="Arial" w:cs="Arial"/>
          <w:b/>
          <w:sz w:val="24"/>
          <w:szCs w:val="24"/>
        </w:rPr>
        <w:t>Resultados de Balanza Comercial</w:t>
      </w:r>
    </w:p>
    <w:p w:rsidR="00A66191" w:rsidRPr="004D6466" w:rsidRDefault="00A66191" w:rsidP="00A66191">
      <w:pPr>
        <w:spacing w:line="360" w:lineRule="auto"/>
        <w:jc w:val="both"/>
        <w:rPr>
          <w:rFonts w:ascii="Arial" w:hAnsi="Arial" w:cs="Arial"/>
          <w:sz w:val="24"/>
          <w:szCs w:val="24"/>
        </w:rPr>
      </w:pPr>
      <w:r w:rsidRPr="004D6466">
        <w:rPr>
          <w:rFonts w:ascii="Arial" w:hAnsi="Arial" w:cs="Arial"/>
          <w:sz w:val="24"/>
          <w:szCs w:val="24"/>
        </w:rPr>
        <w:t>En los años 2006 a 2008 la balanza comercial fue positiva y del 2009-2011 la balanza comercial fue negativa como se muestra en el siguiente gráfico:</w:t>
      </w:r>
    </w:p>
    <w:p w:rsidR="00A66191" w:rsidRPr="004D6466" w:rsidRDefault="00A66191" w:rsidP="00A66191">
      <w:pPr>
        <w:spacing w:line="360" w:lineRule="auto"/>
        <w:jc w:val="both"/>
        <w:rPr>
          <w:rFonts w:ascii="Arial" w:hAnsi="Arial" w:cs="Arial"/>
          <w:sz w:val="24"/>
          <w:szCs w:val="24"/>
        </w:rPr>
      </w:pPr>
      <w:r w:rsidRPr="004D6466">
        <w:rPr>
          <w:rFonts w:ascii="Arial" w:hAnsi="Arial" w:cs="Arial"/>
          <w:noProof/>
          <w:sz w:val="24"/>
          <w:szCs w:val="24"/>
        </w:rPr>
        <w:drawing>
          <wp:inline distT="0" distB="0" distL="0" distR="0">
            <wp:extent cx="5057775" cy="3514725"/>
            <wp:effectExtent l="19050" t="0" r="9525" b="0"/>
            <wp:docPr id="28" name="Gráfico 8"/>
            <wp:cNvGraphicFramePr/>
            <a:graphic xmlns:a="http://schemas.openxmlformats.org/drawingml/2006/main">
              <a:graphicData uri="http://schemas.openxmlformats.org/drawingml/2006/chart">
                <c:chart xmlns:c="http://schemas.openxmlformats.org/drawingml/2006/chart" xmlns:r="http://schemas.openxmlformats.org/officeDocument/2006/relationships" r:id="rId154"/>
              </a:graphicData>
            </a:graphic>
          </wp:inline>
        </w:drawing>
      </w:r>
      <w:r w:rsidRPr="004D6466">
        <w:rPr>
          <w:rFonts w:ascii="Arial" w:hAnsi="Arial" w:cs="Arial"/>
          <w:sz w:val="16"/>
          <w:szCs w:val="16"/>
        </w:rPr>
        <w:t>Gráfico Nº 1</w:t>
      </w:r>
      <w:r w:rsidR="00572FE7">
        <w:rPr>
          <w:rFonts w:ascii="Arial" w:hAnsi="Arial" w:cs="Arial"/>
          <w:sz w:val="16"/>
          <w:szCs w:val="16"/>
        </w:rPr>
        <w:t>3</w:t>
      </w:r>
      <w:r w:rsidRPr="004D6466">
        <w:rPr>
          <w:rFonts w:ascii="Arial" w:hAnsi="Arial" w:cs="Arial"/>
          <w:sz w:val="16"/>
          <w:szCs w:val="16"/>
        </w:rPr>
        <w:t xml:space="preserve">                  fuente: Banco Central Del Ecuador                              elaborado por María José Ponce</w:t>
      </w:r>
    </w:p>
    <w:p w:rsidR="00A66191" w:rsidRPr="004D6466" w:rsidRDefault="00A66191" w:rsidP="00A66191">
      <w:pPr>
        <w:spacing w:line="360" w:lineRule="auto"/>
        <w:jc w:val="both"/>
        <w:rPr>
          <w:rFonts w:ascii="Arial" w:hAnsi="Arial" w:cs="Arial"/>
          <w:b/>
          <w:sz w:val="24"/>
          <w:szCs w:val="24"/>
        </w:rPr>
      </w:pPr>
      <w:r w:rsidRPr="004D6466">
        <w:rPr>
          <w:rFonts w:ascii="Arial" w:hAnsi="Arial" w:cs="Arial"/>
          <w:b/>
          <w:sz w:val="24"/>
          <w:szCs w:val="24"/>
        </w:rPr>
        <w:t xml:space="preserve">Variación de la deuda externa </w:t>
      </w:r>
    </w:p>
    <w:p w:rsidR="00A66191" w:rsidRPr="004D6466" w:rsidRDefault="00A66191" w:rsidP="00A66191">
      <w:pPr>
        <w:pStyle w:val="NormalWeb"/>
        <w:spacing w:line="360" w:lineRule="auto"/>
        <w:jc w:val="both"/>
        <w:rPr>
          <w:rFonts w:ascii="Arial" w:hAnsi="Arial" w:cs="Arial"/>
        </w:rPr>
      </w:pPr>
      <w:r w:rsidRPr="004D6466">
        <w:rPr>
          <w:rFonts w:ascii="Arial" w:hAnsi="Arial" w:cs="Arial"/>
        </w:rPr>
        <w:t>La deuda externa del Ecuador disminuyó 1.522 millones de dólares en los últimos cuatro años, según informó el canciller Ricardo Patiño. Expuso que en el 2006 la deuda era 10.200 millones de dólares, lo que significaba el 24% del Producto Interno Bruto (PIB), mientras a marzo de 2011 se ubica en 8.678 millones, el 15% del PIB.</w:t>
      </w:r>
    </w:p>
    <w:p w:rsidR="00A66191" w:rsidRPr="004D6466" w:rsidRDefault="00A66191" w:rsidP="00A66191">
      <w:pPr>
        <w:spacing w:after="0" w:line="360" w:lineRule="auto"/>
        <w:jc w:val="both"/>
        <w:rPr>
          <w:rFonts w:ascii="Arial" w:eastAsia="Times New Roman" w:hAnsi="Arial" w:cs="Arial"/>
          <w:sz w:val="24"/>
          <w:szCs w:val="24"/>
        </w:rPr>
      </w:pPr>
    </w:p>
    <w:p w:rsidR="00A66191" w:rsidRPr="004D6466" w:rsidRDefault="00A66191" w:rsidP="00A66191">
      <w:pPr>
        <w:spacing w:after="0" w:line="360" w:lineRule="auto"/>
        <w:jc w:val="both"/>
        <w:rPr>
          <w:rFonts w:ascii="Arial" w:eastAsia="Times New Roman" w:hAnsi="Arial" w:cs="Arial"/>
          <w:sz w:val="24"/>
          <w:szCs w:val="24"/>
        </w:rPr>
      </w:pPr>
    </w:p>
    <w:p w:rsidR="00A66191" w:rsidRPr="004D6466" w:rsidRDefault="00A66191" w:rsidP="00A66191">
      <w:pPr>
        <w:spacing w:after="0" w:line="360" w:lineRule="auto"/>
        <w:jc w:val="both"/>
        <w:rPr>
          <w:rFonts w:ascii="Arial" w:eastAsia="Times New Roman" w:hAnsi="Arial" w:cs="Arial"/>
          <w:sz w:val="24"/>
          <w:szCs w:val="24"/>
        </w:rPr>
      </w:pPr>
    </w:p>
    <w:p w:rsidR="00A66191" w:rsidRPr="004D6466" w:rsidRDefault="00A66191" w:rsidP="00A66191">
      <w:pPr>
        <w:jc w:val="center"/>
        <w:rPr>
          <w:rFonts w:ascii="Arial" w:eastAsia="Times New Roman" w:hAnsi="Arial" w:cs="Arial"/>
          <w:sz w:val="24"/>
          <w:szCs w:val="24"/>
        </w:rPr>
      </w:pPr>
      <w:r w:rsidRPr="004D6466">
        <w:rPr>
          <w:rFonts w:ascii="Arial" w:eastAsia="Times New Roman" w:hAnsi="Arial" w:cs="Arial"/>
          <w:sz w:val="24"/>
          <w:szCs w:val="24"/>
        </w:rPr>
        <w:br w:type="page"/>
      </w:r>
      <w:r w:rsidRPr="004D6466">
        <w:rPr>
          <w:rFonts w:ascii="Arial" w:hAnsi="Arial" w:cs="Arial"/>
          <w:b/>
          <w:sz w:val="28"/>
          <w:szCs w:val="28"/>
        </w:rPr>
        <w:lastRenderedPageBreak/>
        <w:t>5. CAPÍTULO V: ANÁLISIS COMPARATIVO DE LOS DOS MODELOS Y  APLICABILIDAD DE LAS MEDIDAS EXITOSAS DEL BRASIL EN EL ECUADOR</w:t>
      </w:r>
    </w:p>
    <w:p w:rsidR="00A66191" w:rsidRPr="004D6466" w:rsidRDefault="00A66191" w:rsidP="00A66191">
      <w:pPr>
        <w:spacing w:line="360" w:lineRule="auto"/>
        <w:jc w:val="both"/>
        <w:rPr>
          <w:rFonts w:ascii="Arial" w:hAnsi="Arial" w:cs="Arial"/>
          <w:sz w:val="24"/>
          <w:szCs w:val="24"/>
        </w:rPr>
      </w:pPr>
      <w:r w:rsidRPr="004D6466">
        <w:rPr>
          <w:rFonts w:ascii="Arial" w:hAnsi="Arial" w:cs="Arial"/>
          <w:sz w:val="24"/>
          <w:szCs w:val="24"/>
        </w:rPr>
        <w:t>Para el análisis comparativo de los modelos, en el presente proyecto de fin de carrera, fue fundamental hacer referencia a los personajes que implementaron los modelos de desarrollo, antes descritos, en sus respectivos países, porque a pesar de que ambos presidentes vivieron de niños situaciones económicas difíciles y aplicaron medidas sociales que favorecen a grandes sectores populares, en el ámbito económico y en el de las relaciones internacionales aplicaron medidas diferentes.</w:t>
      </w:r>
    </w:p>
    <w:p w:rsidR="00A66191" w:rsidRPr="004D6466" w:rsidRDefault="00A66191" w:rsidP="00A66191">
      <w:pPr>
        <w:spacing w:line="360" w:lineRule="auto"/>
        <w:jc w:val="both"/>
        <w:rPr>
          <w:rFonts w:ascii="Arial" w:hAnsi="Arial" w:cs="Arial"/>
          <w:b/>
          <w:sz w:val="24"/>
          <w:szCs w:val="24"/>
        </w:rPr>
      </w:pPr>
      <w:r w:rsidRPr="004D6466">
        <w:rPr>
          <w:rFonts w:ascii="Arial" w:hAnsi="Arial" w:cs="Arial"/>
          <w:b/>
          <w:sz w:val="24"/>
          <w:szCs w:val="24"/>
        </w:rPr>
        <w:t>El origen y la vida de Luis Ignacio, Lula, da Silva</w:t>
      </w:r>
    </w:p>
    <w:p w:rsidR="00A66191" w:rsidRPr="004D6466" w:rsidRDefault="00A66191" w:rsidP="00A66191">
      <w:pPr>
        <w:spacing w:line="360" w:lineRule="auto"/>
        <w:jc w:val="both"/>
        <w:rPr>
          <w:rFonts w:ascii="Arial" w:hAnsi="Arial" w:cs="Arial"/>
          <w:sz w:val="24"/>
          <w:szCs w:val="24"/>
        </w:rPr>
      </w:pPr>
      <w:r w:rsidRPr="004D6466">
        <w:rPr>
          <w:rFonts w:ascii="Arial" w:hAnsi="Arial" w:cs="Arial"/>
          <w:sz w:val="24"/>
          <w:szCs w:val="24"/>
        </w:rPr>
        <w:t xml:space="preserve">Fue el séptimo hijo de un total de ocho hermanos del matrimonio entre Arístides Inácio da Silva y Eurídice Ferreira de Melo, nació el 27 de octubre de 1945. La familia era muy pobre, en 1952 se trasladó de la ciudad natal Caetés en el Estado de Pernanbuco, a Sao Paulo en donde finalmente se instalaron en 1956; en ese año también se separaron los padres de Lula. A los 14 años consiguió un puesto en la planta de tornillos Armazéns Gerais Colúmbia, hizo un curso de tornero mecánico que terminó en tres años, impartido por el Servicio Nacional de Industria (SENAI). </w:t>
      </w:r>
    </w:p>
    <w:p w:rsidR="00A66191" w:rsidRPr="004D6466" w:rsidRDefault="00A66191" w:rsidP="00A66191">
      <w:pPr>
        <w:spacing w:line="360" w:lineRule="auto"/>
        <w:jc w:val="both"/>
        <w:rPr>
          <w:rFonts w:ascii="Arial" w:hAnsi="Arial" w:cs="Arial"/>
          <w:sz w:val="24"/>
          <w:szCs w:val="24"/>
        </w:rPr>
      </w:pPr>
      <w:r w:rsidRPr="004D6466">
        <w:rPr>
          <w:rFonts w:ascii="Arial" w:hAnsi="Arial" w:cs="Arial"/>
          <w:sz w:val="24"/>
          <w:szCs w:val="24"/>
        </w:rPr>
        <w:t>En 1966 comenzó a trabajar en las Industrias Villares (en São Bernardo do Campo) en donde se inició en el sindicalismo debido a que en 1968 su hermano mayor, Frei Chico o apodado "José", afiliado al proscrito Partido Comunista Brasileño, fue arrestado y torturado por los militares. A partir de entonces Lula participó de forma activa de la vida sindical, repartiendo boletines políticos clandestinos criticando al régimen militar, encabezado por Mariscal Artur da Costa e Silva, además de defender los derechos de los trabajadores.</w:t>
      </w:r>
    </w:p>
    <w:p w:rsidR="00A66191" w:rsidRPr="004D6466" w:rsidRDefault="00A66191" w:rsidP="00A66191">
      <w:pPr>
        <w:pStyle w:val="NormalWeb"/>
        <w:spacing w:line="360" w:lineRule="auto"/>
        <w:jc w:val="both"/>
        <w:rPr>
          <w:rFonts w:ascii="Arial" w:hAnsi="Arial" w:cs="Arial"/>
        </w:rPr>
      </w:pPr>
      <w:r w:rsidRPr="004D6466">
        <w:rPr>
          <w:rFonts w:ascii="Arial" w:hAnsi="Arial" w:cs="Arial"/>
        </w:rPr>
        <w:t xml:space="preserve">En 1972 Lula fue elegido director del Departamento de Protección Social del sindicato, ya que era un respetado obrero, por sus diversos esfuerzos a favor de los derechos básicos de los trabajadores, que iban desde el aumento salarial, cobertura social, preparación profesional hasta el nivel cultural de los </w:t>
      </w:r>
      <w:r w:rsidRPr="004D6466">
        <w:rPr>
          <w:rFonts w:ascii="Arial" w:hAnsi="Arial" w:cs="Arial"/>
        </w:rPr>
        <w:lastRenderedPageBreak/>
        <w:t>trabajadores metalúrgicos del ABC paulista</w:t>
      </w:r>
      <w:r w:rsidRPr="004D6466">
        <w:rPr>
          <w:rStyle w:val="Refdenotaalpie"/>
          <w:rFonts w:ascii="Arial" w:eastAsiaTheme="majorEastAsia" w:hAnsi="Arial" w:cs="Arial"/>
        </w:rPr>
        <w:footnoteReference w:id="54"/>
      </w:r>
      <w:r w:rsidRPr="004D6466">
        <w:rPr>
          <w:rFonts w:ascii="Arial" w:hAnsi="Arial" w:cs="Arial"/>
        </w:rPr>
        <w:t xml:space="preserve">. En 1975 ascendió a la presidencia del sindicato, alcanzó a ser líder de aproximadamente 100.000 trabajadores. En febrero de 1978 fue reelegido. </w:t>
      </w:r>
    </w:p>
    <w:p w:rsidR="00A66191" w:rsidRPr="004D6466" w:rsidRDefault="00A66191" w:rsidP="00A66191">
      <w:pPr>
        <w:pStyle w:val="NormalWeb"/>
        <w:spacing w:line="360" w:lineRule="auto"/>
        <w:jc w:val="both"/>
        <w:rPr>
          <w:rFonts w:ascii="Arial" w:hAnsi="Arial" w:cs="Arial"/>
        </w:rPr>
      </w:pPr>
      <w:r w:rsidRPr="004D6466">
        <w:rPr>
          <w:rFonts w:ascii="Arial" w:hAnsi="Arial" w:cs="Arial"/>
        </w:rPr>
        <w:t xml:space="preserve">Optó por una fuerte postura opositora frente a la dictadura gobernante, ahora encabezada por el general Ernesto Geisel. El 13 de mayo de 1979, días antes de la asunción del general João Baptista Figueiredo, Lula llamó a un paro general, desobedeciendo la ley de prohibición de paros en sectores esenciales, esta acción produjo que las autoridades acuerden retornar a los huelguistas a sus respectivas fábricas. Sin embargo el sindicato fue intervenido. </w:t>
      </w:r>
    </w:p>
    <w:p w:rsidR="00A66191" w:rsidRPr="004D6466" w:rsidRDefault="00A66191" w:rsidP="00A66191">
      <w:pPr>
        <w:pStyle w:val="NormalWeb"/>
        <w:spacing w:line="360" w:lineRule="auto"/>
        <w:jc w:val="both"/>
        <w:rPr>
          <w:rFonts w:ascii="Arial" w:hAnsi="Arial" w:cs="Arial"/>
        </w:rPr>
      </w:pPr>
      <w:r w:rsidRPr="004D6466">
        <w:rPr>
          <w:rFonts w:ascii="Arial" w:hAnsi="Arial" w:cs="Arial"/>
        </w:rPr>
        <w:t xml:space="preserve">En el abril de 1980 Lula fue el principal líder en una huelga que duró cuarenta y un días, la protesta fue brutalmente reprimida. En ella habían sido partícipes 300.000 trabajadores de São Paulo. Acusándolo bajo el cargo de "desorden público", una corte marcial lo condenó a una pena de tres años y seis meses de prisión. Sin embargo la sentencia fue anulada en apelación. El 26 de agosto de 1983 se produjo una importante fusión entre varios sindicatos paulistas y la Central Única de Trabajadores (CUT), vinculada directamente con el Partido de los Trabajadores, siendo él precisamente uno de los fundadores del CUT. </w:t>
      </w:r>
    </w:p>
    <w:p w:rsidR="00A66191" w:rsidRPr="004D6466" w:rsidRDefault="00A66191" w:rsidP="00A66191">
      <w:pPr>
        <w:pStyle w:val="NormalWeb"/>
        <w:spacing w:line="360" w:lineRule="auto"/>
        <w:jc w:val="both"/>
        <w:rPr>
          <w:rFonts w:ascii="Arial" w:hAnsi="Arial" w:cs="Arial"/>
        </w:rPr>
      </w:pPr>
      <w:r w:rsidRPr="004D6466">
        <w:rPr>
          <w:rFonts w:ascii="Arial" w:hAnsi="Arial" w:cs="Arial"/>
        </w:rPr>
        <w:t>En 1986 se convirtió en diputado e integró la Asamblea Constituyente que restableció la votación libre y directa del presidente, fue candidato a la presidencia de la República 3 veces, la primera en 1989, la segunda en 1994 y la tercera en el 2002 en la cual finalmente logró la presidencia alcanzando el 61% de los sufragios.</w:t>
      </w:r>
    </w:p>
    <w:p w:rsidR="00A66191" w:rsidRPr="004D6466" w:rsidRDefault="00A66191" w:rsidP="00A66191">
      <w:pPr>
        <w:pStyle w:val="NormalWeb"/>
        <w:spacing w:line="360" w:lineRule="auto"/>
        <w:jc w:val="both"/>
        <w:rPr>
          <w:rFonts w:ascii="Arial" w:hAnsi="Arial" w:cs="Arial"/>
        </w:rPr>
      </w:pPr>
      <w:r w:rsidRPr="004D6466">
        <w:rPr>
          <w:rFonts w:ascii="Arial" w:hAnsi="Arial" w:cs="Arial"/>
        </w:rPr>
        <w:t>En la presidencia Luis Ignacio Lula da Silva demostró su gran inteligencia, pragmatismo, firme y conciliador, logró balancear su pensamiento de izquierda con medidas necesarias para el país aunque hubieran podido ser consideradas de derecha como el nombramiento de Henrique Meirelles para la dirección del Banco Central de Brasil, habiendo sido el Presidente del BankBoston USA.</w:t>
      </w:r>
    </w:p>
    <w:p w:rsidR="00A66191" w:rsidRPr="004D6466" w:rsidRDefault="00A66191" w:rsidP="00A66191">
      <w:pPr>
        <w:pStyle w:val="NormalWeb"/>
        <w:spacing w:line="360" w:lineRule="auto"/>
        <w:jc w:val="both"/>
        <w:rPr>
          <w:rFonts w:ascii="Arial" w:hAnsi="Arial" w:cs="Arial"/>
        </w:rPr>
      </w:pPr>
    </w:p>
    <w:p w:rsidR="00A66191" w:rsidRPr="004D6466" w:rsidRDefault="00A66191" w:rsidP="00A66191">
      <w:pPr>
        <w:pStyle w:val="NormalWeb"/>
        <w:spacing w:line="360" w:lineRule="auto"/>
        <w:jc w:val="both"/>
        <w:rPr>
          <w:rFonts w:ascii="Arial" w:hAnsi="Arial" w:cs="Arial"/>
          <w:b/>
        </w:rPr>
      </w:pPr>
      <w:r w:rsidRPr="004D6466">
        <w:rPr>
          <w:rFonts w:ascii="Arial" w:hAnsi="Arial" w:cs="Arial"/>
          <w:b/>
        </w:rPr>
        <w:lastRenderedPageBreak/>
        <w:t>El origen y la vida de Rafael Correa Delgado</w:t>
      </w:r>
    </w:p>
    <w:p w:rsidR="00A66191" w:rsidRPr="004D6466" w:rsidRDefault="00A66191" w:rsidP="00A66191">
      <w:pPr>
        <w:pStyle w:val="NormalWeb"/>
        <w:spacing w:line="360" w:lineRule="auto"/>
        <w:jc w:val="both"/>
        <w:rPr>
          <w:rFonts w:ascii="Arial" w:hAnsi="Arial" w:cs="Arial"/>
        </w:rPr>
      </w:pPr>
      <w:r w:rsidRPr="004D6466">
        <w:rPr>
          <w:rFonts w:ascii="Arial" w:hAnsi="Arial" w:cs="Arial"/>
        </w:rPr>
        <w:t>El Eco. Rafael Correa Delgado nació el 6 de abril de 1963, su padre fue Rafael Correa Icaza que falleció en 1995; su madre, Norma Delgado Rendón, proviene de una familia de clase media trabajadora de Guayaquil.</w:t>
      </w:r>
    </w:p>
    <w:p w:rsidR="00A66191" w:rsidRPr="004D6466" w:rsidRDefault="00A66191" w:rsidP="00A66191">
      <w:pPr>
        <w:pStyle w:val="NormalWeb"/>
        <w:spacing w:line="360" w:lineRule="auto"/>
        <w:jc w:val="both"/>
        <w:rPr>
          <w:rFonts w:ascii="Arial" w:hAnsi="Arial" w:cs="Arial"/>
        </w:rPr>
      </w:pPr>
      <w:r w:rsidRPr="004D6466">
        <w:rPr>
          <w:rFonts w:ascii="Arial" w:hAnsi="Arial" w:cs="Arial"/>
        </w:rPr>
        <w:t xml:space="preserve">Estudió la primaria y secundaria en el colegio católico San José- la Salle de Guayaquil, obtuvo una beca para estudiar en la Universidad Católica de Santiago de Guayaquil  en la que se graduó de economía, posteriormente sirvió un año de voluntario en una misión salesiana de </w:t>
      </w:r>
      <w:hyperlink r:id="rId155" w:tooltip="Zumbahua (aún no redactado)" w:history="1">
        <w:r w:rsidRPr="004D6466">
          <w:rPr>
            <w:rStyle w:val="Hipervnculo"/>
            <w:rFonts w:ascii="Arial" w:hAnsi="Arial" w:cs="Arial"/>
            <w:color w:val="auto"/>
            <w:u w:val="none"/>
          </w:rPr>
          <w:t>Zumbahua</w:t>
        </w:r>
      </w:hyperlink>
      <w:r w:rsidRPr="004D6466">
        <w:rPr>
          <w:rFonts w:ascii="Arial" w:hAnsi="Arial" w:cs="Arial"/>
        </w:rPr>
        <w:t xml:space="preserve"> (</w:t>
      </w:r>
      <w:hyperlink r:id="rId156" w:tooltip="Provincia de Cotopaxi" w:history="1">
        <w:r w:rsidRPr="004D6466">
          <w:rPr>
            <w:rStyle w:val="Hipervnculo"/>
            <w:rFonts w:ascii="Arial" w:hAnsi="Arial" w:cs="Arial"/>
            <w:color w:val="auto"/>
            <w:u w:val="none"/>
          </w:rPr>
          <w:t>Provincia de Cotopaxi</w:t>
        </w:r>
      </w:hyperlink>
      <w:r w:rsidRPr="004D6466">
        <w:rPr>
          <w:rFonts w:ascii="Arial" w:hAnsi="Arial" w:cs="Arial"/>
        </w:rPr>
        <w:t xml:space="preserve">), poblado rural de </w:t>
      </w:r>
      <w:hyperlink r:id="rId157" w:tooltip="Extrema pobreza" w:history="1">
        <w:r w:rsidRPr="004D6466">
          <w:rPr>
            <w:rStyle w:val="Hipervnculo"/>
            <w:rFonts w:ascii="Arial" w:hAnsi="Arial" w:cs="Arial"/>
            <w:color w:val="auto"/>
            <w:u w:val="none"/>
          </w:rPr>
          <w:t>extrema pobreza</w:t>
        </w:r>
      </w:hyperlink>
      <w:r w:rsidRPr="004D6466">
        <w:rPr>
          <w:rFonts w:ascii="Arial" w:hAnsi="Arial" w:cs="Arial"/>
        </w:rPr>
        <w:t xml:space="preserve"> donde prestó labores de </w:t>
      </w:r>
      <w:hyperlink r:id="rId158" w:tooltip="Alfabetización" w:history="1">
        <w:r w:rsidRPr="004D6466">
          <w:rPr>
            <w:rStyle w:val="Hipervnculo"/>
            <w:rFonts w:ascii="Arial" w:hAnsi="Arial" w:cs="Arial"/>
            <w:color w:val="auto"/>
            <w:u w:val="none"/>
          </w:rPr>
          <w:t>alfabetización</w:t>
        </w:r>
      </w:hyperlink>
      <w:r w:rsidRPr="004D6466">
        <w:rPr>
          <w:rFonts w:ascii="Arial" w:hAnsi="Arial" w:cs="Arial"/>
        </w:rPr>
        <w:t xml:space="preserve"> a indígenas y asesoramiento en el desarrollo de </w:t>
      </w:r>
      <w:hyperlink r:id="rId159" w:tooltip="Microempresa" w:history="1">
        <w:r w:rsidRPr="004D6466">
          <w:rPr>
            <w:rStyle w:val="Hipervnculo"/>
            <w:rFonts w:ascii="Arial" w:hAnsi="Arial" w:cs="Arial"/>
            <w:color w:val="auto"/>
            <w:u w:val="none"/>
          </w:rPr>
          <w:t>microempresas</w:t>
        </w:r>
      </w:hyperlink>
      <w:r w:rsidRPr="004D6466">
        <w:rPr>
          <w:rFonts w:ascii="Arial" w:hAnsi="Arial" w:cs="Arial"/>
        </w:rPr>
        <w:t xml:space="preserve">. Durante este tiempo adquirió sus conocimientos de </w:t>
      </w:r>
      <w:hyperlink r:id="rId160" w:tooltip="Quichua" w:history="1">
        <w:r w:rsidRPr="004D6466">
          <w:rPr>
            <w:rStyle w:val="Hipervnculo"/>
            <w:rFonts w:ascii="Arial" w:hAnsi="Arial" w:cs="Arial"/>
            <w:color w:val="auto"/>
            <w:u w:val="none"/>
          </w:rPr>
          <w:t>quichua</w:t>
        </w:r>
      </w:hyperlink>
      <w:r w:rsidRPr="004D6466">
        <w:rPr>
          <w:rFonts w:ascii="Arial" w:hAnsi="Arial" w:cs="Arial"/>
        </w:rPr>
        <w:t xml:space="preserve">. </w:t>
      </w:r>
    </w:p>
    <w:p w:rsidR="00A66191" w:rsidRPr="004D6466" w:rsidRDefault="00A66191" w:rsidP="00A66191">
      <w:pPr>
        <w:pStyle w:val="NormalWeb"/>
        <w:spacing w:line="360" w:lineRule="auto"/>
        <w:jc w:val="both"/>
        <w:rPr>
          <w:rFonts w:ascii="Arial" w:hAnsi="Arial" w:cs="Arial"/>
        </w:rPr>
      </w:pPr>
      <w:r w:rsidRPr="004D6466">
        <w:rPr>
          <w:rFonts w:ascii="Arial" w:hAnsi="Arial" w:cs="Arial"/>
        </w:rPr>
        <w:t xml:space="preserve">En 1991 obtuvo una nueva beca que le permitió cursar una </w:t>
      </w:r>
      <w:hyperlink r:id="rId161" w:tooltip="Maestría" w:history="1">
        <w:r w:rsidRPr="004D6466">
          <w:rPr>
            <w:rStyle w:val="Hipervnculo"/>
            <w:rFonts w:ascii="Arial" w:hAnsi="Arial" w:cs="Arial"/>
            <w:color w:val="auto"/>
            <w:u w:val="none"/>
          </w:rPr>
          <w:t>Maestría</w:t>
        </w:r>
      </w:hyperlink>
      <w:r w:rsidRPr="004D6466">
        <w:rPr>
          <w:rFonts w:ascii="Arial" w:hAnsi="Arial" w:cs="Arial"/>
        </w:rPr>
        <w:t xml:space="preserve"> Artes en Economía en la Universidad Católica de Lovaina la Nueva (Bélgica). Mediante un intercambio académico auspiciado por la </w:t>
      </w:r>
      <w:hyperlink r:id="rId162" w:tooltip="Universidad San Francisco de Quito" w:history="1">
        <w:r w:rsidRPr="004D6466">
          <w:rPr>
            <w:rStyle w:val="Hipervnculo"/>
            <w:rFonts w:ascii="Arial" w:hAnsi="Arial" w:cs="Arial"/>
            <w:color w:val="auto"/>
            <w:u w:val="none"/>
          </w:rPr>
          <w:t>Universidad San Francisco de Quito</w:t>
        </w:r>
      </w:hyperlink>
      <w:r w:rsidRPr="004D6466">
        <w:rPr>
          <w:rFonts w:ascii="Arial" w:hAnsi="Arial" w:cs="Arial"/>
        </w:rPr>
        <w:t xml:space="preserve">, estudió en la </w:t>
      </w:r>
      <w:hyperlink r:id="rId163" w:tooltip="Universidad de Illinois en Urbana-Champaign" w:history="1">
        <w:r w:rsidRPr="004D6466">
          <w:rPr>
            <w:rStyle w:val="Hipervnculo"/>
            <w:rFonts w:ascii="Arial" w:hAnsi="Arial" w:cs="Arial"/>
            <w:color w:val="auto"/>
            <w:u w:val="none"/>
          </w:rPr>
          <w:t>Universidad de Illinois en Urbana-Champaign</w:t>
        </w:r>
      </w:hyperlink>
      <w:r w:rsidRPr="004D6466">
        <w:rPr>
          <w:rFonts w:ascii="Arial" w:hAnsi="Arial" w:cs="Arial"/>
        </w:rPr>
        <w:t xml:space="preserve">, </w:t>
      </w:r>
      <w:hyperlink r:id="rId164" w:tooltip="Estados Unidos" w:history="1">
        <w:r w:rsidRPr="004D6466">
          <w:rPr>
            <w:rStyle w:val="Hipervnculo"/>
            <w:rFonts w:ascii="Arial" w:hAnsi="Arial" w:cs="Arial"/>
            <w:color w:val="auto"/>
            <w:u w:val="none"/>
          </w:rPr>
          <w:t>Estados Unidos</w:t>
        </w:r>
      </w:hyperlink>
      <w:r w:rsidRPr="004D6466">
        <w:rPr>
          <w:rFonts w:ascii="Arial" w:hAnsi="Arial" w:cs="Arial"/>
        </w:rPr>
        <w:t xml:space="preserve"> hasta doctorarse en economía en </w:t>
      </w:r>
      <w:hyperlink r:id="rId165" w:tooltip="2001" w:history="1">
        <w:r w:rsidRPr="004D6466">
          <w:rPr>
            <w:rStyle w:val="Hipervnculo"/>
            <w:rFonts w:ascii="Arial" w:hAnsi="Arial" w:cs="Arial"/>
            <w:color w:val="auto"/>
            <w:u w:val="none"/>
          </w:rPr>
          <w:t>2001</w:t>
        </w:r>
      </w:hyperlink>
      <w:r w:rsidRPr="004D6466">
        <w:rPr>
          <w:rFonts w:ascii="Arial" w:hAnsi="Arial" w:cs="Arial"/>
        </w:rPr>
        <w:t>.</w:t>
      </w:r>
    </w:p>
    <w:p w:rsidR="00A66191" w:rsidRPr="004D6466" w:rsidRDefault="00A66191" w:rsidP="00A66191">
      <w:pPr>
        <w:pStyle w:val="NormalWeb"/>
        <w:spacing w:line="360" w:lineRule="auto"/>
        <w:jc w:val="both"/>
        <w:rPr>
          <w:rFonts w:ascii="Arial" w:hAnsi="Arial" w:cs="Arial"/>
        </w:rPr>
      </w:pPr>
      <w:r w:rsidRPr="004D6466">
        <w:rPr>
          <w:rFonts w:ascii="Arial" w:hAnsi="Arial" w:cs="Arial"/>
        </w:rPr>
        <w:t>El 20 de abril del 2005 fue nombrado Ministro de Finanzas en el gobierno de Alfredo Palacio y tras diferencias con el presidente salió de la cartera de Estado el 8 de agosto del mismo año.</w:t>
      </w:r>
    </w:p>
    <w:p w:rsidR="00A66191" w:rsidRPr="004D6466" w:rsidRDefault="00A66191" w:rsidP="00A66191">
      <w:pPr>
        <w:pStyle w:val="NormalWeb"/>
        <w:spacing w:line="360" w:lineRule="auto"/>
        <w:jc w:val="both"/>
        <w:rPr>
          <w:rFonts w:ascii="Arial" w:hAnsi="Arial" w:cs="Arial"/>
        </w:rPr>
      </w:pPr>
      <w:r w:rsidRPr="004D6466">
        <w:rPr>
          <w:rFonts w:ascii="Arial" w:hAnsi="Arial" w:cs="Arial"/>
        </w:rPr>
        <w:t xml:space="preserve">A inicios del 2006 lanzó su campaña electoral para la presidencia de la república con el movimiento político Alianza País y  fue </w:t>
      </w:r>
      <w:hyperlink r:id="rId166" w:tooltip="Elecciones" w:history="1">
        <w:r w:rsidRPr="004D6466">
          <w:rPr>
            <w:rStyle w:val="Hipervnculo"/>
            <w:rFonts w:ascii="Arial" w:hAnsi="Arial" w:cs="Arial"/>
            <w:color w:val="auto"/>
            <w:u w:val="none"/>
          </w:rPr>
          <w:t>electo</w:t>
        </w:r>
      </w:hyperlink>
      <w:r w:rsidRPr="004D6466">
        <w:rPr>
          <w:rFonts w:ascii="Arial" w:hAnsi="Arial" w:cs="Arial"/>
        </w:rPr>
        <w:t xml:space="preserve"> Presidente de Ecuador, por primera vez. En la </w:t>
      </w:r>
      <w:hyperlink r:id="rId167" w:tooltip="Segunda vuelta electoral" w:history="1">
        <w:r w:rsidRPr="004D6466">
          <w:rPr>
            <w:rStyle w:val="Hipervnculo"/>
            <w:rFonts w:ascii="Arial" w:hAnsi="Arial" w:cs="Arial"/>
            <w:color w:val="auto"/>
            <w:u w:val="none"/>
          </w:rPr>
          <w:t>segunda vuelta electoral</w:t>
        </w:r>
      </w:hyperlink>
      <w:r w:rsidRPr="004D6466">
        <w:rPr>
          <w:rFonts w:ascii="Arial" w:hAnsi="Arial" w:cs="Arial"/>
        </w:rPr>
        <w:t xml:space="preserve"> el </w:t>
      </w:r>
      <w:hyperlink r:id="rId168" w:tooltip="26 de noviembre" w:history="1">
        <w:r w:rsidRPr="004D6466">
          <w:rPr>
            <w:rStyle w:val="Hipervnculo"/>
            <w:rFonts w:ascii="Arial" w:hAnsi="Arial" w:cs="Arial"/>
            <w:color w:val="auto"/>
            <w:u w:val="none"/>
          </w:rPr>
          <w:t>26 de noviembre</w:t>
        </w:r>
      </w:hyperlink>
      <w:r w:rsidRPr="004D6466">
        <w:rPr>
          <w:rFonts w:ascii="Arial" w:hAnsi="Arial" w:cs="Arial"/>
        </w:rPr>
        <w:t xml:space="preserve"> de </w:t>
      </w:r>
      <w:hyperlink r:id="rId169" w:tooltip="2006" w:history="1">
        <w:r w:rsidRPr="004D6466">
          <w:rPr>
            <w:rStyle w:val="Hipervnculo"/>
            <w:rFonts w:ascii="Arial" w:hAnsi="Arial" w:cs="Arial"/>
            <w:color w:val="auto"/>
            <w:u w:val="none"/>
          </w:rPr>
          <w:t>2006</w:t>
        </w:r>
      </w:hyperlink>
      <w:r w:rsidRPr="004D6466">
        <w:rPr>
          <w:rFonts w:ascii="Arial" w:hAnsi="Arial" w:cs="Arial"/>
        </w:rPr>
        <w:t xml:space="preserve"> ganó al candidato </w:t>
      </w:r>
      <w:hyperlink r:id="rId170" w:tooltip="Álvaro Noboa" w:history="1">
        <w:r w:rsidRPr="004D6466">
          <w:rPr>
            <w:rStyle w:val="Hipervnculo"/>
            <w:rFonts w:ascii="Arial" w:hAnsi="Arial" w:cs="Arial"/>
            <w:color w:val="auto"/>
            <w:u w:val="none"/>
          </w:rPr>
          <w:t>Álvaro Noboa</w:t>
        </w:r>
      </w:hyperlink>
      <w:r w:rsidRPr="004D6466">
        <w:rPr>
          <w:rFonts w:ascii="Arial" w:hAnsi="Arial" w:cs="Arial"/>
        </w:rPr>
        <w:t>, con el 56,67% de los votos.</w:t>
      </w:r>
      <w:r w:rsidRPr="004D6466">
        <w:rPr>
          <w:rStyle w:val="corchete-llamada1"/>
          <w:vertAlign w:val="superscript"/>
        </w:rPr>
        <w:t>[]</w:t>
      </w:r>
    </w:p>
    <w:p w:rsidR="00A66191" w:rsidRPr="004D6466" w:rsidRDefault="00A66191" w:rsidP="00A66191">
      <w:pPr>
        <w:pStyle w:val="NormalWeb"/>
        <w:spacing w:line="360" w:lineRule="auto"/>
        <w:jc w:val="both"/>
        <w:rPr>
          <w:rFonts w:ascii="Arial" w:hAnsi="Arial" w:cs="Arial"/>
        </w:rPr>
      </w:pPr>
      <w:r w:rsidRPr="004D6466">
        <w:rPr>
          <w:rFonts w:ascii="Arial" w:hAnsi="Arial" w:cs="Arial"/>
        </w:rPr>
        <w:t>En su discurso de toma de posesión, Correa se refirió a la necesidad de "la lucha por una Revolución Ciudadana, consistente en el cambio radical, profundo y rápido del sistema político, económico y social vigente”</w:t>
      </w:r>
      <w:r w:rsidRPr="004D6466">
        <w:rPr>
          <w:rStyle w:val="Refdenotaalpie"/>
          <w:rFonts w:ascii="Arial" w:eastAsiaTheme="majorEastAsia" w:hAnsi="Arial" w:cs="Arial"/>
        </w:rPr>
        <w:footnoteReference w:id="55"/>
      </w:r>
    </w:p>
    <w:p w:rsidR="00A66191" w:rsidRPr="004D6466" w:rsidRDefault="00A66191" w:rsidP="00A66191">
      <w:pPr>
        <w:pStyle w:val="NormalWeb"/>
        <w:spacing w:line="360" w:lineRule="auto"/>
        <w:jc w:val="both"/>
        <w:rPr>
          <w:rFonts w:ascii="Arial" w:hAnsi="Arial" w:cs="Arial"/>
        </w:rPr>
      </w:pPr>
      <w:r w:rsidRPr="004D6466">
        <w:rPr>
          <w:rFonts w:ascii="Arial" w:hAnsi="Arial" w:cs="Arial"/>
        </w:rPr>
        <w:lastRenderedPageBreak/>
        <w:t xml:space="preserve">Correa fue </w:t>
      </w:r>
      <w:hyperlink r:id="rId171" w:tooltip="Elecciones" w:history="1">
        <w:r w:rsidRPr="004D6466">
          <w:rPr>
            <w:rStyle w:val="Hipervnculo"/>
            <w:rFonts w:ascii="Arial" w:hAnsi="Arial" w:cs="Arial"/>
            <w:color w:val="auto"/>
            <w:u w:val="none"/>
          </w:rPr>
          <w:t>electo</w:t>
        </w:r>
      </w:hyperlink>
      <w:r w:rsidRPr="004D6466">
        <w:rPr>
          <w:rFonts w:ascii="Arial" w:hAnsi="Arial" w:cs="Arial"/>
        </w:rPr>
        <w:t xml:space="preserve"> Presidente de Ecuador, por segunda vez, en las </w:t>
      </w:r>
      <w:hyperlink r:id="rId172" w:tooltip="Elecciones presidenciales de Ecuador de 2009" w:history="1">
        <w:r w:rsidRPr="004D6466">
          <w:rPr>
            <w:rStyle w:val="Hipervnculo"/>
            <w:rFonts w:ascii="Arial" w:hAnsi="Arial" w:cs="Arial"/>
            <w:color w:val="auto"/>
            <w:u w:val="none"/>
          </w:rPr>
          <w:t>elecciones presidenciales de 2009</w:t>
        </w:r>
      </w:hyperlink>
      <w:r w:rsidRPr="004D6466">
        <w:rPr>
          <w:rFonts w:ascii="Arial" w:hAnsi="Arial" w:cs="Arial"/>
        </w:rPr>
        <w:t xml:space="preserve">. En </w:t>
      </w:r>
      <w:hyperlink r:id="rId173" w:tooltip="Primera vuelta electoral (aún no redactado)" w:history="1">
        <w:r w:rsidRPr="004D6466">
          <w:rPr>
            <w:rStyle w:val="Hipervnculo"/>
            <w:rFonts w:ascii="Arial" w:hAnsi="Arial" w:cs="Arial"/>
            <w:color w:val="auto"/>
            <w:u w:val="none"/>
          </w:rPr>
          <w:t>primera vuelta electoral</w:t>
        </w:r>
      </w:hyperlink>
      <w:r w:rsidRPr="004D6466">
        <w:rPr>
          <w:rFonts w:ascii="Arial" w:hAnsi="Arial" w:cs="Arial"/>
        </w:rPr>
        <w:t xml:space="preserve"> el </w:t>
      </w:r>
      <w:hyperlink r:id="rId174" w:tooltip="26 de abril" w:history="1">
        <w:r w:rsidRPr="004D6466">
          <w:rPr>
            <w:rStyle w:val="Hipervnculo"/>
            <w:rFonts w:ascii="Arial" w:hAnsi="Arial" w:cs="Arial"/>
            <w:color w:val="auto"/>
            <w:u w:val="none"/>
          </w:rPr>
          <w:t>26 de abril</w:t>
        </w:r>
      </w:hyperlink>
      <w:r w:rsidRPr="004D6466">
        <w:rPr>
          <w:rFonts w:ascii="Arial" w:hAnsi="Arial" w:cs="Arial"/>
        </w:rPr>
        <w:t xml:space="preserve"> de </w:t>
      </w:r>
      <w:hyperlink r:id="rId175" w:tooltip="2009" w:history="1">
        <w:r w:rsidRPr="004D6466">
          <w:rPr>
            <w:rStyle w:val="Hipervnculo"/>
            <w:rFonts w:ascii="Arial" w:hAnsi="Arial" w:cs="Arial"/>
            <w:color w:val="auto"/>
            <w:u w:val="none"/>
          </w:rPr>
          <w:t>2009</w:t>
        </w:r>
      </w:hyperlink>
      <w:r w:rsidRPr="004D6466">
        <w:rPr>
          <w:rFonts w:ascii="Arial" w:hAnsi="Arial" w:cs="Arial"/>
        </w:rPr>
        <w:t xml:space="preserve"> ganó con el 51,99% de votos contables (porcentaje más alto de la historia ecuatoriana hasta ese momento), razón por la cual no fue necesaria una segunda vuelta.</w:t>
      </w:r>
    </w:p>
    <w:p w:rsidR="00A66191" w:rsidRPr="004D6466" w:rsidRDefault="00A66191" w:rsidP="00A66191">
      <w:pPr>
        <w:pStyle w:val="NormalWeb"/>
        <w:spacing w:line="360" w:lineRule="auto"/>
        <w:jc w:val="both"/>
        <w:rPr>
          <w:rFonts w:ascii="Arial" w:hAnsi="Arial" w:cs="Arial"/>
        </w:rPr>
      </w:pPr>
      <w:r w:rsidRPr="004D6466">
        <w:rPr>
          <w:rFonts w:ascii="Arial" w:hAnsi="Arial" w:cs="Arial"/>
        </w:rPr>
        <w:t>El 17 de febrero del 2013 se realizaron las elecciones para binomios presidenciales y asambleístas en el cual según resultados oficiales el presidente Rafael Correa fue reelecto en primera vuelta con el 57.17% correspondiente a  4.918.482 millones de votantes, seguido por Guillermo Lasso que obtuvo el 22.68% correspondiente a 1.951.102 millones de votantes.</w:t>
      </w:r>
      <w:r w:rsidRPr="004D6466">
        <w:rPr>
          <w:rStyle w:val="corchete-llamada1"/>
          <w:rFonts w:ascii="Arial" w:hAnsi="Arial" w:cs="Arial"/>
          <w:vertAlign w:val="superscript"/>
        </w:rPr>
        <w:t xml:space="preserve"> []</w:t>
      </w:r>
    </w:p>
    <w:p w:rsidR="00A66191" w:rsidRPr="004D6466" w:rsidRDefault="00A66191" w:rsidP="00A66191">
      <w:pPr>
        <w:pStyle w:val="NormalWeb"/>
        <w:spacing w:line="360" w:lineRule="auto"/>
        <w:jc w:val="both"/>
        <w:rPr>
          <w:rFonts w:ascii="Arial" w:hAnsi="Arial" w:cs="Arial"/>
          <w:vertAlign w:val="superscript"/>
        </w:rPr>
      </w:pPr>
      <w:r w:rsidRPr="004D6466">
        <w:rPr>
          <w:rFonts w:ascii="Arial" w:hAnsi="Arial" w:cs="Arial"/>
        </w:rPr>
        <w:t xml:space="preserve">Su primer mandato debía concluir el </w:t>
      </w:r>
      <w:hyperlink r:id="rId176" w:tooltip="15 de enero" w:history="1">
        <w:r w:rsidRPr="004D6466">
          <w:rPr>
            <w:rStyle w:val="Hipervnculo"/>
            <w:rFonts w:ascii="Arial" w:hAnsi="Arial" w:cs="Arial"/>
            <w:color w:val="auto"/>
            <w:u w:val="none"/>
          </w:rPr>
          <w:t>15 de enero</w:t>
        </w:r>
      </w:hyperlink>
      <w:r w:rsidRPr="004D6466">
        <w:rPr>
          <w:rFonts w:ascii="Arial" w:hAnsi="Arial" w:cs="Arial"/>
        </w:rPr>
        <w:t xml:space="preserve"> de </w:t>
      </w:r>
      <w:hyperlink r:id="rId177" w:tooltip="2011" w:history="1">
        <w:r w:rsidRPr="004D6466">
          <w:rPr>
            <w:rStyle w:val="Hipervnculo"/>
            <w:rFonts w:ascii="Arial" w:hAnsi="Arial" w:cs="Arial"/>
            <w:color w:val="auto"/>
            <w:u w:val="none"/>
          </w:rPr>
          <w:t>2011</w:t>
        </w:r>
      </w:hyperlink>
      <w:r w:rsidRPr="004D6466">
        <w:rPr>
          <w:rFonts w:ascii="Arial" w:hAnsi="Arial" w:cs="Arial"/>
        </w:rPr>
        <w:t xml:space="preserve">, pero la nueva </w:t>
      </w:r>
      <w:hyperlink r:id="rId178" w:tooltip="Constitución" w:history="1">
        <w:r w:rsidRPr="004D6466">
          <w:rPr>
            <w:rStyle w:val="Hipervnculo"/>
            <w:rFonts w:ascii="Arial" w:hAnsi="Arial" w:cs="Arial"/>
            <w:color w:val="auto"/>
            <w:u w:val="none"/>
          </w:rPr>
          <w:t>Constitución</w:t>
        </w:r>
      </w:hyperlink>
      <w:r w:rsidRPr="004D6466">
        <w:rPr>
          <w:rFonts w:ascii="Arial" w:hAnsi="Arial" w:cs="Arial"/>
        </w:rPr>
        <w:t xml:space="preserve"> redactada por la </w:t>
      </w:r>
      <w:hyperlink r:id="rId179" w:tooltip="Asamblea Nacional Constituyente de Ecuador de 2007" w:history="1">
        <w:r w:rsidRPr="004D6466">
          <w:rPr>
            <w:rStyle w:val="Hipervnculo"/>
            <w:rFonts w:ascii="Arial" w:hAnsi="Arial" w:cs="Arial"/>
            <w:color w:val="auto"/>
            <w:u w:val="none"/>
          </w:rPr>
          <w:t>Asamblea Nacional</w:t>
        </w:r>
      </w:hyperlink>
      <w:r w:rsidRPr="004D6466">
        <w:rPr>
          <w:rFonts w:ascii="Arial" w:hAnsi="Arial" w:cs="Arial"/>
        </w:rPr>
        <w:t xml:space="preserve"> ordenó adelantar los comicios para todas las dignidades del país, y se reinició el periodo presidencial contándolo como si fuera su primera presidencia, este mandato inició el 10 de agosto de 2009.</w:t>
      </w:r>
      <w:r w:rsidRPr="004D6466">
        <w:rPr>
          <w:rStyle w:val="corchete-llamada1"/>
          <w:rFonts w:ascii="Arial" w:hAnsi="Arial" w:cs="Arial"/>
          <w:vertAlign w:val="superscript"/>
        </w:rPr>
        <w:t>[</w:t>
      </w:r>
      <w:r w:rsidRPr="004D6466">
        <w:rPr>
          <w:rFonts w:ascii="Arial" w:hAnsi="Arial" w:cs="Arial"/>
        </w:rPr>
        <w:t>En el 2013 fue reelecto en primera vuelta.</w:t>
      </w:r>
      <w:r w:rsidRPr="004D6466">
        <w:rPr>
          <w:rStyle w:val="corchete-llamada1"/>
          <w:rFonts w:ascii="Arial" w:hAnsi="Arial" w:cs="Arial"/>
          <w:vertAlign w:val="superscript"/>
        </w:rPr>
        <w:t>]</w:t>
      </w:r>
    </w:p>
    <w:p w:rsidR="00A66191" w:rsidRPr="004D6466" w:rsidRDefault="00A66191" w:rsidP="00A66191">
      <w:pPr>
        <w:spacing w:line="360" w:lineRule="auto"/>
        <w:jc w:val="both"/>
        <w:rPr>
          <w:rFonts w:ascii="Arial" w:hAnsi="Arial" w:cs="Arial"/>
          <w:sz w:val="24"/>
          <w:szCs w:val="24"/>
        </w:rPr>
      </w:pPr>
      <w:r w:rsidRPr="004D6466">
        <w:rPr>
          <w:rFonts w:ascii="Arial" w:hAnsi="Arial" w:cs="Arial"/>
          <w:b/>
          <w:sz w:val="24"/>
          <w:szCs w:val="24"/>
        </w:rPr>
        <w:t>5.1 Análisis comparativo de los dos modelos</w:t>
      </w:r>
    </w:p>
    <w:p w:rsidR="00A66191" w:rsidRPr="004D6466" w:rsidRDefault="00A66191" w:rsidP="00A66191">
      <w:pPr>
        <w:tabs>
          <w:tab w:val="left" w:pos="142"/>
        </w:tabs>
        <w:spacing w:line="360" w:lineRule="auto"/>
        <w:jc w:val="both"/>
        <w:rPr>
          <w:rFonts w:ascii="Arial" w:hAnsi="Arial" w:cs="Arial"/>
          <w:sz w:val="24"/>
          <w:szCs w:val="24"/>
        </w:rPr>
      </w:pPr>
      <w:r w:rsidRPr="004D6466">
        <w:rPr>
          <w:rFonts w:ascii="Arial" w:hAnsi="Arial" w:cs="Arial"/>
          <w:sz w:val="24"/>
          <w:szCs w:val="24"/>
        </w:rPr>
        <w:t>Para realizar el análisis comparativo de los modelos de desarrollo aplicados en los dos países, se construyó la matriz comparativa (anexo N. 3) y el cuadro de cifras comparativas (anexo N.4). En ellos se registraron las medidas adoptadas y los resultados de la aplicación de las medidas lo que facilitó la identificación de similitudes y diferencias interesantes como las siguientes:</w:t>
      </w:r>
    </w:p>
    <w:p w:rsidR="00A66191" w:rsidRPr="004D6466" w:rsidRDefault="00A66191" w:rsidP="00A66191">
      <w:pPr>
        <w:tabs>
          <w:tab w:val="left" w:pos="142"/>
        </w:tabs>
        <w:spacing w:line="360" w:lineRule="auto"/>
        <w:jc w:val="both"/>
        <w:rPr>
          <w:rFonts w:ascii="Arial" w:hAnsi="Arial" w:cs="Arial"/>
          <w:b/>
          <w:i/>
          <w:sz w:val="24"/>
          <w:szCs w:val="24"/>
        </w:rPr>
      </w:pPr>
      <w:r w:rsidRPr="004D6466">
        <w:rPr>
          <w:rFonts w:ascii="Arial" w:hAnsi="Arial" w:cs="Arial"/>
          <w:b/>
          <w:i/>
          <w:sz w:val="24"/>
          <w:szCs w:val="24"/>
        </w:rPr>
        <w:t>Similitudes en los modelos</w:t>
      </w:r>
    </w:p>
    <w:p w:rsidR="00A66191" w:rsidRPr="004D6466" w:rsidRDefault="00A66191" w:rsidP="00A66191">
      <w:pPr>
        <w:tabs>
          <w:tab w:val="left" w:pos="142"/>
        </w:tabs>
        <w:spacing w:line="360" w:lineRule="auto"/>
        <w:jc w:val="both"/>
        <w:rPr>
          <w:rFonts w:ascii="Arial" w:hAnsi="Arial" w:cs="Arial"/>
          <w:sz w:val="24"/>
          <w:szCs w:val="24"/>
        </w:rPr>
      </w:pPr>
      <w:r w:rsidRPr="004D6466">
        <w:rPr>
          <w:rFonts w:ascii="Arial" w:hAnsi="Arial" w:cs="Arial"/>
          <w:sz w:val="24"/>
          <w:szCs w:val="24"/>
        </w:rPr>
        <w:t xml:space="preserve">Existen </w:t>
      </w:r>
      <w:r w:rsidRPr="004D6466">
        <w:rPr>
          <w:rFonts w:ascii="Arial" w:hAnsi="Arial" w:cs="Arial"/>
          <w:b/>
          <w:i/>
          <w:sz w:val="24"/>
          <w:szCs w:val="24"/>
        </w:rPr>
        <w:t>estrategias similares</w:t>
      </w:r>
      <w:r w:rsidRPr="004D6466">
        <w:rPr>
          <w:rFonts w:ascii="Arial" w:hAnsi="Arial" w:cs="Arial"/>
          <w:sz w:val="24"/>
          <w:szCs w:val="24"/>
        </w:rPr>
        <w:t xml:space="preserve"> aplicadas en los dos países para enfrentar la pobreza de la mayoría de la población, tal es el caso del programa “</w:t>
      </w:r>
      <w:r w:rsidRPr="004D6466">
        <w:rPr>
          <w:rFonts w:ascii="Arial" w:hAnsi="Arial" w:cs="Arial"/>
          <w:i/>
          <w:sz w:val="24"/>
          <w:szCs w:val="24"/>
        </w:rPr>
        <w:t xml:space="preserve">Hambre Cero” </w:t>
      </w:r>
      <w:r w:rsidRPr="004D6466">
        <w:rPr>
          <w:rFonts w:ascii="Arial" w:hAnsi="Arial" w:cs="Arial"/>
          <w:sz w:val="24"/>
          <w:szCs w:val="24"/>
        </w:rPr>
        <w:t xml:space="preserve">aplicado en el Brasil y el </w:t>
      </w:r>
      <w:r w:rsidRPr="004D6466">
        <w:rPr>
          <w:rFonts w:ascii="Arial" w:hAnsi="Arial" w:cs="Arial"/>
          <w:i/>
          <w:sz w:val="24"/>
          <w:szCs w:val="24"/>
        </w:rPr>
        <w:t>“Bono de Desarrollo Humano</w:t>
      </w:r>
      <w:r w:rsidRPr="004D6466">
        <w:rPr>
          <w:rFonts w:ascii="Arial" w:hAnsi="Arial" w:cs="Arial"/>
          <w:sz w:val="24"/>
          <w:szCs w:val="24"/>
        </w:rPr>
        <w:t xml:space="preserve">” aplicado en el Ecuador, ambos procuran una renta mensual condicionada a la educación de los niños y a programas de salud. </w:t>
      </w:r>
    </w:p>
    <w:p w:rsidR="00A66191" w:rsidRPr="004D6466" w:rsidRDefault="00A66191" w:rsidP="00A66191">
      <w:pPr>
        <w:tabs>
          <w:tab w:val="left" w:pos="142"/>
        </w:tabs>
        <w:spacing w:line="360" w:lineRule="auto"/>
        <w:jc w:val="both"/>
        <w:rPr>
          <w:rFonts w:ascii="Arial" w:hAnsi="Arial" w:cs="Arial"/>
          <w:sz w:val="24"/>
          <w:szCs w:val="24"/>
        </w:rPr>
      </w:pPr>
      <w:r w:rsidRPr="004D6466">
        <w:rPr>
          <w:rFonts w:ascii="Arial" w:hAnsi="Arial" w:cs="Arial"/>
          <w:sz w:val="24"/>
          <w:szCs w:val="24"/>
        </w:rPr>
        <w:t xml:space="preserve">En términos de cobertura el programa </w:t>
      </w:r>
      <w:r w:rsidRPr="004D6466">
        <w:rPr>
          <w:rFonts w:ascii="Arial" w:hAnsi="Arial" w:cs="Arial"/>
          <w:i/>
          <w:sz w:val="24"/>
          <w:szCs w:val="24"/>
        </w:rPr>
        <w:t>“Hambre Cero”</w:t>
      </w:r>
      <w:r w:rsidRPr="004D6466">
        <w:rPr>
          <w:rFonts w:ascii="Arial" w:hAnsi="Arial" w:cs="Arial"/>
          <w:sz w:val="24"/>
          <w:szCs w:val="24"/>
        </w:rPr>
        <w:t xml:space="preserve"> llega a 6 millones y medio de familias de un total de la población del Brasil de 256 millones, mientras que el “</w:t>
      </w:r>
      <w:r w:rsidRPr="004D6466">
        <w:rPr>
          <w:rFonts w:ascii="Arial" w:hAnsi="Arial" w:cs="Arial"/>
          <w:i/>
          <w:sz w:val="24"/>
          <w:szCs w:val="24"/>
        </w:rPr>
        <w:t>Bono de Desarrollo Humano”</w:t>
      </w:r>
      <w:r w:rsidRPr="004D6466">
        <w:rPr>
          <w:rFonts w:ascii="Arial" w:hAnsi="Arial" w:cs="Arial"/>
          <w:sz w:val="24"/>
          <w:szCs w:val="24"/>
        </w:rPr>
        <w:t xml:space="preserve">  llega a 1.225.000 familias de </w:t>
      </w:r>
      <w:r w:rsidRPr="004D6466">
        <w:rPr>
          <w:rFonts w:ascii="Arial" w:hAnsi="Arial" w:cs="Arial"/>
          <w:sz w:val="24"/>
          <w:szCs w:val="24"/>
        </w:rPr>
        <w:lastRenderedPageBreak/>
        <w:t>una población de 12 millones. En términos porcentuales estamos hablando de que el “</w:t>
      </w:r>
      <w:r w:rsidRPr="004D6466">
        <w:rPr>
          <w:rFonts w:ascii="Arial" w:hAnsi="Arial" w:cs="Arial"/>
          <w:i/>
          <w:sz w:val="24"/>
          <w:szCs w:val="24"/>
        </w:rPr>
        <w:t xml:space="preserve">Bono de Desarrollo Humano” </w:t>
      </w:r>
      <w:r w:rsidRPr="004D6466">
        <w:rPr>
          <w:rFonts w:ascii="Arial" w:hAnsi="Arial" w:cs="Arial"/>
          <w:sz w:val="24"/>
          <w:szCs w:val="24"/>
        </w:rPr>
        <w:t>llega al 8.75% de la población ecuatoriana mientras que “</w:t>
      </w:r>
      <w:r w:rsidRPr="004D6466">
        <w:rPr>
          <w:rFonts w:ascii="Arial" w:hAnsi="Arial" w:cs="Arial"/>
          <w:i/>
          <w:sz w:val="24"/>
          <w:szCs w:val="24"/>
        </w:rPr>
        <w:t>Hambre Cero”</w:t>
      </w:r>
      <w:r w:rsidRPr="004D6466">
        <w:rPr>
          <w:rFonts w:ascii="Arial" w:hAnsi="Arial" w:cs="Arial"/>
          <w:sz w:val="24"/>
          <w:szCs w:val="24"/>
        </w:rPr>
        <w:t xml:space="preserve"> llegó al 2.07% de la población total del Brasil.  Es de vital importancia no caer en el error de considerar que el Ecuador ha tenido más éxito en la implementación del </w:t>
      </w:r>
      <w:r w:rsidRPr="004D6466">
        <w:rPr>
          <w:rFonts w:ascii="Arial" w:hAnsi="Arial" w:cs="Arial"/>
          <w:i/>
          <w:sz w:val="24"/>
          <w:szCs w:val="24"/>
        </w:rPr>
        <w:t>“Bono de Desarrollo Humano”</w:t>
      </w:r>
      <w:r w:rsidRPr="004D6466">
        <w:rPr>
          <w:rFonts w:ascii="Arial" w:hAnsi="Arial" w:cs="Arial"/>
          <w:sz w:val="24"/>
          <w:szCs w:val="24"/>
        </w:rPr>
        <w:t xml:space="preserve"> que el Brasil al aplicar el </w:t>
      </w:r>
      <w:r w:rsidRPr="004D6466">
        <w:rPr>
          <w:rFonts w:ascii="Arial" w:hAnsi="Arial" w:cs="Arial"/>
          <w:i/>
          <w:sz w:val="24"/>
          <w:szCs w:val="24"/>
        </w:rPr>
        <w:t>“Hambre Cero</w:t>
      </w:r>
      <w:r w:rsidRPr="004D6466">
        <w:rPr>
          <w:rFonts w:ascii="Arial" w:hAnsi="Arial" w:cs="Arial"/>
          <w:sz w:val="24"/>
          <w:szCs w:val="24"/>
        </w:rPr>
        <w:t>”, pues esto no es así, ya que hay que tomar en cuenta las diferencias geográficas, de tamaño, de cantidad, de población y las dificultades logísticas en la implementación de programas que involucran a todo el territorio brasileño.</w:t>
      </w:r>
    </w:p>
    <w:p w:rsidR="00A66191" w:rsidRPr="004D6466" w:rsidRDefault="00A66191" w:rsidP="00A66191">
      <w:pPr>
        <w:spacing w:line="360" w:lineRule="auto"/>
        <w:jc w:val="both"/>
        <w:rPr>
          <w:rFonts w:ascii="Arial" w:hAnsi="Arial" w:cs="Arial"/>
          <w:sz w:val="24"/>
          <w:szCs w:val="24"/>
        </w:rPr>
      </w:pPr>
      <w:r w:rsidRPr="004D6466">
        <w:rPr>
          <w:rFonts w:ascii="Arial" w:hAnsi="Arial" w:cs="Arial"/>
          <w:sz w:val="24"/>
          <w:szCs w:val="24"/>
        </w:rPr>
        <w:t xml:space="preserve">También pueden considerarse como estrategias similares los programas para erradicar el analfabetismo ya que Brasil posee el programa </w:t>
      </w:r>
      <w:r w:rsidRPr="004D6466">
        <w:rPr>
          <w:rFonts w:ascii="Arial" w:hAnsi="Arial" w:cs="Arial"/>
          <w:i/>
          <w:sz w:val="24"/>
          <w:szCs w:val="24"/>
        </w:rPr>
        <w:t>“Projovem</w:t>
      </w:r>
      <w:r w:rsidRPr="004D6466">
        <w:rPr>
          <w:rFonts w:ascii="Arial" w:hAnsi="Arial" w:cs="Arial"/>
          <w:sz w:val="24"/>
          <w:szCs w:val="24"/>
        </w:rPr>
        <w:t xml:space="preserve">” que tiene que ver con la inclusión de jóvenes al sistema educativo para elevar el grado de escolaridad, y el Ecuador tiene al </w:t>
      </w:r>
      <w:r w:rsidRPr="004D6466">
        <w:rPr>
          <w:rFonts w:ascii="Arial" w:hAnsi="Arial" w:cs="Arial"/>
          <w:i/>
          <w:sz w:val="24"/>
          <w:szCs w:val="24"/>
        </w:rPr>
        <w:t>“Proyecto de Educación Básica para Jóvenes y Adultos (EBJA)”</w:t>
      </w:r>
      <w:r w:rsidRPr="004D6466">
        <w:rPr>
          <w:rFonts w:ascii="Arial" w:hAnsi="Arial" w:cs="Arial"/>
          <w:sz w:val="24"/>
          <w:szCs w:val="24"/>
        </w:rPr>
        <w:t xml:space="preserve"> que tiene como propósito reducir la tasa de analfabetismo en el Ecuador en 2,8 puntos porcentuales hasta mayo del 2013, este también va dirigido a jóvenes que no pudieron ingresar al sistema educativo o no lo concluyeron. </w:t>
      </w:r>
    </w:p>
    <w:p w:rsidR="00A66191" w:rsidRPr="004D6466" w:rsidRDefault="00A66191" w:rsidP="00A66191">
      <w:pPr>
        <w:spacing w:line="360" w:lineRule="auto"/>
        <w:jc w:val="both"/>
        <w:rPr>
          <w:rFonts w:ascii="Arial" w:eastAsia="Times New Roman" w:hAnsi="Arial" w:cs="Arial"/>
          <w:sz w:val="24"/>
          <w:szCs w:val="24"/>
        </w:rPr>
      </w:pPr>
      <w:r w:rsidRPr="004D6466">
        <w:rPr>
          <w:rFonts w:ascii="Arial" w:hAnsi="Arial" w:cs="Arial"/>
          <w:sz w:val="24"/>
          <w:szCs w:val="24"/>
        </w:rPr>
        <w:t xml:space="preserve">Son similares también los programas para combatir la desnutrición: en el Brasil el </w:t>
      </w:r>
      <w:r w:rsidRPr="004D6466">
        <w:rPr>
          <w:rFonts w:ascii="Arial" w:hAnsi="Arial" w:cs="Arial"/>
          <w:i/>
          <w:sz w:val="24"/>
          <w:szCs w:val="24"/>
        </w:rPr>
        <w:t xml:space="preserve">“Programa Nacional de Alimentación </w:t>
      </w:r>
      <w:r w:rsidR="00830DFF" w:rsidRPr="004D6466">
        <w:rPr>
          <w:rFonts w:ascii="Arial" w:hAnsi="Arial" w:cs="Arial"/>
          <w:i/>
          <w:sz w:val="24"/>
          <w:szCs w:val="24"/>
        </w:rPr>
        <w:t xml:space="preserve">Escolar </w:t>
      </w:r>
      <w:r w:rsidR="00830DFF" w:rsidRPr="004D6466">
        <w:rPr>
          <w:rFonts w:ascii="Arial" w:eastAsia="Times New Roman" w:hAnsi="Arial" w:cs="Arial"/>
          <w:sz w:val="24"/>
          <w:szCs w:val="24"/>
        </w:rPr>
        <w:t>“que</w:t>
      </w:r>
      <w:r w:rsidRPr="004D6466">
        <w:rPr>
          <w:rFonts w:ascii="Arial" w:eastAsia="Times New Roman" w:hAnsi="Arial" w:cs="Arial"/>
          <w:sz w:val="24"/>
          <w:szCs w:val="24"/>
        </w:rPr>
        <w:t xml:space="preserve"> atiende las necesidades nutricionales de los alumnos durante su estancia en la escuela, con esto se busca contribuir al crecimiento, desarrollo, aprendizaje y rendimiento escolar de los estudiantes y promover la formación de hábitos alimenticios saludables y el Ecuador tiene “</w:t>
      </w:r>
      <w:r w:rsidRPr="004D6466">
        <w:rPr>
          <w:rFonts w:ascii="Arial" w:eastAsia="Times New Roman" w:hAnsi="Arial" w:cs="Arial"/>
          <w:i/>
          <w:sz w:val="24"/>
          <w:szCs w:val="24"/>
        </w:rPr>
        <w:t>Acción Nutrición</w:t>
      </w:r>
      <w:r w:rsidRPr="004D6466">
        <w:rPr>
          <w:rFonts w:ascii="Arial" w:eastAsia="Times New Roman" w:hAnsi="Arial" w:cs="Arial"/>
          <w:sz w:val="24"/>
          <w:szCs w:val="24"/>
        </w:rPr>
        <w:t>” que tiene que ver con la atención a mujeres embarazadas y niños menores a un año para reducir la desnutrición y anemia. Ambos programas pretenden combatir la desnutrición en niños en edad escolar.</w:t>
      </w:r>
    </w:p>
    <w:p w:rsidR="00A66191" w:rsidRPr="004D6466" w:rsidRDefault="00A66191" w:rsidP="00A66191">
      <w:pPr>
        <w:spacing w:line="360" w:lineRule="auto"/>
        <w:jc w:val="both"/>
        <w:rPr>
          <w:rFonts w:ascii="Arial" w:eastAsia="Times New Roman" w:hAnsi="Arial" w:cs="Arial"/>
          <w:sz w:val="24"/>
          <w:szCs w:val="24"/>
        </w:rPr>
      </w:pPr>
      <w:r w:rsidRPr="004D6466">
        <w:rPr>
          <w:rFonts w:ascii="Arial" w:hAnsi="Arial" w:cs="Arial"/>
          <w:sz w:val="24"/>
          <w:szCs w:val="24"/>
        </w:rPr>
        <w:t xml:space="preserve">Existen también similitudes en las </w:t>
      </w:r>
      <w:r w:rsidRPr="004D6466">
        <w:rPr>
          <w:rFonts w:ascii="Arial" w:hAnsi="Arial" w:cs="Arial"/>
          <w:i/>
          <w:sz w:val="24"/>
          <w:szCs w:val="24"/>
        </w:rPr>
        <w:t xml:space="preserve">medidas adoptadas para terminar con el trabajo en condiciones de esclavitud pues </w:t>
      </w:r>
      <w:r w:rsidRPr="004D6466">
        <w:rPr>
          <w:rFonts w:ascii="Arial" w:hAnsi="Arial" w:cs="Arial"/>
          <w:sz w:val="24"/>
          <w:szCs w:val="24"/>
        </w:rPr>
        <w:t xml:space="preserve">en el </w:t>
      </w:r>
      <w:r w:rsidR="00830DFF" w:rsidRPr="004D6466">
        <w:rPr>
          <w:rFonts w:ascii="Arial" w:hAnsi="Arial" w:cs="Arial"/>
          <w:sz w:val="24"/>
          <w:szCs w:val="24"/>
        </w:rPr>
        <w:t>Brasil se</w:t>
      </w:r>
      <w:r w:rsidRPr="004D6466">
        <w:rPr>
          <w:rFonts w:ascii="Arial" w:hAnsi="Arial" w:cs="Arial"/>
          <w:sz w:val="24"/>
          <w:szCs w:val="24"/>
        </w:rPr>
        <w:t xml:space="preserve"> realizó una</w:t>
      </w:r>
      <w:r w:rsidRPr="004D6466">
        <w:rPr>
          <w:rFonts w:ascii="Arial" w:hAnsi="Arial" w:cs="Arial"/>
          <w:i/>
          <w:sz w:val="24"/>
          <w:szCs w:val="24"/>
        </w:rPr>
        <w:t xml:space="preserve"> “</w:t>
      </w:r>
      <w:r w:rsidRPr="004D6466">
        <w:rPr>
          <w:rFonts w:ascii="Arial" w:eastAsia="Times New Roman" w:hAnsi="Arial" w:cs="Arial"/>
          <w:i/>
          <w:sz w:val="24"/>
          <w:szCs w:val="24"/>
        </w:rPr>
        <w:t>Reforma a la Legislación Laboral”</w:t>
      </w:r>
      <w:r w:rsidRPr="004D6466">
        <w:rPr>
          <w:rFonts w:ascii="Arial" w:eastAsia="Times New Roman" w:hAnsi="Arial" w:cs="Arial"/>
          <w:sz w:val="24"/>
          <w:szCs w:val="24"/>
        </w:rPr>
        <w:t xml:space="preserve"> para lograr la erradicación del trabajo esclavo y en el Ecuador se hizo el “</w:t>
      </w:r>
      <w:r w:rsidRPr="004D6466">
        <w:rPr>
          <w:rFonts w:ascii="Arial" w:eastAsia="Times New Roman" w:hAnsi="Arial" w:cs="Arial"/>
          <w:i/>
          <w:sz w:val="24"/>
          <w:szCs w:val="24"/>
        </w:rPr>
        <w:t>Mandato 8</w:t>
      </w:r>
      <w:r w:rsidRPr="004D6466">
        <w:rPr>
          <w:rFonts w:ascii="Arial" w:eastAsia="Times New Roman" w:hAnsi="Arial" w:cs="Arial"/>
          <w:sz w:val="24"/>
          <w:szCs w:val="24"/>
        </w:rPr>
        <w:t xml:space="preserve">” de la asamblea constituyente por orden del Ejecutivo en el que se elimina la tercerización laboral. Estas dos reformas en </w:t>
      </w:r>
      <w:r w:rsidRPr="004D6466">
        <w:rPr>
          <w:rFonts w:ascii="Arial" w:eastAsia="Times New Roman" w:hAnsi="Arial" w:cs="Arial"/>
          <w:sz w:val="24"/>
          <w:szCs w:val="24"/>
        </w:rPr>
        <w:lastRenderedPageBreak/>
        <w:t xml:space="preserve">los dos países pretenden que el trabajo sea digno y no en condiciones inhumanas. </w:t>
      </w:r>
    </w:p>
    <w:p w:rsidR="00A66191" w:rsidRPr="004D6466" w:rsidRDefault="00A66191" w:rsidP="00A66191">
      <w:pPr>
        <w:spacing w:line="360" w:lineRule="auto"/>
        <w:jc w:val="both"/>
        <w:rPr>
          <w:rFonts w:ascii="Arial" w:eastAsia="Times New Roman" w:hAnsi="Arial" w:cs="Arial"/>
          <w:sz w:val="24"/>
          <w:szCs w:val="24"/>
        </w:rPr>
      </w:pPr>
      <w:r w:rsidRPr="004D6466">
        <w:rPr>
          <w:rFonts w:ascii="Arial" w:eastAsia="Times New Roman" w:hAnsi="Arial" w:cs="Arial"/>
          <w:sz w:val="24"/>
          <w:szCs w:val="24"/>
        </w:rPr>
        <w:t xml:space="preserve">El mandato 8 también acabó con la flexibilización laboral, una medida neoliberal cuyo principal objetivo fue disminuir o eliminar la estabilidad laboral a través de la suscripción de contratos individuales de trabajo por períodos cortos de tiempo.  </w:t>
      </w:r>
    </w:p>
    <w:p w:rsidR="00A66191" w:rsidRPr="004D6466" w:rsidRDefault="00A66191" w:rsidP="00A66191">
      <w:pPr>
        <w:spacing w:line="360" w:lineRule="auto"/>
        <w:jc w:val="both"/>
        <w:rPr>
          <w:rFonts w:ascii="Calibri" w:eastAsia="Times New Roman" w:hAnsi="Calibri" w:cs="Times New Roman"/>
        </w:rPr>
      </w:pPr>
      <w:r w:rsidRPr="004D6466">
        <w:rPr>
          <w:rFonts w:ascii="Arial" w:eastAsia="Times New Roman" w:hAnsi="Arial" w:cs="Arial"/>
          <w:sz w:val="24"/>
          <w:szCs w:val="24"/>
        </w:rPr>
        <w:t>Como similitud en la gestión gubernamental también pueden ser considerados los esfuerzos realizados por transparentar la gestión pública. Si bien en el caso del Brasil ese es un esfuerzo que se ha mantenido durante varios gobiernos proporcionando resultados reales en la gestión. En el caso del Ecuador es necesario realizar esfuerzos adicionales para transparentar la contratación pública e incorporar a la ciudadanía como actores activos en la contraloría social de este proceso.</w:t>
      </w:r>
    </w:p>
    <w:p w:rsidR="00A66191" w:rsidRPr="004D6466" w:rsidRDefault="00A66191" w:rsidP="00A66191">
      <w:pPr>
        <w:tabs>
          <w:tab w:val="left" w:pos="142"/>
        </w:tabs>
        <w:spacing w:line="360" w:lineRule="auto"/>
        <w:jc w:val="both"/>
        <w:rPr>
          <w:rFonts w:ascii="Arial" w:hAnsi="Arial" w:cs="Arial"/>
          <w:sz w:val="24"/>
          <w:szCs w:val="24"/>
        </w:rPr>
      </w:pPr>
      <w:r w:rsidRPr="004D6466">
        <w:rPr>
          <w:rFonts w:ascii="Arial" w:hAnsi="Arial" w:cs="Arial"/>
          <w:b/>
          <w:i/>
          <w:sz w:val="24"/>
          <w:szCs w:val="24"/>
        </w:rPr>
        <w:t>Diferencias importantes en los modelos</w:t>
      </w:r>
    </w:p>
    <w:p w:rsidR="00A66191" w:rsidRPr="004D6466" w:rsidRDefault="00A66191" w:rsidP="00A66191">
      <w:pPr>
        <w:tabs>
          <w:tab w:val="left" w:pos="142"/>
        </w:tabs>
        <w:spacing w:line="360" w:lineRule="auto"/>
        <w:jc w:val="both"/>
        <w:rPr>
          <w:rFonts w:ascii="Arial" w:hAnsi="Arial" w:cs="Arial"/>
          <w:sz w:val="24"/>
          <w:szCs w:val="24"/>
        </w:rPr>
      </w:pPr>
      <w:r w:rsidRPr="004D6466">
        <w:rPr>
          <w:rFonts w:ascii="Arial" w:hAnsi="Arial" w:cs="Arial"/>
          <w:sz w:val="24"/>
          <w:szCs w:val="24"/>
        </w:rPr>
        <w:t xml:space="preserve">Existen diferencias en los mecanismos utilizados en el </w:t>
      </w:r>
      <w:r w:rsidRPr="004D6466">
        <w:rPr>
          <w:rFonts w:ascii="Arial" w:hAnsi="Arial" w:cs="Arial"/>
          <w:b/>
          <w:i/>
          <w:sz w:val="24"/>
          <w:szCs w:val="24"/>
        </w:rPr>
        <w:t>ámbito educativo,</w:t>
      </w:r>
      <w:r w:rsidRPr="004D6466">
        <w:rPr>
          <w:rFonts w:ascii="Arial" w:hAnsi="Arial" w:cs="Arial"/>
          <w:sz w:val="24"/>
          <w:szCs w:val="24"/>
        </w:rPr>
        <w:t xml:space="preserve"> mientras que en el Brasil se enfoca en la erradicación del analfabetismo y en particular en los programas para jóvenes, en el Ecuador se enfrenta el cambio en la calidad de la educación a través de la Ley de Educación Superior cuya aplicación ha influido en: el mejoramiento del sistema de evaluación de las universidades, en el mejoramiento de la evaluación de los docentes, en el número de becarios que han salido a estudiar fuera del país con el apoyo del Gobierno, en el número de investigadores y de proyectos de investigación que en la actualidad existen en las universidades, entre otros.</w:t>
      </w:r>
    </w:p>
    <w:p w:rsidR="00A66191" w:rsidRPr="004D6466" w:rsidRDefault="00A66191" w:rsidP="00A66191">
      <w:pPr>
        <w:tabs>
          <w:tab w:val="left" w:pos="142"/>
        </w:tabs>
        <w:spacing w:line="360" w:lineRule="auto"/>
        <w:jc w:val="both"/>
        <w:rPr>
          <w:rFonts w:ascii="Arial" w:hAnsi="Arial" w:cs="Arial"/>
          <w:sz w:val="24"/>
          <w:szCs w:val="24"/>
        </w:rPr>
      </w:pPr>
      <w:r w:rsidRPr="004D6466">
        <w:rPr>
          <w:rFonts w:ascii="Arial" w:hAnsi="Arial" w:cs="Arial"/>
          <w:sz w:val="24"/>
          <w:szCs w:val="24"/>
        </w:rPr>
        <w:t xml:space="preserve">Donde existen discrepancias importantes es en las medidas sobre la </w:t>
      </w:r>
      <w:r w:rsidRPr="004D6466">
        <w:rPr>
          <w:rFonts w:ascii="Arial" w:hAnsi="Arial" w:cs="Arial"/>
          <w:b/>
          <w:i/>
          <w:sz w:val="24"/>
          <w:szCs w:val="24"/>
        </w:rPr>
        <w:t xml:space="preserve">seguridad social, </w:t>
      </w:r>
      <w:r w:rsidRPr="004D6466">
        <w:rPr>
          <w:rFonts w:ascii="Arial" w:hAnsi="Arial" w:cs="Arial"/>
          <w:sz w:val="24"/>
          <w:szCs w:val="24"/>
        </w:rPr>
        <w:t xml:space="preserve">mientras que en Brasil se produjo una importante reducción de recursos por el aumento del tiempo de jubilación y el número de prestaciones, en el Ecuador en cambio se amplió el número de aportantes a la seguridad social por la obligatoriedad de afiliación y también se amplió el número de beneficiarios al hacer extensiva la seguridad a los beneficiarios del bono, a los adultos mayores y a las personas con discapacidad.   Ambas medidas al parecer contrapuestas sin embargo apuntan a robustecer o </w:t>
      </w:r>
      <w:r w:rsidRPr="004D6466">
        <w:rPr>
          <w:rFonts w:ascii="Arial" w:hAnsi="Arial" w:cs="Arial"/>
          <w:sz w:val="24"/>
          <w:szCs w:val="24"/>
        </w:rPr>
        <w:lastRenderedPageBreak/>
        <w:t>fortalecer la seguridad social. En el un caso ampliado el horizonte de aportación y en el otro, a pesar de que se amplío el número de beneficiarios también se amplío el número de aportantes a la seguridad social.</w:t>
      </w:r>
    </w:p>
    <w:p w:rsidR="00A66191" w:rsidRPr="004D6466" w:rsidRDefault="00A66191" w:rsidP="00A66191">
      <w:pPr>
        <w:tabs>
          <w:tab w:val="left" w:pos="142"/>
        </w:tabs>
        <w:spacing w:line="360" w:lineRule="auto"/>
        <w:jc w:val="both"/>
        <w:rPr>
          <w:rFonts w:ascii="Arial" w:hAnsi="Arial" w:cs="Arial"/>
          <w:sz w:val="24"/>
          <w:szCs w:val="24"/>
        </w:rPr>
      </w:pPr>
      <w:r w:rsidRPr="004D6466">
        <w:rPr>
          <w:rFonts w:ascii="Arial" w:hAnsi="Arial" w:cs="Arial"/>
          <w:sz w:val="24"/>
          <w:szCs w:val="24"/>
        </w:rPr>
        <w:t xml:space="preserve">También hay diferencias en </w:t>
      </w:r>
      <w:r w:rsidRPr="00B30AFE">
        <w:rPr>
          <w:rFonts w:ascii="Arial" w:hAnsi="Arial" w:cs="Arial"/>
          <w:sz w:val="24"/>
          <w:szCs w:val="24"/>
        </w:rPr>
        <w:t>lo económico</w:t>
      </w:r>
      <w:r w:rsidRPr="004D6466">
        <w:rPr>
          <w:rFonts w:ascii="Arial" w:hAnsi="Arial" w:cs="Arial"/>
          <w:b/>
          <w:i/>
          <w:sz w:val="24"/>
          <w:szCs w:val="24"/>
        </w:rPr>
        <w:t xml:space="preserve">, </w:t>
      </w:r>
      <w:r w:rsidRPr="004D6466">
        <w:rPr>
          <w:rFonts w:ascii="Arial" w:hAnsi="Arial" w:cs="Arial"/>
          <w:sz w:val="24"/>
          <w:szCs w:val="24"/>
        </w:rPr>
        <w:t xml:space="preserve"> en la creación de condiciones ventajosas para el funcionamiento de las empresas. En Brasil se apoya fuertemente a las grandes y medianas empresas creando mecanismos para que dichas empresas amplíen sus mercados llegando a otros países. Como ejemplo podemos considerar a empresas constructoras que han recibido apoyo de su gobierno, tal es el caso de la empresa Odebrecht que trabaja en 13 países latinos y .se  han consolidado como la mayor constructora de Argentina y, en México, se encargaron de la mayor inversión privada brasileña. En el Ecuador en cambio se ha dado mucho énfasis a la Economía Popular y Solidaria como un mecanismo para sacar a la población de la pobreza, pero éstos mecanismos llevan tiempo, el mismo tiempo que lleva desarrollar capacidades en las personas a quienes van dirigidos los programas. Hacen falta otros mecanismos para incentivar a las medianas y grandes empresas para que aumenten sus inversiones y dinamizar la economía.</w:t>
      </w:r>
    </w:p>
    <w:p w:rsidR="00A66191" w:rsidRPr="004D6466" w:rsidRDefault="00A66191" w:rsidP="00A66191">
      <w:pPr>
        <w:tabs>
          <w:tab w:val="left" w:pos="142"/>
        </w:tabs>
        <w:spacing w:line="360" w:lineRule="auto"/>
        <w:jc w:val="both"/>
        <w:rPr>
          <w:rFonts w:ascii="Arial" w:hAnsi="Arial" w:cs="Arial"/>
          <w:sz w:val="24"/>
          <w:szCs w:val="24"/>
        </w:rPr>
      </w:pPr>
      <w:r w:rsidRPr="004D6466">
        <w:rPr>
          <w:rFonts w:ascii="Arial" w:hAnsi="Arial" w:cs="Arial"/>
          <w:sz w:val="24"/>
          <w:szCs w:val="24"/>
        </w:rPr>
        <w:t xml:space="preserve">En la </w:t>
      </w:r>
      <w:r w:rsidRPr="004D6466">
        <w:rPr>
          <w:rFonts w:ascii="Arial" w:hAnsi="Arial" w:cs="Arial"/>
          <w:b/>
          <w:i/>
          <w:sz w:val="24"/>
          <w:szCs w:val="24"/>
        </w:rPr>
        <w:t xml:space="preserve">reducción del gasto público </w:t>
      </w:r>
      <w:r w:rsidRPr="004D6466">
        <w:rPr>
          <w:rFonts w:ascii="Arial" w:hAnsi="Arial" w:cs="Arial"/>
          <w:sz w:val="24"/>
          <w:szCs w:val="24"/>
        </w:rPr>
        <w:t>conseguido en Brasil, versus al incremento del gasto producido en el Ecuador con un modelo que le apunta al crecimiento del aparato estatal y a la gran inversión en infraestructura, vía endeudamiento. Por ejemplo en el 2003 Ecuador se encontraba con un riesgo país</w:t>
      </w:r>
      <w:r w:rsidRPr="004D6466">
        <w:rPr>
          <w:rStyle w:val="Refdenotaalpie"/>
          <w:rFonts w:ascii="Arial" w:hAnsi="Arial" w:cs="Arial"/>
          <w:sz w:val="24"/>
          <w:szCs w:val="24"/>
        </w:rPr>
        <w:footnoteReference w:id="56"/>
      </w:r>
      <w:r w:rsidRPr="004D6466">
        <w:rPr>
          <w:rFonts w:ascii="Arial" w:hAnsi="Arial" w:cs="Arial"/>
          <w:sz w:val="24"/>
          <w:szCs w:val="24"/>
        </w:rPr>
        <w:t xml:space="preserve"> de 1.609 puntos al término de ese año el riesgo país llegó a ser de 814 puntos es decir que bajó 795 puntos, a su vez Brasil en el 2003 tenía un riesgo país de 1.394 puntos y al término de ese año se ubicó en 494 puntos es decir que bajó 830 puntos. </w:t>
      </w:r>
    </w:p>
    <w:p w:rsidR="00A66191" w:rsidRPr="004D6466" w:rsidRDefault="00A66191" w:rsidP="00A66191">
      <w:pPr>
        <w:tabs>
          <w:tab w:val="left" w:pos="142"/>
        </w:tabs>
        <w:spacing w:line="360" w:lineRule="auto"/>
        <w:jc w:val="both"/>
        <w:rPr>
          <w:rFonts w:ascii="Arial" w:hAnsi="Arial" w:cs="Arial"/>
          <w:sz w:val="24"/>
          <w:szCs w:val="24"/>
        </w:rPr>
      </w:pPr>
      <w:r w:rsidRPr="004D6466">
        <w:rPr>
          <w:rFonts w:ascii="Arial" w:hAnsi="Arial" w:cs="Arial"/>
          <w:sz w:val="24"/>
          <w:szCs w:val="24"/>
        </w:rPr>
        <w:t>Para el 2010 Ecuador se ubica con un riesgo país de 824 puntos y al finalizar ese año se ubicó en 919 puntos mientras que Brasil en el 2010 tuvo un riesgo país de 200 puntos.</w:t>
      </w:r>
    </w:p>
    <w:p w:rsidR="00A66191" w:rsidRPr="004D6466" w:rsidRDefault="00A66191" w:rsidP="00A66191">
      <w:pPr>
        <w:tabs>
          <w:tab w:val="left" w:pos="142"/>
        </w:tabs>
        <w:spacing w:line="360" w:lineRule="auto"/>
        <w:jc w:val="both"/>
        <w:rPr>
          <w:rFonts w:ascii="Arial" w:hAnsi="Arial" w:cs="Arial"/>
          <w:sz w:val="24"/>
          <w:szCs w:val="24"/>
        </w:rPr>
      </w:pPr>
      <w:r w:rsidRPr="004D6466">
        <w:rPr>
          <w:rFonts w:ascii="Arial" w:hAnsi="Arial" w:cs="Arial"/>
          <w:sz w:val="24"/>
          <w:szCs w:val="24"/>
        </w:rPr>
        <w:t>El riesgo país se mide por los inversionistas que suelen utilizar el EMBI (</w:t>
      </w:r>
      <w:r w:rsidRPr="004D6466">
        <w:rPr>
          <w:rFonts w:ascii="Arial" w:hAnsi="Arial" w:cs="Arial"/>
          <w:i/>
          <w:iCs/>
          <w:sz w:val="24"/>
          <w:szCs w:val="24"/>
        </w:rPr>
        <w:t>Emerging Markets Bonds Index</w:t>
      </w:r>
      <w:r w:rsidRPr="004D6466">
        <w:rPr>
          <w:rFonts w:ascii="Arial" w:hAnsi="Arial" w:cs="Arial"/>
          <w:sz w:val="24"/>
          <w:szCs w:val="24"/>
        </w:rPr>
        <w:t xml:space="preserve"> o Indicador de Bonos de Mercados </w:t>
      </w:r>
      <w:r w:rsidRPr="004D6466">
        <w:rPr>
          <w:rFonts w:ascii="Arial" w:hAnsi="Arial" w:cs="Arial"/>
          <w:sz w:val="24"/>
          <w:szCs w:val="24"/>
        </w:rPr>
        <w:lastRenderedPageBreak/>
        <w:t>Emergentes), el cual es calculado por J.P. Morgan Chase (un banco estadounidense especializado en inversiones) con base en el comportamiento de la deuda externa emitida por cada país. Cuanta menor certeza exista de que el país honre sus obligaciones, más alto será el EMBI de ese país, y viceversa.</w:t>
      </w:r>
    </w:p>
    <w:p w:rsidR="00A66191" w:rsidRPr="004D6466" w:rsidRDefault="00A66191" w:rsidP="00A66191">
      <w:pPr>
        <w:tabs>
          <w:tab w:val="left" w:pos="142"/>
        </w:tabs>
        <w:spacing w:line="360" w:lineRule="auto"/>
        <w:jc w:val="both"/>
        <w:rPr>
          <w:rFonts w:ascii="Arial" w:hAnsi="Arial" w:cs="Arial"/>
          <w:sz w:val="24"/>
          <w:szCs w:val="24"/>
        </w:rPr>
      </w:pPr>
      <w:r w:rsidRPr="004D6466">
        <w:rPr>
          <w:rFonts w:ascii="Arial" w:hAnsi="Arial" w:cs="Arial"/>
          <w:sz w:val="24"/>
          <w:szCs w:val="24"/>
        </w:rPr>
        <w:t xml:space="preserve">Respecto al </w:t>
      </w:r>
      <w:r w:rsidRPr="004D6466">
        <w:rPr>
          <w:rFonts w:ascii="Arial" w:hAnsi="Arial" w:cs="Arial"/>
          <w:b/>
          <w:i/>
          <w:sz w:val="24"/>
          <w:szCs w:val="24"/>
        </w:rPr>
        <w:t>liderazgo en el contexto regional y mundial</w:t>
      </w:r>
      <w:r w:rsidRPr="004D6466">
        <w:rPr>
          <w:rFonts w:ascii="Arial" w:hAnsi="Arial" w:cs="Arial"/>
          <w:sz w:val="24"/>
          <w:szCs w:val="24"/>
        </w:rPr>
        <w:t xml:space="preserve">, no se puede dejar de reconocer que el trabajo hecho por el Presidente  Lula da Silva, quien, puso al Brasil en primera línea en el contexto mundial, liderazgo que aún se mantiene con la nueva presidenta. </w:t>
      </w:r>
    </w:p>
    <w:p w:rsidR="00A66191" w:rsidRPr="004D6466" w:rsidRDefault="00A66191" w:rsidP="00A66191">
      <w:pPr>
        <w:tabs>
          <w:tab w:val="left" w:pos="142"/>
        </w:tabs>
        <w:spacing w:line="360" w:lineRule="auto"/>
        <w:jc w:val="both"/>
        <w:rPr>
          <w:rFonts w:ascii="Arial" w:hAnsi="Arial" w:cs="Arial"/>
          <w:sz w:val="24"/>
          <w:szCs w:val="24"/>
        </w:rPr>
      </w:pPr>
      <w:r w:rsidRPr="004D6466">
        <w:rPr>
          <w:rFonts w:ascii="Arial" w:hAnsi="Arial" w:cs="Arial"/>
          <w:b/>
          <w:sz w:val="24"/>
          <w:szCs w:val="24"/>
        </w:rPr>
        <w:t>5.2 Medidas aplicadas en el Brasil que pueden incorporarse al modelo de Ecuador.</w:t>
      </w:r>
    </w:p>
    <w:p w:rsidR="00A66191" w:rsidRPr="004D6466" w:rsidRDefault="00A66191" w:rsidP="00A66191">
      <w:pPr>
        <w:pStyle w:val="Prrafodelista"/>
        <w:numPr>
          <w:ilvl w:val="0"/>
          <w:numId w:val="32"/>
        </w:numPr>
        <w:tabs>
          <w:tab w:val="left" w:pos="142"/>
        </w:tabs>
        <w:spacing w:line="360" w:lineRule="auto"/>
        <w:jc w:val="both"/>
        <w:rPr>
          <w:rFonts w:ascii="Arial" w:hAnsi="Arial" w:cs="Arial"/>
          <w:sz w:val="24"/>
          <w:szCs w:val="24"/>
        </w:rPr>
      </w:pPr>
      <w:r w:rsidRPr="004D6466">
        <w:rPr>
          <w:rFonts w:ascii="Arial" w:hAnsi="Arial" w:cs="Arial"/>
          <w:sz w:val="24"/>
          <w:szCs w:val="24"/>
        </w:rPr>
        <w:t xml:space="preserve">Actualización de la base de datos de los beneficiarios del programa Hambre Cero, en el componente de creación de comités locales que se encargaron de investigar si las familias que constaban en el catastro en efecto merecían recibir la renta mensual. Con la medida se depuró el 30% del catastro. </w:t>
      </w:r>
    </w:p>
    <w:p w:rsidR="00A66191" w:rsidRPr="004D6466" w:rsidRDefault="00A66191" w:rsidP="00A66191">
      <w:pPr>
        <w:pStyle w:val="Prrafodelista"/>
        <w:numPr>
          <w:ilvl w:val="0"/>
          <w:numId w:val="32"/>
        </w:numPr>
        <w:tabs>
          <w:tab w:val="left" w:pos="142"/>
        </w:tabs>
        <w:spacing w:line="360" w:lineRule="auto"/>
        <w:jc w:val="both"/>
        <w:rPr>
          <w:rFonts w:ascii="Arial" w:hAnsi="Arial" w:cs="Arial"/>
          <w:sz w:val="24"/>
          <w:szCs w:val="24"/>
        </w:rPr>
      </w:pPr>
      <w:r w:rsidRPr="004D6466">
        <w:rPr>
          <w:rFonts w:ascii="Arial" w:hAnsi="Arial" w:cs="Arial"/>
          <w:sz w:val="24"/>
          <w:szCs w:val="24"/>
        </w:rPr>
        <w:t xml:space="preserve">La reforma agraria, en el componente de asentar a 530.000 familias en cuatro años. </w:t>
      </w:r>
    </w:p>
    <w:p w:rsidR="00A66191" w:rsidRPr="004D6466" w:rsidRDefault="00A66191" w:rsidP="00A66191">
      <w:pPr>
        <w:pStyle w:val="Prrafodelista"/>
        <w:numPr>
          <w:ilvl w:val="0"/>
          <w:numId w:val="32"/>
        </w:numPr>
        <w:tabs>
          <w:tab w:val="left" w:pos="142"/>
        </w:tabs>
        <w:spacing w:line="360" w:lineRule="auto"/>
        <w:jc w:val="both"/>
        <w:rPr>
          <w:rFonts w:ascii="Arial" w:hAnsi="Arial" w:cs="Arial"/>
          <w:sz w:val="24"/>
          <w:szCs w:val="24"/>
        </w:rPr>
      </w:pPr>
      <w:r w:rsidRPr="004D6466">
        <w:rPr>
          <w:rFonts w:ascii="Arial" w:hAnsi="Arial" w:cs="Arial"/>
          <w:sz w:val="24"/>
          <w:szCs w:val="24"/>
        </w:rPr>
        <w:t>La educación popular con la creación de talleres para trabajar con los beneficiarios del programa Hambre Cero.</w:t>
      </w:r>
    </w:p>
    <w:p w:rsidR="00A66191" w:rsidRPr="004D6466" w:rsidRDefault="00A66191" w:rsidP="00A66191">
      <w:pPr>
        <w:pStyle w:val="Prrafodelista"/>
        <w:numPr>
          <w:ilvl w:val="0"/>
          <w:numId w:val="32"/>
        </w:numPr>
        <w:tabs>
          <w:tab w:val="left" w:pos="142"/>
        </w:tabs>
        <w:spacing w:line="360" w:lineRule="auto"/>
        <w:jc w:val="both"/>
        <w:rPr>
          <w:rFonts w:ascii="Arial" w:hAnsi="Arial" w:cs="Arial"/>
          <w:sz w:val="24"/>
          <w:szCs w:val="24"/>
        </w:rPr>
      </w:pPr>
      <w:r w:rsidRPr="004D6466">
        <w:rPr>
          <w:rFonts w:ascii="Arial" w:hAnsi="Arial" w:cs="Arial"/>
          <w:sz w:val="24"/>
          <w:szCs w:val="24"/>
        </w:rPr>
        <w:t>Sed Cero para construir cisternas y asegurar la provisión de agua a las familias.</w:t>
      </w:r>
    </w:p>
    <w:p w:rsidR="00A66191" w:rsidRPr="004D6466" w:rsidRDefault="00A66191" w:rsidP="00A66191">
      <w:pPr>
        <w:pStyle w:val="Prrafodelista"/>
        <w:numPr>
          <w:ilvl w:val="0"/>
          <w:numId w:val="32"/>
        </w:numPr>
        <w:tabs>
          <w:tab w:val="left" w:pos="142"/>
        </w:tabs>
        <w:spacing w:line="360" w:lineRule="auto"/>
        <w:jc w:val="both"/>
        <w:rPr>
          <w:rFonts w:ascii="Arial" w:hAnsi="Arial" w:cs="Arial"/>
          <w:sz w:val="24"/>
          <w:szCs w:val="24"/>
        </w:rPr>
      </w:pPr>
      <w:r w:rsidRPr="004D6466">
        <w:rPr>
          <w:rFonts w:ascii="Arial" w:hAnsi="Arial" w:cs="Arial"/>
          <w:sz w:val="24"/>
          <w:szCs w:val="24"/>
        </w:rPr>
        <w:t>PRONAF en el componente de otorgar créditos para incentivar la producción de rubros básicos de la dieta de los brasileños: arroz fríjol, mandioca,  maíz y trigo, que en el caso del Ecuador podría transformarse a: arroz, maíz, quinua, soya, trigo, cebada.</w:t>
      </w:r>
    </w:p>
    <w:p w:rsidR="00A66191" w:rsidRPr="004D6466" w:rsidRDefault="00A66191" w:rsidP="00A66191">
      <w:pPr>
        <w:pStyle w:val="Prrafodelista"/>
        <w:numPr>
          <w:ilvl w:val="0"/>
          <w:numId w:val="32"/>
        </w:numPr>
        <w:tabs>
          <w:tab w:val="left" w:pos="142"/>
        </w:tabs>
        <w:spacing w:line="360" w:lineRule="auto"/>
        <w:jc w:val="both"/>
        <w:rPr>
          <w:rFonts w:ascii="Arial" w:hAnsi="Arial" w:cs="Arial"/>
          <w:sz w:val="24"/>
          <w:szCs w:val="24"/>
        </w:rPr>
      </w:pPr>
      <w:r w:rsidRPr="004D6466">
        <w:rPr>
          <w:rFonts w:ascii="Arial" w:hAnsi="Arial" w:cs="Arial"/>
          <w:sz w:val="24"/>
          <w:szCs w:val="24"/>
        </w:rPr>
        <w:t>Brasil alfabetizado, en el rubro de otorgar una mensualidad para que los jóvenes estudien y para que los profesores que intervienen en este proceso se estimulen económicamente para fortalecer el proceso.</w:t>
      </w:r>
    </w:p>
    <w:p w:rsidR="00A66191" w:rsidRPr="004D6466" w:rsidRDefault="00A66191" w:rsidP="00A66191">
      <w:pPr>
        <w:pStyle w:val="Prrafodelista"/>
        <w:numPr>
          <w:ilvl w:val="0"/>
          <w:numId w:val="32"/>
        </w:numPr>
        <w:spacing w:line="360" w:lineRule="auto"/>
        <w:jc w:val="both"/>
        <w:rPr>
          <w:rFonts w:ascii="Arial" w:hAnsi="Arial" w:cs="Arial"/>
          <w:sz w:val="24"/>
          <w:szCs w:val="24"/>
        </w:rPr>
      </w:pPr>
      <w:r w:rsidRPr="004D6466">
        <w:rPr>
          <w:rFonts w:ascii="Arial" w:hAnsi="Arial" w:cs="Arial"/>
          <w:sz w:val="24"/>
          <w:szCs w:val="24"/>
        </w:rPr>
        <w:t xml:space="preserve">Brasil como potencia regional: “A partir del Mercado Común del Sur (MERCOSUR) nacido en 1991 como resultado de la cooperación con su anterior rival Argentina, cambió la posición de Brasil en América del Sur, el MERCOSUR conllevó también una mayor responsabilidad política del </w:t>
      </w:r>
      <w:r w:rsidRPr="004D6466">
        <w:rPr>
          <w:rFonts w:ascii="Arial" w:hAnsi="Arial" w:cs="Arial"/>
          <w:sz w:val="24"/>
          <w:szCs w:val="24"/>
        </w:rPr>
        <w:lastRenderedPageBreak/>
        <w:t>Brasil en su entorno geográfico más cercano. Brasil asumió en 2004 el liderazgo militar de la Misión de Estabilización de Naciones Unidas en Haití (MINUSTAH), el único país de las Américas que es considerado como un Estado fallido. Su compromiso político-militar en Haití responde, por un lado, a la aspiración de convertirse en miembro permanente del Consejo de Seguridad de Naciones Unidas (ONU). Por el otro, Brasil intenta extender su área de influencia al Caribe y posicionarse, a medio plazo, como potencia regional de América Latina y del Caribe.”</w:t>
      </w:r>
      <w:r w:rsidRPr="004D6466">
        <w:rPr>
          <w:rStyle w:val="Refdenotaalpie"/>
          <w:rFonts w:ascii="Arial" w:hAnsi="Arial" w:cs="Arial"/>
          <w:sz w:val="24"/>
          <w:szCs w:val="24"/>
        </w:rPr>
        <w:footnoteReference w:id="57"/>
      </w:r>
      <w:r w:rsidRPr="004D6466">
        <w:rPr>
          <w:rFonts w:ascii="Arial" w:hAnsi="Arial" w:cs="Arial"/>
          <w:sz w:val="24"/>
          <w:szCs w:val="24"/>
        </w:rPr>
        <w:t xml:space="preserve">. Así mismo el Ecuador podría fortalecer su posición con los países andinos como lo son Perú, Bolivia y Colombia. </w:t>
      </w:r>
    </w:p>
    <w:p w:rsidR="00A66191" w:rsidRPr="004D6466" w:rsidRDefault="00A66191" w:rsidP="00A66191">
      <w:pPr>
        <w:spacing w:line="360" w:lineRule="auto"/>
        <w:jc w:val="both"/>
        <w:rPr>
          <w:rFonts w:ascii="Arial" w:hAnsi="Arial" w:cs="Arial"/>
          <w:sz w:val="24"/>
          <w:szCs w:val="24"/>
        </w:rPr>
      </w:pPr>
      <w:r w:rsidRPr="004D6466">
        <w:rPr>
          <w:rFonts w:ascii="Arial" w:hAnsi="Arial" w:cs="Arial"/>
          <w:b/>
          <w:sz w:val="24"/>
          <w:szCs w:val="24"/>
        </w:rPr>
        <w:t>5.3 Propuesta de incorporación de las medidas al Plan Nacional del     Buen Vivir.</w:t>
      </w:r>
    </w:p>
    <w:p w:rsidR="00A66191" w:rsidRPr="004D6466" w:rsidRDefault="00A66191" w:rsidP="00A66191">
      <w:pPr>
        <w:spacing w:line="360" w:lineRule="auto"/>
        <w:jc w:val="both"/>
        <w:rPr>
          <w:rFonts w:ascii="Arial" w:hAnsi="Arial" w:cs="Arial"/>
          <w:sz w:val="24"/>
          <w:szCs w:val="24"/>
        </w:rPr>
      </w:pPr>
      <w:r w:rsidRPr="004D6466">
        <w:rPr>
          <w:rFonts w:ascii="Arial" w:hAnsi="Arial" w:cs="Arial"/>
          <w:sz w:val="24"/>
          <w:szCs w:val="24"/>
        </w:rPr>
        <w:t>Para la incorporación de las medidas exitosas aplicadas en el Brasil, en el Plan Nacional del Buen Vivir del Ecuador, se utilizó la estructura: estrategia y líneas de acción para mantener cierta similitud con la estructura utilizada en el PNBV y/o en las diferentes agendas de los sectores del gobierno a más de las que en la práctica ya se están utilizando o se propongan a futuro.</w:t>
      </w:r>
    </w:p>
    <w:p w:rsidR="00A66191" w:rsidRPr="004D6466" w:rsidRDefault="00A66191" w:rsidP="00A66191">
      <w:pPr>
        <w:spacing w:line="360" w:lineRule="auto"/>
        <w:jc w:val="both"/>
        <w:rPr>
          <w:rFonts w:ascii="Arial" w:hAnsi="Arial" w:cs="Arial"/>
          <w:sz w:val="24"/>
          <w:szCs w:val="24"/>
        </w:rPr>
      </w:pPr>
      <w:r w:rsidRPr="004D6466">
        <w:rPr>
          <w:rFonts w:ascii="Arial" w:hAnsi="Arial" w:cs="Arial"/>
          <w:sz w:val="24"/>
          <w:szCs w:val="24"/>
        </w:rPr>
        <w:t>Dentro de lo que se denomina estrategia, en el presente proyecto de fin de carrera, se han propuesto como líneas de acción algunas de las medidas identificadas como exitosas aplicadas en el Brasil, en el gobierno del presidente Lula da Silva llamándolas con ese nombre y también otras que se han podido identificar y se consideró que pueden enriquecer la estrategia.</w:t>
      </w:r>
    </w:p>
    <w:p w:rsidR="00A66191" w:rsidRPr="004D6466" w:rsidRDefault="00A66191" w:rsidP="00A66191">
      <w:pPr>
        <w:tabs>
          <w:tab w:val="left" w:pos="142"/>
        </w:tabs>
        <w:spacing w:line="360" w:lineRule="auto"/>
        <w:jc w:val="both"/>
        <w:rPr>
          <w:rFonts w:ascii="Arial" w:hAnsi="Arial" w:cs="Arial"/>
          <w:b/>
          <w:i/>
          <w:sz w:val="24"/>
          <w:szCs w:val="24"/>
        </w:rPr>
      </w:pPr>
      <w:r w:rsidRPr="004D6466">
        <w:rPr>
          <w:rFonts w:ascii="Arial" w:hAnsi="Arial" w:cs="Arial"/>
          <w:b/>
          <w:i/>
          <w:sz w:val="24"/>
          <w:szCs w:val="24"/>
        </w:rPr>
        <w:t>Estrategia: Salida de la pobreza</w:t>
      </w:r>
    </w:p>
    <w:p w:rsidR="00A66191" w:rsidRPr="004D6466" w:rsidRDefault="00A66191" w:rsidP="00A66191">
      <w:pPr>
        <w:tabs>
          <w:tab w:val="left" w:pos="142"/>
        </w:tabs>
        <w:spacing w:line="360" w:lineRule="auto"/>
        <w:jc w:val="both"/>
        <w:rPr>
          <w:rFonts w:ascii="Arial" w:hAnsi="Arial" w:cs="Arial"/>
          <w:sz w:val="24"/>
          <w:szCs w:val="24"/>
        </w:rPr>
      </w:pPr>
      <w:r w:rsidRPr="004D6466">
        <w:rPr>
          <w:rFonts w:ascii="Arial" w:hAnsi="Arial" w:cs="Arial"/>
          <w:sz w:val="24"/>
          <w:szCs w:val="24"/>
        </w:rPr>
        <w:t>Se propone tres líneas de acción: desarrollar capacidades productivas en la población beneficiaria del bono, actualizar el catastro de beneficiarios del Bono de Desarrollo Humano e incorporar a las empresas con los programas del BDH y CDH a fin de cumplir con su responsabilidad social. A continuación su detalle:</w:t>
      </w:r>
    </w:p>
    <w:p w:rsidR="00A66191" w:rsidRPr="004D6466" w:rsidRDefault="00A66191" w:rsidP="00A66191">
      <w:pPr>
        <w:tabs>
          <w:tab w:val="left" w:pos="142"/>
        </w:tabs>
        <w:spacing w:line="360" w:lineRule="auto"/>
        <w:jc w:val="both"/>
        <w:rPr>
          <w:rFonts w:ascii="Arial" w:hAnsi="Arial" w:cs="Arial"/>
          <w:i/>
          <w:sz w:val="24"/>
          <w:szCs w:val="24"/>
        </w:rPr>
      </w:pPr>
      <w:r w:rsidRPr="004D6466">
        <w:rPr>
          <w:rFonts w:ascii="Arial" w:hAnsi="Arial" w:cs="Arial"/>
          <w:b/>
          <w:i/>
          <w:sz w:val="24"/>
          <w:szCs w:val="24"/>
        </w:rPr>
        <w:t>Línea de acción</w:t>
      </w:r>
      <w:r w:rsidRPr="004D6466">
        <w:rPr>
          <w:rFonts w:ascii="Arial" w:hAnsi="Arial" w:cs="Arial"/>
          <w:i/>
          <w:sz w:val="24"/>
          <w:szCs w:val="24"/>
        </w:rPr>
        <w:t>: Desarrollar capacidades productivas en la población beneficiaria del bono</w:t>
      </w:r>
    </w:p>
    <w:p w:rsidR="00A66191" w:rsidRPr="004D6466" w:rsidRDefault="00A66191" w:rsidP="00A66191">
      <w:pPr>
        <w:tabs>
          <w:tab w:val="left" w:pos="142"/>
        </w:tabs>
        <w:spacing w:line="360" w:lineRule="auto"/>
        <w:jc w:val="both"/>
        <w:rPr>
          <w:rFonts w:ascii="Arial" w:hAnsi="Arial" w:cs="Arial"/>
          <w:sz w:val="24"/>
          <w:szCs w:val="24"/>
        </w:rPr>
      </w:pPr>
      <w:r w:rsidRPr="004D6466">
        <w:rPr>
          <w:rFonts w:ascii="Arial" w:hAnsi="Arial" w:cs="Arial"/>
          <w:sz w:val="24"/>
          <w:szCs w:val="24"/>
        </w:rPr>
        <w:lastRenderedPageBreak/>
        <w:t xml:space="preserve">Apunta a la salida definitiva de la pobreza de los beneficiarios del bono del desarrollo humano, para esto, es necesario el desarrollo de capacidades a través de la capacitación para el desarrollo de pequeños emprendimientos así como un buen acompañamiento en el proceso y proveerles de los recursos económicos suficientes a través del crédito de desarrollo humano. En la actualidad ya se está otorgando el crédito pero no existe una adecuada capacitación ni el seguimiento continuo al proceso, hasta que los emprendimientos estén lo suficientemente consolidados para que se mantengan sin el apoyo estatal. </w:t>
      </w:r>
    </w:p>
    <w:p w:rsidR="00A66191" w:rsidRPr="004D6466" w:rsidRDefault="00A66191" w:rsidP="00A66191">
      <w:pPr>
        <w:tabs>
          <w:tab w:val="left" w:pos="142"/>
        </w:tabs>
        <w:spacing w:line="360" w:lineRule="auto"/>
        <w:jc w:val="both"/>
        <w:rPr>
          <w:rFonts w:ascii="Arial" w:hAnsi="Arial" w:cs="Arial"/>
          <w:i/>
          <w:sz w:val="24"/>
          <w:szCs w:val="24"/>
        </w:rPr>
      </w:pPr>
      <w:r w:rsidRPr="004D6466">
        <w:rPr>
          <w:rFonts w:ascii="Arial" w:hAnsi="Arial" w:cs="Arial"/>
          <w:b/>
          <w:sz w:val="24"/>
          <w:szCs w:val="24"/>
        </w:rPr>
        <w:t>Línea de acción</w:t>
      </w:r>
      <w:r w:rsidRPr="004D6466">
        <w:rPr>
          <w:rFonts w:ascii="Arial" w:hAnsi="Arial" w:cs="Arial"/>
          <w:sz w:val="24"/>
          <w:szCs w:val="24"/>
        </w:rPr>
        <w:t xml:space="preserve">: </w:t>
      </w:r>
      <w:r w:rsidRPr="004D6466">
        <w:rPr>
          <w:rFonts w:ascii="Arial" w:hAnsi="Arial" w:cs="Arial"/>
          <w:i/>
          <w:sz w:val="24"/>
          <w:szCs w:val="24"/>
        </w:rPr>
        <w:t>Actualizar el catastro de beneficiarios del Bono de Desarrollo Humano</w:t>
      </w:r>
    </w:p>
    <w:p w:rsidR="00A66191" w:rsidRPr="004D6466" w:rsidRDefault="00A66191" w:rsidP="00A66191">
      <w:pPr>
        <w:tabs>
          <w:tab w:val="left" w:pos="142"/>
        </w:tabs>
        <w:spacing w:line="360" w:lineRule="auto"/>
        <w:jc w:val="both"/>
        <w:rPr>
          <w:rFonts w:ascii="Arial" w:hAnsi="Arial" w:cs="Arial"/>
          <w:sz w:val="24"/>
          <w:szCs w:val="24"/>
        </w:rPr>
      </w:pPr>
      <w:r w:rsidRPr="004D6466">
        <w:rPr>
          <w:rFonts w:ascii="Arial" w:hAnsi="Arial" w:cs="Arial"/>
          <w:sz w:val="24"/>
          <w:szCs w:val="24"/>
        </w:rPr>
        <w:t>Esta es una medida que se aplicó en forma exitosa en el Brasil debido a la conformación de comités locales de verificación de datos de los beneficiarios. En el caso del Ecuador a pesar de que existe verificación con visitas domiciliarias y cruce de información a través de diferentes instituciones en la práctica ha sido difícil la actualización de los beneficiarios del bono así como determinar el uso que se haga de los recursos.</w:t>
      </w:r>
    </w:p>
    <w:p w:rsidR="00A66191" w:rsidRPr="004D6466" w:rsidRDefault="00A66191" w:rsidP="00A66191">
      <w:pPr>
        <w:tabs>
          <w:tab w:val="left" w:pos="142"/>
        </w:tabs>
        <w:spacing w:line="360" w:lineRule="auto"/>
        <w:jc w:val="both"/>
        <w:rPr>
          <w:rFonts w:ascii="Arial" w:hAnsi="Arial" w:cs="Arial"/>
          <w:sz w:val="24"/>
          <w:szCs w:val="24"/>
        </w:rPr>
      </w:pPr>
      <w:r w:rsidRPr="004D6466">
        <w:rPr>
          <w:rFonts w:ascii="Arial" w:hAnsi="Arial" w:cs="Arial"/>
          <w:sz w:val="24"/>
          <w:szCs w:val="24"/>
        </w:rPr>
        <w:t xml:space="preserve"> Se propone la conformación de comités locales de verificación de datos cuya integración puede ser la siguiente: 1 representante del ejecutivo o representante del MIES, 1 representante del gobierno local, municipal o de las juntas parroquiales y 4 representantes de las organizaciones civiles, religiosas, organizaciones de trabajadores, entre otras, que operan en la zona o área de intervención.</w:t>
      </w:r>
    </w:p>
    <w:p w:rsidR="00A66191" w:rsidRPr="004D6466" w:rsidRDefault="00A66191" w:rsidP="00A66191">
      <w:pPr>
        <w:tabs>
          <w:tab w:val="left" w:pos="142"/>
        </w:tabs>
        <w:spacing w:line="360" w:lineRule="auto"/>
        <w:jc w:val="both"/>
        <w:rPr>
          <w:rFonts w:ascii="Arial" w:hAnsi="Arial" w:cs="Arial"/>
          <w:sz w:val="24"/>
          <w:szCs w:val="24"/>
        </w:rPr>
      </w:pPr>
      <w:r w:rsidRPr="004D6466">
        <w:rPr>
          <w:rFonts w:ascii="Arial" w:hAnsi="Arial" w:cs="Arial"/>
          <w:b/>
          <w:sz w:val="24"/>
          <w:szCs w:val="24"/>
        </w:rPr>
        <w:t>Línea de acción</w:t>
      </w:r>
      <w:r w:rsidRPr="004D6466">
        <w:rPr>
          <w:rFonts w:ascii="Arial" w:hAnsi="Arial" w:cs="Arial"/>
          <w:sz w:val="24"/>
          <w:szCs w:val="24"/>
        </w:rPr>
        <w:t xml:space="preserve">: </w:t>
      </w:r>
      <w:r w:rsidRPr="004D6466">
        <w:rPr>
          <w:rFonts w:ascii="Arial" w:hAnsi="Arial" w:cs="Arial"/>
          <w:i/>
          <w:sz w:val="24"/>
          <w:szCs w:val="24"/>
        </w:rPr>
        <w:t>Incorporar a las empresas con los programas del BDH y CDH a fin de cumplir con la responsabilidad social.</w:t>
      </w:r>
    </w:p>
    <w:p w:rsidR="00A66191" w:rsidRPr="004D6466" w:rsidRDefault="00A66191" w:rsidP="00A66191">
      <w:pPr>
        <w:tabs>
          <w:tab w:val="left" w:pos="142"/>
        </w:tabs>
        <w:spacing w:line="360" w:lineRule="auto"/>
        <w:jc w:val="both"/>
        <w:rPr>
          <w:rFonts w:ascii="Arial" w:hAnsi="Arial" w:cs="Arial"/>
          <w:sz w:val="24"/>
          <w:szCs w:val="24"/>
        </w:rPr>
      </w:pPr>
      <w:r w:rsidRPr="004D6466">
        <w:rPr>
          <w:rFonts w:ascii="Arial" w:hAnsi="Arial" w:cs="Arial"/>
          <w:sz w:val="24"/>
          <w:szCs w:val="24"/>
        </w:rPr>
        <w:t>Se propone que las empresas discutan con los comités de cada zona de intervención del gobierno para llegar a un acuerdo sobre el rubro que necesita una inversión, ya sea, en educación, salud, capacitación, entre otros, a los beneficiarios del bono incluyendo a las personas con discapacidad y adultos mayores.</w:t>
      </w:r>
    </w:p>
    <w:p w:rsidR="00A66191" w:rsidRPr="004D6466" w:rsidRDefault="00A66191" w:rsidP="00A66191">
      <w:pPr>
        <w:tabs>
          <w:tab w:val="left" w:pos="142"/>
        </w:tabs>
        <w:spacing w:line="360" w:lineRule="auto"/>
        <w:jc w:val="both"/>
        <w:rPr>
          <w:rFonts w:ascii="Arial" w:hAnsi="Arial" w:cs="Arial"/>
          <w:sz w:val="24"/>
          <w:szCs w:val="24"/>
        </w:rPr>
      </w:pPr>
    </w:p>
    <w:p w:rsidR="00A66191" w:rsidRPr="004D6466" w:rsidRDefault="00A66191" w:rsidP="00A66191">
      <w:pPr>
        <w:tabs>
          <w:tab w:val="left" w:pos="142"/>
        </w:tabs>
        <w:spacing w:line="360" w:lineRule="auto"/>
        <w:jc w:val="both"/>
        <w:rPr>
          <w:rFonts w:ascii="Arial" w:hAnsi="Arial" w:cs="Arial"/>
          <w:b/>
          <w:i/>
          <w:sz w:val="24"/>
          <w:szCs w:val="24"/>
        </w:rPr>
      </w:pPr>
      <w:r w:rsidRPr="004D6466">
        <w:rPr>
          <w:rFonts w:ascii="Arial" w:hAnsi="Arial" w:cs="Arial"/>
          <w:b/>
          <w:i/>
          <w:sz w:val="24"/>
          <w:szCs w:val="24"/>
        </w:rPr>
        <w:lastRenderedPageBreak/>
        <w:t>Estrategia: Insertar al Ecuador en el contexto mundial</w:t>
      </w:r>
    </w:p>
    <w:p w:rsidR="00A66191" w:rsidRPr="004D6466" w:rsidRDefault="00A66191" w:rsidP="00A66191">
      <w:pPr>
        <w:tabs>
          <w:tab w:val="left" w:pos="142"/>
        </w:tabs>
        <w:spacing w:line="360" w:lineRule="auto"/>
        <w:jc w:val="both"/>
        <w:rPr>
          <w:rFonts w:ascii="Arial" w:hAnsi="Arial" w:cs="Arial"/>
          <w:sz w:val="24"/>
          <w:szCs w:val="24"/>
        </w:rPr>
      </w:pPr>
      <w:r w:rsidRPr="004D6466">
        <w:rPr>
          <w:rFonts w:ascii="Arial" w:hAnsi="Arial" w:cs="Arial"/>
          <w:sz w:val="24"/>
          <w:szCs w:val="24"/>
        </w:rPr>
        <w:t>Se proponen tres líneas de acción: Aumentar el número de oficinas comerciales, Continuar con la promoción del Ecuador como destino turístico, Promover al país en el contexto mundial, de acuerdo al siguiente detalle:</w:t>
      </w:r>
    </w:p>
    <w:p w:rsidR="00A66191" w:rsidRPr="004D6466" w:rsidRDefault="00A66191" w:rsidP="00A66191">
      <w:pPr>
        <w:tabs>
          <w:tab w:val="left" w:pos="142"/>
        </w:tabs>
        <w:spacing w:line="360" w:lineRule="auto"/>
        <w:jc w:val="both"/>
        <w:rPr>
          <w:rFonts w:ascii="Arial" w:hAnsi="Arial" w:cs="Arial"/>
          <w:i/>
          <w:sz w:val="24"/>
          <w:szCs w:val="24"/>
        </w:rPr>
      </w:pPr>
      <w:r w:rsidRPr="004D6466">
        <w:rPr>
          <w:rFonts w:ascii="Arial" w:hAnsi="Arial" w:cs="Arial"/>
          <w:b/>
          <w:i/>
          <w:sz w:val="24"/>
          <w:szCs w:val="24"/>
        </w:rPr>
        <w:t>Líneas de acción</w:t>
      </w:r>
      <w:r w:rsidRPr="004D6466">
        <w:rPr>
          <w:rFonts w:ascii="Arial" w:hAnsi="Arial" w:cs="Arial"/>
          <w:i/>
          <w:sz w:val="24"/>
          <w:szCs w:val="24"/>
        </w:rPr>
        <w:t>: Aumentar el número de oficinas comerciales</w:t>
      </w:r>
    </w:p>
    <w:p w:rsidR="00A66191" w:rsidRPr="004D6466" w:rsidRDefault="00A66191" w:rsidP="00A66191">
      <w:pPr>
        <w:tabs>
          <w:tab w:val="left" w:pos="142"/>
        </w:tabs>
        <w:spacing w:line="360" w:lineRule="auto"/>
        <w:jc w:val="both"/>
        <w:rPr>
          <w:rFonts w:ascii="Arial" w:hAnsi="Arial" w:cs="Arial"/>
          <w:sz w:val="24"/>
          <w:szCs w:val="24"/>
        </w:rPr>
      </w:pPr>
      <w:r w:rsidRPr="004D6466">
        <w:rPr>
          <w:rFonts w:ascii="Arial" w:hAnsi="Arial" w:cs="Arial"/>
          <w:sz w:val="24"/>
          <w:szCs w:val="24"/>
        </w:rPr>
        <w:t xml:space="preserve">El Brasil en el modelo de desarrollo tiene un eje de vital importancia que es el manejo de las relaciones internacionales que en su primer punto toma al Brasil como un país de grandes recursos naturales y turísticos además de los recursos que puede ofrecer como materia prima y productos de valor agregado, es por esto que una estrategia fundamental es visitar países y abrir oficinas comerciales, hoy en día Brasil suena en destinos remotos como Sri Lanka, Bangladesh, Tanzania entre otros. </w:t>
      </w:r>
    </w:p>
    <w:p w:rsidR="00A66191" w:rsidRPr="004D6466" w:rsidRDefault="00A66191" w:rsidP="00A66191">
      <w:pPr>
        <w:tabs>
          <w:tab w:val="left" w:pos="142"/>
        </w:tabs>
        <w:spacing w:line="360" w:lineRule="auto"/>
        <w:jc w:val="both"/>
        <w:rPr>
          <w:rFonts w:ascii="Arial" w:hAnsi="Arial" w:cs="Arial"/>
          <w:sz w:val="24"/>
          <w:szCs w:val="24"/>
        </w:rPr>
      </w:pPr>
      <w:r w:rsidRPr="004D6466">
        <w:rPr>
          <w:rFonts w:ascii="Arial" w:hAnsi="Arial" w:cs="Arial"/>
          <w:sz w:val="24"/>
          <w:szCs w:val="24"/>
        </w:rPr>
        <w:t xml:space="preserve">Se propone que el Ecuador incremente el número de oficinas comerciales alrededor del mundo, conforme a su tamaño, para lo cual es preciso centrar los esfuerzos en lugares estratégicos como Singapur, debido al poder adquisitivo que este lugar tiene. </w:t>
      </w:r>
    </w:p>
    <w:p w:rsidR="00A66191" w:rsidRPr="004D6466" w:rsidRDefault="00A66191" w:rsidP="00A66191">
      <w:pPr>
        <w:tabs>
          <w:tab w:val="left" w:pos="142"/>
        </w:tabs>
        <w:spacing w:line="360" w:lineRule="auto"/>
        <w:jc w:val="both"/>
        <w:rPr>
          <w:rFonts w:ascii="Arial" w:hAnsi="Arial" w:cs="Arial"/>
          <w:i/>
          <w:sz w:val="24"/>
          <w:szCs w:val="24"/>
        </w:rPr>
      </w:pPr>
      <w:r w:rsidRPr="004D6466">
        <w:rPr>
          <w:rFonts w:ascii="Arial" w:hAnsi="Arial" w:cs="Arial"/>
          <w:b/>
          <w:i/>
          <w:sz w:val="24"/>
          <w:szCs w:val="24"/>
        </w:rPr>
        <w:t>Línea de acción</w:t>
      </w:r>
      <w:r w:rsidRPr="004D6466">
        <w:rPr>
          <w:rFonts w:ascii="Arial" w:hAnsi="Arial" w:cs="Arial"/>
          <w:i/>
          <w:sz w:val="24"/>
          <w:szCs w:val="24"/>
        </w:rPr>
        <w:t>: Continuar con la promoción del Ecuador como destino turístico</w:t>
      </w:r>
    </w:p>
    <w:p w:rsidR="00A66191" w:rsidRPr="004D6466" w:rsidRDefault="00A66191" w:rsidP="00A66191">
      <w:pPr>
        <w:tabs>
          <w:tab w:val="left" w:pos="142"/>
        </w:tabs>
        <w:spacing w:line="360" w:lineRule="auto"/>
        <w:jc w:val="both"/>
        <w:rPr>
          <w:rFonts w:ascii="Arial" w:hAnsi="Arial" w:cs="Arial"/>
          <w:sz w:val="24"/>
          <w:szCs w:val="24"/>
        </w:rPr>
      </w:pPr>
      <w:r w:rsidRPr="004D6466">
        <w:rPr>
          <w:rFonts w:ascii="Arial" w:hAnsi="Arial" w:cs="Arial"/>
          <w:sz w:val="24"/>
          <w:szCs w:val="24"/>
        </w:rPr>
        <w:t xml:space="preserve">El Ecuador tiene gran potencial para venderse al mundo como destino turístico y lo ha hecho a través de los diferentes gobiernos; posee lugares únicos en riqueza de flora y fauna en sus diferentes regiones; Tiene variedad de actores en diferentes modelos, </w:t>
      </w:r>
    </w:p>
    <w:p w:rsidR="00A66191" w:rsidRPr="004D6466" w:rsidRDefault="00A66191" w:rsidP="00A66191">
      <w:pPr>
        <w:tabs>
          <w:tab w:val="left" w:pos="142"/>
        </w:tabs>
        <w:spacing w:line="360" w:lineRule="auto"/>
        <w:jc w:val="both"/>
        <w:rPr>
          <w:rFonts w:ascii="Arial" w:hAnsi="Arial" w:cs="Arial"/>
          <w:sz w:val="24"/>
          <w:szCs w:val="24"/>
        </w:rPr>
      </w:pPr>
      <w:r w:rsidRPr="004D6466">
        <w:rPr>
          <w:rFonts w:ascii="Arial" w:hAnsi="Arial" w:cs="Arial"/>
          <w:sz w:val="24"/>
          <w:szCs w:val="24"/>
        </w:rPr>
        <w:t xml:space="preserve">Se propone que los diferentes sectores centren sus esfuerzos en forma coordinada y conjunta para aprovechar de los grandes esfuerzos e inversiones públicos y privados. Con especial énfasis en el eco turismo y en la participación de las comunidades en este proceso, como actores principales de los circuitos turísticos. </w:t>
      </w:r>
    </w:p>
    <w:p w:rsidR="00A66191" w:rsidRPr="004D6466" w:rsidRDefault="00A66191" w:rsidP="00A66191">
      <w:pPr>
        <w:tabs>
          <w:tab w:val="left" w:pos="142"/>
        </w:tabs>
        <w:spacing w:line="360" w:lineRule="auto"/>
        <w:jc w:val="both"/>
        <w:rPr>
          <w:rFonts w:ascii="Arial" w:hAnsi="Arial" w:cs="Arial"/>
          <w:sz w:val="24"/>
          <w:szCs w:val="24"/>
        </w:rPr>
      </w:pPr>
    </w:p>
    <w:p w:rsidR="00A66191" w:rsidRPr="004D6466" w:rsidRDefault="00A66191" w:rsidP="00A66191">
      <w:pPr>
        <w:tabs>
          <w:tab w:val="left" w:pos="142"/>
        </w:tabs>
        <w:spacing w:line="360" w:lineRule="auto"/>
        <w:jc w:val="both"/>
        <w:rPr>
          <w:rFonts w:ascii="Arial" w:hAnsi="Arial" w:cs="Arial"/>
          <w:sz w:val="24"/>
          <w:szCs w:val="24"/>
        </w:rPr>
      </w:pPr>
    </w:p>
    <w:p w:rsidR="00A66191" w:rsidRPr="004D6466" w:rsidRDefault="00A66191" w:rsidP="00A66191">
      <w:pPr>
        <w:tabs>
          <w:tab w:val="left" w:pos="142"/>
        </w:tabs>
        <w:spacing w:line="360" w:lineRule="auto"/>
        <w:jc w:val="both"/>
        <w:rPr>
          <w:rFonts w:ascii="Arial" w:hAnsi="Arial" w:cs="Arial"/>
          <w:i/>
          <w:sz w:val="24"/>
          <w:szCs w:val="24"/>
        </w:rPr>
      </w:pPr>
      <w:r w:rsidRPr="004D6466">
        <w:rPr>
          <w:rFonts w:ascii="Arial" w:hAnsi="Arial" w:cs="Arial"/>
          <w:b/>
          <w:i/>
          <w:sz w:val="24"/>
          <w:szCs w:val="24"/>
        </w:rPr>
        <w:lastRenderedPageBreak/>
        <w:t>Línea de acción</w:t>
      </w:r>
      <w:r w:rsidRPr="004D6466">
        <w:rPr>
          <w:rFonts w:ascii="Arial" w:hAnsi="Arial" w:cs="Arial"/>
          <w:i/>
          <w:sz w:val="24"/>
          <w:szCs w:val="24"/>
        </w:rPr>
        <w:t>: Promover al país en el contexto mundial</w:t>
      </w:r>
    </w:p>
    <w:p w:rsidR="00A66191" w:rsidRPr="004D6466" w:rsidRDefault="00A66191" w:rsidP="00A66191">
      <w:pPr>
        <w:tabs>
          <w:tab w:val="left" w:pos="142"/>
        </w:tabs>
        <w:spacing w:line="360" w:lineRule="auto"/>
        <w:jc w:val="both"/>
        <w:rPr>
          <w:rFonts w:ascii="Arial" w:hAnsi="Arial" w:cs="Arial"/>
          <w:sz w:val="24"/>
          <w:szCs w:val="24"/>
        </w:rPr>
      </w:pPr>
      <w:r w:rsidRPr="004D6466">
        <w:rPr>
          <w:rFonts w:ascii="Arial" w:hAnsi="Arial" w:cs="Arial"/>
          <w:sz w:val="24"/>
          <w:szCs w:val="24"/>
        </w:rPr>
        <w:t>El punto fundamental de esta política diplomática es la diversificación de destinos. El presidente Lula en su primer mandato sólo le dedicó el 35% de sus viajes a América del norte y Europa, focalizando su presencia en Sudamérica, Medio Oriente y África. Es de suma importancia para los países de la región fortalecer vínculos diplomáticos con sus países hermanos de Latinoamérica pero también es importante tener relaciones comerciales con países de otros continentes.</w:t>
      </w:r>
    </w:p>
    <w:p w:rsidR="00A66191" w:rsidRPr="004D6466" w:rsidRDefault="00A66191" w:rsidP="00A66191">
      <w:pPr>
        <w:tabs>
          <w:tab w:val="left" w:pos="142"/>
        </w:tabs>
        <w:spacing w:line="360" w:lineRule="auto"/>
        <w:jc w:val="both"/>
        <w:rPr>
          <w:rFonts w:ascii="Arial" w:hAnsi="Arial" w:cs="Arial"/>
          <w:sz w:val="24"/>
          <w:szCs w:val="24"/>
        </w:rPr>
      </w:pPr>
      <w:r w:rsidRPr="004D6466">
        <w:rPr>
          <w:rFonts w:ascii="Arial" w:hAnsi="Arial" w:cs="Arial"/>
          <w:sz w:val="24"/>
          <w:szCs w:val="24"/>
        </w:rPr>
        <w:t xml:space="preserve">El Ecuador también ha empezado con la política de diversificación de destinos al hacer negocios con Irán. Se han establecido vínculos económicos mediante la aplicación de beneficios arancelarios y la cooperación en sectores prioritarios, además de la exportación de bienes como banano, atún, cacao (extractos) y esencias de café, jugos, aceite de palma, entre otros. </w:t>
      </w:r>
    </w:p>
    <w:p w:rsidR="00A66191" w:rsidRPr="004D6466" w:rsidRDefault="00A66191" w:rsidP="00A66191">
      <w:pPr>
        <w:tabs>
          <w:tab w:val="left" w:pos="142"/>
        </w:tabs>
        <w:spacing w:line="360" w:lineRule="auto"/>
        <w:jc w:val="both"/>
        <w:rPr>
          <w:rFonts w:ascii="Arial" w:hAnsi="Arial" w:cs="Arial"/>
          <w:sz w:val="24"/>
          <w:szCs w:val="24"/>
        </w:rPr>
      </w:pPr>
      <w:r w:rsidRPr="004D6466">
        <w:rPr>
          <w:rFonts w:ascii="Arial" w:hAnsi="Arial" w:cs="Arial"/>
          <w:sz w:val="24"/>
          <w:szCs w:val="24"/>
        </w:rPr>
        <w:t>Se propone continuar e impulsar aún más esta política y sus estrategias con otros países.</w:t>
      </w:r>
    </w:p>
    <w:p w:rsidR="00A66191" w:rsidRPr="004D6466" w:rsidRDefault="00A66191" w:rsidP="00A66191">
      <w:pPr>
        <w:tabs>
          <w:tab w:val="left" w:pos="142"/>
        </w:tabs>
        <w:spacing w:line="360" w:lineRule="auto"/>
        <w:jc w:val="both"/>
        <w:rPr>
          <w:rFonts w:ascii="Arial" w:hAnsi="Arial" w:cs="Arial"/>
          <w:b/>
          <w:i/>
          <w:sz w:val="24"/>
          <w:szCs w:val="24"/>
        </w:rPr>
      </w:pPr>
      <w:r w:rsidRPr="004D6466">
        <w:rPr>
          <w:rFonts w:ascii="Arial" w:hAnsi="Arial" w:cs="Arial"/>
          <w:b/>
          <w:i/>
          <w:sz w:val="24"/>
          <w:szCs w:val="24"/>
        </w:rPr>
        <w:t>Estrategia: Incrementar el volumen de exportación del país</w:t>
      </w:r>
    </w:p>
    <w:p w:rsidR="00A66191" w:rsidRPr="004D6466" w:rsidRDefault="00A66191" w:rsidP="00A66191">
      <w:pPr>
        <w:tabs>
          <w:tab w:val="left" w:pos="142"/>
        </w:tabs>
        <w:spacing w:line="360" w:lineRule="auto"/>
        <w:jc w:val="both"/>
        <w:rPr>
          <w:rFonts w:ascii="Arial" w:hAnsi="Arial" w:cs="Arial"/>
          <w:sz w:val="24"/>
          <w:szCs w:val="24"/>
        </w:rPr>
      </w:pPr>
      <w:r w:rsidRPr="004D6466">
        <w:rPr>
          <w:rFonts w:ascii="Arial" w:hAnsi="Arial" w:cs="Arial"/>
          <w:sz w:val="24"/>
          <w:szCs w:val="24"/>
        </w:rPr>
        <w:t xml:space="preserve">Se proponen la siguiente línea de acción: Diversificar los productos de exportación, de acuerdo al siguiente detalle:          </w:t>
      </w:r>
    </w:p>
    <w:p w:rsidR="00A66191" w:rsidRPr="004D6466" w:rsidRDefault="00A66191" w:rsidP="00A66191">
      <w:pPr>
        <w:tabs>
          <w:tab w:val="left" w:pos="142"/>
        </w:tabs>
        <w:spacing w:line="360" w:lineRule="auto"/>
        <w:jc w:val="both"/>
        <w:rPr>
          <w:rFonts w:ascii="Arial" w:hAnsi="Arial" w:cs="Arial"/>
          <w:i/>
          <w:sz w:val="24"/>
          <w:szCs w:val="24"/>
        </w:rPr>
      </w:pPr>
      <w:r w:rsidRPr="004D6466">
        <w:rPr>
          <w:rFonts w:ascii="Arial" w:hAnsi="Arial" w:cs="Arial"/>
          <w:b/>
          <w:i/>
          <w:sz w:val="24"/>
          <w:szCs w:val="24"/>
        </w:rPr>
        <w:t>Línea de acción</w:t>
      </w:r>
      <w:r w:rsidRPr="004D6466">
        <w:rPr>
          <w:rFonts w:ascii="Arial" w:hAnsi="Arial" w:cs="Arial"/>
          <w:i/>
          <w:sz w:val="24"/>
          <w:szCs w:val="24"/>
        </w:rPr>
        <w:t>: Diversificar los productos de exportación</w:t>
      </w:r>
    </w:p>
    <w:p w:rsidR="00A66191" w:rsidRPr="004D6466" w:rsidRDefault="00A66191" w:rsidP="00A66191">
      <w:pPr>
        <w:tabs>
          <w:tab w:val="left" w:pos="142"/>
        </w:tabs>
        <w:spacing w:line="360" w:lineRule="auto"/>
        <w:jc w:val="both"/>
        <w:rPr>
          <w:rFonts w:ascii="Arial" w:hAnsi="Arial" w:cs="Arial"/>
          <w:sz w:val="24"/>
          <w:szCs w:val="24"/>
        </w:rPr>
      </w:pPr>
      <w:r w:rsidRPr="004D6466">
        <w:rPr>
          <w:rFonts w:ascii="Arial" w:hAnsi="Arial" w:cs="Arial"/>
          <w:sz w:val="24"/>
          <w:szCs w:val="24"/>
        </w:rPr>
        <w:t xml:space="preserve">Fortalecer la industria del Ecuador mediante diversificación de nuestros productos de exportación, tal y como lo hizo Brasil que en el 2005 exportó 59.48% de bienes industrializados como automóviles, maquinarias, hierro y acero fundido, entre otros.  </w:t>
      </w:r>
    </w:p>
    <w:p w:rsidR="00A66191" w:rsidRPr="004D6466" w:rsidRDefault="00A66191" w:rsidP="00A66191">
      <w:pPr>
        <w:tabs>
          <w:tab w:val="left" w:pos="142"/>
        </w:tabs>
        <w:spacing w:line="360" w:lineRule="auto"/>
        <w:jc w:val="both"/>
        <w:rPr>
          <w:rFonts w:ascii="Arial" w:hAnsi="Arial" w:cs="Arial"/>
          <w:sz w:val="24"/>
          <w:szCs w:val="24"/>
        </w:rPr>
      </w:pPr>
      <w:r w:rsidRPr="004D6466">
        <w:rPr>
          <w:rFonts w:ascii="Arial" w:hAnsi="Arial" w:cs="Arial"/>
          <w:sz w:val="24"/>
          <w:szCs w:val="24"/>
        </w:rPr>
        <w:t xml:space="preserve">Actualmente nuestro producto estrella de exportación sigue siendo el banano, pero el Ecuador tiene muchos productos más que ofrecer como plantas aromáticas y medicinales así como una variedad de frutas exóticas que podrían colocarse en el mercado internacional con un tratamiento adecuado y producidas en condiciones de no afectar al medio ambiente. </w:t>
      </w:r>
    </w:p>
    <w:p w:rsidR="00A66191" w:rsidRPr="004D6466" w:rsidRDefault="00A66191" w:rsidP="00A66191">
      <w:pPr>
        <w:tabs>
          <w:tab w:val="left" w:pos="142"/>
        </w:tabs>
        <w:spacing w:line="360" w:lineRule="auto"/>
        <w:jc w:val="both"/>
        <w:rPr>
          <w:rFonts w:ascii="Arial" w:hAnsi="Arial" w:cs="Arial"/>
          <w:sz w:val="24"/>
          <w:szCs w:val="24"/>
        </w:rPr>
      </w:pPr>
      <w:r w:rsidRPr="004D6466">
        <w:rPr>
          <w:rFonts w:ascii="Arial" w:hAnsi="Arial" w:cs="Arial"/>
          <w:sz w:val="24"/>
          <w:szCs w:val="24"/>
        </w:rPr>
        <w:lastRenderedPageBreak/>
        <w:t>El desafío es proporcionar valor agregado a nuestros productos para que sean adecuadamente apreciados a nivel internacional tal como está sucediendo con el Cacao por la iniciativa de los grandes inversionistas privados, por el apoyo del gobierno a los actores de la economía popular y por el apoyo a las organizaciones de las asociaciones de pequeños y medianos productores.</w:t>
      </w:r>
    </w:p>
    <w:p w:rsidR="00A66191" w:rsidRPr="004D6466" w:rsidRDefault="00A66191" w:rsidP="00A66191">
      <w:pPr>
        <w:tabs>
          <w:tab w:val="left" w:pos="142"/>
        </w:tabs>
        <w:spacing w:line="360" w:lineRule="auto"/>
        <w:jc w:val="both"/>
        <w:rPr>
          <w:rFonts w:ascii="Arial" w:hAnsi="Arial" w:cs="Arial"/>
          <w:sz w:val="24"/>
          <w:szCs w:val="24"/>
        </w:rPr>
      </w:pPr>
      <w:r w:rsidRPr="004D6466">
        <w:rPr>
          <w:rFonts w:ascii="Arial" w:hAnsi="Arial" w:cs="Arial"/>
          <w:sz w:val="24"/>
          <w:szCs w:val="24"/>
        </w:rPr>
        <w:t>Por otra parte el Ecuador también tiene gran capacidad de producir productos tecnológicos como es el caso de software ecuatoriano, cuya oferta se orienta a: aplicaciones para el área financiera y bancaria, área administrativa financiera, programación general en internet, procesamiento de señales, lingüística, entre otros. Este software puede ser utilizado como producto emblemático de nuestro país y puede ser adquirido por diferentes países, sobre todo en los de la UNASUR y países del Caribe. El Ecuador posee una calidad de recurso humano de primer orden, lo que ha facilitado su desarrollo y reconocimiento por su calidad a nivel internacional. Las ventas de software ecuatoriano han crecido sostenidamente un 40% cada año desde 1995. Este sector es importante si se considera que el software es un producto no tangible con un alto valor agregado.</w:t>
      </w:r>
    </w:p>
    <w:p w:rsidR="00A66191" w:rsidRPr="004D6466" w:rsidRDefault="00A66191" w:rsidP="00A66191">
      <w:pPr>
        <w:tabs>
          <w:tab w:val="left" w:pos="142"/>
        </w:tabs>
        <w:spacing w:line="360" w:lineRule="auto"/>
        <w:jc w:val="both"/>
        <w:rPr>
          <w:rFonts w:ascii="Arial" w:hAnsi="Arial" w:cs="Arial"/>
          <w:b/>
          <w:i/>
          <w:sz w:val="24"/>
          <w:szCs w:val="24"/>
        </w:rPr>
      </w:pPr>
      <w:r w:rsidRPr="004D6466">
        <w:rPr>
          <w:rFonts w:ascii="Arial" w:hAnsi="Arial" w:cs="Arial"/>
          <w:b/>
          <w:i/>
          <w:sz w:val="24"/>
          <w:szCs w:val="24"/>
        </w:rPr>
        <w:t>Estrategia: Promover la inversión extranjera</w:t>
      </w:r>
    </w:p>
    <w:p w:rsidR="00A66191" w:rsidRPr="004D6466" w:rsidRDefault="00A66191" w:rsidP="00A66191">
      <w:pPr>
        <w:tabs>
          <w:tab w:val="left" w:pos="142"/>
        </w:tabs>
        <w:spacing w:line="360" w:lineRule="auto"/>
        <w:jc w:val="both"/>
        <w:rPr>
          <w:rFonts w:ascii="Arial" w:hAnsi="Arial" w:cs="Arial"/>
          <w:sz w:val="24"/>
          <w:szCs w:val="24"/>
        </w:rPr>
      </w:pPr>
      <w:r w:rsidRPr="004D6466">
        <w:rPr>
          <w:rFonts w:ascii="Arial" w:hAnsi="Arial" w:cs="Arial"/>
          <w:sz w:val="24"/>
          <w:szCs w:val="24"/>
        </w:rPr>
        <w:t>El Ecuador se encuentra en desventaja frente a otros países de la región que han incorporado mecanismos para atraer la inversión externa, mecanismos tales como la eliminación de cargas tributarias, agilidad en los trámites de importación y exportación, creación de infraestructura y servicios; por lo que es necesario para el Ecuador mejorar en la aplicación de estos incentivos para la inversión extranjera.</w:t>
      </w:r>
    </w:p>
    <w:p w:rsidR="00A66191" w:rsidRPr="004D6466" w:rsidRDefault="00A66191" w:rsidP="00A66191">
      <w:pPr>
        <w:tabs>
          <w:tab w:val="left" w:pos="142"/>
        </w:tabs>
        <w:spacing w:line="360" w:lineRule="auto"/>
        <w:jc w:val="both"/>
        <w:rPr>
          <w:rFonts w:ascii="Arial" w:hAnsi="Arial" w:cs="Arial"/>
          <w:sz w:val="24"/>
          <w:szCs w:val="24"/>
        </w:rPr>
      </w:pPr>
      <w:r w:rsidRPr="004D6466">
        <w:rPr>
          <w:rFonts w:ascii="Arial" w:hAnsi="Arial" w:cs="Arial"/>
          <w:sz w:val="24"/>
          <w:szCs w:val="24"/>
        </w:rPr>
        <w:t>Se proponen las siguientes líneas de acción: Mejorar las Relaciones Fiscales a través de la disminución de tributos,</w:t>
      </w:r>
      <w:r w:rsidRPr="004D6466">
        <w:rPr>
          <w:rFonts w:ascii="Arial" w:hAnsi="Arial" w:cs="Arial"/>
          <w:i/>
          <w:sz w:val="24"/>
          <w:szCs w:val="24"/>
        </w:rPr>
        <w:t xml:space="preserve"> C</w:t>
      </w:r>
      <w:r w:rsidRPr="004D6466">
        <w:rPr>
          <w:rFonts w:ascii="Arial" w:hAnsi="Arial" w:cs="Arial"/>
          <w:sz w:val="24"/>
          <w:szCs w:val="24"/>
        </w:rPr>
        <w:t>rear infraestructura logística, Realizar la reingeniería de los procesos en el sector público, de acuerdo al siguiente detalle:</w:t>
      </w:r>
    </w:p>
    <w:p w:rsidR="00A66191" w:rsidRPr="004D6466" w:rsidRDefault="00A66191" w:rsidP="00A66191">
      <w:pPr>
        <w:tabs>
          <w:tab w:val="left" w:pos="142"/>
        </w:tabs>
        <w:spacing w:line="360" w:lineRule="auto"/>
        <w:jc w:val="both"/>
        <w:rPr>
          <w:rFonts w:ascii="Arial" w:hAnsi="Arial" w:cs="Arial"/>
          <w:sz w:val="24"/>
          <w:szCs w:val="24"/>
        </w:rPr>
      </w:pPr>
    </w:p>
    <w:p w:rsidR="00A66191" w:rsidRPr="004D6466" w:rsidRDefault="00A66191" w:rsidP="00A66191">
      <w:pPr>
        <w:tabs>
          <w:tab w:val="left" w:pos="142"/>
        </w:tabs>
        <w:spacing w:line="360" w:lineRule="auto"/>
        <w:jc w:val="both"/>
        <w:rPr>
          <w:rFonts w:ascii="Arial" w:hAnsi="Arial" w:cs="Arial"/>
          <w:sz w:val="24"/>
          <w:szCs w:val="24"/>
        </w:rPr>
      </w:pPr>
    </w:p>
    <w:p w:rsidR="00A66191" w:rsidRPr="004D6466" w:rsidRDefault="00A66191" w:rsidP="00A66191">
      <w:pPr>
        <w:pStyle w:val="NormalWeb"/>
        <w:spacing w:line="360" w:lineRule="auto"/>
        <w:jc w:val="both"/>
        <w:rPr>
          <w:rFonts w:ascii="Arial" w:hAnsi="Arial" w:cs="Arial"/>
          <w:i/>
        </w:rPr>
      </w:pPr>
      <w:r w:rsidRPr="004D6466">
        <w:rPr>
          <w:rFonts w:ascii="Arial" w:hAnsi="Arial" w:cs="Arial"/>
          <w:b/>
          <w:i/>
        </w:rPr>
        <w:lastRenderedPageBreak/>
        <w:t>Línea de acción</w:t>
      </w:r>
      <w:r w:rsidRPr="004D6466">
        <w:rPr>
          <w:rFonts w:ascii="Arial" w:hAnsi="Arial" w:cs="Arial"/>
          <w:i/>
        </w:rPr>
        <w:t>: Mejorar las relaciones fiscales a través de la disminución de tributos</w:t>
      </w:r>
    </w:p>
    <w:p w:rsidR="00A66191" w:rsidRPr="004D6466" w:rsidRDefault="00A66191" w:rsidP="00A66191">
      <w:pPr>
        <w:pStyle w:val="NormalWeb"/>
        <w:spacing w:line="360" w:lineRule="auto"/>
        <w:jc w:val="both"/>
        <w:rPr>
          <w:rFonts w:ascii="Arial" w:hAnsi="Arial" w:cs="Arial"/>
        </w:rPr>
      </w:pPr>
      <w:r w:rsidRPr="004D6466">
        <w:rPr>
          <w:rFonts w:ascii="Arial" w:hAnsi="Arial" w:cs="Arial"/>
        </w:rPr>
        <w:t>En el Brasil existen exenciones fiscales en tres esferas: la municipal, estatal y la federal. En la estatal, los esta</w:t>
      </w:r>
      <w:r w:rsidRPr="004D6466">
        <w:rPr>
          <w:rStyle w:val="highlightedsearchterm"/>
          <w:rFonts w:ascii="Arial" w:hAnsi="Arial" w:cs="Arial"/>
        </w:rPr>
        <w:t>d</w:t>
      </w:r>
      <w:r w:rsidRPr="004D6466">
        <w:rPr>
          <w:rFonts w:ascii="Arial" w:hAnsi="Arial" w:cs="Arial"/>
        </w:rPr>
        <w:t xml:space="preserve">os tienen autonomía para ofrecer incentivos fiscales sobre impuesto sobre operaciones relativas a la circulación </w:t>
      </w:r>
      <w:r w:rsidRPr="004D6466">
        <w:rPr>
          <w:rStyle w:val="highlightedsearchterm"/>
          <w:rFonts w:ascii="Arial" w:hAnsi="Arial" w:cs="Arial"/>
        </w:rPr>
        <w:t>d</w:t>
      </w:r>
      <w:r w:rsidRPr="004D6466">
        <w:rPr>
          <w:rFonts w:ascii="Arial" w:hAnsi="Arial" w:cs="Arial"/>
        </w:rPr>
        <w:t>e merca</w:t>
      </w:r>
      <w:r w:rsidRPr="004D6466">
        <w:rPr>
          <w:rStyle w:val="highlightedsearchterm"/>
          <w:rFonts w:ascii="Arial" w:hAnsi="Arial" w:cs="Arial"/>
        </w:rPr>
        <w:t>d</w:t>
      </w:r>
      <w:r w:rsidRPr="004D6466">
        <w:rPr>
          <w:rFonts w:ascii="Arial" w:hAnsi="Arial" w:cs="Arial"/>
        </w:rPr>
        <w:t>erías, pero es necesario evaluar bien el costo-beneficio. Se debe ofrecer una contraparti</w:t>
      </w:r>
      <w:r w:rsidRPr="004D6466">
        <w:rPr>
          <w:rStyle w:val="highlightedsearchterm"/>
          <w:rFonts w:ascii="Arial" w:hAnsi="Arial" w:cs="Arial"/>
        </w:rPr>
        <w:t>d</w:t>
      </w:r>
      <w:r w:rsidRPr="004D6466">
        <w:rPr>
          <w:rFonts w:ascii="Arial" w:hAnsi="Arial" w:cs="Arial"/>
        </w:rPr>
        <w:t xml:space="preserve">a en términos </w:t>
      </w:r>
      <w:r w:rsidRPr="004D6466">
        <w:rPr>
          <w:rStyle w:val="highlightedsearchterm"/>
          <w:rFonts w:ascii="Arial" w:hAnsi="Arial" w:cs="Arial"/>
        </w:rPr>
        <w:t>d</w:t>
      </w:r>
      <w:r w:rsidRPr="004D6466">
        <w:rPr>
          <w:rFonts w:ascii="Arial" w:hAnsi="Arial" w:cs="Arial"/>
        </w:rPr>
        <w:t xml:space="preserve">e volumen </w:t>
      </w:r>
      <w:r w:rsidRPr="004D6466">
        <w:rPr>
          <w:rStyle w:val="highlightedsearchterm"/>
          <w:rFonts w:ascii="Arial" w:hAnsi="Arial" w:cs="Arial"/>
        </w:rPr>
        <w:t>d</w:t>
      </w:r>
      <w:r w:rsidRPr="004D6466">
        <w:rPr>
          <w:rFonts w:ascii="Arial" w:hAnsi="Arial" w:cs="Arial"/>
        </w:rPr>
        <w:t xml:space="preserve">e inversiones, generación </w:t>
      </w:r>
      <w:r w:rsidRPr="004D6466">
        <w:rPr>
          <w:rStyle w:val="highlightedsearchterm"/>
          <w:rFonts w:ascii="Arial" w:hAnsi="Arial" w:cs="Arial"/>
        </w:rPr>
        <w:t>d</w:t>
      </w:r>
      <w:r w:rsidRPr="004D6466">
        <w:rPr>
          <w:rFonts w:ascii="Arial" w:hAnsi="Arial" w:cs="Arial"/>
        </w:rPr>
        <w:t xml:space="preserve">e empleos y </w:t>
      </w:r>
      <w:r w:rsidRPr="004D6466">
        <w:rPr>
          <w:rStyle w:val="highlightedsearchterm"/>
          <w:rFonts w:ascii="Arial" w:hAnsi="Arial" w:cs="Arial"/>
        </w:rPr>
        <w:t>d</w:t>
      </w:r>
      <w:r w:rsidRPr="004D6466">
        <w:rPr>
          <w:rFonts w:ascii="Arial" w:hAnsi="Arial" w:cs="Arial"/>
        </w:rPr>
        <w:t>esarrollo para el esta</w:t>
      </w:r>
      <w:r w:rsidRPr="004D6466">
        <w:rPr>
          <w:rStyle w:val="highlightedsearchterm"/>
          <w:rFonts w:ascii="Arial" w:hAnsi="Arial" w:cs="Arial"/>
        </w:rPr>
        <w:t>d</w:t>
      </w:r>
      <w:r w:rsidRPr="004D6466">
        <w:rPr>
          <w:rFonts w:ascii="Arial" w:hAnsi="Arial" w:cs="Arial"/>
        </w:rPr>
        <w:t xml:space="preserve">o. </w:t>
      </w:r>
    </w:p>
    <w:p w:rsidR="00A66191" w:rsidRPr="004D6466" w:rsidRDefault="00A66191" w:rsidP="00A66191">
      <w:pPr>
        <w:tabs>
          <w:tab w:val="left" w:pos="142"/>
        </w:tabs>
        <w:spacing w:line="360" w:lineRule="auto"/>
        <w:jc w:val="both"/>
        <w:rPr>
          <w:rFonts w:ascii="Arial" w:hAnsi="Arial" w:cs="Arial"/>
          <w:sz w:val="24"/>
          <w:szCs w:val="24"/>
        </w:rPr>
      </w:pPr>
      <w:r w:rsidRPr="004D6466">
        <w:rPr>
          <w:rFonts w:ascii="Arial" w:hAnsi="Arial" w:cs="Arial"/>
          <w:sz w:val="24"/>
          <w:szCs w:val="24"/>
        </w:rPr>
        <w:t>Dentro de la esfera municipal,  se pue</w:t>
      </w:r>
      <w:r w:rsidRPr="004D6466">
        <w:rPr>
          <w:rStyle w:val="highlightedsearchterm"/>
          <w:rFonts w:ascii="Arial" w:hAnsi="Arial" w:cs="Arial"/>
          <w:sz w:val="24"/>
          <w:szCs w:val="24"/>
        </w:rPr>
        <w:t>d</w:t>
      </w:r>
      <w:r w:rsidRPr="004D6466">
        <w:rPr>
          <w:rFonts w:ascii="Arial" w:hAnsi="Arial" w:cs="Arial"/>
          <w:sz w:val="24"/>
          <w:szCs w:val="24"/>
        </w:rPr>
        <w:t>en conce</w:t>
      </w:r>
      <w:r w:rsidRPr="004D6466">
        <w:rPr>
          <w:rStyle w:val="highlightedsearchterm"/>
          <w:rFonts w:ascii="Arial" w:hAnsi="Arial" w:cs="Arial"/>
          <w:sz w:val="24"/>
          <w:szCs w:val="24"/>
        </w:rPr>
        <w:t>d</w:t>
      </w:r>
      <w:r w:rsidRPr="004D6466">
        <w:rPr>
          <w:rFonts w:ascii="Arial" w:hAnsi="Arial" w:cs="Arial"/>
          <w:sz w:val="24"/>
          <w:szCs w:val="24"/>
        </w:rPr>
        <w:t>er exenciones o re</w:t>
      </w:r>
      <w:r w:rsidRPr="004D6466">
        <w:rPr>
          <w:rStyle w:val="highlightedsearchterm"/>
          <w:rFonts w:ascii="Arial" w:hAnsi="Arial" w:cs="Arial"/>
          <w:sz w:val="24"/>
          <w:szCs w:val="24"/>
        </w:rPr>
        <w:t>d</w:t>
      </w:r>
      <w:r w:rsidRPr="004D6466">
        <w:rPr>
          <w:rFonts w:ascii="Arial" w:hAnsi="Arial" w:cs="Arial"/>
          <w:sz w:val="24"/>
          <w:szCs w:val="24"/>
        </w:rPr>
        <w:t xml:space="preserve">ucciones temporales </w:t>
      </w:r>
      <w:r w:rsidRPr="004D6466">
        <w:rPr>
          <w:rStyle w:val="highlightedsearchterm"/>
          <w:rFonts w:ascii="Arial" w:hAnsi="Arial" w:cs="Arial"/>
          <w:sz w:val="24"/>
          <w:szCs w:val="24"/>
        </w:rPr>
        <w:t>d</w:t>
      </w:r>
      <w:r w:rsidRPr="004D6466">
        <w:rPr>
          <w:rFonts w:ascii="Arial" w:hAnsi="Arial" w:cs="Arial"/>
          <w:sz w:val="24"/>
          <w:szCs w:val="24"/>
        </w:rPr>
        <w:t>el Impuesto sobre la Propie</w:t>
      </w:r>
      <w:r w:rsidRPr="004D6466">
        <w:rPr>
          <w:rStyle w:val="highlightedsearchterm"/>
          <w:rFonts w:ascii="Arial" w:hAnsi="Arial" w:cs="Arial"/>
          <w:sz w:val="24"/>
          <w:szCs w:val="24"/>
        </w:rPr>
        <w:t>d</w:t>
      </w:r>
      <w:r w:rsidRPr="004D6466">
        <w:rPr>
          <w:rFonts w:ascii="Arial" w:hAnsi="Arial" w:cs="Arial"/>
          <w:sz w:val="24"/>
          <w:szCs w:val="24"/>
        </w:rPr>
        <w:t>a</w:t>
      </w:r>
      <w:r w:rsidRPr="004D6466">
        <w:rPr>
          <w:rStyle w:val="highlightedsearchterm"/>
          <w:rFonts w:ascii="Arial" w:hAnsi="Arial" w:cs="Arial"/>
          <w:sz w:val="24"/>
          <w:szCs w:val="24"/>
        </w:rPr>
        <w:t>d</w:t>
      </w:r>
      <w:r w:rsidRPr="004D6466">
        <w:rPr>
          <w:rFonts w:ascii="Arial" w:hAnsi="Arial" w:cs="Arial"/>
          <w:sz w:val="24"/>
          <w:szCs w:val="24"/>
        </w:rPr>
        <w:t xml:space="preserve"> Territorial Urbana o </w:t>
      </w:r>
      <w:r w:rsidRPr="004D6466">
        <w:rPr>
          <w:rStyle w:val="highlightedsearchterm"/>
          <w:rFonts w:ascii="Arial" w:hAnsi="Arial" w:cs="Arial"/>
          <w:sz w:val="24"/>
          <w:szCs w:val="24"/>
        </w:rPr>
        <w:t>d</w:t>
      </w:r>
      <w:r w:rsidRPr="004D6466">
        <w:rPr>
          <w:rFonts w:ascii="Arial" w:hAnsi="Arial" w:cs="Arial"/>
          <w:sz w:val="24"/>
          <w:szCs w:val="24"/>
        </w:rPr>
        <w:t>el Impuesto sobre Servicios.</w:t>
      </w:r>
    </w:p>
    <w:p w:rsidR="00A66191" w:rsidRPr="004D6466" w:rsidRDefault="00A66191" w:rsidP="00A66191">
      <w:pPr>
        <w:tabs>
          <w:tab w:val="left" w:pos="142"/>
        </w:tabs>
        <w:spacing w:line="360" w:lineRule="auto"/>
        <w:jc w:val="both"/>
        <w:rPr>
          <w:rFonts w:ascii="Arial" w:hAnsi="Arial" w:cs="Arial"/>
          <w:sz w:val="24"/>
          <w:szCs w:val="24"/>
        </w:rPr>
      </w:pPr>
      <w:r w:rsidRPr="004D6466">
        <w:rPr>
          <w:rFonts w:ascii="Arial" w:hAnsi="Arial" w:cs="Arial"/>
          <w:sz w:val="24"/>
          <w:szCs w:val="24"/>
        </w:rPr>
        <w:t xml:space="preserve">En el caso del Ecuador se propone la disminución del pago al impuesto a la renta en forma inversamente proporcional a la cantidad de mano de obra ecuatoriana calificada contratada y directamente proporcional al volumen de inversión realizada. A nivel municipal la disminución del pago del impuesto predial y patentes en base al volumen de inversión realizada en el territorio.  </w:t>
      </w:r>
    </w:p>
    <w:p w:rsidR="00A66191" w:rsidRPr="004D6466" w:rsidRDefault="00A66191" w:rsidP="00A66191">
      <w:pPr>
        <w:tabs>
          <w:tab w:val="left" w:pos="142"/>
        </w:tabs>
        <w:spacing w:line="360" w:lineRule="auto"/>
        <w:jc w:val="both"/>
        <w:rPr>
          <w:rFonts w:ascii="Arial" w:hAnsi="Arial" w:cs="Arial"/>
          <w:i/>
          <w:sz w:val="24"/>
          <w:szCs w:val="24"/>
        </w:rPr>
      </w:pPr>
      <w:r w:rsidRPr="004D6466">
        <w:rPr>
          <w:rFonts w:ascii="Arial" w:hAnsi="Arial" w:cs="Arial"/>
          <w:b/>
          <w:i/>
          <w:sz w:val="24"/>
          <w:szCs w:val="24"/>
        </w:rPr>
        <w:t>Línea de acción</w:t>
      </w:r>
      <w:r w:rsidRPr="004D6466">
        <w:rPr>
          <w:rFonts w:ascii="Arial" w:hAnsi="Arial" w:cs="Arial"/>
          <w:i/>
          <w:sz w:val="24"/>
          <w:szCs w:val="24"/>
        </w:rPr>
        <w:t>: Crear infraestructura logística</w:t>
      </w:r>
    </w:p>
    <w:p w:rsidR="00A66191" w:rsidRPr="004D6466" w:rsidRDefault="00A66191" w:rsidP="00A66191">
      <w:pPr>
        <w:tabs>
          <w:tab w:val="left" w:pos="142"/>
        </w:tabs>
        <w:spacing w:line="360" w:lineRule="auto"/>
        <w:jc w:val="both"/>
        <w:rPr>
          <w:rFonts w:ascii="Arial" w:hAnsi="Arial" w:cs="Arial"/>
          <w:sz w:val="24"/>
          <w:szCs w:val="24"/>
        </w:rPr>
      </w:pPr>
      <w:r w:rsidRPr="004D6466">
        <w:rPr>
          <w:rFonts w:ascii="Arial" w:hAnsi="Arial" w:cs="Arial"/>
          <w:sz w:val="24"/>
          <w:szCs w:val="24"/>
        </w:rPr>
        <w:t xml:space="preserve">A más de la red de carreteras en las que se han centrado los esfuerzos del gobierno del presidente Correa es necesario: invertir en los puertos, en las comunicaciones, desarrollar capacidades en la gente como facilidad para hablar otros idiomas, reforzar los esfuerzos realizados para la preparación de ecuatorianos en el exterior, incorporar y agilitar la implementación de iniciativas como la del “Proyecto Prometeo” que platea traer al país científicos de alta calidad y que científicos ecuatorianos se preparen en el exterior o como la creación de Yachay, ciudad del conocimiento, proyecto para elevar el nivel de la universidad en el Ecuador, incentivando a que los estudiantes quieran dirigirse hacia el área científica. </w:t>
      </w:r>
    </w:p>
    <w:p w:rsidR="00A66191" w:rsidRPr="004D6466" w:rsidRDefault="00A66191" w:rsidP="00A66191">
      <w:pPr>
        <w:tabs>
          <w:tab w:val="left" w:pos="142"/>
        </w:tabs>
        <w:spacing w:line="360" w:lineRule="auto"/>
        <w:jc w:val="both"/>
        <w:rPr>
          <w:rFonts w:ascii="Arial" w:hAnsi="Arial" w:cs="Arial"/>
          <w:sz w:val="24"/>
          <w:szCs w:val="24"/>
        </w:rPr>
      </w:pPr>
    </w:p>
    <w:p w:rsidR="00A66191" w:rsidRPr="004D6466" w:rsidRDefault="00A66191" w:rsidP="00A66191">
      <w:pPr>
        <w:tabs>
          <w:tab w:val="left" w:pos="142"/>
        </w:tabs>
        <w:spacing w:line="360" w:lineRule="auto"/>
        <w:jc w:val="both"/>
        <w:rPr>
          <w:rFonts w:ascii="Arial" w:hAnsi="Arial" w:cs="Arial"/>
          <w:sz w:val="24"/>
          <w:szCs w:val="24"/>
        </w:rPr>
      </w:pPr>
    </w:p>
    <w:p w:rsidR="00A66191" w:rsidRPr="004D6466" w:rsidRDefault="00A66191" w:rsidP="00A66191">
      <w:pPr>
        <w:tabs>
          <w:tab w:val="left" w:pos="142"/>
        </w:tabs>
        <w:spacing w:line="360" w:lineRule="auto"/>
        <w:jc w:val="both"/>
        <w:rPr>
          <w:rFonts w:ascii="Arial" w:hAnsi="Arial" w:cs="Arial"/>
          <w:i/>
          <w:sz w:val="24"/>
          <w:szCs w:val="24"/>
        </w:rPr>
      </w:pPr>
      <w:r w:rsidRPr="004D6466">
        <w:rPr>
          <w:rFonts w:ascii="Arial" w:hAnsi="Arial" w:cs="Arial"/>
          <w:b/>
          <w:i/>
          <w:sz w:val="24"/>
          <w:szCs w:val="24"/>
        </w:rPr>
        <w:lastRenderedPageBreak/>
        <w:t>Línea de acción</w:t>
      </w:r>
      <w:r w:rsidRPr="004D6466">
        <w:rPr>
          <w:rFonts w:ascii="Arial" w:hAnsi="Arial" w:cs="Arial"/>
          <w:i/>
          <w:sz w:val="24"/>
          <w:szCs w:val="24"/>
        </w:rPr>
        <w:t>: Realizar la reingeniería de los procesos en el sector público</w:t>
      </w:r>
    </w:p>
    <w:p w:rsidR="00A66191" w:rsidRPr="004D6466" w:rsidRDefault="00A66191" w:rsidP="00A66191">
      <w:pPr>
        <w:tabs>
          <w:tab w:val="left" w:pos="142"/>
        </w:tabs>
        <w:spacing w:line="360" w:lineRule="auto"/>
        <w:jc w:val="both"/>
        <w:rPr>
          <w:rFonts w:ascii="Arial" w:hAnsi="Arial" w:cs="Arial"/>
          <w:sz w:val="24"/>
          <w:szCs w:val="24"/>
        </w:rPr>
      </w:pPr>
      <w:r w:rsidRPr="004D6466">
        <w:rPr>
          <w:rFonts w:ascii="Arial" w:hAnsi="Arial" w:cs="Arial"/>
          <w:sz w:val="24"/>
          <w:szCs w:val="24"/>
        </w:rPr>
        <w:t>No solamente se requiere cambiar las estructuras organizacionales de las instituciones públicas sino que estas reestructuraciones obedezcan a la identificación de procesos, a la reducción de pasos en los trámites, a la disminución de los requisitos solicitados a los ciudadanos, a la creación de oficinas gubernamentales que atiendan los trámites de todos los ministerios para reducir costos de funcionamiento, a la elevación de la calidad de los funcionarios, a la creación de mecanismos que eliminen la corrupción en la contratación pública.</w:t>
      </w:r>
    </w:p>
    <w:p w:rsidR="00A66191" w:rsidRPr="004D6466" w:rsidRDefault="00A66191" w:rsidP="00A66191">
      <w:pPr>
        <w:tabs>
          <w:tab w:val="left" w:pos="142"/>
        </w:tabs>
        <w:spacing w:line="360" w:lineRule="auto"/>
        <w:jc w:val="both"/>
        <w:rPr>
          <w:rFonts w:ascii="Arial" w:hAnsi="Arial" w:cs="Arial"/>
          <w:sz w:val="24"/>
          <w:szCs w:val="24"/>
        </w:rPr>
      </w:pPr>
      <w:r w:rsidRPr="004D6466">
        <w:rPr>
          <w:rFonts w:ascii="Arial" w:hAnsi="Arial" w:cs="Arial"/>
          <w:sz w:val="24"/>
          <w:szCs w:val="24"/>
        </w:rPr>
        <w:t>Particularmente atención requiere la reingeniería de las aduanas para facilitar tanto la importación como la exportación de los productos.</w:t>
      </w:r>
    </w:p>
    <w:p w:rsidR="00A66191" w:rsidRPr="004D6466" w:rsidRDefault="00A66191" w:rsidP="00A66191">
      <w:pPr>
        <w:tabs>
          <w:tab w:val="left" w:pos="142"/>
        </w:tabs>
        <w:spacing w:line="360" w:lineRule="auto"/>
        <w:jc w:val="both"/>
        <w:rPr>
          <w:rFonts w:ascii="Arial" w:hAnsi="Arial" w:cs="Arial"/>
          <w:sz w:val="24"/>
          <w:szCs w:val="24"/>
        </w:rPr>
      </w:pPr>
      <w:r w:rsidRPr="004D6466">
        <w:rPr>
          <w:rFonts w:ascii="Arial" w:hAnsi="Arial" w:cs="Arial"/>
          <w:sz w:val="24"/>
          <w:szCs w:val="24"/>
        </w:rPr>
        <w:t>Incorporar la tecnología como una herramienta necesaria en los trámites para crear empresas o para obtener la representatividad de empresas extranjeras en el territorio ecuatoriano, es importante que todos los trámites se realicen en línea y con costo cero.</w:t>
      </w:r>
    </w:p>
    <w:p w:rsidR="00A66191" w:rsidRPr="004D6466" w:rsidRDefault="00A66191" w:rsidP="00A66191">
      <w:pPr>
        <w:tabs>
          <w:tab w:val="left" w:pos="142"/>
        </w:tabs>
        <w:spacing w:line="360" w:lineRule="auto"/>
        <w:jc w:val="both"/>
        <w:rPr>
          <w:rFonts w:ascii="Arial" w:hAnsi="Arial" w:cs="Arial"/>
          <w:sz w:val="24"/>
          <w:szCs w:val="24"/>
        </w:rPr>
      </w:pPr>
      <w:r w:rsidRPr="004D6466">
        <w:rPr>
          <w:rFonts w:ascii="Arial" w:hAnsi="Arial" w:cs="Arial"/>
          <w:sz w:val="24"/>
          <w:szCs w:val="24"/>
        </w:rPr>
        <w:t>Para mejorar la transparencia de la gestión pública y en particular la transparencia en la contratación de bienes y servicios públicos, es necesario que se ejecuten mecanismos de control social como las veedurías ciudadanas a la contratación de todos los proyectos estratégicos. Para lograrlo es necesario desarrollar capacidades en los ciudadanos para que puedan ser veedores, para que conformen observatorios ciudadanos. Se propone también que en las universidades se incorporen contenidos para conseguir una ciudadanía activa y que los estudiantes participen en dichas veedurías con objetividad.</w:t>
      </w:r>
    </w:p>
    <w:p w:rsidR="00A66191" w:rsidRPr="004D6466" w:rsidRDefault="00A66191" w:rsidP="00A66191">
      <w:pPr>
        <w:tabs>
          <w:tab w:val="left" w:pos="142"/>
        </w:tabs>
        <w:spacing w:line="360" w:lineRule="auto"/>
        <w:jc w:val="both"/>
        <w:rPr>
          <w:rFonts w:ascii="Arial" w:hAnsi="Arial" w:cs="Arial"/>
          <w:b/>
          <w:i/>
          <w:sz w:val="24"/>
          <w:szCs w:val="24"/>
        </w:rPr>
      </w:pPr>
      <w:r w:rsidRPr="004D6466">
        <w:rPr>
          <w:rFonts w:ascii="Arial" w:hAnsi="Arial" w:cs="Arial"/>
          <w:b/>
          <w:i/>
          <w:sz w:val="24"/>
          <w:szCs w:val="24"/>
        </w:rPr>
        <w:t>Estrategia: Implementación de una adecuada Reforma Agraria</w:t>
      </w:r>
    </w:p>
    <w:p w:rsidR="00A66191" w:rsidRPr="004D6466" w:rsidRDefault="00A66191" w:rsidP="00A66191">
      <w:pPr>
        <w:tabs>
          <w:tab w:val="left" w:pos="142"/>
        </w:tabs>
        <w:spacing w:line="360" w:lineRule="auto"/>
        <w:jc w:val="both"/>
        <w:rPr>
          <w:rFonts w:ascii="Arial" w:hAnsi="Arial" w:cs="Arial"/>
          <w:sz w:val="24"/>
          <w:szCs w:val="24"/>
        </w:rPr>
      </w:pPr>
      <w:r w:rsidRPr="004D6466">
        <w:rPr>
          <w:rFonts w:ascii="Arial" w:hAnsi="Arial" w:cs="Arial"/>
          <w:sz w:val="24"/>
          <w:szCs w:val="24"/>
        </w:rPr>
        <w:t xml:space="preserve">Se proponen las siguientes líneas de </w:t>
      </w:r>
      <w:r w:rsidR="00830DFF" w:rsidRPr="004D6466">
        <w:rPr>
          <w:rFonts w:ascii="Arial" w:hAnsi="Arial" w:cs="Arial"/>
          <w:sz w:val="24"/>
          <w:szCs w:val="24"/>
        </w:rPr>
        <w:t>acción: Concretar</w:t>
      </w:r>
      <w:r w:rsidRPr="004D6466">
        <w:rPr>
          <w:rFonts w:ascii="Arial" w:hAnsi="Arial" w:cs="Arial"/>
          <w:sz w:val="24"/>
          <w:szCs w:val="24"/>
        </w:rPr>
        <w:t xml:space="preserve"> los acuerdos para la implementación de las leyes presentadas en la Asamblea, Incentivar la siembra del maíz, quinua, soya, trigo y cebada, Incentivar las campañas comunicacionales y otros mecanismos para mejorar la calidad de la alimentación en la población, de acuerdo al siguiente detalle:</w:t>
      </w:r>
    </w:p>
    <w:p w:rsidR="00A66191" w:rsidRPr="004D6466" w:rsidRDefault="00A66191" w:rsidP="00A66191">
      <w:pPr>
        <w:tabs>
          <w:tab w:val="left" w:pos="142"/>
        </w:tabs>
        <w:spacing w:line="360" w:lineRule="auto"/>
        <w:jc w:val="both"/>
        <w:rPr>
          <w:rFonts w:ascii="Arial" w:hAnsi="Arial" w:cs="Arial"/>
          <w:i/>
          <w:sz w:val="24"/>
          <w:szCs w:val="24"/>
        </w:rPr>
      </w:pPr>
      <w:r w:rsidRPr="004D6466">
        <w:rPr>
          <w:rFonts w:ascii="Arial" w:hAnsi="Arial" w:cs="Arial"/>
          <w:b/>
          <w:i/>
          <w:sz w:val="24"/>
          <w:szCs w:val="24"/>
        </w:rPr>
        <w:lastRenderedPageBreak/>
        <w:t>Línea de acción</w:t>
      </w:r>
      <w:r w:rsidRPr="004D6466">
        <w:rPr>
          <w:rFonts w:ascii="Arial" w:hAnsi="Arial" w:cs="Arial"/>
          <w:i/>
          <w:sz w:val="24"/>
          <w:szCs w:val="24"/>
        </w:rPr>
        <w:t>: Concretar los acuerdos para la implementación de las leyes presentadas en la Asamblea</w:t>
      </w:r>
    </w:p>
    <w:p w:rsidR="00A66191" w:rsidRPr="004D6466" w:rsidRDefault="00A66191" w:rsidP="00A66191">
      <w:pPr>
        <w:tabs>
          <w:tab w:val="left" w:pos="142"/>
        </w:tabs>
        <w:spacing w:line="360" w:lineRule="auto"/>
        <w:jc w:val="both"/>
        <w:rPr>
          <w:rFonts w:ascii="Arial" w:hAnsi="Arial" w:cs="Arial"/>
          <w:sz w:val="24"/>
          <w:szCs w:val="24"/>
        </w:rPr>
      </w:pPr>
      <w:r w:rsidRPr="004D6466">
        <w:rPr>
          <w:rFonts w:ascii="Arial" w:hAnsi="Arial" w:cs="Arial"/>
          <w:sz w:val="24"/>
          <w:szCs w:val="24"/>
        </w:rPr>
        <w:t>Se han realizado en el Ecuador en el periodo del presidente Correa 4 proyectos de Ley de Tierras, los cuatro deberán pasar a la Comisión de Soberanía Alimentaria que deberá estructurar un solo informe para pasar al Pleno. Los cuatro proyectos proponen la distribución de tierras, con diferentes mecanismos:  expropiaciones, entrega de terrenos gratuitos o cofinanciados por el Estado y los individuos, así como la exoneración de impuestos y la creación de un Fondo de Tierras que estaría a cargo de funcionarios públicos u organizaciones campesinas, dependiendo del proyecto.</w:t>
      </w:r>
    </w:p>
    <w:p w:rsidR="00A66191" w:rsidRPr="004D6466" w:rsidRDefault="00A66191" w:rsidP="00A66191">
      <w:pPr>
        <w:spacing w:line="360" w:lineRule="auto"/>
        <w:jc w:val="both"/>
        <w:rPr>
          <w:rFonts w:ascii="Arial" w:hAnsi="Arial" w:cs="Arial"/>
          <w:sz w:val="24"/>
          <w:szCs w:val="24"/>
        </w:rPr>
      </w:pPr>
      <w:r w:rsidRPr="004D6466">
        <w:rPr>
          <w:rFonts w:ascii="Arial" w:hAnsi="Arial" w:cs="Arial"/>
          <w:sz w:val="24"/>
          <w:szCs w:val="24"/>
        </w:rPr>
        <w:t>El más generalizado ha sido el presentado por la FENOCÍN con el respaldo de miles de firmas y fue entregado a la Asamblea el pasado 20 de marzo del 2012.</w:t>
      </w:r>
    </w:p>
    <w:p w:rsidR="00A66191" w:rsidRPr="004D6466" w:rsidRDefault="00A66191" w:rsidP="00A66191">
      <w:pPr>
        <w:spacing w:line="360" w:lineRule="auto"/>
        <w:jc w:val="both"/>
        <w:rPr>
          <w:rFonts w:ascii="Arial" w:hAnsi="Arial" w:cs="Arial"/>
          <w:sz w:val="24"/>
          <w:szCs w:val="24"/>
        </w:rPr>
      </w:pPr>
      <w:r w:rsidRPr="004D6466">
        <w:rPr>
          <w:rFonts w:ascii="Arial" w:hAnsi="Arial" w:cs="Arial"/>
          <w:sz w:val="24"/>
          <w:szCs w:val="24"/>
        </w:rPr>
        <w:t>Es necesario lograr que se discuta este proyecto de manera efectiva en el pleno de la Asamblea, ya que esta ley otorgará al campesinado el empoderamiento de sus propios recursos trabajando la tierra.</w:t>
      </w:r>
    </w:p>
    <w:p w:rsidR="00A66191" w:rsidRPr="004D6466" w:rsidRDefault="00A66191" w:rsidP="00A66191">
      <w:pPr>
        <w:tabs>
          <w:tab w:val="left" w:pos="142"/>
        </w:tabs>
        <w:spacing w:line="360" w:lineRule="auto"/>
        <w:jc w:val="both"/>
        <w:rPr>
          <w:rFonts w:ascii="Arial" w:hAnsi="Arial" w:cs="Arial"/>
          <w:sz w:val="24"/>
          <w:szCs w:val="24"/>
        </w:rPr>
      </w:pPr>
      <w:r w:rsidRPr="004D6466">
        <w:rPr>
          <w:rFonts w:ascii="Arial" w:hAnsi="Arial" w:cs="Arial"/>
          <w:sz w:val="24"/>
          <w:szCs w:val="24"/>
        </w:rPr>
        <w:t>Es importante obtener una distribución adecuada de las tierras productivas además de proporcionar la educación para que los campesinos no agoten la tierra con monocultivos, sino que la tierra sea respetada con ciclos agrarios adecuados además del debido descanso que esta debe tener después de un periodo de cultivo para que pueda regenerarse.</w:t>
      </w:r>
    </w:p>
    <w:p w:rsidR="00A66191" w:rsidRPr="004D6466" w:rsidRDefault="00A66191" w:rsidP="00A66191">
      <w:pPr>
        <w:tabs>
          <w:tab w:val="left" w:pos="142"/>
        </w:tabs>
        <w:spacing w:line="360" w:lineRule="auto"/>
        <w:jc w:val="both"/>
        <w:rPr>
          <w:rFonts w:ascii="Arial" w:hAnsi="Arial" w:cs="Arial"/>
          <w:i/>
          <w:sz w:val="24"/>
          <w:szCs w:val="24"/>
        </w:rPr>
      </w:pPr>
      <w:r w:rsidRPr="004D6466">
        <w:rPr>
          <w:rFonts w:ascii="Arial" w:hAnsi="Arial" w:cs="Arial"/>
          <w:b/>
          <w:i/>
          <w:sz w:val="24"/>
          <w:szCs w:val="24"/>
        </w:rPr>
        <w:t>Línea de acción</w:t>
      </w:r>
      <w:r w:rsidRPr="004D6466">
        <w:rPr>
          <w:rFonts w:ascii="Arial" w:hAnsi="Arial" w:cs="Arial"/>
          <w:i/>
          <w:sz w:val="24"/>
          <w:szCs w:val="24"/>
        </w:rPr>
        <w:t>: Incentivar la siembra del maíz, quinua, soya, trigo y cebada</w:t>
      </w:r>
    </w:p>
    <w:p w:rsidR="00A66191" w:rsidRPr="004D6466" w:rsidRDefault="00A66191" w:rsidP="00A66191">
      <w:pPr>
        <w:tabs>
          <w:tab w:val="left" w:pos="142"/>
        </w:tabs>
        <w:spacing w:line="360" w:lineRule="auto"/>
        <w:jc w:val="both"/>
        <w:rPr>
          <w:rFonts w:ascii="Arial" w:hAnsi="Arial" w:cs="Arial"/>
          <w:sz w:val="24"/>
          <w:szCs w:val="24"/>
        </w:rPr>
      </w:pPr>
      <w:r w:rsidRPr="004D6466">
        <w:rPr>
          <w:rFonts w:ascii="Arial" w:hAnsi="Arial" w:cs="Arial"/>
          <w:sz w:val="24"/>
          <w:szCs w:val="24"/>
        </w:rPr>
        <w:t xml:space="preserve">Para garantizar la seguridad alimentaria de la población es necesario continuar y fomentar aún más la siembra de productos como maíz, quinua, trigo y cebada, otorgando préstamos especiales a los agricultores, sean éstos pequeños o medianos productores, que se dediquen a éste tipo de cultivos de manera que mejoren su dieta y obtengan beneficios económicos con los excedentes. </w:t>
      </w:r>
    </w:p>
    <w:p w:rsidR="00A66191" w:rsidRPr="004D6466" w:rsidRDefault="00A66191" w:rsidP="00A66191">
      <w:pPr>
        <w:tabs>
          <w:tab w:val="left" w:pos="142"/>
        </w:tabs>
        <w:spacing w:line="360" w:lineRule="auto"/>
        <w:jc w:val="both"/>
        <w:rPr>
          <w:rFonts w:ascii="Arial" w:hAnsi="Arial" w:cs="Arial"/>
          <w:sz w:val="24"/>
          <w:szCs w:val="24"/>
        </w:rPr>
      </w:pPr>
    </w:p>
    <w:p w:rsidR="00A66191" w:rsidRPr="004D6466" w:rsidRDefault="00A66191" w:rsidP="00A66191">
      <w:pPr>
        <w:tabs>
          <w:tab w:val="left" w:pos="142"/>
        </w:tabs>
        <w:spacing w:line="360" w:lineRule="auto"/>
        <w:jc w:val="both"/>
        <w:rPr>
          <w:rFonts w:ascii="Arial" w:hAnsi="Arial" w:cs="Arial"/>
          <w:sz w:val="24"/>
          <w:szCs w:val="24"/>
        </w:rPr>
      </w:pPr>
    </w:p>
    <w:p w:rsidR="00A66191" w:rsidRPr="004D6466" w:rsidRDefault="00A66191" w:rsidP="00A66191">
      <w:pPr>
        <w:tabs>
          <w:tab w:val="left" w:pos="142"/>
        </w:tabs>
        <w:spacing w:line="360" w:lineRule="auto"/>
        <w:jc w:val="both"/>
        <w:rPr>
          <w:rFonts w:ascii="Arial" w:hAnsi="Arial" w:cs="Arial"/>
          <w:i/>
          <w:sz w:val="24"/>
          <w:szCs w:val="24"/>
        </w:rPr>
      </w:pPr>
      <w:r w:rsidRPr="004D6466">
        <w:rPr>
          <w:rFonts w:ascii="Arial" w:hAnsi="Arial" w:cs="Arial"/>
          <w:b/>
          <w:i/>
          <w:sz w:val="24"/>
          <w:szCs w:val="24"/>
        </w:rPr>
        <w:lastRenderedPageBreak/>
        <w:t>Línea de acción</w:t>
      </w:r>
      <w:r w:rsidRPr="004D6466">
        <w:rPr>
          <w:rFonts w:ascii="Arial" w:hAnsi="Arial" w:cs="Arial"/>
          <w:i/>
          <w:sz w:val="24"/>
          <w:szCs w:val="24"/>
        </w:rPr>
        <w:t xml:space="preserve">: Incentivar las campañas comunicacionales y otros mecanismos para mejorar la calidad de la alimentación en la población </w:t>
      </w:r>
    </w:p>
    <w:p w:rsidR="00A66191" w:rsidRPr="004D6466" w:rsidRDefault="00A66191" w:rsidP="00A66191">
      <w:pPr>
        <w:tabs>
          <w:tab w:val="left" w:pos="142"/>
        </w:tabs>
        <w:spacing w:line="360" w:lineRule="auto"/>
        <w:jc w:val="both"/>
        <w:rPr>
          <w:rFonts w:ascii="Arial" w:hAnsi="Arial" w:cs="Arial"/>
          <w:sz w:val="24"/>
          <w:szCs w:val="24"/>
        </w:rPr>
      </w:pPr>
      <w:r w:rsidRPr="004D6466">
        <w:rPr>
          <w:rFonts w:ascii="Arial" w:hAnsi="Arial" w:cs="Arial"/>
          <w:sz w:val="24"/>
          <w:szCs w:val="24"/>
        </w:rPr>
        <w:t xml:space="preserve">Siendo que una adecuada alimentación garantiza la salud de los ciudadanos y que la seguridad alimentaria ya está considerada como un derecho, ahora y en el futuro es necesario incentivar campañas que fortalezcan el consumo de productos naturales y saludables para no tener que invertir en curar las enfermedades que se derivan de una mala alimentación. </w:t>
      </w:r>
    </w:p>
    <w:p w:rsidR="00A66191" w:rsidRPr="004D6466" w:rsidRDefault="00A66191" w:rsidP="00A66191">
      <w:pPr>
        <w:tabs>
          <w:tab w:val="left" w:pos="142"/>
        </w:tabs>
        <w:spacing w:line="360" w:lineRule="auto"/>
        <w:jc w:val="both"/>
        <w:rPr>
          <w:rFonts w:ascii="Arial" w:hAnsi="Arial" w:cs="Arial"/>
          <w:sz w:val="24"/>
          <w:szCs w:val="24"/>
        </w:rPr>
      </w:pPr>
      <w:r w:rsidRPr="004D6466">
        <w:rPr>
          <w:rFonts w:ascii="Arial" w:hAnsi="Arial" w:cs="Arial"/>
          <w:sz w:val="24"/>
          <w:szCs w:val="24"/>
        </w:rPr>
        <w:t>Se propone crear otros mecanismos que no sean necesariamente grandes cantidades de recursos en campañas en la televisión, por ejemplo la creación de grupos ciudadanos que discutan estos temas en los lugares en los que viven, promover la discusión en las universidades, en los colegios, en los barrios, en las organizaciones y de esta manera incorporar a la ciudadanía más fuertemente, una ciudadanía más activa.</w:t>
      </w:r>
    </w:p>
    <w:p w:rsidR="00A66191" w:rsidRPr="004D6466" w:rsidRDefault="00A66191" w:rsidP="00A66191">
      <w:pPr>
        <w:tabs>
          <w:tab w:val="left" w:pos="142"/>
        </w:tabs>
        <w:spacing w:line="360" w:lineRule="auto"/>
        <w:jc w:val="both"/>
        <w:rPr>
          <w:rFonts w:ascii="Arial" w:hAnsi="Arial" w:cs="Arial"/>
          <w:b/>
          <w:i/>
          <w:sz w:val="24"/>
          <w:szCs w:val="24"/>
        </w:rPr>
      </w:pPr>
      <w:r w:rsidRPr="004D6466">
        <w:rPr>
          <w:rFonts w:ascii="Arial" w:hAnsi="Arial" w:cs="Arial"/>
          <w:b/>
          <w:i/>
          <w:sz w:val="24"/>
          <w:szCs w:val="24"/>
        </w:rPr>
        <w:t>Estrategia: Sed Cero</w:t>
      </w:r>
    </w:p>
    <w:p w:rsidR="00A66191" w:rsidRPr="004D6466" w:rsidRDefault="00A66191" w:rsidP="00A66191">
      <w:pPr>
        <w:tabs>
          <w:tab w:val="left" w:pos="142"/>
        </w:tabs>
        <w:spacing w:line="360" w:lineRule="auto"/>
        <w:jc w:val="both"/>
        <w:rPr>
          <w:rFonts w:ascii="Arial" w:hAnsi="Arial" w:cs="Arial"/>
          <w:sz w:val="24"/>
          <w:szCs w:val="24"/>
        </w:rPr>
      </w:pPr>
      <w:r w:rsidRPr="004D6466">
        <w:rPr>
          <w:rFonts w:ascii="Arial" w:hAnsi="Arial" w:cs="Arial"/>
          <w:sz w:val="24"/>
          <w:szCs w:val="24"/>
        </w:rPr>
        <w:t>Se proponen las siguientes líneas de acción: Mejorar la calidad de agua en sectores rurales, Llevar agua a zonas desérticas del Ecuador, Garantizar el acceso del agua a las grandes ciudades sin afectar el medio ambiente, de acuerdo al siguiente detalle:</w:t>
      </w:r>
    </w:p>
    <w:p w:rsidR="00A66191" w:rsidRPr="004D6466" w:rsidRDefault="00A66191" w:rsidP="00A66191">
      <w:pPr>
        <w:tabs>
          <w:tab w:val="left" w:pos="142"/>
        </w:tabs>
        <w:spacing w:line="360" w:lineRule="auto"/>
        <w:jc w:val="both"/>
        <w:rPr>
          <w:rFonts w:ascii="Arial" w:hAnsi="Arial" w:cs="Arial"/>
          <w:i/>
          <w:sz w:val="24"/>
          <w:szCs w:val="24"/>
        </w:rPr>
      </w:pPr>
      <w:r w:rsidRPr="004D6466">
        <w:rPr>
          <w:rFonts w:ascii="Arial" w:hAnsi="Arial" w:cs="Arial"/>
          <w:b/>
          <w:i/>
          <w:sz w:val="24"/>
          <w:szCs w:val="24"/>
        </w:rPr>
        <w:t>Línea de acción</w:t>
      </w:r>
      <w:r w:rsidRPr="004D6466">
        <w:rPr>
          <w:rFonts w:ascii="Arial" w:hAnsi="Arial" w:cs="Arial"/>
          <w:b/>
          <w:sz w:val="24"/>
          <w:szCs w:val="24"/>
        </w:rPr>
        <w:t xml:space="preserve">: </w:t>
      </w:r>
      <w:r w:rsidRPr="004D6466">
        <w:rPr>
          <w:rFonts w:ascii="Arial" w:hAnsi="Arial" w:cs="Arial"/>
          <w:i/>
          <w:sz w:val="24"/>
          <w:szCs w:val="24"/>
        </w:rPr>
        <w:t>Mejorar la calidad de agua en sectores rurales</w:t>
      </w:r>
    </w:p>
    <w:p w:rsidR="00A66191" w:rsidRPr="004D6466" w:rsidRDefault="00A66191" w:rsidP="00A66191">
      <w:pPr>
        <w:tabs>
          <w:tab w:val="left" w:pos="142"/>
        </w:tabs>
        <w:spacing w:line="360" w:lineRule="auto"/>
        <w:jc w:val="both"/>
        <w:rPr>
          <w:rFonts w:ascii="Arial" w:hAnsi="Arial" w:cs="Arial"/>
          <w:sz w:val="24"/>
          <w:szCs w:val="24"/>
        </w:rPr>
      </w:pPr>
      <w:r w:rsidRPr="004D6466">
        <w:rPr>
          <w:rFonts w:ascii="Arial" w:hAnsi="Arial" w:cs="Arial"/>
          <w:sz w:val="24"/>
          <w:szCs w:val="24"/>
        </w:rPr>
        <w:t>Se propone fortalecer la intervención con los gobiernos seccionales para proveer de cisternas en sectores rurales, a fin de garantizar que se mejore y asegure la calidad del agua, en sitios en los que en la actualidad se mantiene los graves problemas de salud y saneamiento. Es decir enfocar y precisar la intervención donde más se requiere, esto tiene que ver también con la calidad del gasto y de la inversión.</w:t>
      </w:r>
    </w:p>
    <w:p w:rsidR="00A66191" w:rsidRPr="004D6466" w:rsidRDefault="00A66191" w:rsidP="00A66191">
      <w:pPr>
        <w:tabs>
          <w:tab w:val="left" w:pos="142"/>
        </w:tabs>
        <w:spacing w:line="360" w:lineRule="auto"/>
        <w:jc w:val="both"/>
        <w:rPr>
          <w:rFonts w:ascii="Arial" w:hAnsi="Arial" w:cs="Arial"/>
          <w:sz w:val="24"/>
          <w:szCs w:val="24"/>
        </w:rPr>
      </w:pPr>
    </w:p>
    <w:p w:rsidR="00A66191" w:rsidRPr="004D6466" w:rsidRDefault="00A66191" w:rsidP="00A66191">
      <w:pPr>
        <w:tabs>
          <w:tab w:val="left" w:pos="142"/>
        </w:tabs>
        <w:spacing w:line="360" w:lineRule="auto"/>
        <w:jc w:val="both"/>
        <w:rPr>
          <w:rFonts w:ascii="Arial" w:hAnsi="Arial" w:cs="Arial"/>
          <w:sz w:val="24"/>
          <w:szCs w:val="24"/>
        </w:rPr>
      </w:pPr>
    </w:p>
    <w:p w:rsidR="00727475" w:rsidRDefault="00727475" w:rsidP="00A66191">
      <w:pPr>
        <w:tabs>
          <w:tab w:val="left" w:pos="142"/>
        </w:tabs>
        <w:spacing w:line="360" w:lineRule="auto"/>
        <w:jc w:val="both"/>
        <w:rPr>
          <w:rFonts w:ascii="Arial" w:hAnsi="Arial" w:cs="Arial"/>
          <w:b/>
          <w:i/>
          <w:sz w:val="24"/>
          <w:szCs w:val="24"/>
        </w:rPr>
      </w:pPr>
    </w:p>
    <w:p w:rsidR="00727475" w:rsidRDefault="00727475" w:rsidP="00A66191">
      <w:pPr>
        <w:tabs>
          <w:tab w:val="left" w:pos="142"/>
        </w:tabs>
        <w:spacing w:line="360" w:lineRule="auto"/>
        <w:jc w:val="both"/>
        <w:rPr>
          <w:rFonts w:ascii="Arial" w:hAnsi="Arial" w:cs="Arial"/>
          <w:b/>
          <w:i/>
          <w:sz w:val="24"/>
          <w:szCs w:val="24"/>
        </w:rPr>
      </w:pPr>
    </w:p>
    <w:p w:rsidR="00A66191" w:rsidRPr="004D6466" w:rsidRDefault="00A66191" w:rsidP="00A66191">
      <w:pPr>
        <w:tabs>
          <w:tab w:val="left" w:pos="142"/>
        </w:tabs>
        <w:spacing w:line="360" w:lineRule="auto"/>
        <w:jc w:val="both"/>
        <w:rPr>
          <w:rFonts w:ascii="Arial" w:hAnsi="Arial" w:cs="Arial"/>
          <w:i/>
          <w:sz w:val="24"/>
          <w:szCs w:val="24"/>
        </w:rPr>
      </w:pPr>
      <w:r w:rsidRPr="004D6466">
        <w:rPr>
          <w:rFonts w:ascii="Arial" w:hAnsi="Arial" w:cs="Arial"/>
          <w:b/>
          <w:i/>
          <w:sz w:val="24"/>
          <w:szCs w:val="24"/>
        </w:rPr>
        <w:lastRenderedPageBreak/>
        <w:t>Línea de acción</w:t>
      </w:r>
      <w:r w:rsidRPr="004D6466">
        <w:rPr>
          <w:rFonts w:ascii="Arial" w:hAnsi="Arial" w:cs="Arial"/>
          <w:sz w:val="24"/>
          <w:szCs w:val="24"/>
        </w:rPr>
        <w:t xml:space="preserve">: </w:t>
      </w:r>
      <w:r w:rsidRPr="004D6466">
        <w:rPr>
          <w:rFonts w:ascii="Arial" w:hAnsi="Arial" w:cs="Arial"/>
          <w:i/>
          <w:sz w:val="24"/>
          <w:szCs w:val="24"/>
        </w:rPr>
        <w:t>Llevar agua a zonas desérticas del Ecuador.</w:t>
      </w:r>
    </w:p>
    <w:p w:rsidR="00A66191" w:rsidRPr="004D6466" w:rsidRDefault="00A66191" w:rsidP="00A66191">
      <w:pPr>
        <w:tabs>
          <w:tab w:val="left" w:pos="142"/>
        </w:tabs>
        <w:spacing w:line="360" w:lineRule="auto"/>
        <w:jc w:val="both"/>
        <w:rPr>
          <w:rFonts w:ascii="Arial" w:hAnsi="Arial" w:cs="Arial"/>
          <w:sz w:val="24"/>
          <w:szCs w:val="24"/>
        </w:rPr>
      </w:pPr>
      <w:r w:rsidRPr="004D6466">
        <w:rPr>
          <w:rFonts w:ascii="Arial" w:hAnsi="Arial" w:cs="Arial"/>
          <w:sz w:val="24"/>
          <w:szCs w:val="24"/>
        </w:rPr>
        <w:t xml:space="preserve">Aunque el Ecuador no tiene grandes zonas desérticas como el Brasil existen poblaciones que sufren escasez de agua, tal es el caso de Loja. En la actualidad Loja tiene atención y un proyecto prioritario como el proyecto eólico que se está ejecutando. </w:t>
      </w:r>
    </w:p>
    <w:p w:rsidR="00A66191" w:rsidRPr="004D6466" w:rsidRDefault="00A66191" w:rsidP="00A66191">
      <w:pPr>
        <w:tabs>
          <w:tab w:val="left" w:pos="142"/>
        </w:tabs>
        <w:spacing w:line="360" w:lineRule="auto"/>
        <w:jc w:val="both"/>
        <w:rPr>
          <w:rFonts w:ascii="Arial" w:hAnsi="Arial" w:cs="Arial"/>
          <w:sz w:val="24"/>
          <w:szCs w:val="24"/>
        </w:rPr>
      </w:pPr>
      <w:r w:rsidRPr="004D6466">
        <w:rPr>
          <w:rFonts w:ascii="Arial" w:hAnsi="Arial" w:cs="Arial"/>
          <w:sz w:val="24"/>
          <w:szCs w:val="24"/>
        </w:rPr>
        <w:t>Esta atención también puede ampliarse a la ejecución de proyectos específicos para la construcción de cisternas en las localidades que carecen de agua en la actualidad, en coordinación con los municipios correspondientes, hasta que los grandes proyectos se ejecuten.</w:t>
      </w:r>
    </w:p>
    <w:p w:rsidR="00A66191" w:rsidRPr="004D6466" w:rsidRDefault="00A66191" w:rsidP="00A66191">
      <w:pPr>
        <w:tabs>
          <w:tab w:val="left" w:pos="142"/>
        </w:tabs>
        <w:spacing w:line="360" w:lineRule="auto"/>
        <w:jc w:val="both"/>
        <w:rPr>
          <w:rFonts w:ascii="Arial" w:hAnsi="Arial" w:cs="Arial"/>
          <w:b/>
          <w:sz w:val="24"/>
          <w:szCs w:val="24"/>
        </w:rPr>
      </w:pPr>
      <w:r w:rsidRPr="004D6466">
        <w:rPr>
          <w:rFonts w:ascii="Arial" w:hAnsi="Arial" w:cs="Arial"/>
          <w:b/>
          <w:i/>
          <w:sz w:val="24"/>
          <w:szCs w:val="24"/>
        </w:rPr>
        <w:t>Línea de acción</w:t>
      </w:r>
      <w:r w:rsidRPr="004D6466">
        <w:rPr>
          <w:rFonts w:ascii="Arial" w:hAnsi="Arial" w:cs="Arial"/>
          <w:b/>
          <w:sz w:val="24"/>
          <w:szCs w:val="24"/>
        </w:rPr>
        <w:t xml:space="preserve">: </w:t>
      </w:r>
      <w:r w:rsidRPr="004D6466">
        <w:rPr>
          <w:rFonts w:ascii="Arial" w:hAnsi="Arial" w:cs="Arial"/>
          <w:i/>
          <w:sz w:val="24"/>
          <w:szCs w:val="24"/>
        </w:rPr>
        <w:t>Garantizar el acceso al agua en grandes ciudades sin afectar al medio ambiente.</w:t>
      </w:r>
    </w:p>
    <w:p w:rsidR="00A66191" w:rsidRPr="004D6466" w:rsidRDefault="00A66191" w:rsidP="00A66191">
      <w:pPr>
        <w:tabs>
          <w:tab w:val="left" w:pos="142"/>
        </w:tabs>
        <w:spacing w:line="360" w:lineRule="auto"/>
        <w:jc w:val="both"/>
        <w:rPr>
          <w:rFonts w:ascii="Arial" w:hAnsi="Arial" w:cs="Arial"/>
          <w:sz w:val="24"/>
          <w:szCs w:val="24"/>
        </w:rPr>
      </w:pPr>
      <w:r w:rsidRPr="004D6466">
        <w:rPr>
          <w:rFonts w:ascii="Arial" w:hAnsi="Arial" w:cs="Arial"/>
          <w:sz w:val="24"/>
          <w:szCs w:val="24"/>
        </w:rPr>
        <w:t>Igualmente para enfrentar el desafío futuro de garantizar la provisión de agua a las grandes ciudades  sin afectar el ambiente, es necesario establecer pactos con los diferentes sectores y establecer acuerdos que beneficien a todos en una relación ganar-ganar,  y también es necesario educar a la población para que optimice el uso del agua, con mucha fuerza, para cuidar cada gota de agua que se utiliza en éstas ciudades y no producir desiertos en el futuro.</w:t>
      </w:r>
    </w:p>
    <w:p w:rsidR="00A66191" w:rsidRPr="004D6466" w:rsidRDefault="00A66191" w:rsidP="00A66191">
      <w:pPr>
        <w:tabs>
          <w:tab w:val="left" w:pos="142"/>
        </w:tabs>
        <w:spacing w:line="360" w:lineRule="auto"/>
        <w:jc w:val="both"/>
        <w:rPr>
          <w:rFonts w:ascii="Arial" w:hAnsi="Arial" w:cs="Arial"/>
          <w:b/>
          <w:i/>
          <w:sz w:val="24"/>
          <w:szCs w:val="24"/>
        </w:rPr>
      </w:pPr>
      <w:r w:rsidRPr="004D6466">
        <w:rPr>
          <w:rFonts w:ascii="Arial" w:hAnsi="Arial" w:cs="Arial"/>
          <w:b/>
          <w:i/>
          <w:sz w:val="24"/>
          <w:szCs w:val="24"/>
        </w:rPr>
        <w:t>Estrategia: Promover la educación y alfabetización de jóvenes que quedaron rezagados del sistema de educación formal</w:t>
      </w:r>
    </w:p>
    <w:p w:rsidR="00A66191" w:rsidRPr="004D6466" w:rsidRDefault="00A66191" w:rsidP="00A66191">
      <w:pPr>
        <w:tabs>
          <w:tab w:val="left" w:pos="142"/>
        </w:tabs>
        <w:spacing w:line="360" w:lineRule="auto"/>
        <w:jc w:val="both"/>
        <w:rPr>
          <w:rFonts w:ascii="Arial" w:hAnsi="Arial" w:cs="Arial"/>
          <w:sz w:val="24"/>
          <w:szCs w:val="24"/>
        </w:rPr>
      </w:pPr>
      <w:r w:rsidRPr="004D6466">
        <w:rPr>
          <w:rFonts w:ascii="Arial" w:hAnsi="Arial" w:cs="Arial"/>
          <w:sz w:val="24"/>
          <w:szCs w:val="24"/>
        </w:rPr>
        <w:t>En Brasil en el período del presidente Lula da Silva puso énfasis para incentivar a los jóvenes que se encontraban rezagados del sistema de educación y se les asignó una cantidad económica para su alfabetización, así como a sus profesores.</w:t>
      </w:r>
    </w:p>
    <w:p w:rsidR="00A66191" w:rsidRPr="004D6466" w:rsidRDefault="00A66191" w:rsidP="00A66191">
      <w:pPr>
        <w:tabs>
          <w:tab w:val="left" w:pos="142"/>
        </w:tabs>
        <w:spacing w:line="360" w:lineRule="auto"/>
        <w:jc w:val="both"/>
        <w:rPr>
          <w:rFonts w:ascii="Arial" w:hAnsi="Arial" w:cs="Arial"/>
          <w:sz w:val="24"/>
          <w:szCs w:val="24"/>
        </w:rPr>
      </w:pPr>
      <w:r w:rsidRPr="004D6466">
        <w:rPr>
          <w:rFonts w:ascii="Arial" w:hAnsi="Arial" w:cs="Arial"/>
          <w:sz w:val="24"/>
          <w:szCs w:val="24"/>
        </w:rPr>
        <w:t>Se propone las siguientes líneas: Incentivar económicamente a los jóvenes que no participaron del sistema de educación, Brindar un estímulo económico a profesores, de acuerdo al siguiente detalle:</w:t>
      </w:r>
    </w:p>
    <w:p w:rsidR="00A66191" w:rsidRPr="004D6466" w:rsidRDefault="00A66191" w:rsidP="00A66191">
      <w:pPr>
        <w:tabs>
          <w:tab w:val="left" w:pos="142"/>
        </w:tabs>
        <w:spacing w:line="360" w:lineRule="auto"/>
        <w:jc w:val="both"/>
        <w:rPr>
          <w:rFonts w:ascii="Arial" w:hAnsi="Arial" w:cs="Arial"/>
          <w:sz w:val="24"/>
          <w:szCs w:val="24"/>
        </w:rPr>
      </w:pPr>
    </w:p>
    <w:p w:rsidR="00A66191" w:rsidRPr="004D6466" w:rsidRDefault="00A66191" w:rsidP="00A66191">
      <w:pPr>
        <w:tabs>
          <w:tab w:val="left" w:pos="142"/>
        </w:tabs>
        <w:spacing w:line="360" w:lineRule="auto"/>
        <w:jc w:val="both"/>
        <w:rPr>
          <w:rFonts w:ascii="Arial" w:hAnsi="Arial" w:cs="Arial"/>
          <w:sz w:val="24"/>
          <w:szCs w:val="24"/>
        </w:rPr>
      </w:pPr>
    </w:p>
    <w:p w:rsidR="00A66191" w:rsidRPr="004D6466" w:rsidRDefault="00A66191" w:rsidP="00A66191">
      <w:pPr>
        <w:tabs>
          <w:tab w:val="left" w:pos="142"/>
        </w:tabs>
        <w:spacing w:line="360" w:lineRule="auto"/>
        <w:jc w:val="both"/>
        <w:rPr>
          <w:rFonts w:ascii="Arial" w:hAnsi="Arial" w:cs="Arial"/>
          <w:b/>
          <w:i/>
          <w:sz w:val="24"/>
          <w:szCs w:val="24"/>
        </w:rPr>
      </w:pPr>
      <w:r w:rsidRPr="004D6466">
        <w:rPr>
          <w:rFonts w:ascii="Arial" w:hAnsi="Arial" w:cs="Arial"/>
          <w:b/>
          <w:i/>
          <w:sz w:val="24"/>
          <w:szCs w:val="24"/>
        </w:rPr>
        <w:lastRenderedPageBreak/>
        <w:t xml:space="preserve">Línea de acción: </w:t>
      </w:r>
      <w:r w:rsidRPr="004D6466">
        <w:rPr>
          <w:rFonts w:ascii="Arial" w:hAnsi="Arial" w:cs="Arial"/>
          <w:i/>
          <w:sz w:val="24"/>
          <w:szCs w:val="24"/>
        </w:rPr>
        <w:t xml:space="preserve">incentivar económicamente a los jóvenes que no participaron del sistema de educación </w:t>
      </w:r>
    </w:p>
    <w:p w:rsidR="00A66191" w:rsidRPr="004D6466" w:rsidRDefault="00A66191" w:rsidP="00A66191">
      <w:pPr>
        <w:tabs>
          <w:tab w:val="left" w:pos="142"/>
        </w:tabs>
        <w:spacing w:line="360" w:lineRule="auto"/>
        <w:jc w:val="both"/>
        <w:rPr>
          <w:rFonts w:ascii="Arial" w:hAnsi="Arial" w:cs="Arial"/>
          <w:sz w:val="24"/>
          <w:szCs w:val="24"/>
        </w:rPr>
      </w:pPr>
      <w:r w:rsidRPr="004D6466">
        <w:rPr>
          <w:rFonts w:ascii="Arial" w:hAnsi="Arial" w:cs="Arial"/>
          <w:sz w:val="24"/>
          <w:szCs w:val="24"/>
        </w:rPr>
        <w:t>Esta línea de acción se refiere a dar un incentivo económico a los jóvenes en situación de pobreza y que debieron abandonar la educación formal para incorporarlos al sistema educativo en la modalidad de alfabetización para aumentar su escolaridad y evitar que estén en situaciones de riesgo.</w:t>
      </w:r>
    </w:p>
    <w:p w:rsidR="00A66191" w:rsidRPr="004D6466" w:rsidRDefault="00A66191" w:rsidP="00A66191">
      <w:pPr>
        <w:tabs>
          <w:tab w:val="left" w:pos="142"/>
        </w:tabs>
        <w:spacing w:line="360" w:lineRule="auto"/>
        <w:jc w:val="both"/>
        <w:rPr>
          <w:rFonts w:ascii="Arial" w:hAnsi="Arial" w:cs="Arial"/>
          <w:i/>
          <w:sz w:val="24"/>
          <w:szCs w:val="24"/>
        </w:rPr>
      </w:pPr>
      <w:r w:rsidRPr="004D6466">
        <w:rPr>
          <w:rFonts w:ascii="Arial" w:hAnsi="Arial" w:cs="Arial"/>
          <w:b/>
          <w:i/>
          <w:sz w:val="24"/>
          <w:szCs w:val="24"/>
        </w:rPr>
        <w:t xml:space="preserve">Línea de acción: </w:t>
      </w:r>
      <w:r w:rsidRPr="004D6466">
        <w:rPr>
          <w:rFonts w:ascii="Arial" w:hAnsi="Arial" w:cs="Arial"/>
          <w:i/>
          <w:sz w:val="24"/>
          <w:szCs w:val="24"/>
        </w:rPr>
        <w:t xml:space="preserve">brindar un estímulo económico a profesores </w:t>
      </w:r>
    </w:p>
    <w:p w:rsidR="00A66191" w:rsidRPr="004D6466" w:rsidRDefault="00A66191" w:rsidP="00A66191">
      <w:pPr>
        <w:tabs>
          <w:tab w:val="left" w:pos="142"/>
        </w:tabs>
        <w:spacing w:line="360" w:lineRule="auto"/>
        <w:jc w:val="both"/>
        <w:rPr>
          <w:rFonts w:ascii="Arial" w:hAnsi="Arial" w:cs="Arial"/>
          <w:sz w:val="24"/>
          <w:szCs w:val="24"/>
        </w:rPr>
      </w:pPr>
      <w:r w:rsidRPr="004D6466">
        <w:rPr>
          <w:rFonts w:ascii="Arial" w:hAnsi="Arial" w:cs="Arial"/>
          <w:sz w:val="24"/>
          <w:szCs w:val="24"/>
        </w:rPr>
        <w:t>Se refiere a otorgar un estímulo económico a profesores que trabajen en los programas de alfabetización de jóvenes que quedaron excluidos del sistema de educación formal de tal manera que estos educadores puedan acceder a una mejoría en su sueldo, a las becas proporcionadas por el Estado a fin de capacitarlos en este tipo de la educación.</w:t>
      </w:r>
    </w:p>
    <w:p w:rsidR="00A66191" w:rsidRPr="004D6466" w:rsidRDefault="00A66191" w:rsidP="00A66191">
      <w:pPr>
        <w:rPr>
          <w:rFonts w:ascii="Arial" w:hAnsi="Arial" w:cs="Arial"/>
          <w:b/>
          <w:sz w:val="24"/>
          <w:szCs w:val="24"/>
        </w:rPr>
      </w:pPr>
      <w:r w:rsidRPr="004D6466">
        <w:rPr>
          <w:rFonts w:ascii="Arial" w:hAnsi="Arial" w:cs="Arial"/>
          <w:b/>
          <w:sz w:val="24"/>
          <w:szCs w:val="24"/>
        </w:rPr>
        <w:br w:type="page"/>
      </w:r>
    </w:p>
    <w:p w:rsidR="00A66191" w:rsidRPr="004D6466" w:rsidRDefault="00A66191" w:rsidP="00A66191">
      <w:pPr>
        <w:rPr>
          <w:rFonts w:ascii="Arial" w:hAnsi="Arial" w:cs="Arial"/>
          <w:b/>
          <w:sz w:val="24"/>
          <w:szCs w:val="24"/>
        </w:rPr>
      </w:pPr>
      <w:r w:rsidRPr="004D6466">
        <w:rPr>
          <w:rFonts w:ascii="Arial" w:hAnsi="Arial" w:cs="Arial"/>
          <w:b/>
          <w:sz w:val="24"/>
          <w:szCs w:val="24"/>
        </w:rPr>
        <w:lastRenderedPageBreak/>
        <w:t>5.4 Conclusiones y recomendaciones</w:t>
      </w:r>
    </w:p>
    <w:p w:rsidR="00A66191" w:rsidRPr="004D6466" w:rsidRDefault="00A66191" w:rsidP="00A66191">
      <w:pPr>
        <w:pStyle w:val="Prrafodelista"/>
        <w:numPr>
          <w:ilvl w:val="0"/>
          <w:numId w:val="32"/>
        </w:numPr>
        <w:tabs>
          <w:tab w:val="left" w:pos="142"/>
        </w:tabs>
        <w:spacing w:line="360" w:lineRule="auto"/>
        <w:jc w:val="both"/>
        <w:rPr>
          <w:rFonts w:ascii="Arial" w:hAnsi="Arial" w:cs="Arial"/>
          <w:sz w:val="24"/>
          <w:szCs w:val="24"/>
        </w:rPr>
      </w:pPr>
      <w:r w:rsidRPr="004D6466">
        <w:rPr>
          <w:rFonts w:ascii="Arial" w:hAnsi="Arial" w:cs="Arial"/>
          <w:sz w:val="24"/>
          <w:szCs w:val="24"/>
        </w:rPr>
        <w:t xml:space="preserve">Los dos presidentes asumen la máxima envestidura luego de que sus países pasaron por una desestructuración de su estado-nación (feriado bancario, corrupción, malversación de fondos públicos, priorización del pago de la deuda externa sobre la deuda social, desconfianza de los ciudadanos respecto de sus mandatarios, entre otros), lo que representó para Lula y representa para Correa, un gran desafío para revertir esta tendencia. </w:t>
      </w:r>
    </w:p>
    <w:p w:rsidR="00A66191" w:rsidRPr="004D6466" w:rsidRDefault="00A66191" w:rsidP="00A66191">
      <w:pPr>
        <w:pStyle w:val="Prrafodelista"/>
        <w:numPr>
          <w:ilvl w:val="0"/>
          <w:numId w:val="32"/>
        </w:numPr>
        <w:tabs>
          <w:tab w:val="left" w:pos="142"/>
        </w:tabs>
        <w:spacing w:line="360" w:lineRule="auto"/>
        <w:jc w:val="both"/>
        <w:rPr>
          <w:rFonts w:ascii="Arial" w:hAnsi="Arial" w:cs="Arial"/>
          <w:sz w:val="24"/>
          <w:szCs w:val="24"/>
        </w:rPr>
      </w:pPr>
      <w:r w:rsidRPr="004D6466">
        <w:rPr>
          <w:rFonts w:ascii="Arial" w:hAnsi="Arial" w:cs="Arial"/>
          <w:sz w:val="24"/>
          <w:szCs w:val="24"/>
        </w:rPr>
        <w:t>Ecuador y Brasil son países diferentes en tamaño, historia e importancia en el contexto mundial. Mientras el Ecuador es uno de los países más pequeños del continente, el Brasil es el más grande, tiene una relación de 1 a 40 aproximadamente en términos de territorio (8.514.215 versus los 256.000 km2); en población su relación es 1 a 15 aproximadamente (203 millones versus 14 millones de habitantes); y mientras la opinión de Brasil siempre es considerada para las decisiones importantes a nivel global, la de Ecuador se pierde entre la opinión de todos los países latinoamericanos.</w:t>
      </w:r>
    </w:p>
    <w:p w:rsidR="00A66191" w:rsidRPr="004D6466" w:rsidRDefault="00A66191" w:rsidP="00A66191">
      <w:pPr>
        <w:pStyle w:val="Prrafodelista"/>
        <w:numPr>
          <w:ilvl w:val="0"/>
          <w:numId w:val="32"/>
        </w:numPr>
        <w:tabs>
          <w:tab w:val="left" w:pos="142"/>
        </w:tabs>
        <w:spacing w:line="360" w:lineRule="auto"/>
        <w:jc w:val="both"/>
        <w:rPr>
          <w:rFonts w:ascii="Arial" w:hAnsi="Arial" w:cs="Arial"/>
          <w:sz w:val="24"/>
          <w:szCs w:val="24"/>
        </w:rPr>
      </w:pPr>
      <w:r w:rsidRPr="004D6466">
        <w:rPr>
          <w:rFonts w:ascii="Arial" w:hAnsi="Arial" w:cs="Arial"/>
          <w:sz w:val="24"/>
          <w:szCs w:val="24"/>
        </w:rPr>
        <w:t>La búsqueda de nuevos modelos de desarrollo que permita atender las necesidades de la población caracteriza a varios países de la región, entre ellos Brasil y  Ecuador que han desarrollado modelos y medidas progresistas como se ha observado a lo largo del proyecto. También se encontró que se implementan medidas similares en otros países como Venezuela, Bolivia y Argentina. Hay una necesidad de encontrar nuevas formas de hacer las cosas frente al fracaso de los modelos anteriores que aumentaron la pobreza y la inequidad en los países.</w:t>
      </w:r>
    </w:p>
    <w:p w:rsidR="00A66191" w:rsidRPr="004D6466" w:rsidRDefault="00A66191" w:rsidP="00A66191">
      <w:pPr>
        <w:pStyle w:val="Prrafodelista"/>
        <w:numPr>
          <w:ilvl w:val="0"/>
          <w:numId w:val="32"/>
        </w:numPr>
        <w:tabs>
          <w:tab w:val="left" w:pos="142"/>
        </w:tabs>
        <w:spacing w:line="360" w:lineRule="auto"/>
        <w:jc w:val="both"/>
        <w:rPr>
          <w:rFonts w:ascii="Arial" w:hAnsi="Arial" w:cs="Arial"/>
          <w:sz w:val="24"/>
          <w:szCs w:val="24"/>
        </w:rPr>
      </w:pPr>
      <w:r w:rsidRPr="004D6466">
        <w:rPr>
          <w:rFonts w:ascii="Arial" w:hAnsi="Arial" w:cs="Arial"/>
          <w:sz w:val="24"/>
          <w:szCs w:val="24"/>
        </w:rPr>
        <w:t>El Ecuador ha crecido considerablemente en términos del PIB nominal si consideramos los datos del 2000 y del 2011, así mismo en este período los indicadores sociales como pobreza extrema, pobreza, Índice de Desarrollo Humano, tasa de analfabetismo, tasa de desnutrición crónica y mortalidad infantil han mejorado, aunque todavía hay una población significativa del 42% que vive debajo de los niveles adecuados.</w:t>
      </w:r>
    </w:p>
    <w:p w:rsidR="00A66191" w:rsidRPr="004D6466" w:rsidRDefault="00A66191" w:rsidP="00A66191">
      <w:pPr>
        <w:pStyle w:val="Prrafodelista"/>
        <w:numPr>
          <w:ilvl w:val="0"/>
          <w:numId w:val="32"/>
        </w:numPr>
        <w:tabs>
          <w:tab w:val="left" w:pos="142"/>
        </w:tabs>
        <w:spacing w:line="360" w:lineRule="auto"/>
        <w:jc w:val="both"/>
        <w:rPr>
          <w:rFonts w:ascii="Arial" w:hAnsi="Arial" w:cs="Arial"/>
          <w:sz w:val="24"/>
          <w:szCs w:val="24"/>
        </w:rPr>
      </w:pPr>
      <w:r w:rsidRPr="004D6466">
        <w:rPr>
          <w:rFonts w:ascii="Arial" w:hAnsi="Arial" w:cs="Arial"/>
          <w:sz w:val="24"/>
          <w:szCs w:val="24"/>
        </w:rPr>
        <w:t xml:space="preserve">En términos de riesgo país, Ecuador en el 2003 se encontraba con un riesgo país de 1.609 puntos, al término de ese año el riesgo país llegó a </w:t>
      </w:r>
      <w:r w:rsidRPr="004D6466">
        <w:rPr>
          <w:rFonts w:ascii="Arial" w:hAnsi="Arial" w:cs="Arial"/>
          <w:sz w:val="24"/>
          <w:szCs w:val="24"/>
        </w:rPr>
        <w:lastRenderedPageBreak/>
        <w:t>ser de 814 puntos, es decir, que bajó 795 puntos. Este descenso pudo haber tenido relación con el alto precio del petróleo, la baja inflación (6,07% al final del año) y la leve caída en las tasas de interés. A su vez, Brasil en el 2003, tenía un riesgo país de 1.394 puntos y al término de ese año se ubicó en 494 puntos, es decir que bajó 830 puntos, esto pudo haber tenido que ver con la estabilidad generada por la administración de Luis Ignacio Lula da Silva.</w:t>
      </w:r>
    </w:p>
    <w:p w:rsidR="00A66191" w:rsidRPr="004D6466" w:rsidRDefault="00A66191" w:rsidP="00A66191">
      <w:pPr>
        <w:pStyle w:val="Prrafodelista"/>
        <w:numPr>
          <w:ilvl w:val="0"/>
          <w:numId w:val="32"/>
        </w:numPr>
        <w:tabs>
          <w:tab w:val="left" w:pos="142"/>
        </w:tabs>
        <w:spacing w:line="360" w:lineRule="auto"/>
        <w:jc w:val="both"/>
        <w:rPr>
          <w:rFonts w:ascii="Arial" w:hAnsi="Arial" w:cs="Arial"/>
          <w:sz w:val="24"/>
          <w:szCs w:val="24"/>
        </w:rPr>
      </w:pPr>
      <w:r w:rsidRPr="004D6466">
        <w:rPr>
          <w:rFonts w:ascii="Arial" w:hAnsi="Arial" w:cs="Arial"/>
          <w:sz w:val="24"/>
          <w:szCs w:val="24"/>
        </w:rPr>
        <w:t>Los indicadores macroeconómicos señalan que el Ecuador ha crecido en el período administrado por el presidente Rafael Correa, sin embargo en lo ambiental hay un retroceso. La deforestación sigue siendo un problema latente y la erosión aumenta debido al uso inadecuado de técnicas y procedimientos agrícolas. En el caso del Brasil con Lula da Silva es innegable el trabajo para activar la economía con los programas sociales pero, a su vez, en lo ambiental también ha habido un retroceso a pesar de los esfuerzos realizados por el presidente. La selva amazónica de ese país está sujeta a una fuerte deforestación, de la que es responsable el avance de la ganadería y agricultura, particularmente las plantaciones de soja que son utilizadas como combustible</w:t>
      </w:r>
      <w:r w:rsidRPr="004D6466">
        <w:rPr>
          <w:rFonts w:ascii="Trebuchet MS" w:hAnsi="Trebuchet MS"/>
        </w:rPr>
        <w:t xml:space="preserve">. </w:t>
      </w:r>
      <w:r w:rsidRPr="004D6466">
        <w:rPr>
          <w:rFonts w:ascii="Arial" w:hAnsi="Arial" w:cs="Arial"/>
          <w:sz w:val="24"/>
          <w:szCs w:val="24"/>
        </w:rPr>
        <w:t xml:space="preserve">Irónicamente el Brasil es uno países que destacan a nivel mundial en la producción de biocombustibles eficientes. </w:t>
      </w:r>
    </w:p>
    <w:p w:rsidR="00A66191" w:rsidRPr="004D6466" w:rsidRDefault="00A66191" w:rsidP="00A66191">
      <w:pPr>
        <w:pStyle w:val="Prrafodelista"/>
        <w:numPr>
          <w:ilvl w:val="0"/>
          <w:numId w:val="32"/>
        </w:numPr>
        <w:tabs>
          <w:tab w:val="left" w:pos="142"/>
        </w:tabs>
        <w:spacing w:line="360" w:lineRule="auto"/>
        <w:jc w:val="both"/>
        <w:rPr>
          <w:rFonts w:ascii="Arial" w:hAnsi="Arial" w:cs="Arial"/>
          <w:sz w:val="24"/>
          <w:szCs w:val="24"/>
        </w:rPr>
      </w:pPr>
      <w:r w:rsidRPr="004D6466">
        <w:rPr>
          <w:rFonts w:ascii="Arial" w:hAnsi="Arial" w:cs="Arial"/>
          <w:sz w:val="24"/>
          <w:szCs w:val="24"/>
        </w:rPr>
        <w:t>Del análisis realizado observamos que el Brasil tiene una planificación de largo plazo que ha permitido que 3 diferentes presidentes mantengan los objetivos y estrategias de dicha planificación. En cambio en el Ecuador, en este gobierno se recupera el rol de SENPLADES como ente rector de la planificación del país y se define una planificación de corto y mediano plazo que se ha mantenido hasta ahora y que fue ampliado para la reelección del presidente Correa hasta el 2017.</w:t>
      </w:r>
    </w:p>
    <w:p w:rsidR="00A66191" w:rsidRPr="004D6466" w:rsidRDefault="00A66191" w:rsidP="00A66191">
      <w:pPr>
        <w:pStyle w:val="Prrafodelista"/>
        <w:numPr>
          <w:ilvl w:val="0"/>
          <w:numId w:val="32"/>
        </w:numPr>
        <w:tabs>
          <w:tab w:val="left" w:pos="142"/>
        </w:tabs>
        <w:spacing w:line="360" w:lineRule="auto"/>
        <w:jc w:val="both"/>
        <w:rPr>
          <w:rFonts w:ascii="Arial" w:hAnsi="Arial" w:cs="Arial"/>
          <w:sz w:val="24"/>
          <w:szCs w:val="24"/>
        </w:rPr>
      </w:pPr>
      <w:r w:rsidRPr="004D6466">
        <w:rPr>
          <w:rFonts w:ascii="Arial" w:hAnsi="Arial" w:cs="Arial"/>
          <w:sz w:val="24"/>
          <w:szCs w:val="24"/>
        </w:rPr>
        <w:t>Uno de los éxitos del Brasil es la expansión de su política económica, a través de posicionar a empresas brasileñas en todo el mundo, evitando que el Brasil esté en situación de dependencia con respecto a otros países, sobre todo, los más desarrollados. En Ecuador no existe una política similar, pero podría ser incorporada para crear y fortalecer empresas exitosas con proyección internacional.</w:t>
      </w:r>
    </w:p>
    <w:p w:rsidR="00A66191" w:rsidRPr="004D6466" w:rsidRDefault="00A66191" w:rsidP="00A66191">
      <w:pPr>
        <w:pStyle w:val="Prrafodelista"/>
        <w:numPr>
          <w:ilvl w:val="0"/>
          <w:numId w:val="32"/>
        </w:numPr>
        <w:tabs>
          <w:tab w:val="left" w:pos="142"/>
        </w:tabs>
        <w:spacing w:line="360" w:lineRule="auto"/>
        <w:jc w:val="both"/>
        <w:rPr>
          <w:rFonts w:ascii="Arial" w:hAnsi="Arial" w:cs="Arial"/>
          <w:sz w:val="24"/>
          <w:szCs w:val="24"/>
        </w:rPr>
      </w:pPr>
      <w:r w:rsidRPr="004D6466">
        <w:rPr>
          <w:rFonts w:ascii="Arial" w:hAnsi="Arial" w:cs="Arial"/>
          <w:sz w:val="24"/>
          <w:szCs w:val="24"/>
        </w:rPr>
        <w:lastRenderedPageBreak/>
        <w:t>El Brasil tiene una presencia importante en la toma de decisiones políticas y económicas de los grandes bloques de países como el G20, mientras que el Ecuador tiene una presencia política en los bloques como UNASUR y ALBA dándole una esfera de acción limitada al ámbito regional.</w:t>
      </w:r>
    </w:p>
    <w:p w:rsidR="00A66191" w:rsidRPr="004D6466" w:rsidRDefault="00A66191" w:rsidP="00A66191">
      <w:pPr>
        <w:pStyle w:val="Prrafodelista"/>
        <w:numPr>
          <w:ilvl w:val="0"/>
          <w:numId w:val="32"/>
        </w:numPr>
        <w:tabs>
          <w:tab w:val="left" w:pos="142"/>
        </w:tabs>
        <w:spacing w:line="360" w:lineRule="auto"/>
        <w:jc w:val="both"/>
        <w:rPr>
          <w:rFonts w:ascii="Arial" w:hAnsi="Arial" w:cs="Arial"/>
          <w:sz w:val="24"/>
          <w:szCs w:val="24"/>
        </w:rPr>
      </w:pPr>
      <w:r w:rsidRPr="004D6466">
        <w:rPr>
          <w:rFonts w:ascii="Arial" w:hAnsi="Arial" w:cs="Arial"/>
          <w:sz w:val="24"/>
          <w:szCs w:val="24"/>
        </w:rPr>
        <w:t>Tanto en el Brasil como en el Ecuador, en lo que tiene que ver a reforma tributaria, se simplificó la carga de tributos y hubo un aumento en la recaudación; aunque los métodos para lograrlo hayan sido distintos.</w:t>
      </w:r>
    </w:p>
    <w:p w:rsidR="00A66191" w:rsidRPr="004D6466" w:rsidRDefault="00A66191" w:rsidP="00A66191">
      <w:pPr>
        <w:pStyle w:val="Prrafodelista"/>
        <w:numPr>
          <w:ilvl w:val="0"/>
          <w:numId w:val="32"/>
        </w:numPr>
        <w:tabs>
          <w:tab w:val="left" w:pos="142"/>
        </w:tabs>
        <w:spacing w:line="360" w:lineRule="auto"/>
        <w:jc w:val="both"/>
        <w:rPr>
          <w:rFonts w:ascii="Arial" w:hAnsi="Arial" w:cs="Arial"/>
          <w:sz w:val="24"/>
          <w:szCs w:val="24"/>
        </w:rPr>
      </w:pPr>
      <w:r w:rsidRPr="004D6466">
        <w:rPr>
          <w:rFonts w:ascii="Arial" w:hAnsi="Arial" w:cs="Arial"/>
          <w:sz w:val="24"/>
          <w:szCs w:val="24"/>
        </w:rPr>
        <w:t>En cuanto a la reforma de seguridad social hay una similitud porque en Brasil y Ecuador se pretendió garantizar la seguridad social a futuro pero hubo una diferencia en el método utilizado pues Brasil aumentó los años para jubilarse, en cambio el Ecuador aumentó la base de aportantes con la implementación del trabajo doméstico al seguro.</w:t>
      </w:r>
    </w:p>
    <w:p w:rsidR="00A66191" w:rsidRPr="004D6466" w:rsidRDefault="00A66191" w:rsidP="00A66191">
      <w:pPr>
        <w:pStyle w:val="Prrafodelista"/>
        <w:numPr>
          <w:ilvl w:val="0"/>
          <w:numId w:val="32"/>
        </w:numPr>
        <w:tabs>
          <w:tab w:val="left" w:pos="142"/>
        </w:tabs>
        <w:spacing w:line="360" w:lineRule="auto"/>
        <w:jc w:val="both"/>
        <w:rPr>
          <w:rFonts w:ascii="Arial" w:hAnsi="Arial" w:cs="Arial"/>
          <w:sz w:val="24"/>
          <w:szCs w:val="24"/>
        </w:rPr>
      </w:pPr>
      <w:r w:rsidRPr="004D6466">
        <w:rPr>
          <w:rFonts w:ascii="Arial" w:hAnsi="Arial" w:cs="Arial"/>
          <w:sz w:val="24"/>
          <w:szCs w:val="24"/>
        </w:rPr>
        <w:t>Tanto en el Brasil como el Ecuador al hablar de una reforma laboral se intentó eliminar la precarización de las condiciones de trabajo. En el Brasil la política apuntó a la erradicación del trabajo esclavo, en el Ecuador la política fue orientada hacia la eliminación de la tercerización, lo que en una primera instancia redujo los puestos de trabajo pero que posteriormente fue mejorando la calidad de la relación laboral y se compensó con la gran apertura de puestos públicos debido a la reforma de este sector. También la medida del mandato 8 que eliminó la tercerización laboral, eliminó la flexibilización laboral permitiendo que los trabajadores tengan una relación de dependencia permanente. Lamentablemente aún hay casos como el de Coca Codo Sinclair en el que se irrespeta este mandato.</w:t>
      </w:r>
    </w:p>
    <w:p w:rsidR="00A66191" w:rsidRPr="004D6466" w:rsidRDefault="00A66191" w:rsidP="00A66191">
      <w:pPr>
        <w:pStyle w:val="Prrafodelista"/>
        <w:numPr>
          <w:ilvl w:val="0"/>
          <w:numId w:val="32"/>
        </w:numPr>
        <w:tabs>
          <w:tab w:val="left" w:pos="142"/>
        </w:tabs>
        <w:spacing w:line="360" w:lineRule="auto"/>
        <w:jc w:val="both"/>
        <w:rPr>
          <w:rFonts w:ascii="Arial" w:hAnsi="Arial" w:cs="Arial"/>
          <w:sz w:val="24"/>
          <w:szCs w:val="24"/>
        </w:rPr>
      </w:pPr>
      <w:r w:rsidRPr="004D6466">
        <w:rPr>
          <w:rFonts w:ascii="Arial" w:hAnsi="Arial" w:cs="Arial"/>
          <w:sz w:val="24"/>
          <w:szCs w:val="24"/>
        </w:rPr>
        <w:t>La política salarial de los dos países apuntó al aumento del salario. El Brasil aumentó el 20% de una sola vez mientras que en el Ecuador cada año se realizan reformas al salario mínimo.</w:t>
      </w:r>
    </w:p>
    <w:p w:rsidR="00A66191" w:rsidRPr="004D6466" w:rsidRDefault="00A66191" w:rsidP="00A66191">
      <w:pPr>
        <w:pStyle w:val="Prrafodelista"/>
        <w:numPr>
          <w:ilvl w:val="0"/>
          <w:numId w:val="32"/>
        </w:numPr>
        <w:tabs>
          <w:tab w:val="left" w:pos="142"/>
        </w:tabs>
        <w:spacing w:line="360" w:lineRule="auto"/>
        <w:jc w:val="both"/>
        <w:rPr>
          <w:rFonts w:ascii="Arial" w:hAnsi="Arial" w:cs="Arial"/>
          <w:sz w:val="24"/>
          <w:szCs w:val="24"/>
        </w:rPr>
      </w:pPr>
      <w:r w:rsidRPr="004D6466">
        <w:rPr>
          <w:rFonts w:ascii="Arial" w:hAnsi="Arial" w:cs="Arial"/>
          <w:sz w:val="24"/>
          <w:szCs w:val="24"/>
        </w:rPr>
        <w:t xml:space="preserve">En cuanto al gasto público en Brasil hay una clara necesidad por reducirlo, tan es así, que se logró la disminución del 16%; mientras que en el Ecuador no hay una política orientada a la reducción de gasto público. Al contrario, en estos últimos años, el gasto ha ido aumentando paulatinamente. En los primeros cuatro años de administración, el </w:t>
      </w:r>
      <w:r w:rsidRPr="004D6466">
        <w:rPr>
          <w:rFonts w:ascii="Arial" w:hAnsi="Arial" w:cs="Arial"/>
          <w:sz w:val="24"/>
          <w:szCs w:val="24"/>
        </w:rPr>
        <w:lastRenderedPageBreak/>
        <w:t xml:space="preserve">gobierno del presidente Rafael Correa, registró un gasto público de $77.000 millones. </w:t>
      </w:r>
    </w:p>
    <w:p w:rsidR="00A66191" w:rsidRPr="004D6466" w:rsidRDefault="00A66191" w:rsidP="00A66191">
      <w:pPr>
        <w:pStyle w:val="Prrafodelista"/>
        <w:numPr>
          <w:ilvl w:val="0"/>
          <w:numId w:val="32"/>
        </w:numPr>
        <w:tabs>
          <w:tab w:val="left" w:pos="142"/>
        </w:tabs>
        <w:spacing w:line="360" w:lineRule="auto"/>
        <w:jc w:val="both"/>
        <w:rPr>
          <w:rFonts w:ascii="Arial" w:hAnsi="Arial" w:cs="Arial"/>
          <w:sz w:val="24"/>
          <w:szCs w:val="24"/>
        </w:rPr>
      </w:pPr>
      <w:r w:rsidRPr="004D6466">
        <w:rPr>
          <w:rFonts w:ascii="Arial" w:hAnsi="Arial" w:cs="Arial"/>
          <w:sz w:val="24"/>
          <w:szCs w:val="24"/>
        </w:rPr>
        <w:t>Sobre la obligatoriedad de aportes a la seguridad social, el Ecuador hizo una reforma hace poco que determina como delito la no aportación a la seguridad social, mientras que en el Brasil esto ya estaba previsto. Sin embargo, en los dos casos, el sistema de previsión social no da a abasto a toda la población que lo utiliza. En el caso del Brasil, es tan grave esta situación, que los beneficiarios del sistema de previsión social resultan ser los que no están sujetos al Sistema de Accidentes de Trabajo porque realizan trabajos informales, y no los que realmente aportan al sistema de previsión social.</w:t>
      </w:r>
    </w:p>
    <w:p w:rsidR="00A66191" w:rsidRPr="004D6466" w:rsidRDefault="00A66191" w:rsidP="00A66191">
      <w:pPr>
        <w:pStyle w:val="Prrafodelista"/>
        <w:numPr>
          <w:ilvl w:val="0"/>
          <w:numId w:val="32"/>
        </w:numPr>
        <w:tabs>
          <w:tab w:val="left" w:pos="142"/>
        </w:tabs>
        <w:spacing w:line="360" w:lineRule="auto"/>
        <w:jc w:val="both"/>
        <w:rPr>
          <w:rFonts w:ascii="Arial" w:hAnsi="Arial" w:cs="Arial"/>
          <w:sz w:val="24"/>
          <w:szCs w:val="24"/>
        </w:rPr>
      </w:pPr>
      <w:r w:rsidRPr="004D6466">
        <w:rPr>
          <w:rFonts w:ascii="Arial" w:hAnsi="Arial" w:cs="Arial"/>
          <w:sz w:val="24"/>
          <w:szCs w:val="24"/>
        </w:rPr>
        <w:t>En el Brasil y en el Ecuador se da gran importancia a las obras de infraestructura, con la diferencia de que en el Brasil hay un plan destinado para ese fin, el Plan de Aceleración al Crecimiento. En el Ecuador, en cambio, hay un conjunto de políticas multisectoriales acompañadas de proyectos de sectores estratégicos que apuntan también a ese fin (represas: 3 represas re potenciadas en el gobierno del presidente Correa; Paute, Central Agoyán y represa Poza Honda;  proyectos hidroeléctricos: Coca codo Sinclair, Toachi Pilatón, Baba, San Francisco, entre otros; proyectos de refinación: refinería del Pacifico, la instalación de nuevas plantas de mejoramiento de gasolinas en Esmeraldas y Shushufindi, entre otros).</w:t>
      </w:r>
    </w:p>
    <w:p w:rsidR="00A66191" w:rsidRPr="004D6466" w:rsidRDefault="00A66191" w:rsidP="00A66191">
      <w:pPr>
        <w:pStyle w:val="Prrafodelista"/>
        <w:numPr>
          <w:ilvl w:val="0"/>
          <w:numId w:val="32"/>
        </w:numPr>
        <w:tabs>
          <w:tab w:val="left" w:pos="142"/>
        </w:tabs>
        <w:spacing w:line="360" w:lineRule="auto"/>
        <w:jc w:val="both"/>
        <w:rPr>
          <w:rFonts w:ascii="Arial" w:hAnsi="Arial" w:cs="Arial"/>
          <w:sz w:val="24"/>
          <w:szCs w:val="24"/>
        </w:rPr>
      </w:pPr>
      <w:r w:rsidRPr="004D6466">
        <w:rPr>
          <w:rFonts w:ascii="Arial" w:hAnsi="Arial" w:cs="Arial"/>
          <w:sz w:val="24"/>
          <w:szCs w:val="24"/>
        </w:rPr>
        <w:t>En cuanto a Economía Popular y Solidaria tanto en el Brasil como en el Ecuador se han realizado esfuerzos para fortalecer este sector. En el Brasil además hay una actualización de los actores e importantes emprendimientos con capacitación. En el Ecuador, aunque, existe la capacitación, el énfasis se ha dado a la reforma del marco legal e institucional.</w:t>
      </w:r>
    </w:p>
    <w:p w:rsidR="00A66191" w:rsidRPr="004D6466" w:rsidRDefault="00A66191" w:rsidP="00A66191">
      <w:pPr>
        <w:pStyle w:val="Prrafodelista"/>
        <w:numPr>
          <w:ilvl w:val="0"/>
          <w:numId w:val="32"/>
        </w:numPr>
        <w:tabs>
          <w:tab w:val="left" w:pos="142"/>
        </w:tabs>
        <w:spacing w:line="360" w:lineRule="auto"/>
        <w:jc w:val="both"/>
        <w:rPr>
          <w:rFonts w:ascii="Arial" w:hAnsi="Arial" w:cs="Arial"/>
          <w:sz w:val="24"/>
          <w:szCs w:val="24"/>
        </w:rPr>
      </w:pPr>
      <w:r w:rsidRPr="004D6466">
        <w:rPr>
          <w:rFonts w:ascii="Arial" w:hAnsi="Arial" w:cs="Arial"/>
          <w:sz w:val="24"/>
          <w:szCs w:val="24"/>
        </w:rPr>
        <w:t>Respecto a la matriz energética, tanto Brasil como Ecuador tienen énfasis en proyectos hidroeléctricos para el fortalecimiento interno y no en la compra de energía a otros países.</w:t>
      </w:r>
    </w:p>
    <w:p w:rsidR="00A66191" w:rsidRPr="004D6466" w:rsidRDefault="00A66191" w:rsidP="00A66191">
      <w:pPr>
        <w:pStyle w:val="Prrafodelista"/>
        <w:numPr>
          <w:ilvl w:val="0"/>
          <w:numId w:val="32"/>
        </w:numPr>
        <w:tabs>
          <w:tab w:val="left" w:pos="142"/>
        </w:tabs>
        <w:spacing w:line="360" w:lineRule="auto"/>
        <w:jc w:val="both"/>
        <w:rPr>
          <w:rFonts w:ascii="Arial" w:hAnsi="Arial" w:cs="Arial"/>
          <w:sz w:val="24"/>
          <w:szCs w:val="24"/>
        </w:rPr>
      </w:pPr>
      <w:r w:rsidRPr="004D6466">
        <w:rPr>
          <w:rFonts w:ascii="Arial" w:hAnsi="Arial" w:cs="Arial"/>
          <w:sz w:val="24"/>
          <w:szCs w:val="24"/>
        </w:rPr>
        <w:lastRenderedPageBreak/>
        <w:t>En el manejo del sector económico, en ambos países hay un interés por fortalecer el sistema de carreteras, lo que incide directamente en el trasporte de productos agrícolas, haciendo más fácil esta actividad.</w:t>
      </w:r>
    </w:p>
    <w:p w:rsidR="00A66191" w:rsidRPr="004D6466" w:rsidRDefault="00A66191" w:rsidP="00A66191">
      <w:pPr>
        <w:pStyle w:val="Prrafodelista"/>
        <w:numPr>
          <w:ilvl w:val="0"/>
          <w:numId w:val="32"/>
        </w:numPr>
        <w:tabs>
          <w:tab w:val="left" w:pos="142"/>
        </w:tabs>
        <w:spacing w:line="360" w:lineRule="auto"/>
        <w:jc w:val="both"/>
        <w:rPr>
          <w:rFonts w:ascii="Arial" w:hAnsi="Arial" w:cs="Arial"/>
          <w:sz w:val="24"/>
          <w:szCs w:val="24"/>
        </w:rPr>
      </w:pPr>
      <w:r w:rsidRPr="004D6466">
        <w:rPr>
          <w:rFonts w:ascii="Arial" w:hAnsi="Arial" w:cs="Arial"/>
          <w:sz w:val="24"/>
          <w:szCs w:val="24"/>
        </w:rPr>
        <w:t>Hay una marcada diferencia en el manejo de la política petrolera en los dos países. Mientras que Brasil tiene una autosuficiencia por la cantidad de petróleo encontrado en las reservas marinas y la capacidad de procesar el petróleo en derivados. El Ecuador tiene problemas en la capacidad de sus refinerías, además de que no ha aumentado realmente la capacidad de sus reservas, actividad que requiere mucha inversión, tecnología nueva y nuevos estudios.</w:t>
      </w:r>
    </w:p>
    <w:p w:rsidR="00A66191" w:rsidRPr="004D6466" w:rsidRDefault="00A66191" w:rsidP="00A66191">
      <w:pPr>
        <w:pStyle w:val="Prrafodelista"/>
        <w:numPr>
          <w:ilvl w:val="0"/>
          <w:numId w:val="32"/>
        </w:numPr>
        <w:tabs>
          <w:tab w:val="left" w:pos="142"/>
        </w:tabs>
        <w:spacing w:line="360" w:lineRule="auto"/>
        <w:jc w:val="both"/>
        <w:rPr>
          <w:rFonts w:ascii="Arial" w:hAnsi="Arial" w:cs="Arial"/>
          <w:sz w:val="24"/>
          <w:szCs w:val="24"/>
        </w:rPr>
      </w:pPr>
      <w:r w:rsidRPr="004D6466">
        <w:rPr>
          <w:rFonts w:ascii="Arial" w:hAnsi="Arial" w:cs="Arial"/>
          <w:sz w:val="24"/>
          <w:szCs w:val="24"/>
        </w:rPr>
        <w:t xml:space="preserve">Tanto “Hambre Cero” de Brasil como el “Bono de Desarrollo Humano” en Ecuador son programas que apuntan a integrar a las familias al desarrollo y que rompen con el esquema del asistencialismo, sin embargo en el Ecuador aún hay problemas en la aplicación de este programa; no se ha logrado una adecuada actualización en el catastro de beneficiarios ni se ha logrado verificar la corresponsabilidad en las áreas de salud y educación todavía. </w:t>
      </w:r>
    </w:p>
    <w:p w:rsidR="00A66191" w:rsidRPr="004D6466" w:rsidRDefault="00A66191" w:rsidP="00A66191">
      <w:pPr>
        <w:pStyle w:val="Prrafodelista"/>
        <w:numPr>
          <w:ilvl w:val="0"/>
          <w:numId w:val="32"/>
        </w:numPr>
        <w:tabs>
          <w:tab w:val="left" w:pos="142"/>
        </w:tabs>
        <w:spacing w:line="360" w:lineRule="auto"/>
        <w:jc w:val="both"/>
        <w:rPr>
          <w:rFonts w:ascii="Arial" w:hAnsi="Arial" w:cs="Arial"/>
          <w:sz w:val="24"/>
          <w:szCs w:val="24"/>
        </w:rPr>
      </w:pPr>
      <w:r w:rsidRPr="004D6466">
        <w:rPr>
          <w:rFonts w:ascii="Arial" w:hAnsi="Arial" w:cs="Arial"/>
          <w:sz w:val="24"/>
          <w:szCs w:val="24"/>
        </w:rPr>
        <w:t xml:space="preserve">La reforma agraria en el Brasil está orientada a democratizar el acceso a la tierra y a la legalización de los grupos Sin Tierra, mientras que el Ecuador hay un proyecto de ley en este sentido creado por la FENOCIN pero que hasta el momento no ha llegado a implementarse. El Plan Tierra en el Ecuador va dirigido a la seguridad alimentaria </w:t>
      </w:r>
      <w:r w:rsidR="00830DFF" w:rsidRPr="004D6466">
        <w:rPr>
          <w:rFonts w:ascii="Arial" w:hAnsi="Arial" w:cs="Arial"/>
          <w:sz w:val="24"/>
          <w:szCs w:val="24"/>
        </w:rPr>
        <w:t>más</w:t>
      </w:r>
      <w:r w:rsidRPr="004D6466">
        <w:rPr>
          <w:rFonts w:ascii="Arial" w:hAnsi="Arial" w:cs="Arial"/>
          <w:sz w:val="24"/>
          <w:szCs w:val="24"/>
        </w:rPr>
        <w:t xml:space="preserve"> no a la reforma agraria.</w:t>
      </w:r>
    </w:p>
    <w:p w:rsidR="00A66191" w:rsidRPr="004D6466" w:rsidRDefault="00A66191" w:rsidP="00A66191">
      <w:pPr>
        <w:pStyle w:val="Prrafodelista"/>
        <w:numPr>
          <w:ilvl w:val="0"/>
          <w:numId w:val="32"/>
        </w:numPr>
        <w:tabs>
          <w:tab w:val="left" w:pos="142"/>
        </w:tabs>
        <w:spacing w:line="360" w:lineRule="auto"/>
        <w:jc w:val="both"/>
        <w:rPr>
          <w:rFonts w:ascii="Arial" w:hAnsi="Arial" w:cs="Arial"/>
          <w:sz w:val="24"/>
          <w:szCs w:val="24"/>
        </w:rPr>
      </w:pPr>
      <w:r w:rsidRPr="004D6466">
        <w:rPr>
          <w:rFonts w:ascii="Arial" w:hAnsi="Arial" w:cs="Arial"/>
          <w:sz w:val="24"/>
          <w:szCs w:val="24"/>
        </w:rPr>
        <w:t>El programa Sed Cero del Brasil no tiene un similar en el Ecuador, en el presente trabajo se propone incorporarlo al Plan Nacional del Buen Vivir.</w:t>
      </w:r>
    </w:p>
    <w:p w:rsidR="00A66191" w:rsidRPr="004D6466" w:rsidRDefault="00A66191" w:rsidP="00A66191">
      <w:pPr>
        <w:pStyle w:val="Prrafodelista"/>
        <w:numPr>
          <w:ilvl w:val="0"/>
          <w:numId w:val="32"/>
        </w:numPr>
        <w:tabs>
          <w:tab w:val="left" w:pos="142"/>
        </w:tabs>
        <w:spacing w:line="360" w:lineRule="auto"/>
        <w:jc w:val="both"/>
        <w:rPr>
          <w:rFonts w:ascii="Arial" w:hAnsi="Arial" w:cs="Arial"/>
          <w:sz w:val="24"/>
          <w:szCs w:val="24"/>
        </w:rPr>
      </w:pPr>
      <w:r w:rsidRPr="004D6466">
        <w:rPr>
          <w:rFonts w:ascii="Arial" w:hAnsi="Arial" w:cs="Arial"/>
          <w:sz w:val="24"/>
          <w:szCs w:val="24"/>
        </w:rPr>
        <w:t>El programa Bolsa Familia y el programa Crédito de Desarrollo Humano fomentan la productividad de las familias de escasos recursos proporcionándoles recursos para que desarrollen sus emprendimientos. En el caso del Ecuador falta capacitación para que la gente beneficiaria del Crédito de Desarrollo Humano sepa utilizar adecuadamente el dinero del préstamo.</w:t>
      </w:r>
    </w:p>
    <w:p w:rsidR="00A66191" w:rsidRPr="004D6466" w:rsidRDefault="00A66191" w:rsidP="00A66191">
      <w:pPr>
        <w:pStyle w:val="Prrafodelista"/>
        <w:numPr>
          <w:ilvl w:val="0"/>
          <w:numId w:val="32"/>
        </w:numPr>
        <w:tabs>
          <w:tab w:val="left" w:pos="142"/>
        </w:tabs>
        <w:spacing w:line="360" w:lineRule="auto"/>
        <w:jc w:val="both"/>
        <w:rPr>
          <w:rFonts w:ascii="Arial" w:hAnsi="Arial" w:cs="Arial"/>
          <w:sz w:val="24"/>
          <w:szCs w:val="24"/>
        </w:rPr>
      </w:pPr>
      <w:r w:rsidRPr="004D6466">
        <w:rPr>
          <w:rFonts w:ascii="Arial" w:hAnsi="Arial" w:cs="Arial"/>
          <w:sz w:val="24"/>
          <w:szCs w:val="24"/>
        </w:rPr>
        <w:t xml:space="preserve">En ambos países se incentiva la producción agrícola y rural aunque la magnitud y cobertura sean diferentes, también hay programas de </w:t>
      </w:r>
      <w:r w:rsidRPr="004D6466">
        <w:rPr>
          <w:rFonts w:ascii="Arial" w:hAnsi="Arial" w:cs="Arial"/>
          <w:sz w:val="24"/>
          <w:szCs w:val="24"/>
        </w:rPr>
        <w:lastRenderedPageBreak/>
        <w:t>asentamientos que tienen que ver con la legalización de tierras, aunque en el caso ecuatoriano aún no hay datos para realizar un análisis.</w:t>
      </w:r>
    </w:p>
    <w:p w:rsidR="00A66191" w:rsidRPr="004D6466" w:rsidRDefault="00A66191" w:rsidP="00A66191">
      <w:pPr>
        <w:pStyle w:val="Prrafodelista"/>
        <w:numPr>
          <w:ilvl w:val="0"/>
          <w:numId w:val="32"/>
        </w:numPr>
        <w:tabs>
          <w:tab w:val="left" w:pos="142"/>
        </w:tabs>
        <w:spacing w:line="360" w:lineRule="auto"/>
        <w:jc w:val="both"/>
        <w:rPr>
          <w:rFonts w:ascii="Arial" w:hAnsi="Arial" w:cs="Arial"/>
          <w:sz w:val="24"/>
          <w:szCs w:val="24"/>
        </w:rPr>
      </w:pPr>
      <w:r w:rsidRPr="004D6466">
        <w:rPr>
          <w:rFonts w:ascii="Arial" w:hAnsi="Arial" w:cs="Arial"/>
          <w:sz w:val="24"/>
          <w:szCs w:val="24"/>
        </w:rPr>
        <w:t>En ambos países hay programas de agua potable y saneamiento porque es un derecho básico de la población el tener acceso al alcantarillado y a una buena calidad de agua. En el Brasil hay programas como Sed Cero que además de la calidad de agua facilita que en zonas desérticas se acceda a este recurso vital.</w:t>
      </w:r>
    </w:p>
    <w:p w:rsidR="00A66191" w:rsidRPr="004D6466" w:rsidRDefault="00A66191" w:rsidP="00A66191">
      <w:pPr>
        <w:pStyle w:val="Prrafodelista"/>
        <w:numPr>
          <w:ilvl w:val="0"/>
          <w:numId w:val="32"/>
        </w:numPr>
        <w:tabs>
          <w:tab w:val="left" w:pos="142"/>
        </w:tabs>
        <w:spacing w:line="360" w:lineRule="auto"/>
        <w:jc w:val="both"/>
        <w:rPr>
          <w:rFonts w:ascii="Arial" w:hAnsi="Arial" w:cs="Arial"/>
          <w:sz w:val="24"/>
          <w:szCs w:val="24"/>
        </w:rPr>
      </w:pPr>
      <w:r w:rsidRPr="004D6466">
        <w:rPr>
          <w:rFonts w:ascii="Arial" w:hAnsi="Arial" w:cs="Arial"/>
          <w:sz w:val="24"/>
          <w:szCs w:val="24"/>
        </w:rPr>
        <w:t>Tanto en el Brasil como en el Ecuador existen programas orientados a erradicar la desnutrición infantil.</w:t>
      </w:r>
    </w:p>
    <w:p w:rsidR="00A66191" w:rsidRPr="004D6466" w:rsidRDefault="00A66191" w:rsidP="00A66191">
      <w:pPr>
        <w:pStyle w:val="Prrafodelista"/>
        <w:numPr>
          <w:ilvl w:val="0"/>
          <w:numId w:val="32"/>
        </w:numPr>
        <w:tabs>
          <w:tab w:val="left" w:pos="142"/>
        </w:tabs>
        <w:spacing w:line="360" w:lineRule="auto"/>
        <w:jc w:val="both"/>
        <w:rPr>
          <w:rFonts w:ascii="Arial" w:hAnsi="Arial" w:cs="Arial"/>
          <w:sz w:val="24"/>
          <w:szCs w:val="24"/>
        </w:rPr>
      </w:pPr>
      <w:r w:rsidRPr="004D6466">
        <w:rPr>
          <w:rFonts w:ascii="Arial" w:hAnsi="Arial" w:cs="Arial"/>
          <w:sz w:val="24"/>
          <w:szCs w:val="24"/>
        </w:rPr>
        <w:t>En lo que se refiere a la atención de las personas en los sistemas de salud nacionales, ambos países apuntan a la universalización de este servicio.</w:t>
      </w:r>
    </w:p>
    <w:p w:rsidR="00A66191" w:rsidRPr="004D6466" w:rsidRDefault="00A66191" w:rsidP="00A66191">
      <w:pPr>
        <w:pStyle w:val="Prrafodelista"/>
        <w:numPr>
          <w:ilvl w:val="0"/>
          <w:numId w:val="32"/>
        </w:numPr>
        <w:tabs>
          <w:tab w:val="left" w:pos="142"/>
        </w:tabs>
        <w:spacing w:line="360" w:lineRule="auto"/>
        <w:jc w:val="both"/>
        <w:rPr>
          <w:rFonts w:ascii="Arial" w:hAnsi="Arial" w:cs="Arial"/>
          <w:sz w:val="24"/>
          <w:szCs w:val="24"/>
        </w:rPr>
      </w:pPr>
      <w:r w:rsidRPr="004D6466">
        <w:rPr>
          <w:rFonts w:ascii="Arial" w:hAnsi="Arial" w:cs="Arial"/>
          <w:sz w:val="24"/>
          <w:szCs w:val="24"/>
        </w:rPr>
        <w:t xml:space="preserve"> Respecto a la atención de personas con discapacidad, el Ecuador ha sido pionero en América Latina en programas como “Manuela Espejo” y “Joaquín Gallegos Lara” y su ejemplo se está intentando replicar en otros países. El éxito de éstos programas en gran parte se deben a  la voluntad política, a la concentración de esfuerzos de diferentes ministerios y al liderazgo del Vicepresidente  que asumió directamente este desafío. Se ha ubicado a las personas con discapacidad, se las ha visitado, se les ha brindado ayuda técnica, ayudas físicas y sicológicas y sobre todo se les ha vuelto sujetos de derechos, visibilizándolos y mejorando su calidad de vida.</w:t>
      </w:r>
    </w:p>
    <w:p w:rsidR="00A66191" w:rsidRPr="004D6466" w:rsidRDefault="00A66191" w:rsidP="00A66191">
      <w:pPr>
        <w:pStyle w:val="Prrafodelista"/>
        <w:numPr>
          <w:ilvl w:val="0"/>
          <w:numId w:val="32"/>
        </w:numPr>
        <w:tabs>
          <w:tab w:val="left" w:pos="142"/>
        </w:tabs>
        <w:spacing w:line="360" w:lineRule="auto"/>
        <w:jc w:val="both"/>
        <w:rPr>
          <w:rFonts w:ascii="Arial" w:hAnsi="Arial" w:cs="Arial"/>
          <w:sz w:val="24"/>
          <w:szCs w:val="24"/>
        </w:rPr>
      </w:pPr>
      <w:r w:rsidRPr="004D6466">
        <w:rPr>
          <w:rFonts w:ascii="Arial" w:hAnsi="Arial" w:cs="Arial"/>
          <w:sz w:val="24"/>
          <w:szCs w:val="24"/>
        </w:rPr>
        <w:t>En la educación son similares los programas orientados a erradicar el analfabetismo en la niñez y en los jóvenes. Es diferente la orientación de la educación superior.</w:t>
      </w:r>
    </w:p>
    <w:p w:rsidR="00A66191" w:rsidRPr="004D6466" w:rsidRDefault="00A66191" w:rsidP="00A66191">
      <w:pPr>
        <w:rPr>
          <w:rFonts w:ascii="Arial" w:hAnsi="Arial" w:cs="Arial"/>
          <w:b/>
          <w:sz w:val="24"/>
          <w:szCs w:val="24"/>
        </w:rPr>
      </w:pPr>
      <w:r w:rsidRPr="004D6466">
        <w:rPr>
          <w:rFonts w:ascii="Arial" w:hAnsi="Arial" w:cs="Arial"/>
          <w:sz w:val="24"/>
          <w:szCs w:val="24"/>
        </w:rPr>
        <w:br w:type="page"/>
      </w:r>
      <w:r w:rsidRPr="004D6466">
        <w:rPr>
          <w:rFonts w:ascii="Arial" w:hAnsi="Arial" w:cs="Arial"/>
          <w:b/>
          <w:sz w:val="24"/>
          <w:szCs w:val="24"/>
        </w:rPr>
        <w:lastRenderedPageBreak/>
        <w:t xml:space="preserve">5.5 Bibliografía </w:t>
      </w:r>
    </w:p>
    <w:p w:rsidR="00A66191" w:rsidRPr="004D6466" w:rsidRDefault="00A66191" w:rsidP="00A66191">
      <w:pPr>
        <w:rPr>
          <w:rFonts w:ascii="Arial" w:hAnsi="Arial" w:cs="Arial"/>
          <w:b/>
          <w:sz w:val="24"/>
          <w:szCs w:val="24"/>
        </w:rPr>
      </w:pPr>
      <w:r w:rsidRPr="004D6466">
        <w:rPr>
          <w:rFonts w:ascii="Arial" w:hAnsi="Arial" w:cs="Arial"/>
          <w:b/>
          <w:sz w:val="24"/>
          <w:szCs w:val="24"/>
        </w:rPr>
        <w:t>Páginas Web</w:t>
      </w:r>
    </w:p>
    <w:p w:rsidR="00A66191" w:rsidRPr="004D6466" w:rsidRDefault="00A66191" w:rsidP="00A66191">
      <w:pPr>
        <w:rPr>
          <w:rFonts w:ascii="Arial" w:hAnsi="Arial" w:cs="Arial"/>
          <w:sz w:val="24"/>
          <w:szCs w:val="24"/>
          <w:lang w:val="es-EC"/>
        </w:rPr>
      </w:pPr>
      <w:r w:rsidRPr="004D6466">
        <w:rPr>
          <w:rFonts w:ascii="Arial" w:hAnsi="Arial" w:cs="Arial"/>
          <w:sz w:val="24"/>
          <w:szCs w:val="24"/>
          <w:lang w:val="es-EC"/>
        </w:rPr>
        <w:t>Instituto Brasileño De Geografía Y Estadísticas, http://www.ibge.gov.br/espanhol, página visitada el 20 de abril del 2012.</w:t>
      </w:r>
    </w:p>
    <w:p w:rsidR="00A66191" w:rsidRPr="004D6466" w:rsidRDefault="00A66191" w:rsidP="00A66191">
      <w:pPr>
        <w:rPr>
          <w:rFonts w:ascii="Arial" w:hAnsi="Arial" w:cs="Arial"/>
          <w:sz w:val="24"/>
          <w:szCs w:val="24"/>
          <w:lang w:val="es-EC"/>
        </w:rPr>
      </w:pPr>
      <w:r w:rsidRPr="004D6466">
        <w:rPr>
          <w:rFonts w:ascii="Arial" w:hAnsi="Arial" w:cs="Arial"/>
          <w:sz w:val="24"/>
          <w:szCs w:val="24"/>
          <w:lang w:val="es-EC"/>
        </w:rPr>
        <w:t>Instituto Nacional de Estadísticas y Censos INEC, http://www.ecuadorencifras.com/cifras-inec/main.html, página visitada el 20 de abril del 2012.</w:t>
      </w:r>
    </w:p>
    <w:p w:rsidR="00A66191" w:rsidRPr="004D6466" w:rsidRDefault="00A66191" w:rsidP="00A66191">
      <w:pPr>
        <w:rPr>
          <w:rFonts w:ascii="Arial" w:hAnsi="Arial" w:cs="Arial"/>
          <w:sz w:val="24"/>
          <w:szCs w:val="24"/>
        </w:rPr>
      </w:pPr>
      <w:r w:rsidRPr="004D6466">
        <w:rPr>
          <w:rFonts w:ascii="Arial" w:hAnsi="Arial" w:cs="Arial"/>
          <w:sz w:val="24"/>
          <w:szCs w:val="24"/>
        </w:rPr>
        <w:t>http://www.socialdemocracia.org/backup/content/view/755/85/ pagina visitada el 20 de abril del 2012.</w:t>
      </w:r>
    </w:p>
    <w:p w:rsidR="00A66191" w:rsidRPr="004D6466" w:rsidRDefault="00A66191" w:rsidP="00A66191">
      <w:pPr>
        <w:rPr>
          <w:rFonts w:ascii="Arial" w:hAnsi="Arial" w:cs="Arial"/>
          <w:sz w:val="24"/>
          <w:szCs w:val="24"/>
        </w:rPr>
      </w:pPr>
      <w:r w:rsidRPr="004D6466">
        <w:rPr>
          <w:rFonts w:ascii="Arial" w:hAnsi="Arial" w:cs="Arial"/>
          <w:sz w:val="24"/>
          <w:szCs w:val="24"/>
        </w:rPr>
        <w:t>Principales Teorías sobre Desarrollo Económico y Social y su aplicación en América Latina y el Caribe, http://www.zonaeconomica.com/teoria-dependencia, página visitada el 24 de abril del 2012.</w:t>
      </w:r>
    </w:p>
    <w:p w:rsidR="00A66191" w:rsidRPr="004D6466" w:rsidRDefault="00A66191" w:rsidP="00A66191">
      <w:pPr>
        <w:pStyle w:val="Textonotapie"/>
        <w:rPr>
          <w:rFonts w:ascii="Arial" w:hAnsi="Arial" w:cs="Arial"/>
          <w:sz w:val="24"/>
          <w:szCs w:val="24"/>
        </w:rPr>
      </w:pPr>
      <w:r w:rsidRPr="004D6466">
        <w:rPr>
          <w:rFonts w:ascii="Arial" w:hAnsi="Arial" w:cs="Arial"/>
          <w:sz w:val="24"/>
          <w:szCs w:val="24"/>
        </w:rPr>
        <w:t>Keynesianismo, http://www.economia48.com/spa/d/keynesianismo/keynesianismo.htm, página visitada el 21/07/2012.</w:t>
      </w:r>
    </w:p>
    <w:p w:rsidR="00A66191" w:rsidRPr="004D6466" w:rsidRDefault="00A66191" w:rsidP="00A66191">
      <w:pPr>
        <w:pStyle w:val="Textonotapie"/>
        <w:rPr>
          <w:rFonts w:ascii="Arial" w:hAnsi="Arial" w:cs="Arial"/>
          <w:sz w:val="24"/>
          <w:szCs w:val="24"/>
        </w:rPr>
      </w:pPr>
    </w:p>
    <w:p w:rsidR="00A66191" w:rsidRPr="004D6466" w:rsidRDefault="00A66191" w:rsidP="00A66191">
      <w:pPr>
        <w:rPr>
          <w:rFonts w:ascii="Arial" w:hAnsi="Arial" w:cs="Arial"/>
          <w:sz w:val="24"/>
          <w:szCs w:val="24"/>
        </w:rPr>
      </w:pPr>
      <w:r w:rsidRPr="004D6466">
        <w:rPr>
          <w:rFonts w:ascii="Arial" w:hAnsi="Arial" w:cs="Arial"/>
          <w:sz w:val="24"/>
          <w:szCs w:val="24"/>
        </w:rPr>
        <w:t>Industrialización por Sustitución de Importaciones, http://www.finanzzas.com/industrializacion-por-sustitucion-de-importaciones-isi, página visitada 21 de julio de 2012.</w:t>
      </w:r>
    </w:p>
    <w:p w:rsidR="00A66191" w:rsidRPr="004D6466" w:rsidRDefault="00A66191" w:rsidP="00A66191">
      <w:pPr>
        <w:rPr>
          <w:rFonts w:ascii="Arial" w:hAnsi="Arial" w:cs="Arial"/>
          <w:sz w:val="24"/>
          <w:szCs w:val="24"/>
        </w:rPr>
      </w:pPr>
      <w:r w:rsidRPr="004D6466">
        <w:rPr>
          <w:rFonts w:ascii="Arial" w:hAnsi="Arial" w:cs="Arial"/>
          <w:sz w:val="24"/>
          <w:szCs w:val="24"/>
        </w:rPr>
        <w:t xml:space="preserve">Modelo ISI, </w:t>
      </w:r>
      <w:hyperlink r:id="rId180" w:history="1">
        <w:r w:rsidRPr="004D6466">
          <w:rPr>
            <w:rStyle w:val="Hipervnculo"/>
            <w:rFonts w:ascii="Arial" w:hAnsi="Arial" w:cs="Arial"/>
            <w:color w:val="auto"/>
            <w:sz w:val="24"/>
            <w:szCs w:val="24"/>
            <w:u w:val="none"/>
          </w:rPr>
          <w:t>http://www.econlink.com.ar/modelo-isi</w:t>
        </w:r>
      </w:hyperlink>
      <w:r w:rsidRPr="004D6466">
        <w:rPr>
          <w:rFonts w:ascii="Arial" w:hAnsi="Arial" w:cs="Arial"/>
          <w:sz w:val="24"/>
          <w:szCs w:val="24"/>
        </w:rPr>
        <w:t>, página visitada el 9 de abril del 2012.</w:t>
      </w:r>
    </w:p>
    <w:p w:rsidR="00A66191" w:rsidRPr="004D6466" w:rsidRDefault="00A66191" w:rsidP="00A66191">
      <w:pPr>
        <w:rPr>
          <w:rFonts w:ascii="Arial" w:hAnsi="Arial" w:cs="Arial"/>
          <w:sz w:val="24"/>
          <w:szCs w:val="24"/>
        </w:rPr>
      </w:pPr>
      <w:r w:rsidRPr="004D6466">
        <w:rPr>
          <w:rFonts w:ascii="Arial" w:hAnsi="Arial" w:cs="Arial"/>
          <w:sz w:val="24"/>
          <w:szCs w:val="24"/>
        </w:rPr>
        <w:t>Modelo agroexportador, http://javierdealmagro.blogspot.es/1272247440, página visitada el 10 de abril del 2012.</w:t>
      </w:r>
    </w:p>
    <w:p w:rsidR="00A66191" w:rsidRPr="004D6466" w:rsidRDefault="00A66191" w:rsidP="00A66191">
      <w:pPr>
        <w:pStyle w:val="Textonotapie"/>
        <w:rPr>
          <w:rFonts w:ascii="Arial" w:hAnsi="Arial" w:cs="Arial"/>
          <w:sz w:val="24"/>
          <w:szCs w:val="24"/>
        </w:rPr>
      </w:pPr>
      <w:r w:rsidRPr="004D6466">
        <w:rPr>
          <w:rFonts w:ascii="Arial" w:hAnsi="Arial" w:cs="Arial"/>
          <w:sz w:val="24"/>
          <w:szCs w:val="24"/>
        </w:rPr>
        <w:t>Ecuador según el PNUD, http://www.telegrafo.com.ec/index.php?option=com_zoo&amp;task=item&amp;item_id=20034&amp;Itemid=2, página visitada el 22 de julio de 2012.</w:t>
      </w:r>
    </w:p>
    <w:p w:rsidR="00A66191" w:rsidRPr="004D6466" w:rsidRDefault="00A66191" w:rsidP="00A66191">
      <w:pPr>
        <w:pStyle w:val="Sinespaciado"/>
        <w:rPr>
          <w:sz w:val="24"/>
          <w:szCs w:val="24"/>
        </w:rPr>
      </w:pPr>
    </w:p>
    <w:p w:rsidR="00A66191" w:rsidRPr="004D6466" w:rsidRDefault="00A66191" w:rsidP="00A66191">
      <w:pPr>
        <w:rPr>
          <w:rFonts w:ascii="Arial" w:hAnsi="Arial" w:cs="Arial"/>
          <w:sz w:val="24"/>
          <w:szCs w:val="24"/>
        </w:rPr>
      </w:pPr>
      <w:r w:rsidRPr="004D6466">
        <w:rPr>
          <w:rFonts w:ascii="Arial" w:hAnsi="Arial" w:cs="Arial"/>
          <w:sz w:val="24"/>
          <w:szCs w:val="24"/>
        </w:rPr>
        <w:t>Diario el comercio del Perú, deforestación en Brasil http://elcomercio.pe/planeta/639702/noticia-brasil-anuncio-plan-combatir-deforestacion-su-segundo-mayor-ecosistema, página  consultada el 22 de julio del 2012.</w:t>
      </w:r>
    </w:p>
    <w:p w:rsidR="00A66191" w:rsidRPr="004D6466" w:rsidRDefault="00A66191" w:rsidP="00A66191">
      <w:pPr>
        <w:rPr>
          <w:rFonts w:ascii="Arial" w:hAnsi="Arial" w:cs="Arial"/>
          <w:sz w:val="24"/>
          <w:szCs w:val="24"/>
        </w:rPr>
      </w:pPr>
      <w:r w:rsidRPr="004D6466">
        <w:rPr>
          <w:rFonts w:ascii="Arial" w:hAnsi="Arial" w:cs="Arial"/>
          <w:b/>
          <w:sz w:val="24"/>
          <w:szCs w:val="24"/>
        </w:rPr>
        <w:t>Herramientas en pdf</w:t>
      </w:r>
    </w:p>
    <w:p w:rsidR="00A66191" w:rsidRPr="004D6466" w:rsidRDefault="00A66191" w:rsidP="00A66191">
      <w:pPr>
        <w:jc w:val="both"/>
        <w:rPr>
          <w:rFonts w:ascii="Arial" w:hAnsi="Arial" w:cs="Arial"/>
          <w:sz w:val="24"/>
          <w:szCs w:val="24"/>
        </w:rPr>
      </w:pPr>
      <w:r w:rsidRPr="004D6466">
        <w:rPr>
          <w:rFonts w:ascii="Arial" w:hAnsi="Arial" w:cs="Arial"/>
          <w:sz w:val="24"/>
          <w:szCs w:val="24"/>
        </w:rPr>
        <w:t xml:space="preserve">Marini Ruy Mauro; La Crisis del Desarrollismo; 1994; herramienta en pdf </w:t>
      </w:r>
    </w:p>
    <w:p w:rsidR="00A66191" w:rsidRPr="004D6466" w:rsidRDefault="00A66191" w:rsidP="00A66191">
      <w:pPr>
        <w:jc w:val="both"/>
        <w:rPr>
          <w:rFonts w:ascii="Arial" w:hAnsi="Arial" w:cs="Arial"/>
          <w:sz w:val="24"/>
          <w:szCs w:val="24"/>
        </w:rPr>
      </w:pPr>
      <w:r w:rsidRPr="004D6466">
        <w:rPr>
          <w:rFonts w:ascii="Arial" w:hAnsi="Arial" w:cs="Arial"/>
          <w:sz w:val="24"/>
          <w:szCs w:val="24"/>
        </w:rPr>
        <w:t>Amadeo Eduardo y Caputo Sara; Crisis en el mercado de trabajo y exclusión social; marzo 2000;  herramienta en pdf.</w:t>
      </w:r>
    </w:p>
    <w:p w:rsidR="00A66191" w:rsidRPr="004D6466" w:rsidRDefault="00A66191" w:rsidP="00A66191">
      <w:pPr>
        <w:jc w:val="both"/>
        <w:rPr>
          <w:rFonts w:ascii="Arial" w:eastAsia="Times New Roman" w:hAnsi="Arial" w:cs="Arial"/>
          <w:sz w:val="24"/>
          <w:szCs w:val="24"/>
        </w:rPr>
      </w:pPr>
      <w:r w:rsidRPr="004D6466">
        <w:rPr>
          <w:rFonts w:ascii="Arial" w:eastAsia="Times New Roman" w:hAnsi="Arial" w:cs="Arial"/>
          <w:sz w:val="24"/>
          <w:szCs w:val="24"/>
        </w:rPr>
        <w:t>Spicker Paul, Álvarez Leguizamón Sonia y Gordo David; Pobreza: Un Glosario Internacional; teoría de la dependencia, págs. 279-284, herramienta en pdf.</w:t>
      </w:r>
    </w:p>
    <w:p w:rsidR="00A66191" w:rsidRPr="004D6466" w:rsidRDefault="00A66191" w:rsidP="00A66191">
      <w:pPr>
        <w:jc w:val="both"/>
        <w:rPr>
          <w:rFonts w:ascii="Arial" w:hAnsi="Arial" w:cs="Arial"/>
          <w:bCs/>
          <w:sz w:val="24"/>
          <w:szCs w:val="24"/>
        </w:rPr>
      </w:pPr>
      <w:r w:rsidRPr="004D6466">
        <w:rPr>
          <w:rFonts w:ascii="Arial" w:hAnsi="Arial" w:cs="Arial"/>
          <w:bCs/>
          <w:sz w:val="24"/>
          <w:szCs w:val="24"/>
        </w:rPr>
        <w:lastRenderedPageBreak/>
        <w:t>Repo Katja, Acerca del Modelo de atención social de los países nórdicos: el ejemplo de Finlandia, pág. 2, párrafo 2</w:t>
      </w:r>
    </w:p>
    <w:p w:rsidR="00A66191" w:rsidRPr="004D6466" w:rsidRDefault="00A66191" w:rsidP="00A66191">
      <w:pPr>
        <w:jc w:val="both"/>
        <w:rPr>
          <w:rFonts w:ascii="Arial" w:hAnsi="Arial" w:cs="Arial"/>
          <w:sz w:val="24"/>
          <w:szCs w:val="24"/>
        </w:rPr>
      </w:pPr>
      <w:r w:rsidRPr="004D6466">
        <w:rPr>
          <w:rFonts w:ascii="Arial" w:hAnsi="Arial" w:cs="Arial"/>
          <w:sz w:val="24"/>
          <w:szCs w:val="24"/>
        </w:rPr>
        <w:t>Pro Ecuador, Del Instituto de Promoción de Exportaciones e Inversiones del Ministerio de Relaciones Exteriores, Comercio E Integración, herramienta pdf.</w:t>
      </w:r>
    </w:p>
    <w:p w:rsidR="00A66191" w:rsidRPr="004D6466" w:rsidRDefault="00A66191" w:rsidP="00A66191">
      <w:pPr>
        <w:jc w:val="both"/>
        <w:rPr>
          <w:rFonts w:ascii="Arial" w:hAnsi="Arial" w:cs="Arial"/>
          <w:sz w:val="24"/>
          <w:szCs w:val="24"/>
        </w:rPr>
      </w:pPr>
      <w:r w:rsidRPr="004D6466">
        <w:rPr>
          <w:rFonts w:ascii="Arial" w:hAnsi="Arial" w:cs="Arial"/>
          <w:sz w:val="24"/>
          <w:szCs w:val="24"/>
        </w:rPr>
        <w:t>Encalada Marco, “Ecuador la Educación Ambiental en la Educación Primaria”, herramienta en pdf.</w:t>
      </w:r>
    </w:p>
    <w:p w:rsidR="00A66191" w:rsidRPr="004D6466" w:rsidRDefault="00A66191" w:rsidP="00A66191">
      <w:pPr>
        <w:jc w:val="both"/>
        <w:rPr>
          <w:rFonts w:ascii="Arial" w:hAnsi="Arial" w:cs="Arial"/>
          <w:sz w:val="24"/>
          <w:szCs w:val="24"/>
        </w:rPr>
      </w:pPr>
      <w:r w:rsidRPr="004D6466">
        <w:rPr>
          <w:rFonts w:ascii="Arial" w:hAnsi="Arial" w:cs="Arial"/>
          <w:sz w:val="24"/>
          <w:szCs w:val="24"/>
        </w:rPr>
        <w:t>Conferencia dictada por el presidente Rafael Correa para la Universidad de Buenos Aires, herramienta en pdf.</w:t>
      </w:r>
    </w:p>
    <w:p w:rsidR="00A66191" w:rsidRPr="004D6466" w:rsidRDefault="00A66191" w:rsidP="00A66191">
      <w:pPr>
        <w:jc w:val="both"/>
        <w:rPr>
          <w:rFonts w:ascii="Arial" w:hAnsi="Arial" w:cs="Arial"/>
          <w:sz w:val="24"/>
          <w:szCs w:val="24"/>
        </w:rPr>
      </w:pPr>
      <w:r w:rsidRPr="004D6466">
        <w:rPr>
          <w:rFonts w:ascii="Arial" w:hAnsi="Arial" w:cs="Arial"/>
          <w:sz w:val="24"/>
          <w:szCs w:val="24"/>
        </w:rPr>
        <w:t>Panorama social de América Latina 2011, CEPAL, Herramienta en pdf.</w:t>
      </w:r>
    </w:p>
    <w:p w:rsidR="00A66191" w:rsidRPr="004D6466" w:rsidRDefault="00A66191" w:rsidP="00A66191">
      <w:pPr>
        <w:jc w:val="both"/>
        <w:rPr>
          <w:rFonts w:ascii="Arial" w:hAnsi="Arial" w:cs="Arial"/>
          <w:sz w:val="24"/>
          <w:szCs w:val="24"/>
        </w:rPr>
      </w:pPr>
      <w:r w:rsidRPr="004D6466">
        <w:rPr>
          <w:rFonts w:ascii="Arial" w:hAnsi="Arial" w:cs="Arial"/>
          <w:sz w:val="24"/>
          <w:szCs w:val="24"/>
        </w:rPr>
        <w:t>Panorama social de América latina 2012, CEPAL, Herramienta en pdf.</w:t>
      </w:r>
    </w:p>
    <w:p w:rsidR="00A66191" w:rsidRPr="004D6466" w:rsidRDefault="00A66191" w:rsidP="00A66191">
      <w:pPr>
        <w:jc w:val="both"/>
        <w:rPr>
          <w:rFonts w:ascii="Arial" w:hAnsi="Arial" w:cs="Arial"/>
          <w:sz w:val="24"/>
          <w:szCs w:val="24"/>
        </w:rPr>
      </w:pPr>
      <w:r w:rsidRPr="004D6466">
        <w:rPr>
          <w:rFonts w:ascii="Arial" w:hAnsi="Arial" w:cs="Arial"/>
          <w:sz w:val="24"/>
          <w:szCs w:val="24"/>
        </w:rPr>
        <w:t xml:space="preserve">Franco Gomes Danielle Senise, El programa </w:t>
      </w:r>
      <w:r w:rsidRPr="004D6466">
        <w:rPr>
          <w:rFonts w:ascii="Arial" w:hAnsi="Arial" w:cs="Arial"/>
          <w:i/>
          <w:iCs/>
          <w:sz w:val="24"/>
          <w:szCs w:val="24"/>
        </w:rPr>
        <w:t xml:space="preserve">bolsa familia </w:t>
      </w:r>
      <w:r w:rsidRPr="004D6466">
        <w:rPr>
          <w:rFonts w:ascii="Arial" w:hAnsi="Arial" w:cs="Arial"/>
          <w:sz w:val="24"/>
          <w:szCs w:val="24"/>
        </w:rPr>
        <w:t>y el derecho humano al desarrollo en el gobierno de Luis Inácio Lula da Silva (2004-2008), herramienta en pdf.</w:t>
      </w:r>
    </w:p>
    <w:p w:rsidR="00A66191" w:rsidRPr="004D6466" w:rsidRDefault="00A66191" w:rsidP="00A66191">
      <w:pPr>
        <w:jc w:val="both"/>
        <w:rPr>
          <w:rFonts w:ascii="Arial" w:hAnsi="Arial" w:cs="Arial"/>
          <w:sz w:val="24"/>
          <w:szCs w:val="24"/>
        </w:rPr>
      </w:pPr>
      <w:r w:rsidRPr="004D6466">
        <w:rPr>
          <w:rFonts w:ascii="Arial" w:hAnsi="Arial" w:cs="Arial"/>
          <w:sz w:val="24"/>
          <w:szCs w:val="24"/>
        </w:rPr>
        <w:t>Tolentino Silva, Marcus, Sistema Único de Salud: la experiencia brasileña en la universalización del acceso a la salud, Revista Peruana de Medicina Experimental y Salud Pública, Vol. 26, Núm. 2, 2009, pp.251-257, Instituto Nacional de Salud (Perú), herramienta en pdf.</w:t>
      </w:r>
    </w:p>
    <w:p w:rsidR="00A66191" w:rsidRPr="004D6466" w:rsidRDefault="00A66191" w:rsidP="00A66191">
      <w:pPr>
        <w:rPr>
          <w:rFonts w:ascii="Arial" w:hAnsi="Arial" w:cs="Arial"/>
          <w:bCs/>
          <w:sz w:val="24"/>
          <w:szCs w:val="24"/>
        </w:rPr>
      </w:pPr>
      <w:r w:rsidRPr="004D6466">
        <w:rPr>
          <w:rFonts w:ascii="Arial" w:hAnsi="Arial" w:cs="Arial"/>
          <w:bCs/>
          <w:iCs/>
          <w:sz w:val="24"/>
          <w:szCs w:val="24"/>
        </w:rPr>
        <w:t xml:space="preserve">Coggiola Osvaldo, </w:t>
      </w:r>
      <w:r w:rsidRPr="004D6466">
        <w:rPr>
          <w:rFonts w:ascii="Arial" w:hAnsi="Arial" w:cs="Arial"/>
          <w:bCs/>
          <w:sz w:val="24"/>
          <w:szCs w:val="24"/>
        </w:rPr>
        <w:t>La cuestión agraria en Brasil, herramienta en pdf.</w:t>
      </w:r>
    </w:p>
    <w:p w:rsidR="00A66191" w:rsidRPr="004D6466" w:rsidRDefault="00A66191" w:rsidP="00A66191">
      <w:pPr>
        <w:rPr>
          <w:rFonts w:ascii="Arial" w:hAnsi="Arial" w:cs="Arial"/>
          <w:bCs/>
          <w:sz w:val="24"/>
          <w:szCs w:val="24"/>
        </w:rPr>
      </w:pPr>
      <w:r w:rsidRPr="004D6466">
        <w:rPr>
          <w:rFonts w:ascii="Arial" w:hAnsi="Arial" w:cs="Arial"/>
          <w:bCs/>
          <w:sz w:val="24"/>
          <w:szCs w:val="24"/>
        </w:rPr>
        <w:t xml:space="preserve"> Programa de protección social del MIES, Dirección Técnica de Investigaciones, Herramienta en pdf.</w:t>
      </w:r>
    </w:p>
    <w:p w:rsidR="00A66191" w:rsidRPr="004D6466" w:rsidRDefault="00A66191" w:rsidP="00A66191">
      <w:pPr>
        <w:rPr>
          <w:rFonts w:ascii="Arial" w:hAnsi="Arial" w:cs="Arial"/>
          <w:sz w:val="24"/>
          <w:szCs w:val="24"/>
        </w:rPr>
      </w:pPr>
      <w:r w:rsidRPr="004D6466">
        <w:rPr>
          <w:rFonts w:ascii="Arial" w:hAnsi="Arial" w:cs="Arial"/>
          <w:sz w:val="24"/>
          <w:szCs w:val="24"/>
        </w:rPr>
        <w:t>Antonio César Ortega de la Universidad Federal de Uberlandia. Minas Gerais y Emanoel Márcio Nunes de la Universidad Estadual de Rio Grande do Norte,  Desarrollo rural y agricultura familiar en Brasil, herramienta en pdf.</w:t>
      </w:r>
    </w:p>
    <w:p w:rsidR="00A66191" w:rsidRPr="004D6466" w:rsidRDefault="00A66191" w:rsidP="00A66191">
      <w:pPr>
        <w:autoSpaceDE w:val="0"/>
        <w:autoSpaceDN w:val="0"/>
        <w:adjustRightInd w:val="0"/>
        <w:spacing w:after="0"/>
        <w:jc w:val="both"/>
        <w:rPr>
          <w:rFonts w:ascii="Arial" w:hAnsi="Arial" w:cs="Arial"/>
          <w:sz w:val="24"/>
          <w:szCs w:val="24"/>
        </w:rPr>
      </w:pPr>
      <w:r w:rsidRPr="004D6466">
        <w:rPr>
          <w:rFonts w:ascii="Arial" w:hAnsi="Arial" w:cs="Arial"/>
          <w:iCs/>
          <w:sz w:val="24"/>
          <w:szCs w:val="24"/>
        </w:rPr>
        <w:t xml:space="preserve">Carlos E. Guanziroli y Carlos A. Basco, </w:t>
      </w:r>
      <w:r w:rsidRPr="004D6466">
        <w:rPr>
          <w:rFonts w:ascii="Arial" w:hAnsi="Arial" w:cs="Arial"/>
          <w:sz w:val="24"/>
          <w:szCs w:val="24"/>
        </w:rPr>
        <w:t>Construcción de políticas agrarias en Brasil: el caso del Programa de Fortalecimiento de la Agricultura</w:t>
      </w:r>
    </w:p>
    <w:p w:rsidR="00A66191" w:rsidRPr="004D6466" w:rsidRDefault="00A66191" w:rsidP="00A66191">
      <w:pPr>
        <w:jc w:val="both"/>
        <w:rPr>
          <w:rFonts w:ascii="Arial" w:hAnsi="Arial" w:cs="Arial"/>
          <w:sz w:val="24"/>
          <w:szCs w:val="24"/>
        </w:rPr>
      </w:pPr>
      <w:r w:rsidRPr="004D6466">
        <w:rPr>
          <w:rFonts w:ascii="Arial" w:hAnsi="Arial" w:cs="Arial"/>
          <w:sz w:val="24"/>
          <w:szCs w:val="24"/>
        </w:rPr>
        <w:t>Familiar (PRONAF), herramienta en pdf.</w:t>
      </w:r>
    </w:p>
    <w:p w:rsidR="00A66191" w:rsidRPr="004D6466" w:rsidRDefault="00A66191" w:rsidP="00A66191">
      <w:pPr>
        <w:jc w:val="both"/>
        <w:rPr>
          <w:rFonts w:ascii="Arial" w:hAnsi="Arial" w:cs="Arial"/>
          <w:sz w:val="24"/>
          <w:szCs w:val="24"/>
        </w:rPr>
      </w:pPr>
      <w:r w:rsidRPr="004D6466">
        <w:rPr>
          <w:rFonts w:ascii="Arial" w:hAnsi="Arial" w:cs="Arial"/>
          <w:sz w:val="24"/>
          <w:szCs w:val="24"/>
        </w:rPr>
        <w:t>Primer gabinete ampliado de evaluación del PNVB del SENPLADES, herramienta en pdf.</w:t>
      </w:r>
    </w:p>
    <w:p w:rsidR="00A66191" w:rsidRPr="004D6466" w:rsidRDefault="00A66191" w:rsidP="00A66191">
      <w:pPr>
        <w:rPr>
          <w:rFonts w:ascii="Arial" w:hAnsi="Arial" w:cs="Arial"/>
          <w:sz w:val="24"/>
          <w:szCs w:val="24"/>
        </w:rPr>
      </w:pPr>
      <w:r w:rsidRPr="004D6466">
        <w:rPr>
          <w:rFonts w:ascii="Arial" w:hAnsi="Arial" w:cs="Arial"/>
          <w:sz w:val="24"/>
          <w:szCs w:val="24"/>
        </w:rPr>
        <w:t>Shicheng Xu, Las políticas sociales del Gobierno del PT de Lula de Brasil y sus implicaciones para China, herramienta en pdf.</w:t>
      </w:r>
    </w:p>
    <w:p w:rsidR="00A66191" w:rsidRPr="004D6466" w:rsidRDefault="00A66191" w:rsidP="00A66191">
      <w:pPr>
        <w:autoSpaceDE w:val="0"/>
        <w:autoSpaceDN w:val="0"/>
        <w:adjustRightInd w:val="0"/>
        <w:spacing w:after="0" w:line="240" w:lineRule="auto"/>
        <w:jc w:val="both"/>
        <w:rPr>
          <w:rFonts w:ascii="Arial" w:hAnsi="Arial" w:cs="Arial"/>
          <w:sz w:val="24"/>
          <w:szCs w:val="24"/>
        </w:rPr>
      </w:pPr>
      <w:r w:rsidRPr="004D6466">
        <w:rPr>
          <w:rFonts w:ascii="Arial" w:hAnsi="Arial" w:cs="Arial"/>
          <w:sz w:val="24"/>
          <w:szCs w:val="24"/>
        </w:rPr>
        <w:t xml:space="preserve">Castanhar José Cezar, Política económica del Gobierno de Lula: los desafíos de la transición y las alternativas para el futuro, Revista CIDOB d’Afers Internacionals, núm. 65, p. 11-27, herramienta en pdf. </w:t>
      </w:r>
    </w:p>
    <w:p w:rsidR="00A66191" w:rsidRPr="004D6466" w:rsidRDefault="00A66191" w:rsidP="00A66191">
      <w:pPr>
        <w:rPr>
          <w:rFonts w:ascii="Arial" w:hAnsi="Arial" w:cs="Arial"/>
          <w:sz w:val="24"/>
          <w:szCs w:val="24"/>
        </w:rPr>
      </w:pPr>
    </w:p>
    <w:p w:rsidR="00A66191" w:rsidRPr="004D6466" w:rsidRDefault="00A66191" w:rsidP="00A66191">
      <w:pPr>
        <w:rPr>
          <w:rFonts w:ascii="Arial" w:hAnsi="Arial" w:cs="Arial"/>
          <w:b/>
          <w:sz w:val="24"/>
          <w:szCs w:val="24"/>
        </w:rPr>
      </w:pPr>
    </w:p>
    <w:p w:rsidR="00A66191" w:rsidRPr="004D6466" w:rsidRDefault="00A66191" w:rsidP="00A66191">
      <w:pPr>
        <w:rPr>
          <w:rFonts w:ascii="Arial" w:hAnsi="Arial" w:cs="Arial"/>
          <w:sz w:val="24"/>
          <w:szCs w:val="24"/>
        </w:rPr>
      </w:pPr>
      <w:r w:rsidRPr="004D6466">
        <w:rPr>
          <w:rFonts w:ascii="Arial" w:hAnsi="Arial" w:cs="Arial"/>
          <w:b/>
          <w:sz w:val="24"/>
          <w:szCs w:val="24"/>
        </w:rPr>
        <w:lastRenderedPageBreak/>
        <w:t>Libros</w:t>
      </w:r>
    </w:p>
    <w:p w:rsidR="00A66191" w:rsidRPr="004D6466" w:rsidRDefault="00A66191" w:rsidP="00A66191">
      <w:pPr>
        <w:rPr>
          <w:rFonts w:ascii="Arial" w:hAnsi="Arial" w:cs="Arial"/>
          <w:sz w:val="24"/>
          <w:szCs w:val="24"/>
        </w:rPr>
      </w:pPr>
      <w:r w:rsidRPr="004D6466">
        <w:rPr>
          <w:rFonts w:ascii="Arial" w:hAnsi="Arial" w:cs="Arial"/>
          <w:sz w:val="24"/>
          <w:szCs w:val="24"/>
        </w:rPr>
        <w:t>Caputo Orlando y Pizarro Roberto, Desarrollismo y capital extranjero las nuevas formas del imperialismo en Chile, págs. 39-40.</w:t>
      </w:r>
    </w:p>
    <w:p w:rsidR="00A66191" w:rsidRPr="004D6466" w:rsidRDefault="00A66191" w:rsidP="00A66191">
      <w:pPr>
        <w:rPr>
          <w:rStyle w:val="reference-text"/>
          <w:rFonts w:ascii="Arial" w:hAnsi="Arial" w:cs="Arial"/>
          <w:sz w:val="24"/>
          <w:szCs w:val="24"/>
        </w:rPr>
      </w:pPr>
      <w:r w:rsidRPr="004D6466">
        <w:rPr>
          <w:rStyle w:val="reference-text"/>
          <w:rFonts w:ascii="Arial" w:hAnsi="Arial" w:cs="Arial"/>
          <w:sz w:val="24"/>
          <w:szCs w:val="24"/>
        </w:rPr>
        <w:t xml:space="preserve">"Keynesianismo"; </w:t>
      </w:r>
      <w:r w:rsidRPr="004D6466">
        <w:rPr>
          <w:rStyle w:val="reference-text"/>
          <w:rFonts w:ascii="Arial" w:hAnsi="Arial" w:cs="Arial"/>
          <w:iCs/>
          <w:sz w:val="24"/>
          <w:szCs w:val="24"/>
        </w:rPr>
        <w:t xml:space="preserve">Economía. Diccionario Enciclopédico </w:t>
      </w:r>
      <w:r w:rsidRPr="004D6466">
        <w:rPr>
          <w:rStyle w:val="reference-text"/>
          <w:rFonts w:ascii="Arial" w:hAnsi="Arial" w:cs="Arial"/>
          <w:sz w:val="24"/>
          <w:szCs w:val="24"/>
        </w:rPr>
        <w:t xml:space="preserve"> 6:212. Ediciones Planeta, Barcelona 1980.</w:t>
      </w:r>
    </w:p>
    <w:p w:rsidR="00A66191" w:rsidRPr="004D6466" w:rsidRDefault="00A66191" w:rsidP="00A66191">
      <w:pPr>
        <w:rPr>
          <w:rStyle w:val="reference-text"/>
          <w:rFonts w:ascii="Arial" w:hAnsi="Arial" w:cs="Arial"/>
          <w:sz w:val="24"/>
          <w:szCs w:val="24"/>
        </w:rPr>
      </w:pPr>
      <w:r w:rsidRPr="004D6466">
        <w:rPr>
          <w:rStyle w:val="reference-text"/>
          <w:rFonts w:ascii="Arial" w:hAnsi="Arial" w:cs="Arial"/>
          <w:sz w:val="24"/>
          <w:szCs w:val="24"/>
        </w:rPr>
        <w:t>Oñate Juan José, Pereira David, Suárez Francisco, Rodríguez, Juan José, Cachón Javier;  “Evaluación Ambiental Estratégica: la evaluación ambiental de Políticas, Planes y Programas”; Ediciones Mundi-Prensa, Madrid  2002.</w:t>
      </w:r>
    </w:p>
    <w:p w:rsidR="00A66191" w:rsidRPr="004D6466" w:rsidRDefault="00A66191" w:rsidP="00A66191">
      <w:pPr>
        <w:rPr>
          <w:rFonts w:ascii="Arial" w:hAnsi="Arial" w:cs="Arial"/>
          <w:sz w:val="24"/>
          <w:szCs w:val="24"/>
        </w:rPr>
      </w:pPr>
      <w:r w:rsidRPr="004D6466">
        <w:rPr>
          <w:rFonts w:ascii="Arial" w:hAnsi="Arial" w:cs="Arial"/>
          <w:sz w:val="24"/>
          <w:szCs w:val="24"/>
        </w:rPr>
        <w:t>Hirschman Albert; La Economía Política de la Industrialización a través de la Sustitución de Importaciones en América Latina; Universidad de Harvard, octubre 1968.</w:t>
      </w:r>
    </w:p>
    <w:p w:rsidR="00A66191" w:rsidRPr="004D6466" w:rsidRDefault="00A66191" w:rsidP="00A66191">
      <w:pPr>
        <w:rPr>
          <w:rStyle w:val="reference-text"/>
          <w:rFonts w:ascii="Arial" w:hAnsi="Arial" w:cs="Arial"/>
          <w:sz w:val="24"/>
          <w:szCs w:val="24"/>
          <w:lang w:val="en-US"/>
        </w:rPr>
      </w:pPr>
      <w:r w:rsidRPr="004D6466">
        <w:rPr>
          <w:rStyle w:val="reference-text"/>
          <w:rFonts w:ascii="Arial" w:hAnsi="Arial" w:cs="Arial"/>
          <w:sz w:val="24"/>
          <w:szCs w:val="24"/>
          <w:lang w:val="en-US"/>
        </w:rPr>
        <w:t xml:space="preserve">Cagan Phillip, </w:t>
      </w:r>
      <w:r w:rsidRPr="004D6466">
        <w:rPr>
          <w:rStyle w:val="reference-text"/>
          <w:rFonts w:ascii="Arial" w:hAnsi="Arial" w:cs="Arial"/>
          <w:iCs/>
          <w:sz w:val="24"/>
          <w:szCs w:val="24"/>
          <w:lang w:val="en-US"/>
        </w:rPr>
        <w:t>The Monetary Dynamics of Hyperinflation</w:t>
      </w:r>
      <w:r w:rsidRPr="004D6466">
        <w:rPr>
          <w:rStyle w:val="reference-text"/>
          <w:rFonts w:ascii="Arial" w:hAnsi="Arial" w:cs="Arial"/>
          <w:sz w:val="24"/>
          <w:szCs w:val="24"/>
          <w:lang w:val="en-US"/>
        </w:rPr>
        <w:t>, in Milton Friedman (editor), "Studies in the Quantity Theory of Money", Chicago, University of Chicago Press (1956)</w:t>
      </w:r>
    </w:p>
    <w:p w:rsidR="00A66191" w:rsidRPr="004D6466" w:rsidRDefault="00A66191" w:rsidP="00A66191">
      <w:pPr>
        <w:rPr>
          <w:rFonts w:ascii="Arial" w:hAnsi="Arial" w:cs="Arial"/>
          <w:sz w:val="24"/>
          <w:szCs w:val="24"/>
        </w:rPr>
      </w:pPr>
      <w:r w:rsidRPr="004D6466">
        <w:rPr>
          <w:rFonts w:ascii="Arial" w:hAnsi="Arial" w:cs="Arial"/>
          <w:sz w:val="24"/>
          <w:szCs w:val="24"/>
        </w:rPr>
        <w:t>Chiriboga Manuel, Documento para discusión AGENDA ECUADOR preparada para ICCO, julio 2008.</w:t>
      </w:r>
    </w:p>
    <w:p w:rsidR="00A66191" w:rsidRPr="004D6466" w:rsidRDefault="00A66191" w:rsidP="00A66191">
      <w:pPr>
        <w:rPr>
          <w:rFonts w:ascii="Arial" w:hAnsi="Arial" w:cs="Arial"/>
          <w:sz w:val="24"/>
          <w:szCs w:val="24"/>
        </w:rPr>
      </w:pPr>
      <w:r w:rsidRPr="004D6466">
        <w:rPr>
          <w:rFonts w:ascii="Arial" w:hAnsi="Arial" w:cs="Arial"/>
          <w:sz w:val="24"/>
          <w:szCs w:val="24"/>
        </w:rPr>
        <w:t>Ley Orgánica de la Economía Popular y Solidaria del Sector Financiero Popular y Solidario, Ministerio De Inclusión Económica y Social, mayo 2011.</w:t>
      </w:r>
    </w:p>
    <w:p w:rsidR="00A66191" w:rsidRPr="004D6466" w:rsidRDefault="00A66191" w:rsidP="00A66191">
      <w:pPr>
        <w:rPr>
          <w:rFonts w:ascii="Arial" w:hAnsi="Arial" w:cs="Arial"/>
          <w:sz w:val="24"/>
          <w:szCs w:val="24"/>
        </w:rPr>
      </w:pPr>
      <w:r w:rsidRPr="004D6466">
        <w:rPr>
          <w:rFonts w:ascii="Arial" w:hAnsi="Arial" w:cs="Arial"/>
          <w:sz w:val="24"/>
          <w:szCs w:val="24"/>
        </w:rPr>
        <w:t xml:space="preserve">Desarrollo Infantil para el Buen Vivir, Un análisis para la política pública, Ministerio de Inclusión Económica y Social, 2012. </w:t>
      </w:r>
    </w:p>
    <w:p w:rsidR="00A66191" w:rsidRPr="004D6466" w:rsidRDefault="00A66191" w:rsidP="00A66191">
      <w:pPr>
        <w:rPr>
          <w:rFonts w:ascii="Arial" w:hAnsi="Arial" w:cs="Arial"/>
          <w:sz w:val="24"/>
          <w:szCs w:val="24"/>
        </w:rPr>
      </w:pPr>
      <w:r w:rsidRPr="004D6466">
        <w:rPr>
          <w:rFonts w:ascii="Arial" w:hAnsi="Arial" w:cs="Arial"/>
          <w:sz w:val="24"/>
          <w:szCs w:val="24"/>
        </w:rPr>
        <w:t>35 logros educación superior ciencia y tecnología, SENESCYT.</w:t>
      </w:r>
    </w:p>
    <w:p w:rsidR="00A66191" w:rsidRPr="004D6466" w:rsidRDefault="00A66191" w:rsidP="00A66191">
      <w:pPr>
        <w:rPr>
          <w:rFonts w:ascii="Arial" w:hAnsi="Arial" w:cs="Arial"/>
          <w:sz w:val="24"/>
          <w:szCs w:val="24"/>
        </w:rPr>
      </w:pPr>
      <w:r w:rsidRPr="004D6466">
        <w:rPr>
          <w:rFonts w:ascii="Arial" w:hAnsi="Arial" w:cs="Arial"/>
          <w:sz w:val="24"/>
          <w:szCs w:val="24"/>
        </w:rPr>
        <w:t>Ecuador es un país joven, agenda programática de juventud 2012, Ministerio De Inclusión Económica y Social, abril 2012.</w:t>
      </w:r>
    </w:p>
    <w:p w:rsidR="00A66191" w:rsidRPr="004D6466" w:rsidRDefault="00830DFF" w:rsidP="00A66191">
      <w:pPr>
        <w:rPr>
          <w:rFonts w:ascii="Arial" w:hAnsi="Arial" w:cs="Arial"/>
          <w:sz w:val="24"/>
          <w:szCs w:val="24"/>
          <w:lang w:val="pt-BR"/>
        </w:rPr>
      </w:pPr>
      <w:r w:rsidRPr="004D6466">
        <w:rPr>
          <w:rFonts w:ascii="Arial" w:hAnsi="Arial" w:cs="Arial"/>
          <w:sz w:val="24"/>
          <w:szCs w:val="24"/>
          <w:lang w:val="pt-BR"/>
        </w:rPr>
        <w:t>Pinheiro Coelho María Francisca, de Souza Tapajós Luziele María, Rodrigues Mónica; Políticas Socias Para o Desen</w:t>
      </w:r>
      <w:r>
        <w:rPr>
          <w:rFonts w:ascii="Arial" w:hAnsi="Arial" w:cs="Arial"/>
          <w:sz w:val="24"/>
          <w:szCs w:val="24"/>
          <w:lang w:val="pt-BR"/>
        </w:rPr>
        <w:t>volvimiento; Ministério do Desen</w:t>
      </w:r>
      <w:r w:rsidRPr="004D6466">
        <w:rPr>
          <w:rFonts w:ascii="Arial" w:hAnsi="Arial" w:cs="Arial"/>
          <w:sz w:val="24"/>
          <w:szCs w:val="24"/>
          <w:lang w:val="pt-BR"/>
        </w:rPr>
        <w:t>volvimiento Social e Combate â Fome, Brasil 2010.</w:t>
      </w:r>
    </w:p>
    <w:p w:rsidR="00A66191" w:rsidRPr="004D6466" w:rsidRDefault="00A66191" w:rsidP="00A66191">
      <w:pPr>
        <w:rPr>
          <w:rFonts w:ascii="Arial" w:hAnsi="Arial" w:cs="Arial"/>
          <w:sz w:val="24"/>
          <w:szCs w:val="24"/>
          <w:lang w:val="pt-BR"/>
        </w:rPr>
      </w:pPr>
      <w:r w:rsidRPr="004D6466">
        <w:rPr>
          <w:rFonts w:ascii="Arial" w:hAnsi="Arial" w:cs="Arial"/>
          <w:sz w:val="24"/>
          <w:szCs w:val="24"/>
          <w:lang w:val="pt-BR"/>
        </w:rPr>
        <w:t>Manual Informativo de Sistema Único de Assistência Social para jornalistas gestores e técnicos, Ministério do Desenvolvimento Social e Combate à Fome, Secretaria Nacional de Assistência Social e Conselho Nacional de Assistência Social, Brasil, Mayo 2010.</w:t>
      </w:r>
    </w:p>
    <w:p w:rsidR="00A66191" w:rsidRPr="004D6466" w:rsidRDefault="00A66191" w:rsidP="00A66191">
      <w:pPr>
        <w:rPr>
          <w:rFonts w:ascii="Arial" w:hAnsi="Arial" w:cs="Arial"/>
          <w:sz w:val="24"/>
          <w:szCs w:val="24"/>
          <w:lang w:val="pt-BR"/>
        </w:rPr>
      </w:pPr>
      <w:r w:rsidRPr="004D6466">
        <w:rPr>
          <w:rFonts w:ascii="Arial" w:hAnsi="Arial" w:cs="Arial"/>
          <w:sz w:val="24"/>
          <w:szCs w:val="24"/>
          <w:lang w:val="pt-BR"/>
        </w:rPr>
        <w:t xml:space="preserve">Segurança Alimentar e Nutricional, Trajetória e Relatos da </w:t>
      </w:r>
      <w:r w:rsidR="00830DFF" w:rsidRPr="004D6466">
        <w:rPr>
          <w:rFonts w:ascii="Arial" w:hAnsi="Arial" w:cs="Arial"/>
          <w:sz w:val="24"/>
          <w:szCs w:val="24"/>
          <w:lang w:val="pt-BR"/>
        </w:rPr>
        <w:t>Construção</w:t>
      </w:r>
      <w:r w:rsidRPr="004D6466">
        <w:rPr>
          <w:rFonts w:ascii="Arial" w:hAnsi="Arial" w:cs="Arial"/>
          <w:sz w:val="24"/>
          <w:szCs w:val="24"/>
          <w:lang w:val="pt-BR"/>
        </w:rPr>
        <w:t xml:space="preserve"> de uma Política Nacional, Ministério do Desenvolvimento Social e Combate à Fome, Brasil, 2008.</w:t>
      </w:r>
    </w:p>
    <w:p w:rsidR="00A66191" w:rsidRPr="004D6466" w:rsidRDefault="00A66191" w:rsidP="00A66191">
      <w:pPr>
        <w:rPr>
          <w:rFonts w:ascii="Arial" w:hAnsi="Arial" w:cs="Arial"/>
          <w:sz w:val="24"/>
          <w:szCs w:val="24"/>
          <w:lang w:val="pt-BR"/>
        </w:rPr>
      </w:pPr>
      <w:r w:rsidRPr="004D6466">
        <w:rPr>
          <w:rFonts w:ascii="Arial" w:hAnsi="Arial" w:cs="Arial"/>
          <w:sz w:val="24"/>
          <w:szCs w:val="24"/>
          <w:lang w:val="pt-BR"/>
        </w:rPr>
        <w:lastRenderedPageBreak/>
        <w:t>Bolsa Familia, Cidadania e Dignidade para milhões de brasileiros, Ministério do Desenvolvimento Social e Combate à Fome, revista especial, Brasil,</w:t>
      </w:r>
      <w:r w:rsidR="00830DFF" w:rsidRPr="004D6466">
        <w:rPr>
          <w:rFonts w:ascii="Arial" w:hAnsi="Arial" w:cs="Arial"/>
          <w:sz w:val="24"/>
          <w:szCs w:val="24"/>
          <w:lang w:val="pt-BR"/>
        </w:rPr>
        <w:t xml:space="preserve"> </w:t>
      </w:r>
      <w:r w:rsidRPr="004D6466">
        <w:rPr>
          <w:rFonts w:ascii="Arial" w:hAnsi="Arial" w:cs="Arial"/>
          <w:sz w:val="24"/>
          <w:szCs w:val="24"/>
          <w:lang w:val="pt-BR"/>
        </w:rPr>
        <w:t>março 2010.</w:t>
      </w:r>
    </w:p>
    <w:p w:rsidR="00A66191" w:rsidRPr="004D6466" w:rsidRDefault="00A66191" w:rsidP="00A66191">
      <w:pPr>
        <w:rPr>
          <w:rFonts w:ascii="Arial" w:hAnsi="Arial" w:cs="Arial"/>
          <w:sz w:val="24"/>
          <w:szCs w:val="24"/>
        </w:rPr>
      </w:pPr>
      <w:r w:rsidRPr="004D6466">
        <w:rPr>
          <w:rFonts w:ascii="Arial" w:hAnsi="Arial" w:cs="Arial"/>
          <w:sz w:val="24"/>
          <w:szCs w:val="24"/>
        </w:rPr>
        <w:t xml:space="preserve">Municipios </w:t>
      </w:r>
      <w:r w:rsidR="00830DFF" w:rsidRPr="004D6466">
        <w:rPr>
          <w:rFonts w:ascii="Arial" w:hAnsi="Arial" w:cs="Arial"/>
          <w:sz w:val="24"/>
          <w:szCs w:val="24"/>
        </w:rPr>
        <w:t>Transparentes, Quito</w:t>
      </w:r>
      <w:r w:rsidRPr="004D6466">
        <w:rPr>
          <w:rFonts w:ascii="Arial" w:hAnsi="Arial" w:cs="Arial"/>
          <w:sz w:val="24"/>
          <w:szCs w:val="24"/>
        </w:rPr>
        <w:t xml:space="preserve"> Honesto, 2010.</w:t>
      </w:r>
    </w:p>
    <w:p w:rsidR="00A66191" w:rsidRPr="004D6466" w:rsidRDefault="00A66191" w:rsidP="00A66191">
      <w:pPr>
        <w:rPr>
          <w:rFonts w:ascii="Arial" w:hAnsi="Arial" w:cs="Arial"/>
          <w:sz w:val="24"/>
          <w:szCs w:val="24"/>
        </w:rPr>
      </w:pPr>
      <w:r w:rsidRPr="004D6466">
        <w:rPr>
          <w:rFonts w:ascii="Arial" w:hAnsi="Arial" w:cs="Arial"/>
          <w:sz w:val="24"/>
          <w:szCs w:val="24"/>
        </w:rPr>
        <w:t>Cultura de transparencia para el buen vivir, Secretaría Nacional de Transparencia de Gestión, SNGT, 2010.</w:t>
      </w:r>
    </w:p>
    <w:p w:rsidR="00A66191" w:rsidRPr="004D6466" w:rsidRDefault="00A66191" w:rsidP="00A66191">
      <w:pPr>
        <w:rPr>
          <w:rFonts w:ascii="Arial" w:hAnsi="Arial" w:cs="Arial"/>
          <w:b/>
          <w:sz w:val="24"/>
          <w:szCs w:val="24"/>
        </w:rPr>
      </w:pPr>
      <w:r w:rsidRPr="004D6466">
        <w:rPr>
          <w:rFonts w:ascii="Arial" w:hAnsi="Arial" w:cs="Arial"/>
          <w:b/>
          <w:sz w:val="24"/>
          <w:szCs w:val="24"/>
        </w:rPr>
        <w:t xml:space="preserve">Revistas </w:t>
      </w:r>
    </w:p>
    <w:p w:rsidR="00A66191" w:rsidRPr="004D6466" w:rsidRDefault="00A66191" w:rsidP="00A66191">
      <w:pPr>
        <w:rPr>
          <w:rFonts w:ascii="Arial" w:hAnsi="Arial" w:cs="Arial"/>
          <w:sz w:val="24"/>
          <w:szCs w:val="24"/>
        </w:rPr>
      </w:pPr>
      <w:r w:rsidRPr="004D6466">
        <w:rPr>
          <w:rFonts w:ascii="Arial" w:hAnsi="Arial" w:cs="Arial"/>
          <w:bCs/>
          <w:sz w:val="24"/>
          <w:szCs w:val="24"/>
        </w:rPr>
        <w:t>Prebisch Raúl, Teorías neoclásicas del liberalismo económico, Revista de la CEPAL, pp. 171-191, Santiago, abril 1979</w:t>
      </w:r>
      <w:r w:rsidRPr="004D6466">
        <w:rPr>
          <w:bCs/>
          <w:sz w:val="24"/>
          <w:szCs w:val="24"/>
        </w:rPr>
        <w:t>.</w:t>
      </w:r>
    </w:p>
    <w:p w:rsidR="00A66191" w:rsidRPr="004D6466" w:rsidRDefault="00A66191" w:rsidP="00A66191">
      <w:pPr>
        <w:rPr>
          <w:rFonts w:ascii="Arial" w:hAnsi="Arial" w:cs="Arial"/>
          <w:b/>
          <w:sz w:val="24"/>
          <w:szCs w:val="24"/>
        </w:rPr>
      </w:pPr>
      <w:r w:rsidRPr="004D6466">
        <w:rPr>
          <w:rFonts w:ascii="Arial" w:hAnsi="Arial" w:cs="Arial"/>
          <w:b/>
          <w:sz w:val="24"/>
          <w:szCs w:val="24"/>
        </w:rPr>
        <w:t>Ensayos</w:t>
      </w:r>
    </w:p>
    <w:p w:rsidR="00A66191" w:rsidRPr="004D6466" w:rsidRDefault="00A66191" w:rsidP="00A66191">
      <w:pPr>
        <w:rPr>
          <w:rFonts w:ascii="Arial" w:hAnsi="Arial" w:cs="Arial"/>
          <w:sz w:val="24"/>
          <w:szCs w:val="24"/>
        </w:rPr>
      </w:pPr>
      <w:r w:rsidRPr="004D6466">
        <w:rPr>
          <w:rFonts w:ascii="Arial" w:hAnsi="Arial" w:cs="Arial"/>
          <w:sz w:val="24"/>
          <w:szCs w:val="24"/>
        </w:rPr>
        <w:t>Pedro Ibarra, y Koldo Unceta (coords.) Ensayos sobre el desarrollo humano, Icaria, Barcelona, 2001.</w:t>
      </w:r>
    </w:p>
    <w:p w:rsidR="00A66191" w:rsidRPr="004D6466" w:rsidRDefault="00A66191" w:rsidP="00A66191">
      <w:pPr>
        <w:rPr>
          <w:rFonts w:ascii="Arial" w:hAnsi="Arial" w:cs="Arial"/>
          <w:sz w:val="24"/>
          <w:szCs w:val="24"/>
        </w:rPr>
      </w:pPr>
    </w:p>
    <w:p w:rsidR="00A66191" w:rsidRPr="004D6466" w:rsidRDefault="00A66191" w:rsidP="00A66191">
      <w:pPr>
        <w:rPr>
          <w:rFonts w:ascii="Arial" w:hAnsi="Arial" w:cs="Arial"/>
          <w:sz w:val="24"/>
          <w:szCs w:val="24"/>
        </w:rPr>
      </w:pPr>
    </w:p>
    <w:p w:rsidR="00A66191" w:rsidRPr="004D6466" w:rsidRDefault="00A66191" w:rsidP="00A66191">
      <w:pPr>
        <w:rPr>
          <w:rFonts w:ascii="Arial" w:hAnsi="Arial" w:cs="Arial"/>
          <w:sz w:val="24"/>
          <w:szCs w:val="24"/>
        </w:rPr>
      </w:pPr>
    </w:p>
    <w:p w:rsidR="00A66191" w:rsidRPr="004D6466" w:rsidRDefault="00A66191" w:rsidP="00A66191">
      <w:pPr>
        <w:rPr>
          <w:rFonts w:ascii="Arial" w:hAnsi="Arial" w:cs="Arial"/>
          <w:sz w:val="24"/>
          <w:szCs w:val="24"/>
        </w:rPr>
      </w:pPr>
    </w:p>
    <w:p w:rsidR="00A66191" w:rsidRPr="004D6466" w:rsidRDefault="00A66191" w:rsidP="00A66191">
      <w:pPr>
        <w:rPr>
          <w:rFonts w:ascii="Arial" w:hAnsi="Arial" w:cs="Arial"/>
          <w:sz w:val="24"/>
          <w:szCs w:val="24"/>
        </w:rPr>
      </w:pPr>
    </w:p>
    <w:p w:rsidR="00A66191" w:rsidRPr="004D6466" w:rsidRDefault="00A66191" w:rsidP="00A66191">
      <w:pPr>
        <w:rPr>
          <w:rFonts w:ascii="Arial" w:hAnsi="Arial" w:cs="Arial"/>
          <w:sz w:val="24"/>
          <w:szCs w:val="24"/>
        </w:rPr>
      </w:pPr>
    </w:p>
    <w:p w:rsidR="00A66191" w:rsidRPr="004D6466" w:rsidRDefault="00A66191" w:rsidP="00A66191">
      <w:pPr>
        <w:rPr>
          <w:rFonts w:ascii="Arial" w:hAnsi="Arial" w:cs="Arial"/>
          <w:sz w:val="24"/>
          <w:szCs w:val="24"/>
        </w:rPr>
      </w:pPr>
    </w:p>
    <w:p w:rsidR="00A66191" w:rsidRPr="004D6466" w:rsidRDefault="00A66191" w:rsidP="00A66191">
      <w:pPr>
        <w:rPr>
          <w:rFonts w:ascii="Arial" w:hAnsi="Arial" w:cs="Arial"/>
          <w:b/>
          <w:sz w:val="24"/>
          <w:szCs w:val="24"/>
        </w:rPr>
      </w:pPr>
    </w:p>
    <w:p w:rsidR="00A66191" w:rsidRPr="004D6466" w:rsidRDefault="00A66191" w:rsidP="00A66191">
      <w:pPr>
        <w:rPr>
          <w:rFonts w:ascii="Arial" w:hAnsi="Arial" w:cs="Arial"/>
          <w:b/>
          <w:sz w:val="24"/>
          <w:szCs w:val="24"/>
        </w:rPr>
      </w:pPr>
      <w:r w:rsidRPr="004D6466">
        <w:rPr>
          <w:rFonts w:ascii="Arial" w:hAnsi="Arial" w:cs="Arial"/>
          <w:b/>
          <w:sz w:val="24"/>
          <w:szCs w:val="24"/>
        </w:rPr>
        <w:br w:type="page"/>
      </w:r>
    </w:p>
    <w:p w:rsidR="00A66191" w:rsidRPr="004D6466" w:rsidRDefault="00A66191" w:rsidP="00A66191">
      <w:pPr>
        <w:rPr>
          <w:rFonts w:ascii="Arial" w:hAnsi="Arial" w:cs="Arial"/>
          <w:b/>
          <w:sz w:val="24"/>
          <w:szCs w:val="24"/>
        </w:rPr>
      </w:pPr>
      <w:r w:rsidRPr="004D6466">
        <w:rPr>
          <w:rFonts w:ascii="Arial" w:hAnsi="Arial" w:cs="Arial"/>
          <w:b/>
          <w:sz w:val="24"/>
          <w:szCs w:val="24"/>
        </w:rPr>
        <w:lastRenderedPageBreak/>
        <w:t>5.6 Anexos</w:t>
      </w:r>
    </w:p>
    <w:p w:rsidR="00A66191" w:rsidRPr="004D6466" w:rsidRDefault="00A66191" w:rsidP="00A66191">
      <w:pPr>
        <w:tabs>
          <w:tab w:val="left" w:pos="142"/>
        </w:tabs>
        <w:spacing w:line="360" w:lineRule="auto"/>
        <w:jc w:val="both"/>
        <w:rPr>
          <w:rFonts w:ascii="Arial" w:hAnsi="Arial" w:cs="Arial"/>
          <w:b/>
          <w:sz w:val="24"/>
          <w:szCs w:val="24"/>
        </w:rPr>
      </w:pPr>
      <w:r w:rsidRPr="004D6466">
        <w:rPr>
          <w:rFonts w:ascii="Arial" w:hAnsi="Arial" w:cs="Arial"/>
          <w:b/>
          <w:sz w:val="24"/>
          <w:szCs w:val="24"/>
        </w:rPr>
        <w:t>Anexo 1</w:t>
      </w:r>
    </w:p>
    <w:p w:rsidR="00A66191" w:rsidRPr="004D6466" w:rsidRDefault="00A66191" w:rsidP="00A66191">
      <w:pPr>
        <w:autoSpaceDE w:val="0"/>
        <w:autoSpaceDN w:val="0"/>
        <w:adjustRightInd w:val="0"/>
        <w:spacing w:after="0" w:line="240" w:lineRule="auto"/>
        <w:rPr>
          <w:rFonts w:ascii="Arial" w:hAnsi="Arial" w:cs="Arial"/>
          <w:sz w:val="24"/>
          <w:szCs w:val="24"/>
        </w:rPr>
      </w:pPr>
    </w:p>
    <w:p w:rsidR="00A66191" w:rsidRPr="004D6466" w:rsidRDefault="00A66191" w:rsidP="00A66191">
      <w:pPr>
        <w:pStyle w:val="Sinespaciado"/>
        <w:rPr>
          <w:rStyle w:val="Textoennegrita"/>
          <w:rFonts w:ascii="Arial" w:eastAsia="Calibri" w:hAnsi="Arial" w:cs="Arial"/>
          <w:b w:val="0"/>
          <w:lang w:val="es-EC"/>
        </w:rPr>
      </w:pPr>
      <w:r w:rsidRPr="004D6466">
        <w:rPr>
          <w:rFonts w:ascii="Arial" w:eastAsia="Calibri" w:hAnsi="Arial" w:cs="Arial"/>
          <w:bCs/>
          <w:noProof/>
        </w:rPr>
        <w:drawing>
          <wp:inline distT="0" distB="0" distL="0" distR="0">
            <wp:extent cx="5400675" cy="3733800"/>
            <wp:effectExtent l="19050" t="0" r="9525" b="0"/>
            <wp:docPr id="10"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81" cstate="print"/>
                    <a:srcRect/>
                    <a:stretch>
                      <a:fillRect/>
                    </a:stretch>
                  </pic:blipFill>
                  <pic:spPr bwMode="auto">
                    <a:xfrm>
                      <a:off x="0" y="0"/>
                      <a:ext cx="5400675" cy="3733800"/>
                    </a:xfrm>
                    <a:prstGeom prst="rect">
                      <a:avLst/>
                    </a:prstGeom>
                    <a:noFill/>
                    <a:ln w="9525">
                      <a:noFill/>
                      <a:miter lim="800000"/>
                      <a:headEnd/>
                      <a:tailEnd/>
                    </a:ln>
                  </pic:spPr>
                </pic:pic>
              </a:graphicData>
            </a:graphic>
          </wp:inline>
        </w:drawing>
      </w:r>
    </w:p>
    <w:p w:rsidR="00A66191" w:rsidRPr="004D6466" w:rsidRDefault="00572FE7" w:rsidP="00A66191">
      <w:pPr>
        <w:pStyle w:val="Sinespaciado"/>
        <w:rPr>
          <w:rStyle w:val="Textoennegrita"/>
          <w:rFonts w:ascii="Arial" w:eastAsia="Calibri" w:hAnsi="Arial" w:cs="Arial"/>
          <w:b w:val="0"/>
          <w:sz w:val="16"/>
          <w:szCs w:val="16"/>
          <w:lang w:val="es-EC"/>
        </w:rPr>
      </w:pPr>
      <w:r>
        <w:rPr>
          <w:rStyle w:val="Textoennegrita"/>
          <w:rFonts w:ascii="Arial" w:eastAsia="Calibri" w:hAnsi="Arial" w:cs="Arial"/>
          <w:sz w:val="16"/>
          <w:szCs w:val="16"/>
          <w:lang w:val="es-EC"/>
        </w:rPr>
        <w:t>Gráfico nº 14</w:t>
      </w:r>
      <w:r w:rsidR="00A66191" w:rsidRPr="004D6466">
        <w:rPr>
          <w:rStyle w:val="Textoennegrita"/>
          <w:rFonts w:ascii="Arial" w:eastAsia="Calibri" w:hAnsi="Arial" w:cs="Arial"/>
          <w:sz w:val="16"/>
          <w:szCs w:val="16"/>
          <w:lang w:val="es-EC"/>
        </w:rPr>
        <w:t xml:space="preserve">                                                    Fuente: Ministerio de Relaciones Exteriores Comercio e Integración </w:t>
      </w:r>
    </w:p>
    <w:p w:rsidR="00A66191" w:rsidRPr="004D6466" w:rsidRDefault="00A66191" w:rsidP="00A66191">
      <w:pPr>
        <w:autoSpaceDE w:val="0"/>
        <w:autoSpaceDN w:val="0"/>
        <w:adjustRightInd w:val="0"/>
        <w:spacing w:after="0" w:line="240" w:lineRule="auto"/>
        <w:rPr>
          <w:rFonts w:ascii="Arial" w:hAnsi="Arial" w:cs="Arial"/>
          <w:sz w:val="24"/>
          <w:szCs w:val="24"/>
          <w:lang w:val="es-EC"/>
        </w:rPr>
      </w:pPr>
    </w:p>
    <w:p w:rsidR="00A66191" w:rsidRPr="004D6466" w:rsidRDefault="00A66191" w:rsidP="00A66191">
      <w:pPr>
        <w:rPr>
          <w:rFonts w:ascii="Arial" w:hAnsi="Arial" w:cs="Arial"/>
          <w:b/>
          <w:sz w:val="24"/>
          <w:szCs w:val="24"/>
          <w:lang w:val="es-EC"/>
        </w:rPr>
      </w:pPr>
      <w:r w:rsidRPr="004D6466">
        <w:rPr>
          <w:rFonts w:ascii="Arial" w:hAnsi="Arial" w:cs="Arial"/>
          <w:b/>
          <w:sz w:val="24"/>
          <w:szCs w:val="24"/>
          <w:lang w:val="es-EC"/>
        </w:rPr>
        <w:br w:type="page"/>
      </w:r>
    </w:p>
    <w:p w:rsidR="00A66191" w:rsidRPr="004D6466" w:rsidRDefault="00A66191" w:rsidP="00A66191">
      <w:pPr>
        <w:autoSpaceDE w:val="0"/>
        <w:autoSpaceDN w:val="0"/>
        <w:adjustRightInd w:val="0"/>
        <w:spacing w:after="0" w:line="240" w:lineRule="auto"/>
        <w:rPr>
          <w:rFonts w:ascii="Arial" w:hAnsi="Arial" w:cs="Arial"/>
          <w:b/>
          <w:sz w:val="24"/>
          <w:szCs w:val="24"/>
          <w:lang w:val="es-EC"/>
        </w:rPr>
      </w:pPr>
      <w:r w:rsidRPr="004D6466">
        <w:rPr>
          <w:rFonts w:ascii="Arial" w:hAnsi="Arial" w:cs="Arial"/>
          <w:b/>
          <w:sz w:val="24"/>
          <w:szCs w:val="24"/>
          <w:lang w:val="es-EC"/>
        </w:rPr>
        <w:lastRenderedPageBreak/>
        <w:t xml:space="preserve">Anexo 2 </w:t>
      </w:r>
    </w:p>
    <w:p w:rsidR="00A66191" w:rsidRPr="004D6466" w:rsidRDefault="00A66191" w:rsidP="00A66191">
      <w:pPr>
        <w:autoSpaceDE w:val="0"/>
        <w:autoSpaceDN w:val="0"/>
        <w:adjustRightInd w:val="0"/>
        <w:spacing w:after="0" w:line="240" w:lineRule="auto"/>
        <w:rPr>
          <w:rFonts w:ascii="Arial" w:hAnsi="Arial" w:cs="Arial"/>
          <w:sz w:val="24"/>
          <w:szCs w:val="24"/>
        </w:rPr>
      </w:pPr>
    </w:p>
    <w:p w:rsidR="00A66191" w:rsidRPr="004D6466" w:rsidRDefault="00A66191" w:rsidP="00A66191">
      <w:pPr>
        <w:autoSpaceDE w:val="0"/>
        <w:autoSpaceDN w:val="0"/>
        <w:adjustRightInd w:val="0"/>
        <w:spacing w:after="0" w:line="240" w:lineRule="auto"/>
        <w:jc w:val="center"/>
        <w:rPr>
          <w:rFonts w:ascii="Arial" w:hAnsi="Arial" w:cs="Arial"/>
          <w:sz w:val="16"/>
          <w:szCs w:val="16"/>
        </w:rPr>
      </w:pPr>
      <w:r w:rsidRPr="004D6466">
        <w:rPr>
          <w:rFonts w:ascii="Arial" w:hAnsi="Arial" w:cs="Arial"/>
          <w:noProof/>
          <w:sz w:val="16"/>
          <w:szCs w:val="16"/>
        </w:rPr>
        <w:drawing>
          <wp:inline distT="0" distB="0" distL="0" distR="0">
            <wp:extent cx="4352925" cy="2607141"/>
            <wp:effectExtent l="19050" t="0" r="9525" b="0"/>
            <wp:docPr id="9"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82" cstate="print"/>
                    <a:srcRect/>
                    <a:stretch>
                      <a:fillRect/>
                    </a:stretch>
                  </pic:blipFill>
                  <pic:spPr bwMode="auto">
                    <a:xfrm>
                      <a:off x="0" y="0"/>
                      <a:ext cx="4352925" cy="2607141"/>
                    </a:xfrm>
                    <a:prstGeom prst="rect">
                      <a:avLst/>
                    </a:prstGeom>
                    <a:noFill/>
                    <a:ln w="9525">
                      <a:noFill/>
                      <a:miter lim="800000"/>
                      <a:headEnd/>
                      <a:tailEnd/>
                    </a:ln>
                  </pic:spPr>
                </pic:pic>
              </a:graphicData>
            </a:graphic>
          </wp:inline>
        </w:drawing>
      </w:r>
    </w:p>
    <w:p w:rsidR="00A66191" w:rsidRPr="004D6466" w:rsidRDefault="00572FE7" w:rsidP="00A66191">
      <w:pPr>
        <w:autoSpaceDE w:val="0"/>
        <w:autoSpaceDN w:val="0"/>
        <w:adjustRightInd w:val="0"/>
        <w:spacing w:after="0" w:line="240" w:lineRule="auto"/>
        <w:rPr>
          <w:rFonts w:ascii="Arial" w:hAnsi="Arial" w:cs="Arial"/>
          <w:sz w:val="16"/>
          <w:szCs w:val="16"/>
        </w:rPr>
      </w:pPr>
      <w:r>
        <w:rPr>
          <w:rFonts w:ascii="Arial" w:hAnsi="Arial" w:cs="Arial"/>
          <w:sz w:val="16"/>
          <w:szCs w:val="16"/>
        </w:rPr>
        <w:t>Gráfico nº 15</w:t>
      </w:r>
      <w:r w:rsidR="00A66191" w:rsidRPr="004D6466">
        <w:rPr>
          <w:rFonts w:ascii="Arial" w:hAnsi="Arial" w:cs="Arial"/>
          <w:sz w:val="16"/>
          <w:szCs w:val="16"/>
        </w:rPr>
        <w:t xml:space="preserve">                                              Fuente: dirección de Inteligencia comercial e inversiones/PROECUADOR</w:t>
      </w:r>
    </w:p>
    <w:p w:rsidR="00A66191" w:rsidRPr="004D6466" w:rsidRDefault="00A66191" w:rsidP="00A66191">
      <w:pPr>
        <w:autoSpaceDE w:val="0"/>
        <w:autoSpaceDN w:val="0"/>
        <w:adjustRightInd w:val="0"/>
        <w:spacing w:after="0" w:line="240" w:lineRule="auto"/>
        <w:rPr>
          <w:rFonts w:ascii="MyriadPro-LightCond" w:hAnsi="MyriadPro-LightCond" w:cs="MyriadPro-LightCond"/>
          <w:sz w:val="20"/>
          <w:szCs w:val="20"/>
        </w:rPr>
      </w:pPr>
    </w:p>
    <w:p w:rsidR="00A66191" w:rsidRPr="004D6466" w:rsidRDefault="00A66191" w:rsidP="00A66191">
      <w:pPr>
        <w:autoSpaceDE w:val="0"/>
        <w:autoSpaceDN w:val="0"/>
        <w:adjustRightInd w:val="0"/>
        <w:spacing w:after="0" w:line="240" w:lineRule="auto"/>
        <w:rPr>
          <w:rFonts w:ascii="MyriadPro-LightCond" w:hAnsi="MyriadPro-LightCond" w:cs="MyriadPro-LightCond"/>
          <w:sz w:val="20"/>
          <w:szCs w:val="20"/>
        </w:rPr>
      </w:pPr>
    </w:p>
    <w:p w:rsidR="00A66191" w:rsidRPr="004D6466" w:rsidRDefault="00A66191" w:rsidP="00A66191">
      <w:pPr>
        <w:rPr>
          <w:rFonts w:ascii="Arial" w:hAnsi="Arial" w:cs="Arial"/>
          <w:b/>
          <w:sz w:val="24"/>
          <w:szCs w:val="24"/>
        </w:rPr>
      </w:pPr>
    </w:p>
    <w:p w:rsidR="00A66191" w:rsidRPr="004D6466" w:rsidRDefault="00A66191" w:rsidP="00A66191">
      <w:pPr>
        <w:rPr>
          <w:rFonts w:ascii="Arial" w:hAnsi="Arial" w:cs="Arial"/>
          <w:sz w:val="24"/>
          <w:szCs w:val="24"/>
        </w:rPr>
      </w:pPr>
    </w:p>
    <w:p w:rsidR="00A66191" w:rsidRPr="004D6466" w:rsidRDefault="00A66191" w:rsidP="00A66191">
      <w:pPr>
        <w:rPr>
          <w:rFonts w:ascii="Arial" w:hAnsi="Arial" w:cs="Arial"/>
          <w:sz w:val="16"/>
          <w:szCs w:val="16"/>
        </w:rPr>
      </w:pPr>
      <w:r w:rsidRPr="004D6466">
        <w:rPr>
          <w:rFonts w:ascii="Arial" w:hAnsi="Arial" w:cs="Arial"/>
          <w:sz w:val="16"/>
          <w:szCs w:val="16"/>
        </w:rPr>
        <w:br w:type="page"/>
      </w:r>
    </w:p>
    <w:p w:rsidR="00A66191" w:rsidRPr="004D6466" w:rsidRDefault="00A66191" w:rsidP="00A66191">
      <w:pPr>
        <w:autoSpaceDE w:val="0"/>
        <w:autoSpaceDN w:val="0"/>
        <w:adjustRightInd w:val="0"/>
        <w:spacing w:after="0" w:line="240" w:lineRule="auto"/>
        <w:rPr>
          <w:rFonts w:ascii="Arial" w:hAnsi="Arial" w:cs="Arial"/>
          <w:b/>
          <w:sz w:val="24"/>
          <w:szCs w:val="24"/>
          <w:lang w:val="es-EC"/>
        </w:rPr>
      </w:pPr>
      <w:r w:rsidRPr="004D6466">
        <w:rPr>
          <w:rFonts w:ascii="Arial" w:hAnsi="Arial" w:cs="Arial"/>
          <w:b/>
          <w:sz w:val="24"/>
          <w:szCs w:val="24"/>
          <w:lang w:val="es-EC"/>
        </w:rPr>
        <w:lastRenderedPageBreak/>
        <w:t>Anexo 3</w:t>
      </w:r>
    </w:p>
    <w:p w:rsidR="00A66191" w:rsidRPr="004D6466" w:rsidRDefault="00A66191" w:rsidP="00A66191">
      <w:pPr>
        <w:autoSpaceDE w:val="0"/>
        <w:autoSpaceDN w:val="0"/>
        <w:adjustRightInd w:val="0"/>
        <w:spacing w:after="0" w:line="240" w:lineRule="auto"/>
        <w:rPr>
          <w:rFonts w:ascii="Arial" w:hAnsi="Arial" w:cs="Arial"/>
          <w:b/>
          <w:sz w:val="24"/>
          <w:szCs w:val="24"/>
          <w:lang w:val="es-EC"/>
        </w:rPr>
      </w:pPr>
    </w:p>
    <w:p w:rsidR="00A66191" w:rsidRPr="004D6466" w:rsidRDefault="00A66191" w:rsidP="00A66191">
      <w:pPr>
        <w:autoSpaceDE w:val="0"/>
        <w:autoSpaceDN w:val="0"/>
        <w:adjustRightInd w:val="0"/>
        <w:spacing w:after="0" w:line="240" w:lineRule="auto"/>
        <w:rPr>
          <w:rFonts w:ascii="Arial" w:hAnsi="Arial" w:cs="Arial"/>
          <w:b/>
          <w:sz w:val="24"/>
          <w:szCs w:val="24"/>
          <w:lang w:val="es-EC"/>
        </w:rPr>
      </w:pPr>
    </w:p>
    <w:p w:rsidR="00A66191" w:rsidRPr="004D6466" w:rsidRDefault="00A66191" w:rsidP="00A66191">
      <w:pPr>
        <w:autoSpaceDE w:val="0"/>
        <w:autoSpaceDN w:val="0"/>
        <w:adjustRightInd w:val="0"/>
        <w:spacing w:after="0" w:line="240" w:lineRule="auto"/>
        <w:rPr>
          <w:rFonts w:ascii="Arial" w:hAnsi="Arial" w:cs="Arial"/>
          <w:b/>
          <w:sz w:val="24"/>
          <w:szCs w:val="24"/>
          <w:lang w:val="es-EC"/>
        </w:rPr>
      </w:pPr>
    </w:p>
    <w:p w:rsidR="00A66191" w:rsidRPr="004D6466" w:rsidRDefault="00A66191" w:rsidP="00A66191">
      <w:pPr>
        <w:autoSpaceDE w:val="0"/>
        <w:autoSpaceDN w:val="0"/>
        <w:adjustRightInd w:val="0"/>
        <w:spacing w:after="0" w:line="240" w:lineRule="auto"/>
        <w:rPr>
          <w:rFonts w:ascii="Arial" w:hAnsi="Arial" w:cs="Arial"/>
          <w:b/>
          <w:sz w:val="24"/>
          <w:szCs w:val="24"/>
          <w:lang w:val="es-EC"/>
        </w:rPr>
      </w:pPr>
    </w:p>
    <w:p w:rsidR="00A66191" w:rsidRPr="004D6466" w:rsidRDefault="00A66191" w:rsidP="00A66191">
      <w:pPr>
        <w:autoSpaceDE w:val="0"/>
        <w:autoSpaceDN w:val="0"/>
        <w:adjustRightInd w:val="0"/>
        <w:spacing w:after="0" w:line="240" w:lineRule="auto"/>
        <w:rPr>
          <w:rFonts w:ascii="Arial" w:hAnsi="Arial" w:cs="Arial"/>
          <w:b/>
          <w:sz w:val="24"/>
          <w:szCs w:val="24"/>
          <w:lang w:val="es-EC"/>
        </w:rPr>
      </w:pPr>
    </w:p>
    <w:p w:rsidR="00A66191" w:rsidRPr="004D6466" w:rsidRDefault="00A66191" w:rsidP="00A66191">
      <w:pPr>
        <w:autoSpaceDE w:val="0"/>
        <w:autoSpaceDN w:val="0"/>
        <w:adjustRightInd w:val="0"/>
        <w:spacing w:after="0" w:line="240" w:lineRule="auto"/>
        <w:rPr>
          <w:rFonts w:ascii="Arial" w:hAnsi="Arial" w:cs="Arial"/>
          <w:b/>
          <w:sz w:val="24"/>
          <w:szCs w:val="24"/>
          <w:lang w:val="es-EC"/>
        </w:rPr>
      </w:pPr>
    </w:p>
    <w:p w:rsidR="00A66191" w:rsidRPr="004D6466" w:rsidRDefault="00A66191" w:rsidP="00A66191">
      <w:pPr>
        <w:autoSpaceDE w:val="0"/>
        <w:autoSpaceDN w:val="0"/>
        <w:adjustRightInd w:val="0"/>
        <w:spacing w:after="0" w:line="240" w:lineRule="auto"/>
        <w:rPr>
          <w:rFonts w:ascii="Arial" w:hAnsi="Arial" w:cs="Arial"/>
          <w:b/>
          <w:sz w:val="24"/>
          <w:szCs w:val="24"/>
          <w:lang w:val="es-EC"/>
        </w:rPr>
      </w:pPr>
    </w:p>
    <w:p w:rsidR="00A66191" w:rsidRPr="004D6466" w:rsidRDefault="00A66191" w:rsidP="00A66191">
      <w:pPr>
        <w:autoSpaceDE w:val="0"/>
        <w:autoSpaceDN w:val="0"/>
        <w:adjustRightInd w:val="0"/>
        <w:spacing w:after="0" w:line="240" w:lineRule="auto"/>
        <w:rPr>
          <w:rFonts w:ascii="Arial" w:hAnsi="Arial" w:cs="Arial"/>
          <w:b/>
          <w:sz w:val="24"/>
          <w:szCs w:val="24"/>
          <w:lang w:val="es-EC"/>
        </w:rPr>
      </w:pPr>
    </w:p>
    <w:p w:rsidR="00A66191" w:rsidRPr="004D6466" w:rsidRDefault="00A66191" w:rsidP="00A66191">
      <w:pPr>
        <w:autoSpaceDE w:val="0"/>
        <w:autoSpaceDN w:val="0"/>
        <w:adjustRightInd w:val="0"/>
        <w:spacing w:after="0" w:line="240" w:lineRule="auto"/>
        <w:rPr>
          <w:rFonts w:ascii="Arial" w:hAnsi="Arial" w:cs="Arial"/>
          <w:b/>
          <w:sz w:val="24"/>
          <w:szCs w:val="24"/>
          <w:lang w:val="es-EC"/>
        </w:rPr>
      </w:pPr>
    </w:p>
    <w:p w:rsidR="00A66191" w:rsidRPr="004D6466" w:rsidRDefault="00A66191" w:rsidP="00A66191">
      <w:pPr>
        <w:autoSpaceDE w:val="0"/>
        <w:autoSpaceDN w:val="0"/>
        <w:adjustRightInd w:val="0"/>
        <w:spacing w:after="0" w:line="240" w:lineRule="auto"/>
        <w:rPr>
          <w:rFonts w:ascii="Arial" w:hAnsi="Arial" w:cs="Arial"/>
          <w:b/>
          <w:sz w:val="24"/>
          <w:szCs w:val="24"/>
          <w:lang w:val="es-EC"/>
        </w:rPr>
      </w:pPr>
    </w:p>
    <w:p w:rsidR="00A66191" w:rsidRPr="004D6466" w:rsidRDefault="00A66191" w:rsidP="00A66191">
      <w:pPr>
        <w:autoSpaceDE w:val="0"/>
        <w:autoSpaceDN w:val="0"/>
        <w:adjustRightInd w:val="0"/>
        <w:spacing w:after="0" w:line="240" w:lineRule="auto"/>
        <w:rPr>
          <w:rFonts w:ascii="Arial" w:hAnsi="Arial" w:cs="Arial"/>
          <w:b/>
          <w:sz w:val="24"/>
          <w:szCs w:val="24"/>
          <w:lang w:val="es-EC"/>
        </w:rPr>
      </w:pPr>
    </w:p>
    <w:p w:rsidR="00A66191" w:rsidRPr="004D6466" w:rsidRDefault="00A66191" w:rsidP="00A66191">
      <w:pPr>
        <w:autoSpaceDE w:val="0"/>
        <w:autoSpaceDN w:val="0"/>
        <w:adjustRightInd w:val="0"/>
        <w:spacing w:after="0" w:line="240" w:lineRule="auto"/>
        <w:rPr>
          <w:rFonts w:ascii="Arial" w:hAnsi="Arial" w:cs="Arial"/>
          <w:b/>
          <w:sz w:val="24"/>
          <w:szCs w:val="24"/>
          <w:lang w:val="es-EC"/>
        </w:rPr>
      </w:pPr>
    </w:p>
    <w:p w:rsidR="00A66191" w:rsidRPr="004D6466" w:rsidRDefault="00A66191" w:rsidP="00A66191">
      <w:pPr>
        <w:autoSpaceDE w:val="0"/>
        <w:autoSpaceDN w:val="0"/>
        <w:adjustRightInd w:val="0"/>
        <w:spacing w:after="0" w:line="240" w:lineRule="auto"/>
        <w:rPr>
          <w:rFonts w:ascii="Arial" w:hAnsi="Arial" w:cs="Arial"/>
          <w:b/>
          <w:sz w:val="24"/>
          <w:szCs w:val="24"/>
          <w:lang w:val="es-EC"/>
        </w:rPr>
      </w:pPr>
    </w:p>
    <w:p w:rsidR="00A66191" w:rsidRPr="004D6466" w:rsidRDefault="00A66191" w:rsidP="00A66191">
      <w:pPr>
        <w:autoSpaceDE w:val="0"/>
        <w:autoSpaceDN w:val="0"/>
        <w:adjustRightInd w:val="0"/>
        <w:spacing w:after="0" w:line="240" w:lineRule="auto"/>
        <w:rPr>
          <w:rFonts w:ascii="Arial" w:hAnsi="Arial" w:cs="Arial"/>
          <w:b/>
          <w:sz w:val="24"/>
          <w:szCs w:val="24"/>
          <w:lang w:val="es-EC"/>
        </w:rPr>
      </w:pPr>
    </w:p>
    <w:p w:rsidR="00A66191" w:rsidRPr="004D6466" w:rsidRDefault="00A66191" w:rsidP="00A66191">
      <w:pPr>
        <w:autoSpaceDE w:val="0"/>
        <w:autoSpaceDN w:val="0"/>
        <w:adjustRightInd w:val="0"/>
        <w:spacing w:after="0" w:line="240" w:lineRule="auto"/>
        <w:rPr>
          <w:rFonts w:ascii="Arial" w:hAnsi="Arial" w:cs="Arial"/>
          <w:b/>
          <w:sz w:val="24"/>
          <w:szCs w:val="24"/>
          <w:lang w:val="es-EC"/>
        </w:rPr>
      </w:pPr>
    </w:p>
    <w:p w:rsidR="00A66191" w:rsidRPr="004D6466" w:rsidRDefault="00A66191" w:rsidP="00A66191">
      <w:pPr>
        <w:autoSpaceDE w:val="0"/>
        <w:autoSpaceDN w:val="0"/>
        <w:adjustRightInd w:val="0"/>
        <w:spacing w:after="0" w:line="240" w:lineRule="auto"/>
        <w:rPr>
          <w:rFonts w:ascii="Arial" w:hAnsi="Arial" w:cs="Arial"/>
          <w:b/>
          <w:sz w:val="24"/>
          <w:szCs w:val="24"/>
          <w:lang w:val="es-EC"/>
        </w:rPr>
      </w:pPr>
    </w:p>
    <w:p w:rsidR="00A66191" w:rsidRPr="004D6466" w:rsidRDefault="00A66191" w:rsidP="00A66191">
      <w:pPr>
        <w:autoSpaceDE w:val="0"/>
        <w:autoSpaceDN w:val="0"/>
        <w:adjustRightInd w:val="0"/>
        <w:spacing w:after="0" w:line="240" w:lineRule="auto"/>
        <w:rPr>
          <w:rFonts w:ascii="Arial" w:hAnsi="Arial" w:cs="Arial"/>
          <w:b/>
          <w:sz w:val="24"/>
          <w:szCs w:val="24"/>
          <w:lang w:val="es-EC"/>
        </w:rPr>
      </w:pPr>
    </w:p>
    <w:p w:rsidR="00A66191" w:rsidRPr="004D6466" w:rsidRDefault="00A66191" w:rsidP="00A66191">
      <w:pPr>
        <w:autoSpaceDE w:val="0"/>
        <w:autoSpaceDN w:val="0"/>
        <w:adjustRightInd w:val="0"/>
        <w:spacing w:after="0" w:line="240" w:lineRule="auto"/>
        <w:rPr>
          <w:rFonts w:ascii="Arial" w:hAnsi="Arial" w:cs="Arial"/>
          <w:b/>
          <w:sz w:val="24"/>
          <w:szCs w:val="24"/>
          <w:lang w:val="es-EC"/>
        </w:rPr>
      </w:pPr>
    </w:p>
    <w:p w:rsidR="00A66191" w:rsidRPr="004D6466" w:rsidRDefault="00A66191" w:rsidP="00A66191">
      <w:pPr>
        <w:autoSpaceDE w:val="0"/>
        <w:autoSpaceDN w:val="0"/>
        <w:adjustRightInd w:val="0"/>
        <w:spacing w:after="0" w:line="240" w:lineRule="auto"/>
        <w:rPr>
          <w:rFonts w:ascii="Arial" w:hAnsi="Arial" w:cs="Arial"/>
          <w:b/>
          <w:sz w:val="24"/>
          <w:szCs w:val="24"/>
          <w:lang w:val="es-EC"/>
        </w:rPr>
      </w:pPr>
    </w:p>
    <w:p w:rsidR="00A66191" w:rsidRPr="004D6466" w:rsidRDefault="00A66191" w:rsidP="00A66191">
      <w:pPr>
        <w:autoSpaceDE w:val="0"/>
        <w:autoSpaceDN w:val="0"/>
        <w:adjustRightInd w:val="0"/>
        <w:spacing w:after="0" w:line="240" w:lineRule="auto"/>
        <w:rPr>
          <w:rFonts w:ascii="Arial" w:hAnsi="Arial" w:cs="Arial"/>
          <w:b/>
          <w:sz w:val="24"/>
          <w:szCs w:val="24"/>
          <w:lang w:val="es-EC"/>
        </w:rPr>
      </w:pPr>
    </w:p>
    <w:p w:rsidR="00A66191" w:rsidRPr="004D6466" w:rsidRDefault="00A66191" w:rsidP="00A66191">
      <w:pPr>
        <w:autoSpaceDE w:val="0"/>
        <w:autoSpaceDN w:val="0"/>
        <w:adjustRightInd w:val="0"/>
        <w:spacing w:after="0" w:line="240" w:lineRule="auto"/>
        <w:rPr>
          <w:rFonts w:ascii="Arial" w:hAnsi="Arial" w:cs="Arial"/>
          <w:b/>
          <w:sz w:val="24"/>
          <w:szCs w:val="24"/>
          <w:lang w:val="es-EC"/>
        </w:rPr>
      </w:pPr>
    </w:p>
    <w:p w:rsidR="00A66191" w:rsidRPr="004D6466" w:rsidRDefault="00A66191" w:rsidP="00A66191">
      <w:pPr>
        <w:autoSpaceDE w:val="0"/>
        <w:autoSpaceDN w:val="0"/>
        <w:adjustRightInd w:val="0"/>
        <w:spacing w:after="0" w:line="240" w:lineRule="auto"/>
        <w:rPr>
          <w:rFonts w:ascii="Arial" w:hAnsi="Arial" w:cs="Arial"/>
          <w:b/>
          <w:sz w:val="24"/>
          <w:szCs w:val="24"/>
          <w:lang w:val="es-EC"/>
        </w:rPr>
      </w:pPr>
    </w:p>
    <w:p w:rsidR="00A66191" w:rsidRPr="004D6466" w:rsidRDefault="00A66191" w:rsidP="00A66191">
      <w:pPr>
        <w:autoSpaceDE w:val="0"/>
        <w:autoSpaceDN w:val="0"/>
        <w:adjustRightInd w:val="0"/>
        <w:spacing w:after="0" w:line="240" w:lineRule="auto"/>
        <w:rPr>
          <w:rFonts w:ascii="Arial" w:hAnsi="Arial" w:cs="Arial"/>
          <w:b/>
          <w:sz w:val="24"/>
          <w:szCs w:val="24"/>
          <w:lang w:val="es-EC"/>
        </w:rPr>
      </w:pPr>
    </w:p>
    <w:p w:rsidR="00A66191" w:rsidRPr="004D6466" w:rsidRDefault="00A66191" w:rsidP="00A66191">
      <w:pPr>
        <w:autoSpaceDE w:val="0"/>
        <w:autoSpaceDN w:val="0"/>
        <w:adjustRightInd w:val="0"/>
        <w:spacing w:after="0" w:line="240" w:lineRule="auto"/>
        <w:rPr>
          <w:rFonts w:ascii="Arial" w:hAnsi="Arial" w:cs="Arial"/>
          <w:b/>
          <w:sz w:val="24"/>
          <w:szCs w:val="24"/>
          <w:lang w:val="es-EC"/>
        </w:rPr>
      </w:pPr>
    </w:p>
    <w:p w:rsidR="00A66191" w:rsidRPr="004D6466" w:rsidRDefault="00A66191" w:rsidP="00A66191">
      <w:pPr>
        <w:autoSpaceDE w:val="0"/>
        <w:autoSpaceDN w:val="0"/>
        <w:adjustRightInd w:val="0"/>
        <w:spacing w:after="0" w:line="240" w:lineRule="auto"/>
        <w:rPr>
          <w:rFonts w:ascii="Arial" w:hAnsi="Arial" w:cs="Arial"/>
          <w:b/>
          <w:sz w:val="24"/>
          <w:szCs w:val="24"/>
          <w:lang w:val="es-EC"/>
        </w:rPr>
      </w:pPr>
    </w:p>
    <w:p w:rsidR="00A66191" w:rsidRPr="004D6466" w:rsidRDefault="00A66191" w:rsidP="00A66191">
      <w:pPr>
        <w:autoSpaceDE w:val="0"/>
        <w:autoSpaceDN w:val="0"/>
        <w:adjustRightInd w:val="0"/>
        <w:spacing w:after="0" w:line="240" w:lineRule="auto"/>
        <w:rPr>
          <w:rFonts w:ascii="Arial" w:hAnsi="Arial" w:cs="Arial"/>
          <w:b/>
          <w:sz w:val="24"/>
          <w:szCs w:val="24"/>
          <w:lang w:val="es-EC"/>
        </w:rPr>
      </w:pPr>
    </w:p>
    <w:p w:rsidR="00A66191" w:rsidRPr="004D6466" w:rsidRDefault="00A66191" w:rsidP="00A66191">
      <w:pPr>
        <w:autoSpaceDE w:val="0"/>
        <w:autoSpaceDN w:val="0"/>
        <w:adjustRightInd w:val="0"/>
        <w:spacing w:after="0" w:line="240" w:lineRule="auto"/>
        <w:rPr>
          <w:rFonts w:ascii="Arial" w:hAnsi="Arial" w:cs="Arial"/>
          <w:b/>
          <w:sz w:val="24"/>
          <w:szCs w:val="24"/>
          <w:lang w:val="es-EC"/>
        </w:rPr>
      </w:pPr>
    </w:p>
    <w:p w:rsidR="00A66191" w:rsidRPr="004D6466" w:rsidRDefault="00A66191" w:rsidP="00A66191">
      <w:pPr>
        <w:autoSpaceDE w:val="0"/>
        <w:autoSpaceDN w:val="0"/>
        <w:adjustRightInd w:val="0"/>
        <w:spacing w:after="0" w:line="240" w:lineRule="auto"/>
        <w:rPr>
          <w:rFonts w:ascii="Arial" w:hAnsi="Arial" w:cs="Arial"/>
          <w:b/>
          <w:sz w:val="24"/>
          <w:szCs w:val="24"/>
          <w:lang w:val="es-EC"/>
        </w:rPr>
      </w:pPr>
    </w:p>
    <w:p w:rsidR="00A66191" w:rsidRPr="004D6466" w:rsidRDefault="00A66191" w:rsidP="00A66191">
      <w:pPr>
        <w:autoSpaceDE w:val="0"/>
        <w:autoSpaceDN w:val="0"/>
        <w:adjustRightInd w:val="0"/>
        <w:spacing w:after="0" w:line="240" w:lineRule="auto"/>
        <w:rPr>
          <w:rFonts w:ascii="Arial" w:hAnsi="Arial" w:cs="Arial"/>
          <w:b/>
          <w:sz w:val="24"/>
          <w:szCs w:val="24"/>
          <w:lang w:val="es-EC"/>
        </w:rPr>
      </w:pPr>
    </w:p>
    <w:p w:rsidR="00A66191" w:rsidRPr="004D6466" w:rsidRDefault="00A66191" w:rsidP="00A66191">
      <w:pPr>
        <w:autoSpaceDE w:val="0"/>
        <w:autoSpaceDN w:val="0"/>
        <w:adjustRightInd w:val="0"/>
        <w:spacing w:after="0" w:line="240" w:lineRule="auto"/>
        <w:rPr>
          <w:rFonts w:ascii="Arial" w:hAnsi="Arial" w:cs="Arial"/>
          <w:b/>
          <w:sz w:val="24"/>
          <w:szCs w:val="24"/>
          <w:lang w:val="es-EC"/>
        </w:rPr>
      </w:pPr>
    </w:p>
    <w:p w:rsidR="00A66191" w:rsidRPr="004D6466" w:rsidRDefault="00A66191" w:rsidP="00A66191">
      <w:pPr>
        <w:autoSpaceDE w:val="0"/>
        <w:autoSpaceDN w:val="0"/>
        <w:adjustRightInd w:val="0"/>
        <w:spacing w:after="0" w:line="240" w:lineRule="auto"/>
        <w:rPr>
          <w:rFonts w:ascii="Arial" w:hAnsi="Arial" w:cs="Arial"/>
          <w:b/>
          <w:sz w:val="24"/>
          <w:szCs w:val="24"/>
          <w:lang w:val="es-EC"/>
        </w:rPr>
      </w:pPr>
    </w:p>
    <w:p w:rsidR="00A66191" w:rsidRPr="004D6466" w:rsidRDefault="00A66191" w:rsidP="00A66191">
      <w:pPr>
        <w:autoSpaceDE w:val="0"/>
        <w:autoSpaceDN w:val="0"/>
        <w:adjustRightInd w:val="0"/>
        <w:spacing w:after="0" w:line="240" w:lineRule="auto"/>
        <w:rPr>
          <w:rFonts w:ascii="Arial" w:hAnsi="Arial" w:cs="Arial"/>
          <w:b/>
          <w:sz w:val="24"/>
          <w:szCs w:val="24"/>
          <w:lang w:val="es-EC"/>
        </w:rPr>
      </w:pPr>
    </w:p>
    <w:p w:rsidR="00A66191" w:rsidRPr="004D6466" w:rsidRDefault="00A66191" w:rsidP="00A66191">
      <w:pPr>
        <w:autoSpaceDE w:val="0"/>
        <w:autoSpaceDN w:val="0"/>
        <w:adjustRightInd w:val="0"/>
        <w:spacing w:after="0" w:line="240" w:lineRule="auto"/>
        <w:rPr>
          <w:rFonts w:ascii="Arial" w:hAnsi="Arial" w:cs="Arial"/>
          <w:b/>
          <w:sz w:val="24"/>
          <w:szCs w:val="24"/>
          <w:lang w:val="es-EC"/>
        </w:rPr>
      </w:pPr>
    </w:p>
    <w:p w:rsidR="00A66191" w:rsidRPr="004D6466" w:rsidRDefault="00A66191" w:rsidP="00A66191">
      <w:pPr>
        <w:autoSpaceDE w:val="0"/>
        <w:autoSpaceDN w:val="0"/>
        <w:adjustRightInd w:val="0"/>
        <w:spacing w:after="0" w:line="240" w:lineRule="auto"/>
        <w:rPr>
          <w:rFonts w:ascii="Arial" w:hAnsi="Arial" w:cs="Arial"/>
          <w:b/>
          <w:sz w:val="24"/>
          <w:szCs w:val="24"/>
          <w:lang w:val="es-EC"/>
        </w:rPr>
      </w:pPr>
    </w:p>
    <w:p w:rsidR="00A66191" w:rsidRPr="004D6466" w:rsidRDefault="00A66191" w:rsidP="00A66191">
      <w:pPr>
        <w:autoSpaceDE w:val="0"/>
        <w:autoSpaceDN w:val="0"/>
        <w:adjustRightInd w:val="0"/>
        <w:spacing w:after="0" w:line="240" w:lineRule="auto"/>
        <w:rPr>
          <w:rFonts w:ascii="Arial" w:hAnsi="Arial" w:cs="Arial"/>
          <w:b/>
          <w:sz w:val="24"/>
          <w:szCs w:val="24"/>
          <w:lang w:val="es-EC"/>
        </w:rPr>
      </w:pPr>
    </w:p>
    <w:p w:rsidR="00A66191" w:rsidRPr="004D6466" w:rsidRDefault="00A66191" w:rsidP="00A66191">
      <w:pPr>
        <w:autoSpaceDE w:val="0"/>
        <w:autoSpaceDN w:val="0"/>
        <w:adjustRightInd w:val="0"/>
        <w:spacing w:after="0" w:line="240" w:lineRule="auto"/>
        <w:rPr>
          <w:rFonts w:ascii="Arial" w:hAnsi="Arial" w:cs="Arial"/>
          <w:b/>
          <w:sz w:val="24"/>
          <w:szCs w:val="24"/>
          <w:lang w:val="es-EC"/>
        </w:rPr>
      </w:pPr>
    </w:p>
    <w:p w:rsidR="00A66191" w:rsidRPr="004D6466" w:rsidRDefault="00A66191" w:rsidP="00A66191">
      <w:pPr>
        <w:autoSpaceDE w:val="0"/>
        <w:autoSpaceDN w:val="0"/>
        <w:adjustRightInd w:val="0"/>
        <w:spacing w:after="0" w:line="240" w:lineRule="auto"/>
        <w:rPr>
          <w:rFonts w:ascii="Arial" w:hAnsi="Arial" w:cs="Arial"/>
          <w:b/>
          <w:sz w:val="24"/>
          <w:szCs w:val="24"/>
          <w:lang w:val="es-EC"/>
        </w:rPr>
      </w:pPr>
    </w:p>
    <w:p w:rsidR="00A66191" w:rsidRPr="004D6466" w:rsidRDefault="00A66191" w:rsidP="00A66191">
      <w:pPr>
        <w:autoSpaceDE w:val="0"/>
        <w:autoSpaceDN w:val="0"/>
        <w:adjustRightInd w:val="0"/>
        <w:spacing w:after="0" w:line="240" w:lineRule="auto"/>
        <w:rPr>
          <w:rFonts w:ascii="Arial" w:hAnsi="Arial" w:cs="Arial"/>
          <w:b/>
          <w:sz w:val="24"/>
          <w:szCs w:val="24"/>
          <w:lang w:val="es-EC"/>
        </w:rPr>
      </w:pPr>
    </w:p>
    <w:p w:rsidR="00A66191" w:rsidRPr="004D6466" w:rsidRDefault="00A66191" w:rsidP="00A66191">
      <w:pPr>
        <w:autoSpaceDE w:val="0"/>
        <w:autoSpaceDN w:val="0"/>
        <w:adjustRightInd w:val="0"/>
        <w:spacing w:after="0" w:line="240" w:lineRule="auto"/>
        <w:rPr>
          <w:rFonts w:ascii="Arial" w:hAnsi="Arial" w:cs="Arial"/>
          <w:b/>
          <w:sz w:val="24"/>
          <w:szCs w:val="24"/>
          <w:lang w:val="es-EC"/>
        </w:rPr>
      </w:pPr>
    </w:p>
    <w:p w:rsidR="00A66191" w:rsidRPr="004D6466" w:rsidRDefault="00A66191" w:rsidP="00A66191">
      <w:pPr>
        <w:autoSpaceDE w:val="0"/>
        <w:autoSpaceDN w:val="0"/>
        <w:adjustRightInd w:val="0"/>
        <w:spacing w:after="0" w:line="240" w:lineRule="auto"/>
        <w:rPr>
          <w:rFonts w:ascii="Arial" w:hAnsi="Arial" w:cs="Arial"/>
          <w:b/>
          <w:sz w:val="24"/>
          <w:szCs w:val="24"/>
          <w:lang w:val="es-EC"/>
        </w:rPr>
      </w:pPr>
    </w:p>
    <w:p w:rsidR="00A66191" w:rsidRPr="004D6466" w:rsidRDefault="00A66191" w:rsidP="00A66191">
      <w:pPr>
        <w:autoSpaceDE w:val="0"/>
        <w:autoSpaceDN w:val="0"/>
        <w:adjustRightInd w:val="0"/>
        <w:spacing w:after="0" w:line="240" w:lineRule="auto"/>
        <w:rPr>
          <w:rFonts w:ascii="Arial" w:hAnsi="Arial" w:cs="Arial"/>
          <w:b/>
          <w:sz w:val="24"/>
          <w:szCs w:val="24"/>
          <w:lang w:val="es-EC"/>
        </w:rPr>
      </w:pPr>
    </w:p>
    <w:p w:rsidR="00A66191" w:rsidRPr="004D6466" w:rsidRDefault="00A66191" w:rsidP="00A66191">
      <w:pPr>
        <w:autoSpaceDE w:val="0"/>
        <w:autoSpaceDN w:val="0"/>
        <w:adjustRightInd w:val="0"/>
        <w:spacing w:after="0" w:line="240" w:lineRule="auto"/>
        <w:rPr>
          <w:rFonts w:ascii="Arial" w:hAnsi="Arial" w:cs="Arial"/>
          <w:b/>
          <w:sz w:val="24"/>
          <w:szCs w:val="24"/>
          <w:lang w:val="es-EC"/>
        </w:rPr>
      </w:pPr>
    </w:p>
    <w:p w:rsidR="00A66191" w:rsidRPr="004D6466" w:rsidRDefault="00A66191" w:rsidP="00A66191">
      <w:pPr>
        <w:autoSpaceDE w:val="0"/>
        <w:autoSpaceDN w:val="0"/>
        <w:adjustRightInd w:val="0"/>
        <w:spacing w:after="0" w:line="240" w:lineRule="auto"/>
        <w:rPr>
          <w:rFonts w:ascii="Arial" w:hAnsi="Arial" w:cs="Arial"/>
          <w:b/>
          <w:sz w:val="24"/>
          <w:szCs w:val="24"/>
          <w:lang w:val="es-EC"/>
        </w:rPr>
      </w:pPr>
    </w:p>
    <w:p w:rsidR="00A66191" w:rsidRPr="004D6466" w:rsidRDefault="00A66191" w:rsidP="00A66191">
      <w:pPr>
        <w:autoSpaceDE w:val="0"/>
        <w:autoSpaceDN w:val="0"/>
        <w:adjustRightInd w:val="0"/>
        <w:spacing w:after="0" w:line="240" w:lineRule="auto"/>
        <w:rPr>
          <w:rFonts w:ascii="Arial" w:hAnsi="Arial" w:cs="Arial"/>
          <w:b/>
          <w:sz w:val="24"/>
          <w:szCs w:val="24"/>
          <w:lang w:val="es-EC"/>
        </w:rPr>
      </w:pPr>
    </w:p>
    <w:p w:rsidR="00A66191" w:rsidRPr="004D6466" w:rsidRDefault="00A66191" w:rsidP="00A66191">
      <w:pPr>
        <w:autoSpaceDE w:val="0"/>
        <w:autoSpaceDN w:val="0"/>
        <w:adjustRightInd w:val="0"/>
        <w:spacing w:after="0" w:line="240" w:lineRule="auto"/>
        <w:rPr>
          <w:rFonts w:ascii="Arial" w:hAnsi="Arial" w:cs="Arial"/>
          <w:b/>
          <w:sz w:val="24"/>
          <w:szCs w:val="24"/>
          <w:lang w:val="es-EC"/>
        </w:rPr>
      </w:pPr>
    </w:p>
    <w:p w:rsidR="00A66191" w:rsidRPr="004D6466" w:rsidRDefault="00A66191" w:rsidP="00A66191">
      <w:pPr>
        <w:autoSpaceDE w:val="0"/>
        <w:autoSpaceDN w:val="0"/>
        <w:adjustRightInd w:val="0"/>
        <w:spacing w:after="0" w:line="240" w:lineRule="auto"/>
        <w:rPr>
          <w:rFonts w:ascii="Arial" w:hAnsi="Arial" w:cs="Arial"/>
          <w:b/>
          <w:sz w:val="24"/>
          <w:szCs w:val="24"/>
          <w:lang w:val="es-EC"/>
        </w:rPr>
      </w:pPr>
    </w:p>
    <w:p w:rsidR="00A66191" w:rsidRPr="004D6466" w:rsidRDefault="00A66191" w:rsidP="00A66191">
      <w:pPr>
        <w:autoSpaceDE w:val="0"/>
        <w:autoSpaceDN w:val="0"/>
        <w:adjustRightInd w:val="0"/>
        <w:spacing w:after="0" w:line="240" w:lineRule="auto"/>
        <w:rPr>
          <w:rFonts w:ascii="Arial" w:hAnsi="Arial" w:cs="Arial"/>
          <w:b/>
          <w:sz w:val="24"/>
          <w:szCs w:val="24"/>
          <w:lang w:val="es-EC"/>
        </w:rPr>
      </w:pPr>
    </w:p>
    <w:p w:rsidR="00A66191" w:rsidRPr="004D6466" w:rsidRDefault="00A66191" w:rsidP="00A66191">
      <w:pPr>
        <w:autoSpaceDE w:val="0"/>
        <w:autoSpaceDN w:val="0"/>
        <w:adjustRightInd w:val="0"/>
        <w:spacing w:after="0" w:line="240" w:lineRule="auto"/>
        <w:rPr>
          <w:rFonts w:ascii="Arial" w:hAnsi="Arial" w:cs="Arial"/>
          <w:b/>
          <w:sz w:val="24"/>
          <w:szCs w:val="24"/>
          <w:lang w:val="es-EC"/>
        </w:rPr>
      </w:pPr>
    </w:p>
    <w:p w:rsidR="00A66191" w:rsidRPr="004D6466" w:rsidRDefault="00A66191" w:rsidP="00A66191">
      <w:pPr>
        <w:autoSpaceDE w:val="0"/>
        <w:autoSpaceDN w:val="0"/>
        <w:adjustRightInd w:val="0"/>
        <w:spacing w:after="0" w:line="240" w:lineRule="auto"/>
        <w:rPr>
          <w:rFonts w:ascii="Arial" w:hAnsi="Arial" w:cs="Arial"/>
          <w:b/>
          <w:sz w:val="24"/>
          <w:szCs w:val="24"/>
          <w:lang w:val="es-EC"/>
        </w:rPr>
      </w:pPr>
    </w:p>
    <w:p w:rsidR="00A66191" w:rsidRPr="004D6466" w:rsidRDefault="00A66191" w:rsidP="00A66191">
      <w:pPr>
        <w:autoSpaceDE w:val="0"/>
        <w:autoSpaceDN w:val="0"/>
        <w:adjustRightInd w:val="0"/>
        <w:spacing w:after="0" w:line="240" w:lineRule="auto"/>
        <w:rPr>
          <w:rFonts w:ascii="Arial" w:hAnsi="Arial" w:cs="Arial"/>
          <w:b/>
          <w:sz w:val="24"/>
          <w:szCs w:val="24"/>
          <w:lang w:val="es-EC"/>
        </w:rPr>
      </w:pPr>
      <w:r w:rsidRPr="004D6466">
        <w:rPr>
          <w:rFonts w:ascii="Arial" w:hAnsi="Arial" w:cs="Arial"/>
          <w:b/>
          <w:sz w:val="24"/>
          <w:szCs w:val="24"/>
          <w:lang w:val="es-EC"/>
        </w:rPr>
        <w:lastRenderedPageBreak/>
        <w:t xml:space="preserve">Anexo 4 </w:t>
      </w:r>
    </w:p>
    <w:p w:rsidR="00A66191" w:rsidRPr="004D6466" w:rsidRDefault="00A66191" w:rsidP="00A66191">
      <w:pPr>
        <w:autoSpaceDE w:val="0"/>
        <w:autoSpaceDN w:val="0"/>
        <w:adjustRightInd w:val="0"/>
        <w:spacing w:after="0" w:line="240" w:lineRule="auto"/>
        <w:rPr>
          <w:rFonts w:ascii="Arial" w:hAnsi="Arial" w:cs="Arial"/>
          <w:b/>
          <w:sz w:val="24"/>
          <w:szCs w:val="24"/>
          <w:lang w:val="es-EC"/>
        </w:rPr>
      </w:pPr>
    </w:p>
    <w:p w:rsidR="00A66191" w:rsidRPr="004D6466" w:rsidRDefault="00A66191" w:rsidP="00A66191">
      <w:pPr>
        <w:autoSpaceDE w:val="0"/>
        <w:autoSpaceDN w:val="0"/>
        <w:adjustRightInd w:val="0"/>
        <w:spacing w:after="0" w:line="240" w:lineRule="auto"/>
        <w:rPr>
          <w:rFonts w:ascii="Arial" w:hAnsi="Arial" w:cs="Arial"/>
          <w:b/>
          <w:sz w:val="24"/>
          <w:szCs w:val="24"/>
          <w:lang w:val="es-EC"/>
        </w:rPr>
      </w:pPr>
    </w:p>
    <w:p w:rsidR="00A66191" w:rsidRPr="004D6466" w:rsidRDefault="00A66191" w:rsidP="00A66191">
      <w:pPr>
        <w:autoSpaceDE w:val="0"/>
        <w:autoSpaceDN w:val="0"/>
        <w:adjustRightInd w:val="0"/>
        <w:spacing w:after="0" w:line="240" w:lineRule="auto"/>
        <w:rPr>
          <w:rFonts w:ascii="Arial" w:hAnsi="Arial" w:cs="Arial"/>
          <w:b/>
          <w:sz w:val="24"/>
          <w:szCs w:val="24"/>
          <w:lang w:val="es-EC"/>
        </w:rPr>
      </w:pPr>
    </w:p>
    <w:p w:rsidR="00A66191" w:rsidRPr="004D6466" w:rsidRDefault="00A66191" w:rsidP="00A66191">
      <w:pPr>
        <w:autoSpaceDE w:val="0"/>
        <w:autoSpaceDN w:val="0"/>
        <w:adjustRightInd w:val="0"/>
        <w:spacing w:after="0" w:line="240" w:lineRule="auto"/>
        <w:rPr>
          <w:rFonts w:ascii="Arial" w:hAnsi="Arial" w:cs="Arial"/>
          <w:b/>
          <w:sz w:val="24"/>
          <w:szCs w:val="24"/>
          <w:lang w:val="es-EC"/>
        </w:rPr>
      </w:pPr>
    </w:p>
    <w:p w:rsidR="00A66191" w:rsidRPr="004D6466" w:rsidRDefault="00A66191" w:rsidP="00A66191">
      <w:pPr>
        <w:autoSpaceDE w:val="0"/>
        <w:autoSpaceDN w:val="0"/>
        <w:adjustRightInd w:val="0"/>
        <w:spacing w:after="0" w:line="240" w:lineRule="auto"/>
        <w:rPr>
          <w:rFonts w:ascii="Arial" w:hAnsi="Arial" w:cs="Arial"/>
          <w:b/>
          <w:sz w:val="24"/>
          <w:szCs w:val="24"/>
          <w:lang w:val="es-EC"/>
        </w:rPr>
      </w:pPr>
    </w:p>
    <w:p w:rsidR="00A66191" w:rsidRPr="004D6466" w:rsidRDefault="00A66191" w:rsidP="00A66191">
      <w:pPr>
        <w:autoSpaceDE w:val="0"/>
        <w:autoSpaceDN w:val="0"/>
        <w:adjustRightInd w:val="0"/>
        <w:spacing w:after="0" w:line="240" w:lineRule="auto"/>
        <w:rPr>
          <w:rFonts w:ascii="Arial" w:hAnsi="Arial" w:cs="Arial"/>
          <w:b/>
          <w:sz w:val="24"/>
          <w:szCs w:val="24"/>
          <w:lang w:val="es-EC"/>
        </w:rPr>
      </w:pPr>
    </w:p>
    <w:p w:rsidR="00A66191" w:rsidRPr="004D6466" w:rsidRDefault="00A66191" w:rsidP="00A66191">
      <w:pPr>
        <w:autoSpaceDE w:val="0"/>
        <w:autoSpaceDN w:val="0"/>
        <w:adjustRightInd w:val="0"/>
        <w:spacing w:after="0" w:line="240" w:lineRule="auto"/>
        <w:rPr>
          <w:rFonts w:ascii="Arial" w:hAnsi="Arial" w:cs="Arial"/>
          <w:b/>
          <w:sz w:val="24"/>
          <w:szCs w:val="24"/>
          <w:lang w:val="es-EC"/>
        </w:rPr>
      </w:pPr>
    </w:p>
    <w:p w:rsidR="00A66191" w:rsidRPr="004D6466" w:rsidRDefault="00A66191" w:rsidP="00A66191">
      <w:pPr>
        <w:rPr>
          <w:rFonts w:ascii="Arial" w:hAnsi="Arial" w:cs="Arial"/>
          <w:sz w:val="16"/>
          <w:szCs w:val="16"/>
        </w:rPr>
      </w:pPr>
    </w:p>
    <w:p w:rsidR="00FC505C" w:rsidRPr="004D6466" w:rsidRDefault="00FC505C"/>
    <w:sectPr w:rsidR="00FC505C" w:rsidRPr="004D6466" w:rsidSect="003E4A55">
      <w:pgSz w:w="11906" w:h="16838"/>
      <w:pgMar w:top="1417" w:right="1701" w:bottom="1417" w:left="1701" w:header="708" w:footer="708" w:gutter="0"/>
      <w:pgNumType w:start="2"/>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912113" w:rsidRDefault="00912113" w:rsidP="00A66191">
      <w:pPr>
        <w:spacing w:after="0" w:line="240" w:lineRule="auto"/>
      </w:pPr>
      <w:r>
        <w:separator/>
      </w:r>
    </w:p>
  </w:endnote>
  <w:endnote w:type="continuationSeparator" w:id="1">
    <w:p w:rsidR="00912113" w:rsidRDefault="00912113" w:rsidP="00A66191">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A00002EF" w:usb1="4000004B" w:usb2="00000000" w:usb3="00000000" w:csb0="0000019F" w:csb1="00000000"/>
  </w:font>
  <w:font w:name="Tahoma">
    <w:panose1 w:val="020B0604030504040204"/>
    <w:charset w:val="00"/>
    <w:family w:val="swiss"/>
    <w:pitch w:val="variable"/>
    <w:sig w:usb0="E1002EFF" w:usb1="C000605B" w:usb2="00000029" w:usb3="00000000" w:csb0="000101FF" w:csb1="00000000"/>
  </w:font>
  <w:font w:name="AGaramond">
    <w:altName w:val="AGaramond"/>
    <w:panose1 w:val="00000000000000000000"/>
    <w:charset w:val="00"/>
    <w:family w:val="roman"/>
    <w:notTrueType/>
    <w:pitch w:val="default"/>
    <w:sig w:usb0="00000003" w:usb1="00000000" w:usb2="00000000" w:usb3="00000000" w:csb0="00000001" w:csb1="00000000"/>
  </w:font>
  <w:font w:name="ArialMT">
    <w:altName w:val="MS Mincho"/>
    <w:panose1 w:val="00000000000000000000"/>
    <w:charset w:val="80"/>
    <w:family w:val="auto"/>
    <w:notTrueType/>
    <w:pitch w:val="default"/>
    <w:sig w:usb0="00000003" w:usb1="08070000" w:usb2="00000010" w:usb3="00000000" w:csb0="00020001" w:csb1="00000000"/>
  </w:font>
  <w:font w:name="Times-Bold">
    <w:panose1 w:val="00000000000000000000"/>
    <w:charset w:val="00"/>
    <w:family w:val="auto"/>
    <w:notTrueType/>
    <w:pitch w:val="default"/>
    <w:sig w:usb0="00000003" w:usb1="00000000" w:usb2="00000000" w:usb3="00000000" w:csb0="00000001" w:csb1="00000000"/>
  </w:font>
  <w:font w:name="Trebuchet MS">
    <w:panose1 w:val="020B0603020202020204"/>
    <w:charset w:val="00"/>
    <w:family w:val="swiss"/>
    <w:pitch w:val="variable"/>
    <w:sig w:usb0="00000287" w:usb1="00000000" w:usb2="00000000" w:usb3="00000000" w:csb0="0000009F" w:csb1="00000000"/>
  </w:font>
  <w:font w:name="MyriadPro-LightCond">
    <w:panose1 w:val="00000000000000000000"/>
    <w:charset w:val="00"/>
    <w:family w:val="swiss"/>
    <w:notTrueType/>
    <w:pitch w:val="default"/>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12113" w:rsidRDefault="00912113">
    <w:pPr>
      <w:pStyle w:val="Piedepgina"/>
      <w:jc w:val="right"/>
    </w:pPr>
  </w:p>
  <w:p w:rsidR="00912113" w:rsidRDefault="00912113" w:rsidP="004D6466">
    <w:pPr>
      <w:pStyle w:val="Piedepgina"/>
      <w:jc w:val="right"/>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969774410"/>
      <w:docPartObj>
        <w:docPartGallery w:val="Page Numbers (Bottom of Page)"/>
        <w:docPartUnique/>
      </w:docPartObj>
    </w:sdtPr>
    <w:sdtContent>
      <w:p w:rsidR="00912113" w:rsidRDefault="00912113">
        <w:pPr>
          <w:pStyle w:val="Piedepgina"/>
          <w:jc w:val="right"/>
        </w:pPr>
        <w:fldSimple w:instr="PAGE   \* MERGEFORMAT">
          <w:r w:rsidR="007A3445">
            <w:rPr>
              <w:noProof/>
            </w:rPr>
            <w:t>71</w:t>
          </w:r>
        </w:fldSimple>
      </w:p>
    </w:sdtContent>
  </w:sdt>
  <w:p w:rsidR="00912113" w:rsidRDefault="00912113" w:rsidP="004D6466">
    <w:pPr>
      <w:pStyle w:val="Piedepgina"/>
      <w:jc w:val="right"/>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912113" w:rsidRDefault="00912113" w:rsidP="00A66191">
      <w:pPr>
        <w:spacing w:after="0" w:line="240" w:lineRule="auto"/>
      </w:pPr>
      <w:r>
        <w:separator/>
      </w:r>
    </w:p>
  </w:footnote>
  <w:footnote w:type="continuationSeparator" w:id="1">
    <w:p w:rsidR="00912113" w:rsidRDefault="00912113" w:rsidP="00A66191">
      <w:pPr>
        <w:spacing w:after="0" w:line="240" w:lineRule="auto"/>
      </w:pPr>
      <w:r>
        <w:continuationSeparator/>
      </w:r>
    </w:p>
  </w:footnote>
  <w:footnote w:id="2">
    <w:p w:rsidR="00912113" w:rsidRPr="00C64E81" w:rsidRDefault="00912113" w:rsidP="00A66191">
      <w:pPr>
        <w:pStyle w:val="Textonotapie"/>
        <w:rPr>
          <w:rFonts w:ascii="Arial" w:hAnsi="Arial" w:cs="Arial"/>
          <w:sz w:val="16"/>
          <w:szCs w:val="16"/>
        </w:rPr>
      </w:pPr>
      <w:r w:rsidRPr="00C64E81">
        <w:rPr>
          <w:rStyle w:val="Refdenotaalpie"/>
          <w:rFonts w:ascii="Arial" w:hAnsi="Arial" w:cs="Arial"/>
          <w:sz w:val="16"/>
          <w:szCs w:val="16"/>
        </w:rPr>
        <w:footnoteRef/>
      </w:r>
      <w:r w:rsidRPr="00C64E81">
        <w:rPr>
          <w:rFonts w:ascii="Arial" w:hAnsi="Arial" w:cs="Arial"/>
          <w:sz w:val="16"/>
          <w:szCs w:val="16"/>
          <w:lang w:val="es-EC"/>
        </w:rPr>
        <w:t>Instituto Brasile</w:t>
      </w:r>
      <w:r>
        <w:rPr>
          <w:rFonts w:ascii="Arial" w:hAnsi="Arial" w:cs="Arial"/>
          <w:sz w:val="16"/>
          <w:szCs w:val="16"/>
          <w:lang w:val="es-EC"/>
        </w:rPr>
        <w:t xml:space="preserve">ño de Geografía y Estadísticas, </w:t>
      </w:r>
      <w:r w:rsidRPr="00C81F87">
        <w:rPr>
          <w:rFonts w:ascii="Arial" w:hAnsi="Arial" w:cs="Arial"/>
          <w:sz w:val="16"/>
          <w:szCs w:val="16"/>
          <w:lang w:val="es-EC"/>
        </w:rPr>
        <w:t>http://www.ibge.gov.br/espanhol</w:t>
      </w:r>
      <w:r>
        <w:rPr>
          <w:rFonts w:ascii="Arial" w:hAnsi="Arial" w:cs="Arial"/>
          <w:sz w:val="16"/>
          <w:szCs w:val="16"/>
          <w:lang w:val="es-EC"/>
        </w:rPr>
        <w:t>, página visitada el 20 de abril del 2012.</w:t>
      </w:r>
    </w:p>
  </w:footnote>
  <w:footnote w:id="3">
    <w:p w:rsidR="00912113" w:rsidRDefault="00912113" w:rsidP="00A66191">
      <w:pPr>
        <w:pStyle w:val="Textonotapie"/>
        <w:rPr>
          <w:rFonts w:ascii="Arial" w:hAnsi="Arial" w:cs="Arial"/>
          <w:sz w:val="16"/>
          <w:szCs w:val="16"/>
          <w:lang w:val="es-EC"/>
        </w:rPr>
      </w:pPr>
      <w:r w:rsidRPr="00C64E81">
        <w:rPr>
          <w:rStyle w:val="Refdenotaalpie"/>
          <w:rFonts w:ascii="Arial" w:hAnsi="Arial" w:cs="Arial"/>
          <w:sz w:val="16"/>
          <w:szCs w:val="16"/>
        </w:rPr>
        <w:footnoteRef/>
      </w:r>
      <w:r w:rsidRPr="00C64E81">
        <w:rPr>
          <w:rFonts w:ascii="Arial" w:hAnsi="Arial" w:cs="Arial"/>
          <w:sz w:val="16"/>
          <w:szCs w:val="16"/>
          <w:lang w:val="es-EC"/>
        </w:rPr>
        <w:t xml:space="preserve">Instituto Nacional de Estadísticas y Censos INEC, </w:t>
      </w:r>
      <w:r w:rsidRPr="00BD6040">
        <w:rPr>
          <w:rFonts w:ascii="Arial" w:hAnsi="Arial" w:cs="Arial"/>
          <w:sz w:val="16"/>
          <w:szCs w:val="16"/>
          <w:lang w:val="es-EC"/>
        </w:rPr>
        <w:t>http://www.ecuadorencifras.com/cifras-inec/main.html</w:t>
      </w:r>
      <w:r>
        <w:rPr>
          <w:rFonts w:ascii="Arial" w:hAnsi="Arial" w:cs="Arial"/>
          <w:sz w:val="16"/>
          <w:szCs w:val="16"/>
          <w:lang w:val="es-EC"/>
        </w:rPr>
        <w:t>, página visitada el 20 de abril del 2012</w:t>
      </w:r>
    </w:p>
    <w:p w:rsidR="00912113" w:rsidRPr="00C64E81" w:rsidRDefault="00912113" w:rsidP="00A66191">
      <w:pPr>
        <w:pStyle w:val="Textonotapie"/>
        <w:rPr>
          <w:rFonts w:ascii="Arial" w:hAnsi="Arial" w:cs="Arial"/>
          <w:sz w:val="16"/>
          <w:szCs w:val="16"/>
          <w:lang w:val="es-EC"/>
        </w:rPr>
      </w:pPr>
    </w:p>
  </w:footnote>
  <w:footnote w:id="4">
    <w:p w:rsidR="00912113" w:rsidRDefault="00912113" w:rsidP="00A66191">
      <w:pPr>
        <w:pStyle w:val="Textonotapie"/>
      </w:pPr>
      <w:r w:rsidRPr="00C64E81">
        <w:rPr>
          <w:rStyle w:val="Refdenotaalpie"/>
          <w:rFonts w:ascii="Arial" w:hAnsi="Arial" w:cs="Arial"/>
          <w:sz w:val="16"/>
          <w:szCs w:val="16"/>
        </w:rPr>
        <w:footnoteRef/>
      </w:r>
      <w:r w:rsidRPr="002E5E9B">
        <w:rPr>
          <w:rFonts w:ascii="Arial" w:hAnsi="Arial" w:cs="Arial"/>
          <w:sz w:val="16"/>
          <w:szCs w:val="16"/>
        </w:rPr>
        <w:t>http://www.socialdemocracia.org/backup/content/view/755/85/</w:t>
      </w:r>
      <w:r>
        <w:rPr>
          <w:rFonts w:ascii="Arial" w:hAnsi="Arial" w:cs="Arial"/>
          <w:sz w:val="16"/>
          <w:szCs w:val="16"/>
        </w:rPr>
        <w:t>,  pá</w:t>
      </w:r>
      <w:r w:rsidRPr="00C64E81">
        <w:rPr>
          <w:rFonts w:ascii="Arial" w:hAnsi="Arial" w:cs="Arial"/>
          <w:sz w:val="16"/>
          <w:szCs w:val="16"/>
        </w:rPr>
        <w:t>gina visitada el 20 de abril del 2012</w:t>
      </w:r>
    </w:p>
  </w:footnote>
  <w:footnote w:id="5">
    <w:p w:rsidR="00912113" w:rsidRDefault="00912113" w:rsidP="00A66191">
      <w:pPr>
        <w:pStyle w:val="Textonotapie"/>
        <w:rPr>
          <w:rFonts w:ascii="Arial" w:hAnsi="Arial" w:cs="Arial"/>
          <w:sz w:val="16"/>
          <w:szCs w:val="16"/>
        </w:rPr>
      </w:pPr>
      <w:r w:rsidRPr="00C64E81">
        <w:rPr>
          <w:rStyle w:val="Refdenotaalpie"/>
          <w:rFonts w:ascii="Arial" w:hAnsi="Arial" w:cs="Arial"/>
          <w:sz w:val="16"/>
          <w:szCs w:val="16"/>
        </w:rPr>
        <w:footnoteRef/>
      </w:r>
      <w:r w:rsidRPr="00C64E81">
        <w:rPr>
          <w:rFonts w:ascii="Arial" w:hAnsi="Arial" w:cs="Arial"/>
          <w:sz w:val="16"/>
          <w:szCs w:val="16"/>
        </w:rPr>
        <w:t xml:space="preserve"> Caputo Orlando y PizarroRoberto</w:t>
      </w:r>
      <w:r>
        <w:rPr>
          <w:rFonts w:ascii="Arial" w:hAnsi="Arial" w:cs="Arial"/>
          <w:sz w:val="16"/>
          <w:szCs w:val="16"/>
        </w:rPr>
        <w:t>, Desarrollismo y capital extranjero las nuevas formas del imperialismo en Chile, págs. 39-40</w:t>
      </w:r>
    </w:p>
    <w:p w:rsidR="00912113" w:rsidRPr="00C64E81" w:rsidRDefault="00912113" w:rsidP="00A66191">
      <w:pPr>
        <w:pStyle w:val="Textonotapie"/>
        <w:rPr>
          <w:rFonts w:ascii="Arial" w:hAnsi="Arial" w:cs="Arial"/>
          <w:sz w:val="16"/>
          <w:szCs w:val="16"/>
        </w:rPr>
      </w:pPr>
    </w:p>
  </w:footnote>
  <w:footnote w:id="6">
    <w:p w:rsidR="00912113" w:rsidRDefault="00912113" w:rsidP="00A66191">
      <w:pPr>
        <w:pStyle w:val="Textonotapie"/>
      </w:pPr>
      <w:r w:rsidRPr="00C64E81">
        <w:rPr>
          <w:rStyle w:val="Refdenotaalpie"/>
          <w:rFonts w:ascii="Arial" w:hAnsi="Arial" w:cs="Arial"/>
          <w:sz w:val="16"/>
          <w:szCs w:val="16"/>
        </w:rPr>
        <w:footnoteRef/>
      </w:r>
      <w:r w:rsidRPr="00C64E81">
        <w:rPr>
          <w:rFonts w:ascii="Arial" w:hAnsi="Arial" w:cs="Arial"/>
          <w:sz w:val="16"/>
          <w:szCs w:val="16"/>
        </w:rPr>
        <w:t xml:space="preserve"> Ruy Mauro Marini, La Crisis del Desarrollismo, 1994, herramienta en pdf</w:t>
      </w:r>
    </w:p>
  </w:footnote>
  <w:footnote w:id="7">
    <w:p w:rsidR="00912113" w:rsidRPr="00C03871" w:rsidRDefault="00912113" w:rsidP="00A66191">
      <w:pPr>
        <w:rPr>
          <w:rFonts w:ascii="Arial" w:eastAsia="Times New Roman" w:hAnsi="Arial" w:cs="Arial"/>
          <w:sz w:val="16"/>
          <w:szCs w:val="16"/>
        </w:rPr>
      </w:pPr>
      <w:r w:rsidRPr="00C64E81">
        <w:rPr>
          <w:rStyle w:val="Refdenotaalpie"/>
          <w:rFonts w:ascii="Arial" w:hAnsi="Arial" w:cs="Arial"/>
          <w:sz w:val="16"/>
          <w:szCs w:val="16"/>
        </w:rPr>
        <w:footnoteRef/>
      </w:r>
      <w:r w:rsidRPr="00C03871">
        <w:rPr>
          <w:rFonts w:ascii="Arial" w:eastAsia="Times New Roman" w:hAnsi="Arial" w:cs="Arial"/>
          <w:sz w:val="16"/>
          <w:szCs w:val="16"/>
        </w:rPr>
        <w:t>Spicker Paul, Álvarez Leguizamón Sonia y Gordo David; Pobreza: Un Glosario Internacional; teoría de la dependencia, págs. 279-284, herramienta en pdf.</w:t>
      </w:r>
    </w:p>
  </w:footnote>
  <w:footnote w:id="8">
    <w:p w:rsidR="00912113" w:rsidRDefault="00912113" w:rsidP="00A66191">
      <w:pPr>
        <w:pStyle w:val="Textonotapie"/>
        <w:rPr>
          <w:rFonts w:ascii="Arial" w:hAnsi="Arial" w:cs="Arial"/>
          <w:sz w:val="16"/>
          <w:szCs w:val="16"/>
        </w:rPr>
      </w:pPr>
      <w:r>
        <w:rPr>
          <w:rStyle w:val="Refdenotaalpie"/>
        </w:rPr>
        <w:footnoteRef/>
      </w:r>
      <w:r w:rsidRPr="00B25C49">
        <w:rPr>
          <w:rFonts w:ascii="Arial" w:hAnsi="Arial" w:cs="Arial"/>
          <w:sz w:val="16"/>
          <w:szCs w:val="16"/>
        </w:rPr>
        <w:t>http://www.zonaeconomica.com/teoria-dependencia pagina visitada el 24 de abril del 2012</w:t>
      </w:r>
    </w:p>
    <w:p w:rsidR="00912113" w:rsidRPr="00B25C49" w:rsidRDefault="00912113" w:rsidP="00A66191">
      <w:pPr>
        <w:pStyle w:val="Textonotapie"/>
      </w:pPr>
    </w:p>
  </w:footnote>
  <w:footnote w:id="9">
    <w:p w:rsidR="00912113" w:rsidRDefault="00912113" w:rsidP="00A66191">
      <w:pPr>
        <w:pStyle w:val="Textonotapie"/>
      </w:pPr>
      <w:r>
        <w:rPr>
          <w:rStyle w:val="Refdenotaalpie"/>
        </w:rPr>
        <w:footnoteRef/>
      </w:r>
      <w:r>
        <w:t xml:space="preserve"> Ídem </w:t>
      </w:r>
    </w:p>
  </w:footnote>
  <w:footnote w:id="10">
    <w:p w:rsidR="00912113" w:rsidRPr="00B25C49" w:rsidRDefault="00912113" w:rsidP="00A66191">
      <w:pPr>
        <w:pStyle w:val="Textonotapie"/>
      </w:pPr>
      <w:r>
        <w:rPr>
          <w:rStyle w:val="Refdenotaalpie"/>
        </w:rPr>
        <w:footnoteRef/>
      </w:r>
      <w:r w:rsidRPr="00CB2C33">
        <w:rPr>
          <w:rFonts w:ascii="Arial" w:hAnsi="Arial" w:cs="Arial"/>
          <w:bCs/>
          <w:sz w:val="16"/>
          <w:szCs w:val="16"/>
        </w:rPr>
        <w:t>Prebisch Raúl, Teorías neoclásicas del liberalismo económico, Revista de la CEPAL, pp. 171-191, Santiago, abril 1979</w:t>
      </w:r>
    </w:p>
  </w:footnote>
  <w:footnote w:id="11">
    <w:p w:rsidR="00912113" w:rsidRDefault="00912113" w:rsidP="00A66191">
      <w:pPr>
        <w:pStyle w:val="Textonotapie"/>
        <w:rPr>
          <w:rStyle w:val="reference-text"/>
          <w:rFonts w:ascii="Arial" w:hAnsi="Arial" w:cs="Arial"/>
          <w:sz w:val="16"/>
          <w:szCs w:val="16"/>
        </w:rPr>
      </w:pPr>
      <w:r w:rsidRPr="00C64E81">
        <w:rPr>
          <w:rStyle w:val="Refdenotaalpie"/>
          <w:rFonts w:ascii="Arial" w:hAnsi="Arial" w:cs="Arial"/>
          <w:sz w:val="16"/>
          <w:szCs w:val="16"/>
        </w:rPr>
        <w:footnoteRef/>
      </w:r>
      <w:r w:rsidRPr="00C64E81">
        <w:rPr>
          <w:rStyle w:val="reference-text"/>
          <w:rFonts w:ascii="Arial" w:hAnsi="Arial" w:cs="Arial"/>
          <w:sz w:val="16"/>
          <w:szCs w:val="16"/>
        </w:rPr>
        <w:t xml:space="preserve">"Keynesianismo"; </w:t>
      </w:r>
      <w:r w:rsidRPr="00C64E81">
        <w:rPr>
          <w:rStyle w:val="reference-text"/>
          <w:rFonts w:ascii="Arial" w:hAnsi="Arial" w:cs="Arial"/>
          <w:iCs/>
          <w:sz w:val="16"/>
          <w:szCs w:val="16"/>
        </w:rPr>
        <w:t>Economía. Diccionario Enciclopédico</w:t>
      </w:r>
      <w:r w:rsidRPr="00C64E81">
        <w:rPr>
          <w:rStyle w:val="reference-text"/>
          <w:rFonts w:ascii="Arial" w:hAnsi="Arial" w:cs="Arial"/>
          <w:sz w:val="16"/>
          <w:szCs w:val="16"/>
        </w:rPr>
        <w:t xml:space="preserve"> 6:212. Barcelona: Planeta, 1980.</w:t>
      </w:r>
    </w:p>
    <w:p w:rsidR="00912113" w:rsidRPr="00C64E81" w:rsidRDefault="00912113" w:rsidP="00A66191">
      <w:pPr>
        <w:pStyle w:val="Textonotapie"/>
        <w:rPr>
          <w:rFonts w:ascii="Arial" w:hAnsi="Arial" w:cs="Arial"/>
          <w:sz w:val="16"/>
          <w:szCs w:val="16"/>
        </w:rPr>
      </w:pPr>
    </w:p>
  </w:footnote>
  <w:footnote w:id="12">
    <w:p w:rsidR="00912113" w:rsidRPr="00C64E81" w:rsidRDefault="00912113" w:rsidP="00A66191">
      <w:pPr>
        <w:pStyle w:val="Textonotapie"/>
        <w:rPr>
          <w:rFonts w:ascii="Arial" w:hAnsi="Arial" w:cs="Arial"/>
          <w:sz w:val="16"/>
          <w:szCs w:val="16"/>
        </w:rPr>
      </w:pPr>
      <w:r w:rsidRPr="00C64E81">
        <w:rPr>
          <w:rStyle w:val="Refdenotaalpie"/>
          <w:rFonts w:ascii="Arial" w:hAnsi="Arial" w:cs="Arial"/>
          <w:sz w:val="16"/>
          <w:szCs w:val="16"/>
        </w:rPr>
        <w:footnoteRef/>
      </w:r>
      <w:r w:rsidRPr="00C64E81">
        <w:rPr>
          <w:rFonts w:ascii="Arial" w:hAnsi="Arial" w:cs="Arial"/>
          <w:sz w:val="16"/>
          <w:szCs w:val="16"/>
        </w:rPr>
        <w:t xml:space="preserve"> http://www.economia48.com/spa/d/keynesianismo/keynesianismo.htm</w:t>
      </w:r>
      <w:r>
        <w:rPr>
          <w:rFonts w:ascii="Arial" w:hAnsi="Arial" w:cs="Arial"/>
          <w:sz w:val="16"/>
          <w:szCs w:val="16"/>
        </w:rPr>
        <w:t xml:space="preserve">,página </w:t>
      </w:r>
      <w:r w:rsidRPr="00C64E81">
        <w:rPr>
          <w:rFonts w:ascii="Arial" w:hAnsi="Arial" w:cs="Arial"/>
          <w:sz w:val="16"/>
          <w:szCs w:val="16"/>
        </w:rPr>
        <w:t xml:space="preserve">visitada </w:t>
      </w:r>
      <w:r>
        <w:rPr>
          <w:rFonts w:ascii="Arial" w:hAnsi="Arial" w:cs="Arial"/>
          <w:sz w:val="16"/>
          <w:szCs w:val="16"/>
        </w:rPr>
        <w:t xml:space="preserve">el </w:t>
      </w:r>
      <w:r w:rsidRPr="00C64E81">
        <w:rPr>
          <w:rFonts w:ascii="Arial" w:hAnsi="Arial" w:cs="Arial"/>
          <w:sz w:val="16"/>
          <w:szCs w:val="16"/>
        </w:rPr>
        <w:t>21/07/2012</w:t>
      </w:r>
    </w:p>
  </w:footnote>
  <w:footnote w:id="13">
    <w:p w:rsidR="00912113" w:rsidRPr="007D236D" w:rsidRDefault="00912113" w:rsidP="00A66191">
      <w:pPr>
        <w:pStyle w:val="Textonotapie"/>
      </w:pPr>
      <w:r>
        <w:rPr>
          <w:rStyle w:val="Refdenotaalpie"/>
        </w:rPr>
        <w:footnoteRef/>
      </w:r>
      <w:r w:rsidRPr="00CB0AF0">
        <w:rPr>
          <w:rFonts w:ascii="Arial" w:hAnsi="Arial" w:cs="Arial"/>
          <w:sz w:val="16"/>
          <w:szCs w:val="16"/>
        </w:rPr>
        <w:t>Pedro Ibarra, y Koldo Unceta (coords.) Ensayos sobre el desarrollo humano, Icaria, Barcelona, 2001.</w:t>
      </w:r>
    </w:p>
  </w:footnote>
  <w:footnote w:id="14">
    <w:p w:rsidR="00912113" w:rsidRPr="00C64E81" w:rsidRDefault="00912113" w:rsidP="00A66191">
      <w:pPr>
        <w:pStyle w:val="Textonotapie"/>
        <w:rPr>
          <w:rFonts w:ascii="Arial" w:hAnsi="Arial" w:cs="Arial"/>
          <w:sz w:val="16"/>
          <w:szCs w:val="16"/>
        </w:rPr>
      </w:pPr>
      <w:r w:rsidRPr="00C64E81">
        <w:rPr>
          <w:rStyle w:val="Refdenotaalpie"/>
          <w:rFonts w:ascii="Arial" w:hAnsi="Arial" w:cs="Arial"/>
          <w:sz w:val="16"/>
          <w:szCs w:val="16"/>
        </w:rPr>
        <w:footnoteRef/>
      </w:r>
      <w:r w:rsidRPr="00B2254A">
        <w:rPr>
          <w:rFonts w:ascii="Arial" w:hAnsi="Arial" w:cs="Arial"/>
          <w:sz w:val="16"/>
          <w:szCs w:val="16"/>
        </w:rPr>
        <w:t>http://www.finanzzas.com/industrializacion-por-sustitucion-de-importaciones-isi</w:t>
      </w:r>
      <w:r>
        <w:rPr>
          <w:rFonts w:ascii="Arial" w:hAnsi="Arial" w:cs="Arial"/>
          <w:sz w:val="16"/>
          <w:szCs w:val="16"/>
        </w:rPr>
        <w:t>, página</w:t>
      </w:r>
      <w:r w:rsidRPr="00C64E81">
        <w:rPr>
          <w:rFonts w:ascii="Arial" w:hAnsi="Arial" w:cs="Arial"/>
          <w:sz w:val="16"/>
          <w:szCs w:val="16"/>
        </w:rPr>
        <w:t xml:space="preserve"> visitada 21 de julio de 2012</w:t>
      </w:r>
    </w:p>
  </w:footnote>
  <w:footnote w:id="15">
    <w:p w:rsidR="00912113" w:rsidRDefault="00912113" w:rsidP="00A66191">
      <w:pPr>
        <w:pStyle w:val="Textonotapie"/>
        <w:rPr>
          <w:rFonts w:ascii="Arial" w:hAnsi="Arial" w:cs="Arial"/>
          <w:sz w:val="16"/>
          <w:szCs w:val="16"/>
        </w:rPr>
      </w:pPr>
      <w:r>
        <w:rPr>
          <w:rStyle w:val="Refdenotaalpie"/>
          <w:rFonts w:ascii="Arial" w:hAnsi="Arial" w:cs="Arial"/>
          <w:sz w:val="16"/>
          <w:szCs w:val="16"/>
        </w:rPr>
        <w:t>H</w:t>
      </w:r>
      <w:r>
        <w:rPr>
          <w:rFonts w:ascii="Arial" w:hAnsi="Arial" w:cs="Arial"/>
          <w:sz w:val="16"/>
          <w:szCs w:val="16"/>
        </w:rPr>
        <w:t xml:space="preserve"> Hirschman Albert; La Economía Política de la Industrialización a través de la Sustitución de Importaciones en América Latina; Universidad de Harvard, octubre 1968. </w:t>
      </w:r>
    </w:p>
    <w:p w:rsidR="00912113" w:rsidRPr="00FA59BD" w:rsidRDefault="00912113" w:rsidP="00A66191">
      <w:pPr>
        <w:pStyle w:val="Textonotapie"/>
        <w:rPr>
          <w:rFonts w:ascii="Arial" w:hAnsi="Arial" w:cs="Arial"/>
          <w:sz w:val="16"/>
          <w:szCs w:val="16"/>
        </w:rPr>
      </w:pPr>
    </w:p>
  </w:footnote>
  <w:footnote w:id="16">
    <w:p w:rsidR="00912113" w:rsidRPr="00C64E81" w:rsidRDefault="00912113" w:rsidP="00A66191">
      <w:pPr>
        <w:pStyle w:val="Textonotapie"/>
        <w:rPr>
          <w:rFonts w:ascii="Arial" w:hAnsi="Arial" w:cs="Arial"/>
          <w:sz w:val="16"/>
          <w:szCs w:val="16"/>
        </w:rPr>
      </w:pPr>
      <w:r w:rsidRPr="00C64E81">
        <w:rPr>
          <w:rStyle w:val="Refdenotaalpie"/>
          <w:rFonts w:ascii="Arial" w:hAnsi="Arial" w:cs="Arial"/>
          <w:sz w:val="16"/>
          <w:szCs w:val="16"/>
        </w:rPr>
        <w:footnoteRef/>
      </w:r>
      <w:r w:rsidRPr="004D6466">
        <w:rPr>
          <w:rFonts w:ascii="Arial" w:hAnsi="Arial" w:cs="Arial"/>
          <w:sz w:val="16"/>
          <w:szCs w:val="16"/>
        </w:rPr>
        <w:t>http://www.econlink.com.ar/modelo-isi</w:t>
      </w:r>
      <w:r>
        <w:t>,</w:t>
      </w:r>
      <w:r>
        <w:rPr>
          <w:rFonts w:ascii="Arial" w:hAnsi="Arial" w:cs="Arial"/>
          <w:sz w:val="16"/>
          <w:szCs w:val="16"/>
        </w:rPr>
        <w:t xml:space="preserve"> pá</w:t>
      </w:r>
      <w:r w:rsidRPr="00C64E81">
        <w:rPr>
          <w:rFonts w:ascii="Arial" w:hAnsi="Arial" w:cs="Arial"/>
          <w:sz w:val="16"/>
          <w:szCs w:val="16"/>
        </w:rPr>
        <w:t>gina visitada el 9 de abril del 2012</w:t>
      </w:r>
    </w:p>
  </w:footnote>
  <w:footnote w:id="17">
    <w:p w:rsidR="00912113" w:rsidRDefault="00912113" w:rsidP="00A66191">
      <w:pPr>
        <w:autoSpaceDE w:val="0"/>
        <w:autoSpaceDN w:val="0"/>
        <w:adjustRightInd w:val="0"/>
        <w:spacing w:after="0" w:line="240" w:lineRule="auto"/>
        <w:rPr>
          <w:rFonts w:ascii="Arial" w:hAnsi="Arial" w:cs="Arial"/>
          <w:sz w:val="16"/>
          <w:szCs w:val="16"/>
        </w:rPr>
      </w:pPr>
      <w:r w:rsidRPr="00A450EF">
        <w:rPr>
          <w:rStyle w:val="Refdenotaalpie"/>
          <w:rFonts w:ascii="Arial" w:hAnsi="Arial" w:cs="Arial"/>
          <w:sz w:val="16"/>
          <w:szCs w:val="16"/>
        </w:rPr>
        <w:footnoteRef/>
      </w:r>
      <w:r w:rsidRPr="00A450EF">
        <w:rPr>
          <w:rFonts w:ascii="Arial" w:hAnsi="Arial" w:cs="Arial"/>
          <w:sz w:val="16"/>
          <w:szCs w:val="16"/>
        </w:rPr>
        <w:t xml:space="preserve"> Amadeo Eduardo y Caputo Sara; Crisis en el mercado de trabajo y exclusión social; marzo 2000;  herramienta en pdf</w:t>
      </w:r>
      <w:r>
        <w:rPr>
          <w:rFonts w:ascii="Arial" w:hAnsi="Arial" w:cs="Arial"/>
          <w:sz w:val="16"/>
          <w:szCs w:val="16"/>
        </w:rPr>
        <w:t>.</w:t>
      </w:r>
    </w:p>
    <w:p w:rsidR="00912113" w:rsidRPr="00A450EF" w:rsidRDefault="00912113" w:rsidP="00A66191">
      <w:pPr>
        <w:autoSpaceDE w:val="0"/>
        <w:autoSpaceDN w:val="0"/>
        <w:adjustRightInd w:val="0"/>
        <w:spacing w:after="0" w:line="240" w:lineRule="auto"/>
        <w:rPr>
          <w:rFonts w:ascii="Arial" w:hAnsi="Arial" w:cs="Arial"/>
          <w:sz w:val="16"/>
          <w:szCs w:val="16"/>
        </w:rPr>
      </w:pPr>
    </w:p>
  </w:footnote>
  <w:footnote w:id="18">
    <w:p w:rsidR="00912113" w:rsidRPr="00A450EF" w:rsidRDefault="00912113" w:rsidP="00A66191">
      <w:pPr>
        <w:pStyle w:val="Textonotapie"/>
        <w:rPr>
          <w:lang w:val="en-US"/>
        </w:rPr>
      </w:pPr>
      <w:r w:rsidRPr="00A450EF">
        <w:rPr>
          <w:rStyle w:val="Refdenotaalpie"/>
          <w:rFonts w:ascii="Arial" w:hAnsi="Arial" w:cs="Arial"/>
          <w:sz w:val="16"/>
          <w:szCs w:val="16"/>
        </w:rPr>
        <w:footnoteRef/>
      </w:r>
      <w:r w:rsidRPr="00A450EF">
        <w:rPr>
          <w:rStyle w:val="reference-text"/>
          <w:rFonts w:ascii="Arial" w:hAnsi="Arial" w:cs="Arial"/>
          <w:sz w:val="16"/>
          <w:szCs w:val="16"/>
          <w:lang w:val="en-US"/>
        </w:rPr>
        <w:t xml:space="preserve"> Cagan Phillip, </w:t>
      </w:r>
      <w:r w:rsidRPr="00A450EF">
        <w:rPr>
          <w:rStyle w:val="reference-text"/>
          <w:rFonts w:ascii="Arial" w:hAnsi="Arial" w:cs="Arial"/>
          <w:i/>
          <w:iCs/>
          <w:sz w:val="16"/>
          <w:szCs w:val="16"/>
          <w:lang w:val="en-US"/>
        </w:rPr>
        <w:t>The Monetary Dynamics of Hyperinflation</w:t>
      </w:r>
      <w:r w:rsidRPr="00A450EF">
        <w:rPr>
          <w:rStyle w:val="reference-text"/>
          <w:rFonts w:ascii="Arial" w:hAnsi="Arial" w:cs="Arial"/>
          <w:sz w:val="16"/>
          <w:szCs w:val="16"/>
          <w:lang w:val="en-US"/>
        </w:rPr>
        <w:t>, in Milton Friedman (editor), "Studies in the Quantity Theory of Money", Chicago, University of Chicago Press (1956)</w:t>
      </w:r>
    </w:p>
  </w:footnote>
  <w:footnote w:id="19">
    <w:p w:rsidR="00912113" w:rsidRPr="00C64E81" w:rsidRDefault="00912113" w:rsidP="00A66191">
      <w:pPr>
        <w:autoSpaceDE w:val="0"/>
        <w:autoSpaceDN w:val="0"/>
        <w:adjustRightInd w:val="0"/>
        <w:spacing w:after="0" w:line="240" w:lineRule="auto"/>
        <w:rPr>
          <w:rFonts w:ascii="Arial" w:hAnsi="Arial" w:cs="Arial"/>
          <w:bCs/>
          <w:sz w:val="16"/>
          <w:szCs w:val="16"/>
        </w:rPr>
      </w:pPr>
      <w:r w:rsidRPr="00C64E81">
        <w:rPr>
          <w:rStyle w:val="Refdenotaalpie"/>
          <w:rFonts w:ascii="Arial" w:hAnsi="Arial" w:cs="Arial"/>
          <w:sz w:val="16"/>
          <w:szCs w:val="16"/>
        </w:rPr>
        <w:footnoteRef/>
      </w:r>
      <w:r w:rsidRPr="00C64E81">
        <w:rPr>
          <w:rFonts w:ascii="Arial" w:hAnsi="Arial" w:cs="Arial"/>
          <w:bCs/>
          <w:sz w:val="16"/>
          <w:szCs w:val="16"/>
        </w:rPr>
        <w:t>Acerca del Modelo de atención social de los países nórdicos: el ejemplo de Finlandia Katja Repo, pág. 2, párrafo 2</w:t>
      </w:r>
      <w:r>
        <w:rPr>
          <w:rFonts w:ascii="Arial" w:hAnsi="Arial" w:cs="Arial"/>
          <w:bCs/>
          <w:sz w:val="16"/>
          <w:szCs w:val="16"/>
        </w:rPr>
        <w:t>.</w:t>
      </w:r>
    </w:p>
    <w:p w:rsidR="00912113" w:rsidRDefault="00912113" w:rsidP="00A66191">
      <w:pPr>
        <w:pStyle w:val="Textonotapie"/>
      </w:pPr>
    </w:p>
  </w:footnote>
  <w:footnote w:id="20">
    <w:p w:rsidR="00912113" w:rsidRDefault="00912113" w:rsidP="00A66191">
      <w:pPr>
        <w:pStyle w:val="Textonotapie"/>
      </w:pPr>
      <w:r>
        <w:rPr>
          <w:rStyle w:val="Refdenotaalpie"/>
        </w:rPr>
        <w:footnoteRef/>
      </w:r>
      <w:r w:rsidRPr="008B0994">
        <w:rPr>
          <w:rFonts w:ascii="Arial" w:hAnsi="Arial" w:cs="Arial"/>
          <w:sz w:val="16"/>
          <w:szCs w:val="16"/>
        </w:rPr>
        <w:t>http://javierdealmagro.blogspot.es/1272247440</w:t>
      </w:r>
      <w:r>
        <w:rPr>
          <w:rFonts w:ascii="Arial" w:hAnsi="Arial" w:cs="Arial"/>
          <w:sz w:val="16"/>
          <w:szCs w:val="16"/>
        </w:rPr>
        <w:t>,  pá</w:t>
      </w:r>
      <w:r w:rsidRPr="00941101">
        <w:rPr>
          <w:rFonts w:ascii="Arial" w:hAnsi="Arial" w:cs="Arial"/>
          <w:sz w:val="16"/>
          <w:szCs w:val="16"/>
        </w:rPr>
        <w:t>gina visitada el 10 de abril del 2012</w:t>
      </w:r>
    </w:p>
  </w:footnote>
  <w:footnote w:id="21">
    <w:p w:rsidR="00912113" w:rsidRPr="00C64E81" w:rsidRDefault="00912113" w:rsidP="00A66191">
      <w:pPr>
        <w:pStyle w:val="Textonotapie"/>
        <w:rPr>
          <w:rFonts w:ascii="Arial" w:hAnsi="Arial" w:cs="Arial"/>
          <w:sz w:val="16"/>
          <w:szCs w:val="16"/>
        </w:rPr>
      </w:pPr>
      <w:r w:rsidRPr="00C64E81">
        <w:rPr>
          <w:rStyle w:val="Refdenotaalpie"/>
          <w:rFonts w:ascii="Arial" w:hAnsi="Arial" w:cs="Arial"/>
          <w:sz w:val="16"/>
          <w:szCs w:val="16"/>
        </w:rPr>
        <w:footnoteRef/>
      </w:r>
      <w:r w:rsidRPr="00C64E81">
        <w:rPr>
          <w:rFonts w:ascii="Arial" w:hAnsi="Arial" w:cs="Arial"/>
          <w:sz w:val="16"/>
          <w:szCs w:val="16"/>
        </w:rPr>
        <w:t xml:space="preserve"> Documento para discusión AGENDA ECUADOR preparada para ICCO Manuel Chiriboga, julio 2008, pág. 17 tercer párrafo y pág. 18 primer párrafo </w:t>
      </w:r>
    </w:p>
  </w:footnote>
  <w:footnote w:id="22">
    <w:p w:rsidR="00912113" w:rsidRPr="00111A7C" w:rsidRDefault="00912113" w:rsidP="00A66191">
      <w:pPr>
        <w:pStyle w:val="Textonotapie"/>
      </w:pPr>
      <w:r w:rsidRPr="00C64E81">
        <w:rPr>
          <w:rStyle w:val="Refdenotaalpie"/>
          <w:rFonts w:ascii="Arial" w:hAnsi="Arial" w:cs="Arial"/>
          <w:sz w:val="16"/>
          <w:szCs w:val="16"/>
        </w:rPr>
        <w:footnoteRef/>
      </w:r>
      <w:r>
        <w:rPr>
          <w:rFonts w:ascii="Arial" w:hAnsi="Arial" w:cs="Arial"/>
          <w:sz w:val="16"/>
          <w:szCs w:val="16"/>
          <w:lang w:val="es-EC"/>
        </w:rPr>
        <w:t>Grá</w:t>
      </w:r>
      <w:r w:rsidRPr="00C64E81">
        <w:rPr>
          <w:rFonts w:ascii="Arial" w:hAnsi="Arial" w:cs="Arial"/>
          <w:sz w:val="16"/>
          <w:szCs w:val="16"/>
          <w:lang w:val="es-EC"/>
        </w:rPr>
        <w:t>fico obtenido del primer gabinete ampliado de evaluación de SENPLADES</w:t>
      </w:r>
    </w:p>
  </w:footnote>
  <w:footnote w:id="23">
    <w:p w:rsidR="00912113" w:rsidRDefault="00912113" w:rsidP="00A66191">
      <w:pPr>
        <w:pStyle w:val="Textonotapie"/>
        <w:rPr>
          <w:rFonts w:ascii="Arial" w:hAnsi="Arial" w:cs="Arial"/>
          <w:sz w:val="16"/>
          <w:szCs w:val="16"/>
        </w:rPr>
      </w:pPr>
      <w:r w:rsidRPr="00C64E81">
        <w:rPr>
          <w:rStyle w:val="Refdenotaalpie"/>
          <w:rFonts w:ascii="Arial" w:hAnsi="Arial" w:cs="Arial"/>
          <w:sz w:val="16"/>
          <w:szCs w:val="16"/>
        </w:rPr>
        <w:footnoteRef/>
      </w:r>
      <w:r w:rsidRPr="00C64E81">
        <w:rPr>
          <w:rFonts w:ascii="Arial" w:hAnsi="Arial" w:cs="Arial"/>
          <w:sz w:val="16"/>
          <w:szCs w:val="16"/>
        </w:rPr>
        <w:t xml:space="preserve"> http://www.telegrafo.com.ec/index.php?option=com_zoo&amp;task=item&amp;item_id=20034&amp;Itemid=2 visitada el 22 de julio de 2012 </w:t>
      </w:r>
    </w:p>
    <w:p w:rsidR="00912113" w:rsidRPr="00C64E81" w:rsidRDefault="00912113" w:rsidP="00A66191">
      <w:pPr>
        <w:pStyle w:val="Textonotapie"/>
        <w:rPr>
          <w:rFonts w:ascii="Arial" w:hAnsi="Arial" w:cs="Arial"/>
          <w:sz w:val="16"/>
          <w:szCs w:val="16"/>
        </w:rPr>
      </w:pPr>
    </w:p>
  </w:footnote>
  <w:footnote w:id="24">
    <w:p w:rsidR="00912113" w:rsidRPr="00502216" w:rsidRDefault="00912113" w:rsidP="00A66191">
      <w:pPr>
        <w:pStyle w:val="Textonotapie"/>
        <w:rPr>
          <w:rFonts w:ascii="Arial" w:hAnsi="Arial" w:cs="Arial"/>
          <w:sz w:val="16"/>
          <w:szCs w:val="16"/>
        </w:rPr>
      </w:pPr>
      <w:r w:rsidRPr="00C64E81">
        <w:rPr>
          <w:rStyle w:val="Refdenotaalpie"/>
          <w:rFonts w:ascii="Arial" w:hAnsi="Arial" w:cs="Arial"/>
          <w:sz w:val="16"/>
          <w:szCs w:val="16"/>
        </w:rPr>
        <w:footnoteRef/>
      </w:r>
      <w:r w:rsidRPr="00C64E81">
        <w:rPr>
          <w:rFonts w:ascii="Arial" w:hAnsi="Arial" w:cs="Arial"/>
          <w:sz w:val="16"/>
          <w:szCs w:val="16"/>
        </w:rPr>
        <w:t xml:space="preserve"> Ecuador en cifras, herramienta digital del INEC visitada el 2012-04-06</w:t>
      </w:r>
    </w:p>
  </w:footnote>
  <w:footnote w:id="25">
    <w:p w:rsidR="00912113" w:rsidRDefault="00912113" w:rsidP="00A66191">
      <w:pPr>
        <w:pStyle w:val="Textonotapie"/>
      </w:pPr>
      <w:r w:rsidRPr="00502216">
        <w:rPr>
          <w:rStyle w:val="Refdenotaalpie"/>
          <w:rFonts w:ascii="Arial" w:hAnsi="Arial" w:cs="Arial"/>
          <w:sz w:val="16"/>
          <w:szCs w:val="16"/>
        </w:rPr>
        <w:footnoteRef/>
      </w:r>
      <w:r w:rsidRPr="00502216">
        <w:rPr>
          <w:rFonts w:ascii="Arial" w:hAnsi="Arial" w:cs="Arial"/>
          <w:sz w:val="16"/>
          <w:szCs w:val="16"/>
        </w:rPr>
        <w:t xml:space="preserve"> Pro Ecuador, herramienta pdf. del Instituto de Promoción de Exportaciones e Inversiones del ministerio de relaciones exteriores, comercio e integración  visitada 2012-04-06</w:t>
      </w:r>
    </w:p>
  </w:footnote>
  <w:footnote w:id="26">
    <w:p w:rsidR="00912113" w:rsidRPr="00C64E81" w:rsidRDefault="00912113" w:rsidP="00A66191">
      <w:pPr>
        <w:pStyle w:val="Textonotapie"/>
        <w:rPr>
          <w:rFonts w:ascii="Arial" w:hAnsi="Arial" w:cs="Arial"/>
          <w:sz w:val="16"/>
          <w:szCs w:val="16"/>
        </w:rPr>
      </w:pPr>
      <w:r w:rsidRPr="00C64E81">
        <w:rPr>
          <w:rStyle w:val="Refdenotaalpie"/>
          <w:rFonts w:ascii="Arial" w:hAnsi="Arial" w:cs="Arial"/>
          <w:sz w:val="16"/>
          <w:szCs w:val="16"/>
        </w:rPr>
        <w:footnoteRef/>
      </w:r>
      <w:r w:rsidRPr="00C64E81">
        <w:rPr>
          <w:rFonts w:ascii="Arial" w:hAnsi="Arial" w:cs="Arial"/>
          <w:sz w:val="16"/>
          <w:szCs w:val="16"/>
        </w:rPr>
        <w:t xml:space="preserve"> Datos sacados de “ECUADOR LA EDUCACION AMBIENTAL EN LA EDUCACION PRIMARIA” de Marco Encalada </w:t>
      </w:r>
    </w:p>
  </w:footnote>
  <w:footnote w:id="27">
    <w:p w:rsidR="00912113" w:rsidRDefault="00912113" w:rsidP="00A66191">
      <w:pPr>
        <w:pStyle w:val="Textonotapie"/>
      </w:pPr>
      <w:r>
        <w:rPr>
          <w:rStyle w:val="Refdenotaalpie"/>
        </w:rPr>
        <w:footnoteRef/>
      </w:r>
      <w:r>
        <w:rPr>
          <w:rFonts w:ascii="Arial" w:hAnsi="Arial" w:cs="Arial"/>
          <w:sz w:val="16"/>
          <w:szCs w:val="16"/>
        </w:rPr>
        <w:t>C</w:t>
      </w:r>
      <w:r w:rsidRPr="00A86607">
        <w:rPr>
          <w:rFonts w:ascii="Arial" w:hAnsi="Arial" w:cs="Arial"/>
          <w:sz w:val="16"/>
          <w:szCs w:val="16"/>
        </w:rPr>
        <w:t>onferencia dictada por el presidente Rafael Correa para la Universidad de Buenos Aires</w:t>
      </w:r>
      <w:r>
        <w:rPr>
          <w:rFonts w:ascii="Arial" w:hAnsi="Arial" w:cs="Arial"/>
          <w:sz w:val="16"/>
          <w:szCs w:val="16"/>
        </w:rPr>
        <w:t xml:space="preserve">, enlaces sabatinos  </w:t>
      </w:r>
    </w:p>
  </w:footnote>
  <w:footnote w:id="28">
    <w:p w:rsidR="00912113" w:rsidRPr="00C64E81" w:rsidRDefault="00912113" w:rsidP="00A66191">
      <w:pPr>
        <w:pStyle w:val="Textonotapie"/>
        <w:rPr>
          <w:rFonts w:ascii="Arial" w:hAnsi="Arial" w:cs="Arial"/>
          <w:sz w:val="16"/>
          <w:szCs w:val="16"/>
        </w:rPr>
      </w:pPr>
      <w:r w:rsidRPr="00C64E81">
        <w:rPr>
          <w:rStyle w:val="Refdenotaalpie"/>
          <w:rFonts w:ascii="Arial" w:hAnsi="Arial" w:cs="Arial"/>
          <w:sz w:val="16"/>
          <w:szCs w:val="16"/>
        </w:rPr>
        <w:footnoteRef/>
      </w:r>
      <w:r w:rsidRPr="0014064E">
        <w:rPr>
          <w:rFonts w:ascii="Arial" w:hAnsi="Arial" w:cs="Arial"/>
          <w:sz w:val="16"/>
          <w:szCs w:val="16"/>
        </w:rPr>
        <w:t>http://elcomercio.pe/planeta/639702/noticia-brasil-anuncio-plan-combatir-deforestacion-su-segundo-mayor-ecosistema</w:t>
      </w:r>
      <w:r>
        <w:rPr>
          <w:rFonts w:ascii="Arial" w:hAnsi="Arial" w:cs="Arial"/>
          <w:sz w:val="16"/>
          <w:szCs w:val="16"/>
        </w:rPr>
        <w:t>, página  consultada</w:t>
      </w:r>
      <w:r w:rsidRPr="00C64E81">
        <w:rPr>
          <w:rFonts w:ascii="Arial" w:hAnsi="Arial" w:cs="Arial"/>
          <w:sz w:val="16"/>
          <w:szCs w:val="16"/>
        </w:rPr>
        <w:t xml:space="preserve"> el 22 de julio del 2012</w:t>
      </w:r>
    </w:p>
    <w:p w:rsidR="00912113" w:rsidRPr="0003480C" w:rsidRDefault="00912113" w:rsidP="00A66191">
      <w:pPr>
        <w:pStyle w:val="Textonotapie"/>
      </w:pPr>
    </w:p>
  </w:footnote>
  <w:footnote w:id="29">
    <w:p w:rsidR="00912113" w:rsidRDefault="00912113" w:rsidP="00A66191">
      <w:pPr>
        <w:pStyle w:val="Textonotapie"/>
        <w:rPr>
          <w:rFonts w:ascii="Arial" w:hAnsi="Arial" w:cs="Arial"/>
          <w:sz w:val="16"/>
          <w:szCs w:val="16"/>
        </w:rPr>
      </w:pPr>
      <w:r w:rsidRPr="00C64E81">
        <w:rPr>
          <w:rStyle w:val="Refdenotaalpie"/>
          <w:rFonts w:ascii="Arial" w:hAnsi="Arial" w:cs="Arial"/>
          <w:sz w:val="16"/>
          <w:szCs w:val="16"/>
        </w:rPr>
        <w:footnoteRef/>
      </w:r>
      <w:r w:rsidRPr="00C64E81">
        <w:rPr>
          <w:rFonts w:ascii="Arial" w:hAnsi="Arial" w:cs="Arial"/>
          <w:bCs/>
          <w:sz w:val="16"/>
          <w:szCs w:val="16"/>
        </w:rPr>
        <w:t xml:space="preserve">Carlos Alberto Libânio Christo más conocido como Frei Betto </w:t>
      </w:r>
      <w:r w:rsidRPr="00C64E81">
        <w:rPr>
          <w:rFonts w:ascii="Arial" w:hAnsi="Arial" w:cs="Arial"/>
          <w:sz w:val="16"/>
          <w:szCs w:val="16"/>
        </w:rPr>
        <w:t>fraile dominico brasileño, teólogo de la liberación (asesor especial del Presidente Luis Ignacio Lula da Silva en el 2003</w:t>
      </w:r>
      <w:r>
        <w:rPr>
          <w:rFonts w:ascii="Arial" w:hAnsi="Arial" w:cs="Arial"/>
          <w:sz w:val="16"/>
          <w:szCs w:val="16"/>
        </w:rPr>
        <w:t>.</w:t>
      </w:r>
    </w:p>
    <w:p w:rsidR="00912113" w:rsidRPr="00C64E81" w:rsidRDefault="00912113" w:rsidP="00A66191">
      <w:pPr>
        <w:pStyle w:val="Textonotapie"/>
        <w:rPr>
          <w:rFonts w:ascii="Arial" w:hAnsi="Arial" w:cs="Arial"/>
          <w:sz w:val="16"/>
          <w:szCs w:val="16"/>
        </w:rPr>
      </w:pPr>
    </w:p>
  </w:footnote>
  <w:footnote w:id="30">
    <w:p w:rsidR="00912113" w:rsidRDefault="00912113" w:rsidP="00A66191">
      <w:pPr>
        <w:pStyle w:val="Textonotapie"/>
      </w:pPr>
      <w:r w:rsidRPr="00C64E81">
        <w:rPr>
          <w:rStyle w:val="Refdenotaalpie"/>
          <w:rFonts w:ascii="Arial" w:hAnsi="Arial" w:cs="Arial"/>
          <w:sz w:val="16"/>
          <w:szCs w:val="16"/>
        </w:rPr>
        <w:footnoteRef/>
      </w:r>
      <w:r w:rsidRPr="00C64E81">
        <w:rPr>
          <w:rFonts w:ascii="Arial" w:hAnsi="Arial" w:cs="Arial"/>
          <w:sz w:val="16"/>
          <w:szCs w:val="16"/>
        </w:rPr>
        <w:t xml:space="preserve"> Frei Betto</w:t>
      </w:r>
      <w:r>
        <w:rPr>
          <w:rFonts w:ascii="Arial" w:hAnsi="Arial" w:cs="Arial"/>
          <w:sz w:val="16"/>
          <w:szCs w:val="16"/>
        </w:rPr>
        <w:t xml:space="preserve">, </w:t>
      </w:r>
      <w:r w:rsidRPr="00C64E81">
        <w:rPr>
          <w:rFonts w:ascii="Arial" w:hAnsi="Arial" w:cs="Arial"/>
          <w:sz w:val="16"/>
          <w:szCs w:val="16"/>
        </w:rPr>
        <w:t>“El pr</w:t>
      </w:r>
      <w:r>
        <w:rPr>
          <w:rFonts w:ascii="Arial" w:hAnsi="Arial" w:cs="Arial"/>
          <w:sz w:val="16"/>
          <w:szCs w:val="16"/>
        </w:rPr>
        <w:t>ograma hambre cero en Brasil”</w:t>
      </w:r>
      <w:r w:rsidRPr="00C64E81">
        <w:rPr>
          <w:rFonts w:ascii="Arial" w:hAnsi="Arial" w:cs="Arial"/>
          <w:sz w:val="16"/>
          <w:szCs w:val="16"/>
        </w:rPr>
        <w:t>, 2003</w:t>
      </w:r>
    </w:p>
  </w:footnote>
  <w:footnote w:id="31">
    <w:p w:rsidR="00912113" w:rsidRDefault="00912113" w:rsidP="00A66191">
      <w:pPr>
        <w:autoSpaceDE w:val="0"/>
        <w:autoSpaceDN w:val="0"/>
        <w:adjustRightInd w:val="0"/>
        <w:spacing w:after="0" w:line="240" w:lineRule="auto"/>
        <w:rPr>
          <w:rFonts w:ascii="Arial" w:hAnsi="Arial" w:cs="Arial"/>
          <w:sz w:val="16"/>
          <w:szCs w:val="16"/>
        </w:rPr>
      </w:pPr>
      <w:r w:rsidRPr="00C64E81">
        <w:rPr>
          <w:rStyle w:val="Refdenotaalpie"/>
          <w:rFonts w:ascii="Arial" w:hAnsi="Arial" w:cs="Arial"/>
          <w:sz w:val="16"/>
          <w:szCs w:val="16"/>
        </w:rPr>
        <w:footnoteRef/>
      </w:r>
      <w:r w:rsidRPr="00C64E81">
        <w:rPr>
          <w:rFonts w:ascii="Arial" w:hAnsi="Arial" w:cs="Arial"/>
          <w:sz w:val="16"/>
          <w:szCs w:val="16"/>
        </w:rPr>
        <w:t xml:space="preserve"> Programa Bolsa Familia: Una práctica del Ministerio de Previsión Social de la Asociación Inter</w:t>
      </w:r>
      <w:r>
        <w:rPr>
          <w:rFonts w:ascii="Arial" w:hAnsi="Arial" w:cs="Arial"/>
          <w:sz w:val="16"/>
          <w:szCs w:val="16"/>
        </w:rPr>
        <w:t>nacional de la Seguridad Social</w:t>
      </w:r>
      <w:r w:rsidRPr="00C64E81">
        <w:rPr>
          <w:rFonts w:ascii="Arial" w:hAnsi="Arial" w:cs="Arial"/>
          <w:sz w:val="16"/>
          <w:szCs w:val="16"/>
        </w:rPr>
        <w:t>, 2010  herramienta en pdf</w:t>
      </w:r>
      <w:r>
        <w:rPr>
          <w:rFonts w:ascii="Arial" w:hAnsi="Arial" w:cs="Arial"/>
          <w:sz w:val="16"/>
          <w:szCs w:val="16"/>
        </w:rPr>
        <w:t>.</w:t>
      </w:r>
    </w:p>
    <w:p w:rsidR="00912113" w:rsidRPr="00C64E81" w:rsidRDefault="00912113" w:rsidP="00A66191">
      <w:pPr>
        <w:autoSpaceDE w:val="0"/>
        <w:autoSpaceDN w:val="0"/>
        <w:adjustRightInd w:val="0"/>
        <w:spacing w:after="0" w:line="240" w:lineRule="auto"/>
        <w:rPr>
          <w:rFonts w:ascii="Arial" w:hAnsi="Arial" w:cs="Arial"/>
          <w:sz w:val="16"/>
          <w:szCs w:val="16"/>
        </w:rPr>
      </w:pPr>
    </w:p>
  </w:footnote>
  <w:footnote w:id="32">
    <w:p w:rsidR="00912113" w:rsidRPr="003F1981" w:rsidRDefault="00912113" w:rsidP="00A66191">
      <w:pPr>
        <w:autoSpaceDE w:val="0"/>
        <w:autoSpaceDN w:val="0"/>
        <w:adjustRightInd w:val="0"/>
        <w:spacing w:after="0" w:line="240" w:lineRule="auto"/>
        <w:rPr>
          <w:rFonts w:ascii="Arial" w:hAnsi="Arial" w:cs="Arial"/>
          <w:bCs/>
          <w:sz w:val="16"/>
          <w:szCs w:val="16"/>
        </w:rPr>
      </w:pPr>
      <w:r w:rsidRPr="00C64E81">
        <w:rPr>
          <w:rStyle w:val="Refdenotaalpie"/>
          <w:rFonts w:ascii="Arial" w:hAnsi="Arial" w:cs="Arial"/>
          <w:sz w:val="16"/>
          <w:szCs w:val="16"/>
        </w:rPr>
        <w:footnoteRef/>
      </w:r>
      <w:r w:rsidRPr="00C64E81">
        <w:rPr>
          <w:rFonts w:ascii="Arial" w:hAnsi="Arial" w:cs="Arial"/>
          <w:bCs/>
          <w:sz w:val="16"/>
          <w:szCs w:val="16"/>
        </w:rPr>
        <w:t xml:space="preserve">El Programa </w:t>
      </w:r>
      <w:r w:rsidRPr="00C64E81">
        <w:rPr>
          <w:rFonts w:ascii="Arial" w:hAnsi="Arial" w:cs="Arial"/>
          <w:bCs/>
          <w:i/>
          <w:iCs/>
          <w:sz w:val="16"/>
          <w:szCs w:val="16"/>
        </w:rPr>
        <w:t xml:space="preserve">Bolsa Familia </w:t>
      </w:r>
      <w:r w:rsidRPr="00C64E81">
        <w:rPr>
          <w:rFonts w:ascii="Arial" w:hAnsi="Arial" w:cs="Arial"/>
          <w:bCs/>
          <w:sz w:val="16"/>
          <w:szCs w:val="16"/>
        </w:rPr>
        <w:t xml:space="preserve">y el Derecho Humano al Desarrollo en el Gobierno De Luis Inácio Lula Da Silva (2004-2008) de </w:t>
      </w:r>
      <w:r w:rsidRPr="00C64E81">
        <w:rPr>
          <w:rFonts w:ascii="Arial" w:hAnsi="Arial" w:cs="Arial"/>
          <w:sz w:val="16"/>
          <w:szCs w:val="16"/>
        </w:rPr>
        <w:t>Danielle Senise Franco Gomes 2009 herramienta en pdf</w:t>
      </w:r>
    </w:p>
  </w:footnote>
  <w:footnote w:id="33">
    <w:p w:rsidR="00912113" w:rsidRDefault="00912113" w:rsidP="00A66191">
      <w:pPr>
        <w:pStyle w:val="Textonotapie"/>
        <w:rPr>
          <w:rFonts w:ascii="Arial" w:hAnsi="Arial" w:cs="Arial"/>
          <w:sz w:val="16"/>
          <w:szCs w:val="16"/>
        </w:rPr>
      </w:pPr>
      <w:r>
        <w:rPr>
          <w:rStyle w:val="Refdenotaalpie"/>
        </w:rPr>
        <w:footnoteRef/>
      </w:r>
      <w:r w:rsidRPr="00460FF8">
        <w:rPr>
          <w:rFonts w:ascii="Arial" w:hAnsi="Arial" w:cs="Arial"/>
          <w:sz w:val="16"/>
          <w:szCs w:val="16"/>
        </w:rPr>
        <w:t>http://www.nuevatribuna.es/articulo/mundo/brasil-lanza-un-nuevo-programa-contra-la-pobreza/20110525111319055230.html</w:t>
      </w:r>
      <w:r>
        <w:rPr>
          <w:rFonts w:ascii="Arial" w:hAnsi="Arial" w:cs="Arial"/>
          <w:sz w:val="16"/>
          <w:szCs w:val="16"/>
        </w:rPr>
        <w:t xml:space="preserve">, página visitada 22 de julio de 2012 </w:t>
      </w:r>
    </w:p>
    <w:p w:rsidR="00912113" w:rsidRPr="0022029E" w:rsidRDefault="00912113" w:rsidP="00A66191">
      <w:pPr>
        <w:pStyle w:val="Textonotapie"/>
        <w:rPr>
          <w:rFonts w:ascii="Arial" w:hAnsi="Arial" w:cs="Arial"/>
          <w:sz w:val="16"/>
          <w:szCs w:val="16"/>
        </w:rPr>
      </w:pPr>
    </w:p>
  </w:footnote>
  <w:footnote w:id="34">
    <w:p w:rsidR="00912113" w:rsidRDefault="00912113" w:rsidP="00A66191">
      <w:pPr>
        <w:pStyle w:val="Textonotapie"/>
        <w:rPr>
          <w:rFonts w:ascii="Arial" w:hAnsi="Arial" w:cs="Arial"/>
          <w:sz w:val="16"/>
          <w:szCs w:val="16"/>
        </w:rPr>
      </w:pPr>
      <w:r w:rsidRPr="00460FF8">
        <w:rPr>
          <w:rStyle w:val="Refdenotaalpie"/>
          <w:rFonts w:ascii="Arial" w:hAnsi="Arial" w:cs="Arial"/>
          <w:sz w:val="16"/>
          <w:szCs w:val="16"/>
        </w:rPr>
        <w:footnoteRef/>
      </w:r>
      <w:r w:rsidRPr="00460FF8">
        <w:rPr>
          <w:rFonts w:ascii="Arial" w:hAnsi="Arial" w:cs="Arial"/>
          <w:sz w:val="16"/>
          <w:szCs w:val="16"/>
        </w:rPr>
        <w:t xml:space="preserve"> Información obtenida del material audiovisual del programa “Hambre Cero”, otorgado por la embajada del Brasil en Quito</w:t>
      </w:r>
    </w:p>
    <w:p w:rsidR="00912113" w:rsidRPr="00460FF8" w:rsidRDefault="00912113" w:rsidP="00A66191">
      <w:pPr>
        <w:pStyle w:val="Textonotapie"/>
        <w:rPr>
          <w:rFonts w:ascii="Arial" w:hAnsi="Arial" w:cs="Arial"/>
          <w:sz w:val="16"/>
          <w:szCs w:val="16"/>
        </w:rPr>
      </w:pPr>
    </w:p>
  </w:footnote>
  <w:footnote w:id="35">
    <w:p w:rsidR="00912113" w:rsidRPr="00460FF8" w:rsidRDefault="00912113" w:rsidP="00A66191">
      <w:pPr>
        <w:pStyle w:val="Textonotapie"/>
        <w:rPr>
          <w:rFonts w:ascii="Arial" w:hAnsi="Arial" w:cs="Arial"/>
          <w:sz w:val="16"/>
          <w:szCs w:val="16"/>
        </w:rPr>
      </w:pPr>
      <w:r>
        <w:rPr>
          <w:rStyle w:val="Refdenotaalpie"/>
        </w:rPr>
        <w:footnoteRef/>
      </w:r>
      <w:r w:rsidRPr="00460FF8">
        <w:rPr>
          <w:rFonts w:ascii="Arial" w:hAnsi="Arial" w:cs="Arial"/>
          <w:sz w:val="16"/>
          <w:szCs w:val="16"/>
        </w:rPr>
        <w:t>Información obtenida del material audiovisual del programa “Hambre Cero”, otorgado por la embajada del Brasil en Quito</w:t>
      </w:r>
    </w:p>
    <w:p w:rsidR="00912113" w:rsidRDefault="00912113" w:rsidP="00A66191">
      <w:pPr>
        <w:pStyle w:val="Textonotapie"/>
      </w:pPr>
    </w:p>
  </w:footnote>
  <w:footnote w:id="36">
    <w:p w:rsidR="00912113" w:rsidRDefault="00912113" w:rsidP="00A66191">
      <w:pPr>
        <w:autoSpaceDE w:val="0"/>
        <w:autoSpaceDN w:val="0"/>
        <w:adjustRightInd w:val="0"/>
        <w:spacing w:after="0" w:line="240" w:lineRule="auto"/>
        <w:rPr>
          <w:rFonts w:ascii="Arial" w:hAnsi="Arial" w:cs="Arial"/>
          <w:sz w:val="16"/>
          <w:szCs w:val="16"/>
        </w:rPr>
      </w:pPr>
      <w:r w:rsidRPr="00C64E81">
        <w:rPr>
          <w:rStyle w:val="Refdenotaalpie"/>
          <w:rFonts w:ascii="Arial" w:hAnsi="Arial" w:cs="Arial"/>
          <w:sz w:val="16"/>
          <w:szCs w:val="16"/>
        </w:rPr>
        <w:footnoteRef/>
      </w:r>
      <w:r w:rsidRPr="00C64E81">
        <w:rPr>
          <w:rFonts w:ascii="Arial" w:hAnsi="Arial" w:cs="Arial"/>
          <w:sz w:val="16"/>
          <w:szCs w:val="16"/>
        </w:rPr>
        <w:t xml:space="preserve"> Tolentino Silva, Marcus,  Sistema Único de Salud: La Experiencia Brasileña en la Universalización del Acceso a la Salud, Revista Peruana de Medicina Experimental y Salud Pública, vol. 26, núm. 2, 2009, pp.251-257, Instituto Nacional de Salud (Perú), herramienta en pdf</w:t>
      </w:r>
    </w:p>
    <w:p w:rsidR="00912113" w:rsidRPr="00C64E81" w:rsidRDefault="00912113" w:rsidP="00A66191">
      <w:pPr>
        <w:autoSpaceDE w:val="0"/>
        <w:autoSpaceDN w:val="0"/>
        <w:adjustRightInd w:val="0"/>
        <w:spacing w:after="0" w:line="240" w:lineRule="auto"/>
        <w:rPr>
          <w:rFonts w:ascii="Arial" w:hAnsi="Arial" w:cs="Arial"/>
          <w:sz w:val="16"/>
          <w:szCs w:val="16"/>
        </w:rPr>
      </w:pPr>
    </w:p>
  </w:footnote>
  <w:footnote w:id="37">
    <w:p w:rsidR="00912113" w:rsidRDefault="00912113" w:rsidP="00A66191">
      <w:pPr>
        <w:pStyle w:val="Textonotapie"/>
        <w:rPr>
          <w:rFonts w:ascii="Arial" w:hAnsi="Arial" w:cs="Arial"/>
          <w:sz w:val="16"/>
          <w:szCs w:val="16"/>
        </w:rPr>
      </w:pPr>
      <w:r w:rsidRPr="00A31949">
        <w:rPr>
          <w:rStyle w:val="Refdenotaalpie"/>
          <w:rFonts w:ascii="Arial" w:hAnsi="Arial" w:cs="Arial"/>
          <w:sz w:val="16"/>
          <w:szCs w:val="16"/>
        </w:rPr>
        <w:footnoteRef/>
      </w:r>
      <w:r w:rsidRPr="003112C5">
        <w:rPr>
          <w:rFonts w:ascii="Arial" w:hAnsi="Arial" w:cs="Arial"/>
          <w:sz w:val="16"/>
          <w:szCs w:val="16"/>
        </w:rPr>
        <w:t>http://www.brasil.gov.br/sobre/salud/atendimento/que-es-sus-1/br_model1?set_language=es</w:t>
      </w:r>
      <w:r>
        <w:rPr>
          <w:rFonts w:ascii="Arial" w:hAnsi="Arial" w:cs="Arial"/>
          <w:sz w:val="16"/>
          <w:szCs w:val="16"/>
        </w:rPr>
        <w:t>, página consultada el</w:t>
      </w:r>
      <w:r w:rsidRPr="00A31949">
        <w:rPr>
          <w:rFonts w:ascii="Arial" w:hAnsi="Arial" w:cs="Arial"/>
          <w:sz w:val="16"/>
          <w:szCs w:val="16"/>
        </w:rPr>
        <w:t xml:space="preserve"> 24 de julio de 2012</w:t>
      </w:r>
      <w:r>
        <w:rPr>
          <w:rFonts w:ascii="Arial" w:hAnsi="Arial" w:cs="Arial"/>
          <w:sz w:val="16"/>
          <w:szCs w:val="16"/>
        </w:rPr>
        <w:t>.</w:t>
      </w:r>
    </w:p>
    <w:p w:rsidR="00912113" w:rsidRPr="00A31949" w:rsidRDefault="00912113" w:rsidP="00A66191">
      <w:pPr>
        <w:pStyle w:val="Textonotapie"/>
        <w:rPr>
          <w:rFonts w:ascii="Arial" w:hAnsi="Arial" w:cs="Arial"/>
          <w:sz w:val="16"/>
          <w:szCs w:val="16"/>
        </w:rPr>
      </w:pPr>
    </w:p>
  </w:footnote>
  <w:footnote w:id="38">
    <w:p w:rsidR="00912113" w:rsidRPr="00E86F19" w:rsidRDefault="00912113" w:rsidP="00A66191">
      <w:pPr>
        <w:autoSpaceDE w:val="0"/>
        <w:autoSpaceDN w:val="0"/>
        <w:adjustRightInd w:val="0"/>
        <w:spacing w:after="0" w:line="240" w:lineRule="auto"/>
        <w:rPr>
          <w:rFonts w:ascii="Times-Bold" w:hAnsi="Times-Bold" w:cs="Times-Bold"/>
          <w:b/>
          <w:bCs/>
          <w:sz w:val="23"/>
          <w:szCs w:val="23"/>
        </w:rPr>
      </w:pPr>
      <w:r w:rsidRPr="00A31949">
        <w:rPr>
          <w:rStyle w:val="Refdenotaalpie"/>
          <w:rFonts w:ascii="Arial" w:hAnsi="Arial" w:cs="Arial"/>
          <w:sz w:val="16"/>
          <w:szCs w:val="16"/>
        </w:rPr>
        <w:footnoteRef/>
      </w:r>
      <w:r w:rsidRPr="00A31949">
        <w:rPr>
          <w:rFonts w:ascii="Arial" w:hAnsi="Arial" w:cs="Arial"/>
          <w:sz w:val="16"/>
          <w:szCs w:val="16"/>
        </w:rPr>
        <w:t xml:space="preserve">  Escuela nacional sindical, agencia de información laboral, </w:t>
      </w:r>
      <w:r w:rsidRPr="00A31949">
        <w:rPr>
          <w:rFonts w:ascii="Arial" w:hAnsi="Arial" w:cs="Arial"/>
          <w:bCs/>
          <w:sz w:val="16"/>
          <w:szCs w:val="16"/>
        </w:rPr>
        <w:t>El caso Brasil Un sistema de salud universal, equitativo e integral (Informe basado en la conferencia de Armando De Negris en el III Congreso de la Salud y la Seguridad Social, realizado en Bogotá) herramienta en pdf</w:t>
      </w:r>
    </w:p>
  </w:footnote>
  <w:footnote w:id="39">
    <w:p w:rsidR="00912113" w:rsidRDefault="00912113" w:rsidP="00A66191">
      <w:pPr>
        <w:pStyle w:val="Textonotapie"/>
        <w:rPr>
          <w:rFonts w:ascii="Arial" w:hAnsi="Arial" w:cs="Arial"/>
          <w:sz w:val="16"/>
          <w:szCs w:val="16"/>
        </w:rPr>
      </w:pPr>
      <w:r w:rsidRPr="00A31949">
        <w:rPr>
          <w:rStyle w:val="Refdenotaalpie"/>
          <w:rFonts w:ascii="Arial" w:hAnsi="Arial" w:cs="Arial"/>
          <w:sz w:val="16"/>
          <w:szCs w:val="16"/>
        </w:rPr>
        <w:footnoteRef/>
      </w:r>
      <w:r w:rsidRPr="00A31949">
        <w:rPr>
          <w:rFonts w:ascii="Arial" w:hAnsi="Arial" w:cs="Arial"/>
          <w:sz w:val="16"/>
          <w:szCs w:val="16"/>
        </w:rPr>
        <w:t xml:space="preserve"> Ministerio de </w:t>
      </w:r>
      <w:r>
        <w:rPr>
          <w:rFonts w:ascii="Arial" w:hAnsi="Arial" w:cs="Arial"/>
          <w:sz w:val="16"/>
          <w:szCs w:val="16"/>
        </w:rPr>
        <w:t xml:space="preserve"> E</w:t>
      </w:r>
      <w:r w:rsidRPr="00A31949">
        <w:rPr>
          <w:rFonts w:ascii="Arial" w:hAnsi="Arial" w:cs="Arial"/>
          <w:sz w:val="16"/>
          <w:szCs w:val="16"/>
        </w:rPr>
        <w:t>ducación de Brasil Programa Más Educación, traductor de Google http://portal.mec.gov.br/index.php?option=com_content&amp;view=article&amp;id=16689&amp;Itemid=1115 visitado el 31 de julio de 2012</w:t>
      </w:r>
      <w:r>
        <w:rPr>
          <w:rFonts w:ascii="Arial" w:hAnsi="Arial" w:cs="Arial"/>
          <w:sz w:val="16"/>
          <w:szCs w:val="16"/>
        </w:rPr>
        <w:t>.</w:t>
      </w:r>
    </w:p>
    <w:p w:rsidR="00912113" w:rsidRPr="00A31949" w:rsidRDefault="00912113" w:rsidP="00A66191">
      <w:pPr>
        <w:pStyle w:val="Textonotapie"/>
        <w:rPr>
          <w:rFonts w:ascii="Arial" w:hAnsi="Arial" w:cs="Arial"/>
          <w:sz w:val="16"/>
          <w:szCs w:val="16"/>
        </w:rPr>
      </w:pPr>
    </w:p>
  </w:footnote>
  <w:footnote w:id="40">
    <w:p w:rsidR="00912113" w:rsidRDefault="00912113" w:rsidP="00A66191">
      <w:pPr>
        <w:autoSpaceDE w:val="0"/>
        <w:autoSpaceDN w:val="0"/>
        <w:adjustRightInd w:val="0"/>
        <w:spacing w:after="0" w:line="240" w:lineRule="auto"/>
        <w:rPr>
          <w:rFonts w:ascii="Times New Roman" w:hAnsi="Times New Roman" w:cs="Times New Roman"/>
          <w:sz w:val="18"/>
          <w:szCs w:val="18"/>
        </w:rPr>
      </w:pPr>
      <w:r>
        <w:rPr>
          <w:rStyle w:val="Refdenotaalpie"/>
        </w:rPr>
        <w:footnoteRef/>
      </w:r>
      <w:r w:rsidRPr="00B0693B">
        <w:rPr>
          <w:rFonts w:ascii="Arial" w:hAnsi="Arial" w:cs="Arial"/>
          <w:sz w:val="16"/>
          <w:szCs w:val="16"/>
        </w:rPr>
        <w:t>Castanhar, José Cezar; Política económica del Gobierno de Lula: los desafíos de la transición y las alternativas para el futuro; Revista CIDOB d’Afers Internacionals, núm. 65, p. 11-27; herramienta en pdf</w:t>
      </w:r>
      <w:r>
        <w:rPr>
          <w:rFonts w:ascii="Times New Roman" w:hAnsi="Times New Roman" w:cs="Times New Roman"/>
          <w:sz w:val="18"/>
          <w:szCs w:val="18"/>
        </w:rPr>
        <w:t>.</w:t>
      </w:r>
    </w:p>
    <w:p w:rsidR="00912113" w:rsidRPr="00B0693B" w:rsidRDefault="00912113" w:rsidP="00A66191">
      <w:pPr>
        <w:autoSpaceDE w:val="0"/>
        <w:autoSpaceDN w:val="0"/>
        <w:adjustRightInd w:val="0"/>
        <w:spacing w:after="0" w:line="240" w:lineRule="auto"/>
        <w:rPr>
          <w:rFonts w:ascii="Arial" w:hAnsi="Arial" w:cs="Arial"/>
          <w:sz w:val="16"/>
          <w:szCs w:val="16"/>
        </w:rPr>
      </w:pPr>
    </w:p>
  </w:footnote>
  <w:footnote w:id="41">
    <w:p w:rsidR="00912113" w:rsidRPr="00A67CCF" w:rsidRDefault="00912113" w:rsidP="00A66191">
      <w:pPr>
        <w:pStyle w:val="Textonotapie"/>
      </w:pPr>
      <w:r w:rsidRPr="00A67CCF">
        <w:rPr>
          <w:rStyle w:val="Refdenotaalpie"/>
          <w:rFonts w:ascii="Arial" w:hAnsi="Arial" w:cs="Arial"/>
          <w:sz w:val="16"/>
          <w:szCs w:val="16"/>
        </w:rPr>
        <w:footnoteRef/>
      </w:r>
      <w:r w:rsidRPr="00A67CCF">
        <w:rPr>
          <w:rFonts w:ascii="Arial" w:hAnsi="Arial" w:cs="Arial"/>
          <w:sz w:val="16"/>
          <w:szCs w:val="16"/>
        </w:rPr>
        <w:t xml:space="preserve"> http://www.adaspre.org/html/prevision_social.html, página consultada el 28 de diciembre del 2012</w:t>
      </w:r>
    </w:p>
  </w:footnote>
  <w:footnote w:id="42">
    <w:p w:rsidR="00912113" w:rsidRDefault="00912113" w:rsidP="00A66191">
      <w:pPr>
        <w:pStyle w:val="Textonotapie"/>
        <w:rPr>
          <w:rFonts w:ascii="Arial" w:hAnsi="Arial" w:cs="Arial"/>
          <w:sz w:val="16"/>
          <w:szCs w:val="16"/>
        </w:rPr>
      </w:pPr>
      <w:r w:rsidRPr="00555D99">
        <w:rPr>
          <w:rStyle w:val="Refdenotaalpie"/>
          <w:rFonts w:ascii="Arial" w:hAnsi="Arial" w:cs="Arial"/>
          <w:sz w:val="16"/>
          <w:szCs w:val="16"/>
        </w:rPr>
        <w:footnoteRef/>
      </w:r>
      <w:r w:rsidRPr="00555D99">
        <w:rPr>
          <w:rFonts w:ascii="Arial" w:hAnsi="Arial" w:cs="Arial"/>
          <w:sz w:val="16"/>
          <w:szCs w:val="16"/>
        </w:rPr>
        <w:t xml:space="preserve"> Bertranou, Fabio; Grafe, Fernando; La Reforma del Sistema de Pensiones en Brasil: Aspectos Fiscales e Institucionales, Mayo 2007; Banco Interamericano de Desarrollo </w:t>
      </w:r>
    </w:p>
    <w:p w:rsidR="00912113" w:rsidRPr="00555D99" w:rsidRDefault="00912113" w:rsidP="00A66191">
      <w:pPr>
        <w:pStyle w:val="Textonotapie"/>
        <w:rPr>
          <w:rFonts w:ascii="Arial" w:hAnsi="Arial" w:cs="Arial"/>
          <w:sz w:val="16"/>
          <w:szCs w:val="16"/>
        </w:rPr>
      </w:pPr>
    </w:p>
  </w:footnote>
  <w:footnote w:id="43">
    <w:p w:rsidR="00912113" w:rsidRPr="00A31949" w:rsidRDefault="00912113" w:rsidP="00A66191">
      <w:pPr>
        <w:pStyle w:val="Textonotapie"/>
        <w:rPr>
          <w:rFonts w:ascii="Arial" w:hAnsi="Arial" w:cs="Arial"/>
          <w:sz w:val="16"/>
          <w:szCs w:val="16"/>
        </w:rPr>
      </w:pPr>
      <w:r w:rsidRPr="00A31949">
        <w:rPr>
          <w:rStyle w:val="Refdenotaalpie"/>
          <w:rFonts w:ascii="Arial" w:hAnsi="Arial" w:cs="Arial"/>
          <w:sz w:val="16"/>
          <w:szCs w:val="16"/>
        </w:rPr>
        <w:footnoteRef/>
      </w:r>
      <w:bookmarkStart w:id="1" w:name="_ftn9"/>
      <w:bookmarkEnd w:id="1"/>
      <w:r w:rsidRPr="00F8511D">
        <w:rPr>
          <w:rFonts w:ascii="Arial" w:hAnsi="Arial" w:cs="Arial"/>
          <w:sz w:val="16"/>
          <w:szCs w:val="16"/>
          <w:lang w:val="pt-BR"/>
        </w:rPr>
        <w:t xml:space="preserve">Instituto de Estudios Socioeconómicos (INESC). 2006. “Reforma Agrária no Governo Lula: Residual e Periférica.”  </w:t>
      </w:r>
      <w:r w:rsidRPr="00A31949">
        <w:rPr>
          <w:rFonts w:ascii="Arial" w:hAnsi="Arial" w:cs="Arial"/>
          <w:sz w:val="16"/>
          <w:szCs w:val="16"/>
        </w:rPr>
        <w:t>Nota Técnica 105. (p.5)</w:t>
      </w:r>
    </w:p>
  </w:footnote>
  <w:footnote w:id="44">
    <w:p w:rsidR="00912113" w:rsidRDefault="00912113" w:rsidP="00A66191">
      <w:pPr>
        <w:pStyle w:val="Textonotapie"/>
      </w:pPr>
      <w:r w:rsidRPr="00555D99">
        <w:rPr>
          <w:rStyle w:val="Refdenotaalpie"/>
          <w:rFonts w:ascii="Arial" w:hAnsi="Arial" w:cs="Arial"/>
          <w:sz w:val="16"/>
          <w:szCs w:val="16"/>
        </w:rPr>
        <w:footnoteRef/>
      </w:r>
      <w:r w:rsidRPr="00555D99">
        <w:rPr>
          <w:rFonts w:ascii="Arial" w:hAnsi="Arial" w:cs="Arial"/>
          <w:sz w:val="16"/>
          <w:szCs w:val="16"/>
        </w:rPr>
        <w:t xml:space="preserve"> Drosdoff, Daniel; cosechando frutos de la reforma fiscal, BIDAMERICA revista del Banco Interamericano de Desarrollo  del viernes 7 de diciembre del 2012 página de internethttp://www.iadb.org/idbamerica/index.cfm?thisid=1802 visitada el 20/01/2013</w:t>
      </w:r>
    </w:p>
  </w:footnote>
  <w:footnote w:id="45">
    <w:p w:rsidR="00912113" w:rsidRDefault="00912113" w:rsidP="00A66191">
      <w:pPr>
        <w:pStyle w:val="Textonotapie"/>
      </w:pPr>
      <w:r>
        <w:rPr>
          <w:rStyle w:val="Refdenotaalpie"/>
        </w:rPr>
        <w:footnoteRef/>
      </w:r>
      <w:r w:rsidRPr="00FB2657">
        <w:rPr>
          <w:rFonts w:ascii="Arial" w:hAnsi="Arial" w:cs="Arial"/>
          <w:sz w:val="16"/>
          <w:szCs w:val="16"/>
        </w:rPr>
        <w:t>Ministerio de planeamiento del Brasil, http://www.planejamento.gov.br, página visitada el 30 de marzo de 2013.</w:t>
      </w:r>
    </w:p>
  </w:footnote>
  <w:footnote w:id="46">
    <w:p w:rsidR="00912113" w:rsidRDefault="00912113" w:rsidP="00A66191">
      <w:pPr>
        <w:pStyle w:val="Textonotapie"/>
      </w:pPr>
      <w:r>
        <w:rPr>
          <w:rStyle w:val="Refdenotaalpie"/>
        </w:rPr>
        <w:footnoteRef/>
      </w:r>
      <w:r w:rsidRPr="00FB2657">
        <w:rPr>
          <w:rFonts w:ascii="Arial" w:hAnsi="Arial" w:cs="Arial"/>
          <w:sz w:val="16"/>
          <w:szCs w:val="16"/>
        </w:rPr>
        <w:t xml:space="preserve">Ministerio de Planeamiento del Brasil, </w:t>
      </w:r>
      <w:r>
        <w:rPr>
          <w:rFonts w:ascii="Arial" w:hAnsi="Arial" w:cs="Arial"/>
          <w:sz w:val="16"/>
          <w:szCs w:val="16"/>
        </w:rPr>
        <w:t>http://www.planejamento.gov.br; pá</w:t>
      </w:r>
      <w:r w:rsidRPr="00FB2657">
        <w:rPr>
          <w:rFonts w:ascii="Arial" w:hAnsi="Arial" w:cs="Arial"/>
          <w:sz w:val="16"/>
          <w:szCs w:val="16"/>
        </w:rPr>
        <w:t>gina visitada el 30 de marzo de 2013.</w:t>
      </w:r>
    </w:p>
  </w:footnote>
  <w:footnote w:id="47">
    <w:p w:rsidR="00912113" w:rsidRDefault="00912113" w:rsidP="00A66191">
      <w:pPr>
        <w:pStyle w:val="Textonotapie"/>
      </w:pPr>
      <w:r>
        <w:rPr>
          <w:rStyle w:val="Refdenotaalpie"/>
        </w:rPr>
        <w:footnoteRef/>
      </w:r>
      <w:r w:rsidRPr="00A157DF">
        <w:rPr>
          <w:rFonts w:ascii="Arial" w:hAnsi="Arial" w:cs="Arial"/>
          <w:sz w:val="16"/>
          <w:szCs w:val="16"/>
        </w:rPr>
        <w:t>Agenda social 2012-2013, Ministerio Coordinador de Desarrollo Social</w:t>
      </w:r>
    </w:p>
  </w:footnote>
  <w:footnote w:id="48">
    <w:p w:rsidR="00912113" w:rsidRDefault="00912113" w:rsidP="00A66191">
      <w:pPr>
        <w:pStyle w:val="Textonotapie"/>
      </w:pPr>
      <w:r>
        <w:rPr>
          <w:rStyle w:val="Refdenotaalpie"/>
        </w:rPr>
        <w:footnoteRef/>
      </w:r>
      <w:r>
        <w:rPr>
          <w:rFonts w:ascii="Arial" w:hAnsi="Arial" w:cs="Arial"/>
          <w:sz w:val="16"/>
          <w:szCs w:val="16"/>
        </w:rPr>
        <w:t>S</w:t>
      </w:r>
      <w:r w:rsidRPr="00A157DF">
        <w:rPr>
          <w:rFonts w:ascii="Arial" w:hAnsi="Arial" w:cs="Arial"/>
          <w:sz w:val="16"/>
          <w:szCs w:val="16"/>
        </w:rPr>
        <w:t>istema de selección de beneficiarios que elabora una base de datos de las familias ecuatorianas y las clasifica según su índice de bienestar</w:t>
      </w:r>
    </w:p>
  </w:footnote>
  <w:footnote w:id="49">
    <w:p w:rsidR="00912113" w:rsidRPr="00BF0F9D" w:rsidRDefault="00912113" w:rsidP="00A66191">
      <w:pPr>
        <w:pStyle w:val="Textonotapie"/>
      </w:pPr>
      <w:r>
        <w:rPr>
          <w:rStyle w:val="Refdenotaalpie"/>
        </w:rPr>
        <w:footnoteRef/>
      </w:r>
      <w:r w:rsidRPr="00BF0F9D">
        <w:rPr>
          <w:rFonts w:ascii="Arial" w:hAnsi="Arial" w:cs="Arial"/>
          <w:sz w:val="16"/>
          <w:szCs w:val="16"/>
        </w:rPr>
        <w:t>http://www.inclusion.gob.ec/category/bono-de-desarrollo-humano, página visitada el 30 de marzo del 2013</w:t>
      </w:r>
    </w:p>
  </w:footnote>
  <w:footnote w:id="50">
    <w:p w:rsidR="00912113" w:rsidRPr="00BC6FFF" w:rsidRDefault="00912113" w:rsidP="00A66191">
      <w:pPr>
        <w:pStyle w:val="Textonotapie"/>
      </w:pPr>
      <w:r>
        <w:rPr>
          <w:rStyle w:val="Refdenotaalpie"/>
        </w:rPr>
        <w:footnoteRef/>
      </w:r>
      <w:r w:rsidRPr="00BC6FFF">
        <w:rPr>
          <w:rFonts w:ascii="Arial" w:hAnsi="Arial" w:cs="Arial"/>
          <w:sz w:val="16"/>
          <w:szCs w:val="16"/>
        </w:rPr>
        <w:t>http://www.educacion.gob.ec/caracteristicas-de-las-uem.html</w:t>
      </w:r>
      <w:r>
        <w:rPr>
          <w:rFonts w:ascii="Arial" w:hAnsi="Arial" w:cs="Arial"/>
          <w:sz w:val="16"/>
          <w:szCs w:val="16"/>
        </w:rPr>
        <w:t>,</w:t>
      </w:r>
      <w:r w:rsidRPr="00BC6FFF">
        <w:rPr>
          <w:rFonts w:ascii="Arial" w:hAnsi="Arial" w:cs="Arial"/>
          <w:sz w:val="16"/>
          <w:szCs w:val="16"/>
        </w:rPr>
        <w:t xml:space="preserve"> p</w:t>
      </w:r>
      <w:r>
        <w:rPr>
          <w:rFonts w:ascii="Arial" w:hAnsi="Arial" w:cs="Arial"/>
          <w:sz w:val="16"/>
          <w:szCs w:val="16"/>
        </w:rPr>
        <w:t>á</w:t>
      </w:r>
      <w:r w:rsidRPr="00BC6FFF">
        <w:rPr>
          <w:rFonts w:ascii="Arial" w:hAnsi="Arial" w:cs="Arial"/>
          <w:sz w:val="16"/>
          <w:szCs w:val="16"/>
        </w:rPr>
        <w:t>gina visitada el 30 de abril del 2012</w:t>
      </w:r>
    </w:p>
  </w:footnote>
  <w:footnote w:id="51">
    <w:p w:rsidR="00912113" w:rsidRDefault="00912113" w:rsidP="00A66191">
      <w:pPr>
        <w:pStyle w:val="Textonotapie"/>
        <w:rPr>
          <w:rFonts w:ascii="Arial" w:hAnsi="Arial" w:cs="Arial"/>
          <w:sz w:val="16"/>
          <w:szCs w:val="16"/>
        </w:rPr>
      </w:pPr>
      <w:r>
        <w:rPr>
          <w:rStyle w:val="Refdenotaalpie"/>
        </w:rPr>
        <w:footnoteRef/>
      </w:r>
      <w:r w:rsidRPr="0084179F">
        <w:rPr>
          <w:rFonts w:ascii="Arial" w:hAnsi="Arial" w:cs="Arial"/>
          <w:sz w:val="16"/>
          <w:szCs w:val="16"/>
        </w:rPr>
        <w:t>http://www.telegrafo.com.ec/index.php?option=com_googlesearchcse&amp;n=30&amp;Itemid=&amp;cx=014740157341013632066%3Akynyhczy47u&amp;cof=FORID%3A11&amp;ie=UTF-8&amp;q=07%2F07%2F2012+economia+popular+y+solidaria&amp;sa=Buscar&amp;hl=es&amp;cr=countryEC&amp;siteurl=http%3A%2F%2Fwww.telegrafo.com.ec%2F, p</w:t>
      </w:r>
      <w:r>
        <w:rPr>
          <w:rFonts w:ascii="Arial" w:hAnsi="Arial" w:cs="Arial"/>
          <w:sz w:val="16"/>
          <w:szCs w:val="16"/>
        </w:rPr>
        <w:t>á</w:t>
      </w:r>
      <w:r w:rsidRPr="0084179F">
        <w:rPr>
          <w:rFonts w:ascii="Arial" w:hAnsi="Arial" w:cs="Arial"/>
          <w:sz w:val="16"/>
          <w:szCs w:val="16"/>
        </w:rPr>
        <w:t>gina visitada el 30 de marzo del 2013</w:t>
      </w:r>
    </w:p>
    <w:p w:rsidR="00912113" w:rsidRPr="0084179F" w:rsidRDefault="00912113" w:rsidP="00A66191">
      <w:pPr>
        <w:pStyle w:val="Textonotapie"/>
        <w:rPr>
          <w:rFonts w:ascii="Arial" w:hAnsi="Arial" w:cs="Arial"/>
          <w:sz w:val="16"/>
          <w:szCs w:val="16"/>
        </w:rPr>
      </w:pPr>
    </w:p>
  </w:footnote>
  <w:footnote w:id="52">
    <w:p w:rsidR="00912113" w:rsidRPr="0084179F" w:rsidRDefault="00912113" w:rsidP="00A66191">
      <w:pPr>
        <w:pStyle w:val="Textonotapie"/>
        <w:rPr>
          <w:rFonts w:ascii="Arial" w:hAnsi="Arial" w:cs="Arial"/>
          <w:sz w:val="16"/>
          <w:szCs w:val="16"/>
          <w:lang w:val="es-EC"/>
        </w:rPr>
      </w:pPr>
      <w:r w:rsidRPr="0084179F">
        <w:rPr>
          <w:rStyle w:val="Refdenotaalpie"/>
          <w:rFonts w:ascii="Arial" w:hAnsi="Arial" w:cs="Arial"/>
          <w:sz w:val="16"/>
          <w:szCs w:val="16"/>
        </w:rPr>
        <w:footnoteRef/>
      </w:r>
      <w:r w:rsidRPr="0084179F">
        <w:rPr>
          <w:rFonts w:ascii="Arial" w:hAnsi="Arial" w:cs="Arial"/>
          <w:sz w:val="16"/>
          <w:szCs w:val="16"/>
          <w:lang w:val="es-EC"/>
        </w:rPr>
        <w:t xml:space="preserve"> http://www.vistazo.com/ea/pais/imprimir.php?Vistazo.com&amp;id=3547</w:t>
      </w:r>
      <w:r>
        <w:rPr>
          <w:rFonts w:ascii="Arial" w:hAnsi="Arial" w:cs="Arial"/>
          <w:sz w:val="16"/>
          <w:szCs w:val="16"/>
          <w:lang w:val="es-EC"/>
        </w:rPr>
        <w:t xml:space="preserve"> pá</w:t>
      </w:r>
      <w:r w:rsidRPr="0084179F">
        <w:rPr>
          <w:rFonts w:ascii="Arial" w:hAnsi="Arial" w:cs="Arial"/>
          <w:sz w:val="16"/>
          <w:szCs w:val="16"/>
          <w:lang w:val="es-EC"/>
        </w:rPr>
        <w:t>gina visitada el 08 de noviembre del 2012</w:t>
      </w:r>
    </w:p>
  </w:footnote>
  <w:footnote w:id="53">
    <w:p w:rsidR="00912113" w:rsidRDefault="00912113" w:rsidP="00A66191">
      <w:pPr>
        <w:pStyle w:val="Textonotapie"/>
        <w:rPr>
          <w:lang w:val="es-EC"/>
        </w:rPr>
      </w:pPr>
      <w:r>
        <w:rPr>
          <w:rStyle w:val="Refdenotaalpie"/>
        </w:rPr>
        <w:footnoteRef/>
      </w:r>
    </w:p>
    <w:p w:rsidR="00912113" w:rsidRPr="000548EF" w:rsidRDefault="00912113" w:rsidP="00A66191">
      <w:pPr>
        <w:pStyle w:val="Textonotapie"/>
        <w:rPr>
          <w:lang w:val="es-EC"/>
        </w:rPr>
      </w:pPr>
      <w:r w:rsidRPr="000548EF">
        <w:rPr>
          <w:lang w:val="es-EC"/>
        </w:rPr>
        <w:t>http://www.ecuadorinmediato.com/index.php?module=Noticias&amp;func=news_user_view&amp;id=175161&amp;umt=el_gasto_publico_crecio_3_veces_mas_que_pib</w:t>
      </w:r>
      <w:r>
        <w:rPr>
          <w:lang w:val="es-EC"/>
        </w:rPr>
        <w:t>, página visitada el 13 de noviembre de 2012</w:t>
      </w:r>
    </w:p>
  </w:footnote>
  <w:footnote w:id="54">
    <w:p w:rsidR="00912113" w:rsidRPr="00727475" w:rsidRDefault="00912113" w:rsidP="00A66191">
      <w:pPr>
        <w:pStyle w:val="Textonotapie"/>
        <w:rPr>
          <w:rFonts w:ascii="Arial" w:hAnsi="Arial" w:cs="Arial"/>
          <w:sz w:val="16"/>
          <w:szCs w:val="16"/>
          <w:lang w:val="pt-BR"/>
        </w:rPr>
      </w:pPr>
      <w:r w:rsidRPr="00727475">
        <w:rPr>
          <w:rStyle w:val="Refdenotaalpie"/>
          <w:rFonts w:ascii="Arial" w:hAnsi="Arial" w:cs="Arial"/>
          <w:sz w:val="16"/>
          <w:szCs w:val="16"/>
        </w:rPr>
        <w:footnoteRef/>
      </w:r>
      <w:r w:rsidRPr="00727475">
        <w:rPr>
          <w:rFonts w:ascii="Arial" w:hAnsi="Arial" w:cs="Arial"/>
          <w:sz w:val="16"/>
          <w:szCs w:val="16"/>
          <w:lang w:val="pt-BR"/>
        </w:rPr>
        <w:t xml:space="preserve"> ABC Paulista: región industrial formada por siete municipios de </w:t>
      </w:r>
      <w:proofErr w:type="gramStart"/>
      <w:r w:rsidRPr="00727475">
        <w:rPr>
          <w:rFonts w:ascii="Arial" w:hAnsi="Arial" w:cs="Arial"/>
          <w:sz w:val="16"/>
          <w:szCs w:val="16"/>
          <w:lang w:val="pt-BR"/>
        </w:rPr>
        <w:t>la</w:t>
      </w:r>
      <w:proofErr w:type="gramEnd"/>
      <w:r w:rsidRPr="00727475">
        <w:rPr>
          <w:rFonts w:ascii="Arial" w:hAnsi="Arial" w:cs="Arial"/>
          <w:sz w:val="16"/>
          <w:szCs w:val="16"/>
          <w:lang w:val="pt-BR"/>
        </w:rPr>
        <w:t xml:space="preserve"> </w:t>
      </w:r>
      <w:hyperlink r:id="rId1" w:tooltip="Región Metropolitana de São Paulo" w:history="1">
        <w:r w:rsidRPr="00727475">
          <w:rPr>
            <w:rStyle w:val="Hipervnculo"/>
            <w:rFonts w:ascii="Arial" w:hAnsi="Arial" w:cs="Arial"/>
            <w:color w:val="auto"/>
            <w:sz w:val="16"/>
            <w:szCs w:val="16"/>
            <w:u w:val="none"/>
            <w:lang w:val="pt-BR"/>
          </w:rPr>
          <w:t>Región Metropolitana de São Paulo</w:t>
        </w:r>
      </w:hyperlink>
      <w:r w:rsidRPr="00727475">
        <w:rPr>
          <w:rFonts w:ascii="Arial" w:hAnsi="Arial" w:cs="Arial"/>
          <w:sz w:val="16"/>
          <w:szCs w:val="16"/>
          <w:lang w:val="pt-BR"/>
        </w:rPr>
        <w:t xml:space="preserve">: </w:t>
      </w:r>
      <w:r>
        <w:fldChar w:fldCharType="begin"/>
      </w:r>
      <w:r w:rsidRPr="00912113">
        <w:rPr>
          <w:lang w:val="pt-BR"/>
        </w:rPr>
        <w:instrText>HYPERLINK "http://es.wikipedia.org/wiki/Santo_Andr%C3%A9_%28S%C3%A3o_Paulo%29" \o "Santo André (São Paulo)"</w:instrText>
      </w:r>
      <w:r>
        <w:fldChar w:fldCharType="separate"/>
      </w:r>
      <w:r w:rsidRPr="00727475">
        <w:rPr>
          <w:rStyle w:val="Hipervnculo"/>
          <w:rFonts w:ascii="Arial" w:hAnsi="Arial" w:cs="Arial"/>
          <w:color w:val="auto"/>
          <w:sz w:val="16"/>
          <w:szCs w:val="16"/>
          <w:u w:val="none"/>
          <w:lang w:val="pt-BR"/>
        </w:rPr>
        <w:t xml:space="preserve">Santo </w:t>
      </w:r>
      <w:r w:rsidRPr="00727475">
        <w:rPr>
          <w:rStyle w:val="Hipervnculo"/>
          <w:rFonts w:ascii="Arial" w:hAnsi="Arial" w:cs="Arial"/>
          <w:b/>
          <w:bCs/>
          <w:color w:val="auto"/>
          <w:sz w:val="16"/>
          <w:szCs w:val="16"/>
          <w:u w:val="none"/>
          <w:lang w:val="pt-BR"/>
        </w:rPr>
        <w:t>A</w:t>
      </w:r>
      <w:r w:rsidRPr="00727475">
        <w:rPr>
          <w:rStyle w:val="Hipervnculo"/>
          <w:rFonts w:ascii="Arial" w:hAnsi="Arial" w:cs="Arial"/>
          <w:color w:val="auto"/>
          <w:sz w:val="16"/>
          <w:szCs w:val="16"/>
          <w:u w:val="none"/>
          <w:lang w:val="pt-BR"/>
        </w:rPr>
        <w:t>ndré</w:t>
      </w:r>
      <w:r>
        <w:fldChar w:fldCharType="end"/>
      </w:r>
      <w:r w:rsidRPr="00727475">
        <w:rPr>
          <w:rFonts w:ascii="Arial" w:hAnsi="Arial" w:cs="Arial"/>
          <w:sz w:val="16"/>
          <w:szCs w:val="16"/>
          <w:lang w:val="pt-BR"/>
        </w:rPr>
        <w:t xml:space="preserve"> (A); </w:t>
      </w:r>
      <w:hyperlink r:id="rId2" w:tooltip="São Bernardo do Campo" w:history="1">
        <w:r w:rsidRPr="00727475">
          <w:rPr>
            <w:rStyle w:val="Hipervnculo"/>
            <w:rFonts w:ascii="Arial" w:hAnsi="Arial" w:cs="Arial"/>
            <w:color w:val="auto"/>
            <w:sz w:val="16"/>
            <w:szCs w:val="16"/>
            <w:u w:val="none"/>
            <w:lang w:val="pt-BR"/>
          </w:rPr>
          <w:t xml:space="preserve">São </w:t>
        </w:r>
        <w:r w:rsidRPr="00727475">
          <w:rPr>
            <w:rStyle w:val="Hipervnculo"/>
            <w:rFonts w:ascii="Arial" w:hAnsi="Arial" w:cs="Arial"/>
            <w:b/>
            <w:bCs/>
            <w:color w:val="auto"/>
            <w:sz w:val="16"/>
            <w:szCs w:val="16"/>
            <w:u w:val="none"/>
            <w:lang w:val="pt-BR"/>
          </w:rPr>
          <w:t>B</w:t>
        </w:r>
        <w:r w:rsidRPr="00727475">
          <w:rPr>
            <w:rStyle w:val="Hipervnculo"/>
            <w:rFonts w:ascii="Arial" w:hAnsi="Arial" w:cs="Arial"/>
            <w:color w:val="auto"/>
            <w:sz w:val="16"/>
            <w:szCs w:val="16"/>
            <w:u w:val="none"/>
            <w:lang w:val="pt-BR"/>
          </w:rPr>
          <w:t>ernardo do Campo</w:t>
        </w:r>
      </w:hyperlink>
      <w:r w:rsidRPr="00727475">
        <w:rPr>
          <w:rFonts w:ascii="Arial" w:hAnsi="Arial" w:cs="Arial"/>
          <w:sz w:val="16"/>
          <w:szCs w:val="16"/>
          <w:lang w:val="pt-BR"/>
        </w:rPr>
        <w:t xml:space="preserve"> (B); </w:t>
      </w:r>
      <w:hyperlink r:id="rId3" w:tooltip="São Caetano do Sul" w:history="1">
        <w:r w:rsidRPr="00727475">
          <w:rPr>
            <w:rStyle w:val="Hipervnculo"/>
            <w:rFonts w:ascii="Arial" w:hAnsi="Arial" w:cs="Arial"/>
            <w:color w:val="auto"/>
            <w:sz w:val="16"/>
            <w:szCs w:val="16"/>
            <w:u w:val="none"/>
            <w:lang w:val="pt-BR"/>
          </w:rPr>
          <w:t xml:space="preserve">São </w:t>
        </w:r>
        <w:r w:rsidRPr="00727475">
          <w:rPr>
            <w:rStyle w:val="Hipervnculo"/>
            <w:rFonts w:ascii="Arial" w:hAnsi="Arial" w:cs="Arial"/>
            <w:b/>
            <w:bCs/>
            <w:color w:val="auto"/>
            <w:sz w:val="16"/>
            <w:szCs w:val="16"/>
            <w:u w:val="none"/>
            <w:lang w:val="pt-BR"/>
          </w:rPr>
          <w:t>C</w:t>
        </w:r>
        <w:r w:rsidRPr="00727475">
          <w:rPr>
            <w:rStyle w:val="Hipervnculo"/>
            <w:rFonts w:ascii="Arial" w:hAnsi="Arial" w:cs="Arial"/>
            <w:color w:val="auto"/>
            <w:sz w:val="16"/>
            <w:szCs w:val="16"/>
            <w:u w:val="none"/>
            <w:lang w:val="pt-BR"/>
          </w:rPr>
          <w:t>aetano do Sul</w:t>
        </w:r>
      </w:hyperlink>
      <w:r w:rsidRPr="00727475">
        <w:rPr>
          <w:rFonts w:ascii="Arial" w:hAnsi="Arial" w:cs="Arial"/>
          <w:sz w:val="16"/>
          <w:szCs w:val="16"/>
          <w:lang w:val="pt-BR"/>
        </w:rPr>
        <w:t xml:space="preserve"> (C); </w:t>
      </w:r>
      <w:hyperlink r:id="rId4" w:tooltip="Diadema (Brasil) (aún no redactado)" w:history="1">
        <w:r w:rsidRPr="00727475">
          <w:rPr>
            <w:rStyle w:val="Hipervnculo"/>
            <w:rFonts w:ascii="Arial" w:hAnsi="Arial" w:cs="Arial"/>
            <w:b/>
            <w:bCs/>
            <w:color w:val="auto"/>
            <w:sz w:val="16"/>
            <w:szCs w:val="16"/>
            <w:u w:val="none"/>
            <w:lang w:val="pt-BR"/>
          </w:rPr>
          <w:t>D</w:t>
        </w:r>
        <w:r w:rsidRPr="00727475">
          <w:rPr>
            <w:rStyle w:val="Hipervnculo"/>
            <w:rFonts w:ascii="Arial" w:hAnsi="Arial" w:cs="Arial"/>
            <w:color w:val="auto"/>
            <w:sz w:val="16"/>
            <w:szCs w:val="16"/>
            <w:u w:val="none"/>
            <w:lang w:val="pt-BR"/>
          </w:rPr>
          <w:t>iadema</w:t>
        </w:r>
      </w:hyperlink>
      <w:r w:rsidRPr="00727475">
        <w:rPr>
          <w:rFonts w:ascii="Arial" w:hAnsi="Arial" w:cs="Arial"/>
          <w:sz w:val="16"/>
          <w:szCs w:val="16"/>
          <w:lang w:val="pt-BR"/>
        </w:rPr>
        <w:t xml:space="preserve"> (D); </w:t>
      </w:r>
      <w:hyperlink r:id="rId5" w:tooltip="Mauá" w:history="1">
        <w:r w:rsidRPr="00727475">
          <w:rPr>
            <w:rStyle w:val="Hipervnculo"/>
            <w:rFonts w:ascii="Arial" w:hAnsi="Arial" w:cs="Arial"/>
            <w:color w:val="auto"/>
            <w:sz w:val="16"/>
            <w:szCs w:val="16"/>
            <w:u w:val="none"/>
            <w:lang w:val="pt-BR"/>
          </w:rPr>
          <w:t>Mauá</w:t>
        </w:r>
      </w:hyperlink>
      <w:r w:rsidRPr="00727475">
        <w:rPr>
          <w:rFonts w:ascii="Arial" w:hAnsi="Arial" w:cs="Arial"/>
          <w:sz w:val="16"/>
          <w:szCs w:val="16"/>
          <w:lang w:val="pt-BR"/>
        </w:rPr>
        <w:t xml:space="preserve">, </w:t>
      </w:r>
      <w:hyperlink r:id="rId6" w:tooltip="Ribeirão Pires" w:history="1">
        <w:r w:rsidRPr="00727475">
          <w:rPr>
            <w:rStyle w:val="Hipervnculo"/>
            <w:rFonts w:ascii="Arial" w:hAnsi="Arial" w:cs="Arial"/>
            <w:color w:val="auto"/>
            <w:sz w:val="16"/>
            <w:szCs w:val="16"/>
            <w:u w:val="none"/>
            <w:lang w:val="pt-BR"/>
          </w:rPr>
          <w:t>Ribeirão Pires</w:t>
        </w:r>
      </w:hyperlink>
      <w:r w:rsidRPr="00727475">
        <w:rPr>
          <w:rFonts w:ascii="Arial" w:hAnsi="Arial" w:cs="Arial"/>
          <w:sz w:val="16"/>
          <w:szCs w:val="16"/>
          <w:lang w:val="pt-BR"/>
        </w:rPr>
        <w:t xml:space="preserve"> y </w:t>
      </w:r>
      <w:hyperlink r:id="rId7" w:tooltip="Rio Grande da Serra (aún no redactado)" w:history="1">
        <w:r w:rsidRPr="00727475">
          <w:rPr>
            <w:rStyle w:val="Hipervnculo"/>
            <w:rFonts w:ascii="Arial" w:hAnsi="Arial" w:cs="Arial"/>
            <w:color w:val="auto"/>
            <w:sz w:val="16"/>
            <w:szCs w:val="16"/>
            <w:u w:val="none"/>
            <w:lang w:val="pt-BR"/>
          </w:rPr>
          <w:t>Rio Grande da Serra</w:t>
        </w:r>
      </w:hyperlink>
      <w:r w:rsidRPr="00727475">
        <w:rPr>
          <w:rFonts w:ascii="Arial" w:hAnsi="Arial" w:cs="Arial"/>
          <w:sz w:val="16"/>
          <w:szCs w:val="16"/>
          <w:lang w:val="pt-BR"/>
        </w:rPr>
        <w:t>.</w:t>
      </w:r>
    </w:p>
  </w:footnote>
  <w:footnote w:id="55">
    <w:p w:rsidR="00912113" w:rsidRPr="00221868" w:rsidRDefault="00912113" w:rsidP="00A66191">
      <w:pPr>
        <w:pStyle w:val="Textonotapie"/>
        <w:rPr>
          <w:rFonts w:ascii="Arial" w:hAnsi="Arial" w:cs="Arial"/>
          <w:sz w:val="16"/>
          <w:szCs w:val="16"/>
        </w:rPr>
      </w:pPr>
      <w:r w:rsidRPr="00221868">
        <w:rPr>
          <w:rStyle w:val="Refdenotaalpie"/>
          <w:rFonts w:ascii="Arial" w:hAnsi="Arial" w:cs="Arial"/>
          <w:sz w:val="16"/>
          <w:szCs w:val="16"/>
        </w:rPr>
        <w:footnoteRef/>
      </w:r>
      <w:r w:rsidRPr="00221868">
        <w:rPr>
          <w:rFonts w:ascii="Arial" w:hAnsi="Arial" w:cs="Arial"/>
          <w:sz w:val="16"/>
          <w:szCs w:val="16"/>
        </w:rPr>
        <w:t xml:space="preserve"> Correa Rafael, Discurso de posesión 2006</w:t>
      </w:r>
      <w:r>
        <w:rPr>
          <w:rFonts w:ascii="Arial" w:hAnsi="Arial" w:cs="Arial"/>
          <w:sz w:val="16"/>
          <w:szCs w:val="16"/>
        </w:rPr>
        <w:t>,</w:t>
      </w:r>
      <w:r w:rsidRPr="00221868">
        <w:rPr>
          <w:rFonts w:ascii="Arial" w:hAnsi="Arial" w:cs="Arial"/>
          <w:sz w:val="16"/>
          <w:szCs w:val="16"/>
        </w:rPr>
        <w:t xml:space="preserve"> http://www.ecuaworld.com/ecuablog/index.php?itemid=550</w:t>
      </w:r>
      <w:r>
        <w:rPr>
          <w:rFonts w:ascii="Arial" w:hAnsi="Arial" w:cs="Arial"/>
          <w:sz w:val="16"/>
          <w:szCs w:val="16"/>
        </w:rPr>
        <w:t>, página visitada el 19 de agosto del  2012</w:t>
      </w:r>
    </w:p>
  </w:footnote>
  <w:footnote w:id="56">
    <w:p w:rsidR="00912113" w:rsidRDefault="00912113" w:rsidP="00A66191">
      <w:pPr>
        <w:pStyle w:val="Textonotapie"/>
      </w:pPr>
      <w:r>
        <w:rPr>
          <w:rStyle w:val="Refdenotaalpie"/>
        </w:rPr>
        <w:footnoteRef/>
      </w:r>
      <w:r w:rsidRPr="00861D41">
        <w:rPr>
          <w:rFonts w:ascii="Arial" w:hAnsi="Arial" w:cs="Arial"/>
          <w:sz w:val="16"/>
          <w:szCs w:val="16"/>
        </w:rPr>
        <w:t>el riesgo país es el riesgo de una inversión económica debido sólo a factores específicos y comunes a un cierto país. Puede entenderse como un riesgo promedio de las inversiones realizadas en cierto país.</w:t>
      </w:r>
    </w:p>
  </w:footnote>
  <w:footnote w:id="57">
    <w:p w:rsidR="00912113" w:rsidRDefault="00912113" w:rsidP="00A66191">
      <w:pPr>
        <w:pStyle w:val="Textonotapie"/>
      </w:pPr>
      <w:r>
        <w:rPr>
          <w:rStyle w:val="Refdenotaalpie"/>
        </w:rPr>
        <w:footnoteRef/>
      </w:r>
      <w:r>
        <w:t xml:space="preserve"> Gratius, Susanne; “Brasil en las Américas ¿Una potencia regional pacificadora?”; FRIDE, 2007; herramienta en pdf. </w:t>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89"/>
    <w:multiLevelType w:val="singleLevel"/>
    <w:tmpl w:val="A17CBEAE"/>
    <w:lvl w:ilvl="0">
      <w:start w:val="1"/>
      <w:numFmt w:val="bullet"/>
      <w:pStyle w:val="Listaconvietas"/>
      <w:lvlText w:val=""/>
      <w:lvlJc w:val="left"/>
      <w:pPr>
        <w:tabs>
          <w:tab w:val="num" w:pos="360"/>
        </w:tabs>
        <w:ind w:left="360" w:hanging="360"/>
      </w:pPr>
      <w:rPr>
        <w:rFonts w:ascii="Symbol" w:hAnsi="Symbol" w:hint="default"/>
      </w:rPr>
    </w:lvl>
  </w:abstractNum>
  <w:abstractNum w:abstractNumId="1">
    <w:nsid w:val="01ED0353"/>
    <w:multiLevelType w:val="hybridMultilevel"/>
    <w:tmpl w:val="96F80D30"/>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
    <w:nsid w:val="02CE4A6D"/>
    <w:multiLevelType w:val="hybridMultilevel"/>
    <w:tmpl w:val="EEAAB358"/>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
    <w:nsid w:val="03E522D5"/>
    <w:multiLevelType w:val="hybridMultilevel"/>
    <w:tmpl w:val="338E560C"/>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4">
    <w:nsid w:val="04485E8E"/>
    <w:multiLevelType w:val="hybridMultilevel"/>
    <w:tmpl w:val="B8BEF6DA"/>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
    <w:nsid w:val="073B05D8"/>
    <w:multiLevelType w:val="hybridMultilevel"/>
    <w:tmpl w:val="BA607910"/>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6">
    <w:nsid w:val="07D0795A"/>
    <w:multiLevelType w:val="hybridMultilevel"/>
    <w:tmpl w:val="661240A8"/>
    <w:lvl w:ilvl="0" w:tplc="FDD0AA64">
      <w:start w:val="1"/>
      <w:numFmt w:val="ordin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7">
    <w:nsid w:val="0A1E4B24"/>
    <w:multiLevelType w:val="multilevel"/>
    <w:tmpl w:val="CA48E90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nsid w:val="0D6D5313"/>
    <w:multiLevelType w:val="multilevel"/>
    <w:tmpl w:val="73CA924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nsid w:val="0F136C80"/>
    <w:multiLevelType w:val="hybridMultilevel"/>
    <w:tmpl w:val="D5CEC424"/>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0">
    <w:nsid w:val="100C4438"/>
    <w:multiLevelType w:val="hybridMultilevel"/>
    <w:tmpl w:val="511C3728"/>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1">
    <w:nsid w:val="12B2785D"/>
    <w:multiLevelType w:val="hybridMultilevel"/>
    <w:tmpl w:val="8F1238C6"/>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2">
    <w:nsid w:val="141A564D"/>
    <w:multiLevelType w:val="multilevel"/>
    <w:tmpl w:val="3EEEC13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nsid w:val="1D836903"/>
    <w:multiLevelType w:val="hybridMultilevel"/>
    <w:tmpl w:val="B3369F76"/>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4">
    <w:nsid w:val="1E223E1C"/>
    <w:multiLevelType w:val="hybridMultilevel"/>
    <w:tmpl w:val="23468AAE"/>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5">
    <w:nsid w:val="1F6F2E2F"/>
    <w:multiLevelType w:val="multilevel"/>
    <w:tmpl w:val="EB804098"/>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nsid w:val="21A72AE8"/>
    <w:multiLevelType w:val="multilevel"/>
    <w:tmpl w:val="99E2E0A8"/>
    <w:lvl w:ilvl="0">
      <w:start w:val="2"/>
      <w:numFmt w:val="decimal"/>
      <w:lvlText w:val="%1."/>
      <w:lvlJc w:val="left"/>
      <w:pPr>
        <w:ind w:left="720" w:hanging="360"/>
      </w:pPr>
      <w:rPr>
        <w:rFonts w:ascii="Arial" w:hAnsi="Arial" w:cs="Arial" w:hint="default"/>
        <w:b/>
        <w:sz w:val="24"/>
        <w:szCs w:val="24"/>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7">
    <w:nsid w:val="29CD58CE"/>
    <w:multiLevelType w:val="multilevel"/>
    <w:tmpl w:val="551ECAC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nsid w:val="2C2077D6"/>
    <w:multiLevelType w:val="hybridMultilevel"/>
    <w:tmpl w:val="084A7A8C"/>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9">
    <w:nsid w:val="2C864D8F"/>
    <w:multiLevelType w:val="hybridMultilevel"/>
    <w:tmpl w:val="BCAA78EE"/>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0">
    <w:nsid w:val="2C9B67FE"/>
    <w:multiLevelType w:val="hybridMultilevel"/>
    <w:tmpl w:val="743ED188"/>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1">
    <w:nsid w:val="2D571BE7"/>
    <w:multiLevelType w:val="hybridMultilevel"/>
    <w:tmpl w:val="5CC8E7A8"/>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2">
    <w:nsid w:val="2F1C0426"/>
    <w:multiLevelType w:val="multilevel"/>
    <w:tmpl w:val="8878E504"/>
    <w:lvl w:ilvl="0">
      <w:start w:val="4"/>
      <w:numFmt w:val="decimal"/>
      <w:lvlText w:val="%1"/>
      <w:lvlJc w:val="left"/>
      <w:pPr>
        <w:ind w:left="525" w:hanging="525"/>
      </w:pPr>
      <w:rPr>
        <w:rFonts w:hint="default"/>
      </w:rPr>
    </w:lvl>
    <w:lvl w:ilvl="1">
      <w:start w:val="5"/>
      <w:numFmt w:val="decimal"/>
      <w:lvlText w:val="%1.%2"/>
      <w:lvlJc w:val="left"/>
      <w:pPr>
        <w:ind w:left="877" w:hanging="525"/>
      </w:pPr>
      <w:rPr>
        <w:rFonts w:hint="default"/>
      </w:rPr>
    </w:lvl>
    <w:lvl w:ilvl="2">
      <w:start w:val="3"/>
      <w:numFmt w:val="decimal"/>
      <w:lvlText w:val="%1.%2.%3"/>
      <w:lvlJc w:val="left"/>
      <w:pPr>
        <w:ind w:left="1424" w:hanging="720"/>
      </w:pPr>
      <w:rPr>
        <w:rFonts w:hint="default"/>
      </w:rPr>
    </w:lvl>
    <w:lvl w:ilvl="3">
      <w:start w:val="1"/>
      <w:numFmt w:val="decimal"/>
      <w:lvlText w:val="%1.%2.%3.%4"/>
      <w:lvlJc w:val="left"/>
      <w:pPr>
        <w:ind w:left="2136" w:hanging="1080"/>
      </w:pPr>
      <w:rPr>
        <w:rFonts w:hint="default"/>
      </w:rPr>
    </w:lvl>
    <w:lvl w:ilvl="4">
      <w:start w:val="1"/>
      <w:numFmt w:val="decimal"/>
      <w:lvlText w:val="%1.%2.%3.%4.%5"/>
      <w:lvlJc w:val="left"/>
      <w:pPr>
        <w:ind w:left="2488" w:hanging="1080"/>
      </w:pPr>
      <w:rPr>
        <w:rFonts w:hint="default"/>
      </w:rPr>
    </w:lvl>
    <w:lvl w:ilvl="5">
      <w:start w:val="1"/>
      <w:numFmt w:val="decimal"/>
      <w:lvlText w:val="%1.%2.%3.%4.%5.%6"/>
      <w:lvlJc w:val="left"/>
      <w:pPr>
        <w:ind w:left="3200" w:hanging="1440"/>
      </w:pPr>
      <w:rPr>
        <w:rFonts w:hint="default"/>
      </w:rPr>
    </w:lvl>
    <w:lvl w:ilvl="6">
      <w:start w:val="1"/>
      <w:numFmt w:val="decimal"/>
      <w:lvlText w:val="%1.%2.%3.%4.%5.%6.%7"/>
      <w:lvlJc w:val="left"/>
      <w:pPr>
        <w:ind w:left="3552" w:hanging="1440"/>
      </w:pPr>
      <w:rPr>
        <w:rFonts w:hint="default"/>
      </w:rPr>
    </w:lvl>
    <w:lvl w:ilvl="7">
      <w:start w:val="1"/>
      <w:numFmt w:val="decimal"/>
      <w:lvlText w:val="%1.%2.%3.%4.%5.%6.%7.%8"/>
      <w:lvlJc w:val="left"/>
      <w:pPr>
        <w:ind w:left="4264" w:hanging="1800"/>
      </w:pPr>
      <w:rPr>
        <w:rFonts w:hint="default"/>
      </w:rPr>
    </w:lvl>
    <w:lvl w:ilvl="8">
      <w:start w:val="1"/>
      <w:numFmt w:val="decimal"/>
      <w:lvlText w:val="%1.%2.%3.%4.%5.%6.%7.%8.%9"/>
      <w:lvlJc w:val="left"/>
      <w:pPr>
        <w:ind w:left="4616" w:hanging="1800"/>
      </w:pPr>
      <w:rPr>
        <w:rFonts w:hint="default"/>
      </w:rPr>
    </w:lvl>
  </w:abstractNum>
  <w:abstractNum w:abstractNumId="23">
    <w:nsid w:val="2F6D3134"/>
    <w:multiLevelType w:val="multilevel"/>
    <w:tmpl w:val="AB9887BA"/>
    <w:lvl w:ilvl="0">
      <w:start w:val="1"/>
      <w:numFmt w:val="decimal"/>
      <w:lvlText w:val="%1."/>
      <w:lvlJc w:val="left"/>
      <w:pPr>
        <w:ind w:left="720" w:hanging="360"/>
      </w:pPr>
    </w:lvl>
    <w:lvl w:ilvl="1">
      <w:start w:val="1"/>
      <w:numFmt w:val="decimal"/>
      <w:isLgl/>
      <w:lvlText w:val="%1.%2"/>
      <w:lvlJc w:val="left"/>
      <w:pPr>
        <w:ind w:left="780" w:hanging="4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24">
    <w:nsid w:val="2F6E50FA"/>
    <w:multiLevelType w:val="multilevel"/>
    <w:tmpl w:val="B0AE719E"/>
    <w:lvl w:ilvl="0">
      <w:start w:val="3"/>
      <w:numFmt w:val="decimal"/>
      <w:lvlText w:val="%1"/>
      <w:lvlJc w:val="left"/>
      <w:pPr>
        <w:ind w:left="525" w:hanging="525"/>
      </w:pPr>
      <w:rPr>
        <w:rFonts w:hint="default"/>
      </w:rPr>
    </w:lvl>
    <w:lvl w:ilvl="1">
      <w:start w:val="3"/>
      <w:numFmt w:val="decimal"/>
      <w:lvlText w:val="%1.%2"/>
      <w:lvlJc w:val="left"/>
      <w:pPr>
        <w:ind w:left="885" w:hanging="525"/>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4680" w:hanging="1800"/>
      </w:pPr>
      <w:rPr>
        <w:rFonts w:hint="default"/>
      </w:rPr>
    </w:lvl>
  </w:abstractNum>
  <w:abstractNum w:abstractNumId="25">
    <w:nsid w:val="302836A6"/>
    <w:multiLevelType w:val="hybridMultilevel"/>
    <w:tmpl w:val="7ECCE212"/>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6">
    <w:nsid w:val="31194576"/>
    <w:multiLevelType w:val="multilevel"/>
    <w:tmpl w:val="FAB0F2F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nsid w:val="32F652D5"/>
    <w:multiLevelType w:val="hybridMultilevel"/>
    <w:tmpl w:val="1778D63C"/>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8">
    <w:nsid w:val="336C7E4A"/>
    <w:multiLevelType w:val="hybridMultilevel"/>
    <w:tmpl w:val="6DD2A466"/>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29">
    <w:nsid w:val="3B79611B"/>
    <w:multiLevelType w:val="multilevel"/>
    <w:tmpl w:val="2A76521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0">
    <w:nsid w:val="3D8427DF"/>
    <w:multiLevelType w:val="hybridMultilevel"/>
    <w:tmpl w:val="B39CE322"/>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1">
    <w:nsid w:val="3FC059EA"/>
    <w:multiLevelType w:val="hybridMultilevel"/>
    <w:tmpl w:val="4C443334"/>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2">
    <w:nsid w:val="42027C0A"/>
    <w:multiLevelType w:val="hybridMultilevel"/>
    <w:tmpl w:val="B7C0C1E4"/>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3">
    <w:nsid w:val="455C244B"/>
    <w:multiLevelType w:val="hybridMultilevel"/>
    <w:tmpl w:val="A85AF718"/>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4">
    <w:nsid w:val="4B8321C1"/>
    <w:multiLevelType w:val="multilevel"/>
    <w:tmpl w:val="600AE0CA"/>
    <w:lvl w:ilvl="0">
      <w:start w:val="3"/>
      <w:numFmt w:val="decimal"/>
      <w:lvlText w:val="%1"/>
      <w:lvlJc w:val="left"/>
      <w:pPr>
        <w:ind w:left="360" w:hanging="360"/>
      </w:pPr>
      <w:rPr>
        <w:rFonts w:hint="default"/>
        <w:b/>
        <w:color w:val="auto"/>
      </w:rPr>
    </w:lvl>
    <w:lvl w:ilvl="1">
      <w:start w:val="2"/>
      <w:numFmt w:val="decimal"/>
      <w:lvlText w:val="%1.%2"/>
      <w:lvlJc w:val="left"/>
      <w:pPr>
        <w:ind w:left="720" w:hanging="360"/>
      </w:pPr>
      <w:rPr>
        <w:rFonts w:hint="default"/>
        <w:b/>
        <w:color w:val="auto"/>
      </w:rPr>
    </w:lvl>
    <w:lvl w:ilvl="2">
      <w:start w:val="1"/>
      <w:numFmt w:val="decimal"/>
      <w:lvlText w:val="%1.%2.%3"/>
      <w:lvlJc w:val="left"/>
      <w:pPr>
        <w:ind w:left="1440" w:hanging="720"/>
      </w:pPr>
      <w:rPr>
        <w:rFonts w:hint="default"/>
        <w:b/>
        <w:color w:val="auto"/>
      </w:rPr>
    </w:lvl>
    <w:lvl w:ilvl="3">
      <w:start w:val="1"/>
      <w:numFmt w:val="decimal"/>
      <w:lvlText w:val="%1.%2.%3.%4"/>
      <w:lvlJc w:val="left"/>
      <w:pPr>
        <w:ind w:left="2160" w:hanging="1080"/>
      </w:pPr>
      <w:rPr>
        <w:rFonts w:hint="default"/>
        <w:b/>
        <w:color w:val="auto"/>
      </w:rPr>
    </w:lvl>
    <w:lvl w:ilvl="4">
      <w:start w:val="1"/>
      <w:numFmt w:val="decimal"/>
      <w:lvlText w:val="%1.%2.%3.%4.%5"/>
      <w:lvlJc w:val="left"/>
      <w:pPr>
        <w:ind w:left="2520" w:hanging="1080"/>
      </w:pPr>
      <w:rPr>
        <w:rFonts w:hint="default"/>
        <w:b/>
        <w:color w:val="auto"/>
      </w:rPr>
    </w:lvl>
    <w:lvl w:ilvl="5">
      <w:start w:val="1"/>
      <w:numFmt w:val="decimal"/>
      <w:lvlText w:val="%1.%2.%3.%4.%5.%6"/>
      <w:lvlJc w:val="left"/>
      <w:pPr>
        <w:ind w:left="3240" w:hanging="1440"/>
      </w:pPr>
      <w:rPr>
        <w:rFonts w:hint="default"/>
        <w:b/>
        <w:color w:val="auto"/>
      </w:rPr>
    </w:lvl>
    <w:lvl w:ilvl="6">
      <w:start w:val="1"/>
      <w:numFmt w:val="decimal"/>
      <w:lvlText w:val="%1.%2.%3.%4.%5.%6.%7"/>
      <w:lvlJc w:val="left"/>
      <w:pPr>
        <w:ind w:left="3600" w:hanging="1440"/>
      </w:pPr>
      <w:rPr>
        <w:rFonts w:hint="default"/>
        <w:b/>
        <w:color w:val="auto"/>
      </w:rPr>
    </w:lvl>
    <w:lvl w:ilvl="7">
      <w:start w:val="1"/>
      <w:numFmt w:val="decimal"/>
      <w:lvlText w:val="%1.%2.%3.%4.%5.%6.%7.%8"/>
      <w:lvlJc w:val="left"/>
      <w:pPr>
        <w:ind w:left="4320" w:hanging="1800"/>
      </w:pPr>
      <w:rPr>
        <w:rFonts w:hint="default"/>
        <w:b/>
        <w:color w:val="auto"/>
      </w:rPr>
    </w:lvl>
    <w:lvl w:ilvl="8">
      <w:start w:val="1"/>
      <w:numFmt w:val="decimal"/>
      <w:lvlText w:val="%1.%2.%3.%4.%5.%6.%7.%8.%9"/>
      <w:lvlJc w:val="left"/>
      <w:pPr>
        <w:ind w:left="4680" w:hanging="1800"/>
      </w:pPr>
      <w:rPr>
        <w:rFonts w:hint="default"/>
        <w:b/>
        <w:color w:val="auto"/>
      </w:rPr>
    </w:lvl>
  </w:abstractNum>
  <w:abstractNum w:abstractNumId="35">
    <w:nsid w:val="4CB44A21"/>
    <w:multiLevelType w:val="hybridMultilevel"/>
    <w:tmpl w:val="4738A0B6"/>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6">
    <w:nsid w:val="50674007"/>
    <w:multiLevelType w:val="hybridMultilevel"/>
    <w:tmpl w:val="073E3E04"/>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7">
    <w:nsid w:val="559446C5"/>
    <w:multiLevelType w:val="hybridMultilevel"/>
    <w:tmpl w:val="59743E3E"/>
    <w:lvl w:ilvl="0" w:tplc="0C0A0001">
      <w:start w:val="1"/>
      <w:numFmt w:val="bullet"/>
      <w:lvlText w:val=""/>
      <w:lvlJc w:val="left"/>
      <w:pPr>
        <w:ind w:left="840" w:hanging="360"/>
      </w:pPr>
      <w:rPr>
        <w:rFonts w:ascii="Symbol" w:hAnsi="Symbol" w:hint="default"/>
      </w:rPr>
    </w:lvl>
    <w:lvl w:ilvl="1" w:tplc="0C0A0003" w:tentative="1">
      <w:start w:val="1"/>
      <w:numFmt w:val="bullet"/>
      <w:lvlText w:val="o"/>
      <w:lvlJc w:val="left"/>
      <w:pPr>
        <w:ind w:left="1560" w:hanging="360"/>
      </w:pPr>
      <w:rPr>
        <w:rFonts w:ascii="Courier New" w:hAnsi="Courier New" w:cs="Courier New" w:hint="default"/>
      </w:rPr>
    </w:lvl>
    <w:lvl w:ilvl="2" w:tplc="0C0A0005" w:tentative="1">
      <w:start w:val="1"/>
      <w:numFmt w:val="bullet"/>
      <w:lvlText w:val=""/>
      <w:lvlJc w:val="left"/>
      <w:pPr>
        <w:ind w:left="2280" w:hanging="360"/>
      </w:pPr>
      <w:rPr>
        <w:rFonts w:ascii="Wingdings" w:hAnsi="Wingdings" w:hint="default"/>
      </w:rPr>
    </w:lvl>
    <w:lvl w:ilvl="3" w:tplc="0C0A0001" w:tentative="1">
      <w:start w:val="1"/>
      <w:numFmt w:val="bullet"/>
      <w:lvlText w:val=""/>
      <w:lvlJc w:val="left"/>
      <w:pPr>
        <w:ind w:left="3000" w:hanging="360"/>
      </w:pPr>
      <w:rPr>
        <w:rFonts w:ascii="Symbol" w:hAnsi="Symbol" w:hint="default"/>
      </w:rPr>
    </w:lvl>
    <w:lvl w:ilvl="4" w:tplc="0C0A0003" w:tentative="1">
      <w:start w:val="1"/>
      <w:numFmt w:val="bullet"/>
      <w:lvlText w:val="o"/>
      <w:lvlJc w:val="left"/>
      <w:pPr>
        <w:ind w:left="3720" w:hanging="360"/>
      </w:pPr>
      <w:rPr>
        <w:rFonts w:ascii="Courier New" w:hAnsi="Courier New" w:cs="Courier New" w:hint="default"/>
      </w:rPr>
    </w:lvl>
    <w:lvl w:ilvl="5" w:tplc="0C0A0005" w:tentative="1">
      <w:start w:val="1"/>
      <w:numFmt w:val="bullet"/>
      <w:lvlText w:val=""/>
      <w:lvlJc w:val="left"/>
      <w:pPr>
        <w:ind w:left="4440" w:hanging="360"/>
      </w:pPr>
      <w:rPr>
        <w:rFonts w:ascii="Wingdings" w:hAnsi="Wingdings" w:hint="default"/>
      </w:rPr>
    </w:lvl>
    <w:lvl w:ilvl="6" w:tplc="0C0A0001" w:tentative="1">
      <w:start w:val="1"/>
      <w:numFmt w:val="bullet"/>
      <w:lvlText w:val=""/>
      <w:lvlJc w:val="left"/>
      <w:pPr>
        <w:ind w:left="5160" w:hanging="360"/>
      </w:pPr>
      <w:rPr>
        <w:rFonts w:ascii="Symbol" w:hAnsi="Symbol" w:hint="default"/>
      </w:rPr>
    </w:lvl>
    <w:lvl w:ilvl="7" w:tplc="0C0A0003" w:tentative="1">
      <w:start w:val="1"/>
      <w:numFmt w:val="bullet"/>
      <w:lvlText w:val="o"/>
      <w:lvlJc w:val="left"/>
      <w:pPr>
        <w:ind w:left="5880" w:hanging="360"/>
      </w:pPr>
      <w:rPr>
        <w:rFonts w:ascii="Courier New" w:hAnsi="Courier New" w:cs="Courier New" w:hint="default"/>
      </w:rPr>
    </w:lvl>
    <w:lvl w:ilvl="8" w:tplc="0C0A0005" w:tentative="1">
      <w:start w:val="1"/>
      <w:numFmt w:val="bullet"/>
      <w:lvlText w:val=""/>
      <w:lvlJc w:val="left"/>
      <w:pPr>
        <w:ind w:left="6600" w:hanging="360"/>
      </w:pPr>
      <w:rPr>
        <w:rFonts w:ascii="Wingdings" w:hAnsi="Wingdings" w:hint="default"/>
      </w:rPr>
    </w:lvl>
  </w:abstractNum>
  <w:abstractNum w:abstractNumId="38">
    <w:nsid w:val="56C22482"/>
    <w:multiLevelType w:val="hybridMultilevel"/>
    <w:tmpl w:val="9724C486"/>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9">
    <w:nsid w:val="62F80846"/>
    <w:multiLevelType w:val="multilevel"/>
    <w:tmpl w:val="75F841D6"/>
    <w:lvl w:ilvl="0">
      <w:start w:val="1"/>
      <w:numFmt w:val="decimal"/>
      <w:lvlText w:val="%1"/>
      <w:lvlJc w:val="left"/>
      <w:pPr>
        <w:ind w:left="720" w:hanging="360"/>
      </w:pPr>
      <w:rPr>
        <w:rFonts w:hint="default"/>
      </w:rPr>
    </w:lvl>
    <w:lvl w:ilvl="1">
      <w:start w:val="2"/>
      <w:numFmt w:val="decimal"/>
      <w:isLgl/>
      <w:lvlText w:val="%1.%2"/>
      <w:lvlJc w:val="left"/>
      <w:pPr>
        <w:ind w:left="1428" w:hanging="360"/>
      </w:pPr>
      <w:rPr>
        <w:rFonts w:hint="default"/>
      </w:rPr>
    </w:lvl>
    <w:lvl w:ilvl="2">
      <w:start w:val="1"/>
      <w:numFmt w:val="decimal"/>
      <w:isLgl/>
      <w:lvlText w:val="%1.%2.%3"/>
      <w:lvlJc w:val="left"/>
      <w:pPr>
        <w:ind w:left="2496" w:hanging="720"/>
      </w:pPr>
      <w:rPr>
        <w:rFonts w:hint="default"/>
      </w:rPr>
    </w:lvl>
    <w:lvl w:ilvl="3">
      <w:start w:val="1"/>
      <w:numFmt w:val="decimal"/>
      <w:isLgl/>
      <w:lvlText w:val="%1.%2.%3.%4"/>
      <w:lvlJc w:val="left"/>
      <w:pPr>
        <w:ind w:left="3564" w:hanging="1080"/>
      </w:pPr>
      <w:rPr>
        <w:rFonts w:hint="default"/>
      </w:rPr>
    </w:lvl>
    <w:lvl w:ilvl="4">
      <w:start w:val="1"/>
      <w:numFmt w:val="decimal"/>
      <w:isLgl/>
      <w:lvlText w:val="%1.%2.%3.%4.%5"/>
      <w:lvlJc w:val="left"/>
      <w:pPr>
        <w:ind w:left="4272" w:hanging="1080"/>
      </w:pPr>
      <w:rPr>
        <w:rFonts w:hint="default"/>
      </w:rPr>
    </w:lvl>
    <w:lvl w:ilvl="5">
      <w:start w:val="1"/>
      <w:numFmt w:val="decimal"/>
      <w:isLgl/>
      <w:lvlText w:val="%1.%2.%3.%4.%5.%6"/>
      <w:lvlJc w:val="left"/>
      <w:pPr>
        <w:ind w:left="5340" w:hanging="1440"/>
      </w:pPr>
      <w:rPr>
        <w:rFonts w:hint="default"/>
      </w:rPr>
    </w:lvl>
    <w:lvl w:ilvl="6">
      <w:start w:val="1"/>
      <w:numFmt w:val="decimal"/>
      <w:isLgl/>
      <w:lvlText w:val="%1.%2.%3.%4.%5.%6.%7"/>
      <w:lvlJc w:val="left"/>
      <w:pPr>
        <w:ind w:left="6048" w:hanging="1440"/>
      </w:pPr>
      <w:rPr>
        <w:rFonts w:hint="default"/>
      </w:rPr>
    </w:lvl>
    <w:lvl w:ilvl="7">
      <w:start w:val="1"/>
      <w:numFmt w:val="decimal"/>
      <w:isLgl/>
      <w:lvlText w:val="%1.%2.%3.%4.%5.%6.%7.%8"/>
      <w:lvlJc w:val="left"/>
      <w:pPr>
        <w:ind w:left="7116" w:hanging="1800"/>
      </w:pPr>
      <w:rPr>
        <w:rFonts w:hint="default"/>
      </w:rPr>
    </w:lvl>
    <w:lvl w:ilvl="8">
      <w:start w:val="1"/>
      <w:numFmt w:val="decimal"/>
      <w:isLgl/>
      <w:lvlText w:val="%1.%2.%3.%4.%5.%6.%7.%8.%9"/>
      <w:lvlJc w:val="left"/>
      <w:pPr>
        <w:ind w:left="7824" w:hanging="1800"/>
      </w:pPr>
      <w:rPr>
        <w:rFonts w:hint="default"/>
      </w:rPr>
    </w:lvl>
  </w:abstractNum>
  <w:abstractNum w:abstractNumId="40">
    <w:nsid w:val="650B2EB0"/>
    <w:multiLevelType w:val="hybridMultilevel"/>
    <w:tmpl w:val="94AC3222"/>
    <w:lvl w:ilvl="0" w:tplc="0C0A0001">
      <w:start w:val="1"/>
      <w:numFmt w:val="bullet"/>
      <w:lvlText w:val=""/>
      <w:lvlJc w:val="left"/>
      <w:pPr>
        <w:ind w:left="1080" w:hanging="360"/>
      </w:pPr>
      <w:rPr>
        <w:rFonts w:ascii="Symbol" w:hAnsi="Symbol" w:hint="default"/>
      </w:rPr>
    </w:lvl>
    <w:lvl w:ilvl="1" w:tplc="0C0A0003" w:tentative="1">
      <w:start w:val="1"/>
      <w:numFmt w:val="bullet"/>
      <w:lvlText w:val="o"/>
      <w:lvlJc w:val="left"/>
      <w:pPr>
        <w:ind w:left="1800" w:hanging="360"/>
      </w:pPr>
      <w:rPr>
        <w:rFonts w:ascii="Courier New" w:hAnsi="Courier New" w:cs="Courier New" w:hint="default"/>
      </w:rPr>
    </w:lvl>
    <w:lvl w:ilvl="2" w:tplc="0C0A0005" w:tentative="1">
      <w:start w:val="1"/>
      <w:numFmt w:val="bullet"/>
      <w:lvlText w:val=""/>
      <w:lvlJc w:val="left"/>
      <w:pPr>
        <w:ind w:left="2520" w:hanging="360"/>
      </w:pPr>
      <w:rPr>
        <w:rFonts w:ascii="Wingdings" w:hAnsi="Wingdings" w:hint="default"/>
      </w:rPr>
    </w:lvl>
    <w:lvl w:ilvl="3" w:tplc="0C0A0001" w:tentative="1">
      <w:start w:val="1"/>
      <w:numFmt w:val="bullet"/>
      <w:lvlText w:val=""/>
      <w:lvlJc w:val="left"/>
      <w:pPr>
        <w:ind w:left="3240" w:hanging="360"/>
      </w:pPr>
      <w:rPr>
        <w:rFonts w:ascii="Symbol" w:hAnsi="Symbol" w:hint="default"/>
      </w:rPr>
    </w:lvl>
    <w:lvl w:ilvl="4" w:tplc="0C0A0003" w:tentative="1">
      <w:start w:val="1"/>
      <w:numFmt w:val="bullet"/>
      <w:lvlText w:val="o"/>
      <w:lvlJc w:val="left"/>
      <w:pPr>
        <w:ind w:left="3960" w:hanging="360"/>
      </w:pPr>
      <w:rPr>
        <w:rFonts w:ascii="Courier New" w:hAnsi="Courier New" w:cs="Courier New" w:hint="default"/>
      </w:rPr>
    </w:lvl>
    <w:lvl w:ilvl="5" w:tplc="0C0A0005" w:tentative="1">
      <w:start w:val="1"/>
      <w:numFmt w:val="bullet"/>
      <w:lvlText w:val=""/>
      <w:lvlJc w:val="left"/>
      <w:pPr>
        <w:ind w:left="4680" w:hanging="360"/>
      </w:pPr>
      <w:rPr>
        <w:rFonts w:ascii="Wingdings" w:hAnsi="Wingdings" w:hint="default"/>
      </w:rPr>
    </w:lvl>
    <w:lvl w:ilvl="6" w:tplc="0C0A0001" w:tentative="1">
      <w:start w:val="1"/>
      <w:numFmt w:val="bullet"/>
      <w:lvlText w:val=""/>
      <w:lvlJc w:val="left"/>
      <w:pPr>
        <w:ind w:left="5400" w:hanging="360"/>
      </w:pPr>
      <w:rPr>
        <w:rFonts w:ascii="Symbol" w:hAnsi="Symbol" w:hint="default"/>
      </w:rPr>
    </w:lvl>
    <w:lvl w:ilvl="7" w:tplc="0C0A0003" w:tentative="1">
      <w:start w:val="1"/>
      <w:numFmt w:val="bullet"/>
      <w:lvlText w:val="o"/>
      <w:lvlJc w:val="left"/>
      <w:pPr>
        <w:ind w:left="6120" w:hanging="360"/>
      </w:pPr>
      <w:rPr>
        <w:rFonts w:ascii="Courier New" w:hAnsi="Courier New" w:cs="Courier New" w:hint="default"/>
      </w:rPr>
    </w:lvl>
    <w:lvl w:ilvl="8" w:tplc="0C0A0005" w:tentative="1">
      <w:start w:val="1"/>
      <w:numFmt w:val="bullet"/>
      <w:lvlText w:val=""/>
      <w:lvlJc w:val="left"/>
      <w:pPr>
        <w:ind w:left="6840" w:hanging="360"/>
      </w:pPr>
      <w:rPr>
        <w:rFonts w:ascii="Wingdings" w:hAnsi="Wingdings" w:hint="default"/>
      </w:rPr>
    </w:lvl>
  </w:abstractNum>
  <w:abstractNum w:abstractNumId="41">
    <w:nsid w:val="68E86333"/>
    <w:multiLevelType w:val="hybridMultilevel"/>
    <w:tmpl w:val="F654BB7C"/>
    <w:lvl w:ilvl="0" w:tplc="0C0A0017">
      <w:start w:val="1"/>
      <w:numFmt w:val="lowerLetter"/>
      <w:lvlText w:val="%1)"/>
      <w:lvlJc w:val="left"/>
      <w:pPr>
        <w:ind w:left="1068" w:hanging="360"/>
      </w:pPr>
      <w:rPr>
        <w:rFonts w:hint="default"/>
      </w:rPr>
    </w:lvl>
    <w:lvl w:ilvl="1" w:tplc="0C0A0019">
      <w:start w:val="1"/>
      <w:numFmt w:val="lowerLetter"/>
      <w:lvlText w:val="%2."/>
      <w:lvlJc w:val="left"/>
      <w:pPr>
        <w:ind w:left="1788" w:hanging="360"/>
      </w:pPr>
    </w:lvl>
    <w:lvl w:ilvl="2" w:tplc="0C0A001B" w:tentative="1">
      <w:start w:val="1"/>
      <w:numFmt w:val="lowerRoman"/>
      <w:lvlText w:val="%3."/>
      <w:lvlJc w:val="right"/>
      <w:pPr>
        <w:ind w:left="2508" w:hanging="180"/>
      </w:pPr>
    </w:lvl>
    <w:lvl w:ilvl="3" w:tplc="0C0A000F" w:tentative="1">
      <w:start w:val="1"/>
      <w:numFmt w:val="decimal"/>
      <w:lvlText w:val="%4."/>
      <w:lvlJc w:val="left"/>
      <w:pPr>
        <w:ind w:left="3228" w:hanging="360"/>
      </w:pPr>
    </w:lvl>
    <w:lvl w:ilvl="4" w:tplc="0C0A0019" w:tentative="1">
      <w:start w:val="1"/>
      <w:numFmt w:val="lowerLetter"/>
      <w:lvlText w:val="%5."/>
      <w:lvlJc w:val="left"/>
      <w:pPr>
        <w:ind w:left="3948" w:hanging="360"/>
      </w:pPr>
    </w:lvl>
    <w:lvl w:ilvl="5" w:tplc="0C0A001B" w:tentative="1">
      <w:start w:val="1"/>
      <w:numFmt w:val="lowerRoman"/>
      <w:lvlText w:val="%6."/>
      <w:lvlJc w:val="right"/>
      <w:pPr>
        <w:ind w:left="4668" w:hanging="180"/>
      </w:pPr>
    </w:lvl>
    <w:lvl w:ilvl="6" w:tplc="0C0A000F" w:tentative="1">
      <w:start w:val="1"/>
      <w:numFmt w:val="decimal"/>
      <w:lvlText w:val="%7."/>
      <w:lvlJc w:val="left"/>
      <w:pPr>
        <w:ind w:left="5388" w:hanging="360"/>
      </w:pPr>
    </w:lvl>
    <w:lvl w:ilvl="7" w:tplc="0C0A0019" w:tentative="1">
      <w:start w:val="1"/>
      <w:numFmt w:val="lowerLetter"/>
      <w:lvlText w:val="%8."/>
      <w:lvlJc w:val="left"/>
      <w:pPr>
        <w:ind w:left="6108" w:hanging="360"/>
      </w:pPr>
    </w:lvl>
    <w:lvl w:ilvl="8" w:tplc="0C0A001B" w:tentative="1">
      <w:start w:val="1"/>
      <w:numFmt w:val="lowerRoman"/>
      <w:lvlText w:val="%9."/>
      <w:lvlJc w:val="right"/>
      <w:pPr>
        <w:ind w:left="6828" w:hanging="180"/>
      </w:pPr>
    </w:lvl>
  </w:abstractNum>
  <w:abstractNum w:abstractNumId="42">
    <w:nsid w:val="6A731CB5"/>
    <w:multiLevelType w:val="hybridMultilevel"/>
    <w:tmpl w:val="3222AA26"/>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3">
    <w:nsid w:val="759768A0"/>
    <w:multiLevelType w:val="hybridMultilevel"/>
    <w:tmpl w:val="0F906262"/>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4">
    <w:nsid w:val="769D2AE3"/>
    <w:multiLevelType w:val="multilevel"/>
    <w:tmpl w:val="27788C7E"/>
    <w:lvl w:ilvl="0">
      <w:start w:val="4"/>
      <w:numFmt w:val="decimal"/>
      <w:lvlText w:val="%1"/>
      <w:lvlJc w:val="left"/>
      <w:pPr>
        <w:ind w:left="525" w:hanging="525"/>
      </w:pPr>
      <w:rPr>
        <w:rFonts w:hint="default"/>
      </w:rPr>
    </w:lvl>
    <w:lvl w:ilvl="1">
      <w:start w:val="3"/>
      <w:numFmt w:val="decimal"/>
      <w:lvlText w:val="%1.%2"/>
      <w:lvlJc w:val="left"/>
      <w:pPr>
        <w:ind w:left="879" w:hanging="525"/>
      </w:pPr>
      <w:rPr>
        <w:rFonts w:hint="default"/>
      </w:rPr>
    </w:lvl>
    <w:lvl w:ilvl="2">
      <w:start w:val="2"/>
      <w:numFmt w:val="decimal"/>
      <w:lvlText w:val="%1.%2.%3"/>
      <w:lvlJc w:val="left"/>
      <w:pPr>
        <w:ind w:left="1428" w:hanging="720"/>
      </w:pPr>
      <w:rPr>
        <w:rFonts w:hint="default"/>
      </w:rPr>
    </w:lvl>
    <w:lvl w:ilvl="3">
      <w:start w:val="1"/>
      <w:numFmt w:val="decimal"/>
      <w:lvlText w:val="%1.%2.%3.%4"/>
      <w:lvlJc w:val="left"/>
      <w:pPr>
        <w:ind w:left="2142" w:hanging="1080"/>
      </w:pPr>
      <w:rPr>
        <w:rFonts w:hint="default"/>
      </w:rPr>
    </w:lvl>
    <w:lvl w:ilvl="4">
      <w:start w:val="1"/>
      <w:numFmt w:val="decimal"/>
      <w:lvlText w:val="%1.%2.%3.%4.%5"/>
      <w:lvlJc w:val="left"/>
      <w:pPr>
        <w:ind w:left="2496" w:hanging="1080"/>
      </w:pPr>
      <w:rPr>
        <w:rFonts w:hint="default"/>
      </w:rPr>
    </w:lvl>
    <w:lvl w:ilvl="5">
      <w:start w:val="1"/>
      <w:numFmt w:val="decimal"/>
      <w:lvlText w:val="%1.%2.%3.%4.%5.%6"/>
      <w:lvlJc w:val="left"/>
      <w:pPr>
        <w:ind w:left="3210" w:hanging="1440"/>
      </w:pPr>
      <w:rPr>
        <w:rFonts w:hint="default"/>
      </w:rPr>
    </w:lvl>
    <w:lvl w:ilvl="6">
      <w:start w:val="1"/>
      <w:numFmt w:val="decimal"/>
      <w:lvlText w:val="%1.%2.%3.%4.%5.%6.%7"/>
      <w:lvlJc w:val="left"/>
      <w:pPr>
        <w:ind w:left="3564" w:hanging="1440"/>
      </w:pPr>
      <w:rPr>
        <w:rFonts w:hint="default"/>
      </w:rPr>
    </w:lvl>
    <w:lvl w:ilvl="7">
      <w:start w:val="1"/>
      <w:numFmt w:val="decimal"/>
      <w:lvlText w:val="%1.%2.%3.%4.%5.%6.%7.%8"/>
      <w:lvlJc w:val="left"/>
      <w:pPr>
        <w:ind w:left="4278" w:hanging="1800"/>
      </w:pPr>
      <w:rPr>
        <w:rFonts w:hint="default"/>
      </w:rPr>
    </w:lvl>
    <w:lvl w:ilvl="8">
      <w:start w:val="1"/>
      <w:numFmt w:val="decimal"/>
      <w:lvlText w:val="%1.%2.%3.%4.%5.%6.%7.%8.%9"/>
      <w:lvlJc w:val="left"/>
      <w:pPr>
        <w:ind w:left="4632" w:hanging="1800"/>
      </w:pPr>
      <w:rPr>
        <w:rFonts w:hint="default"/>
      </w:rPr>
    </w:lvl>
  </w:abstractNum>
  <w:abstractNum w:abstractNumId="45">
    <w:nsid w:val="77455A52"/>
    <w:multiLevelType w:val="multilevel"/>
    <w:tmpl w:val="8F64814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6">
    <w:nsid w:val="7809350F"/>
    <w:multiLevelType w:val="hybridMultilevel"/>
    <w:tmpl w:val="C632E4B6"/>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num w:numId="1">
    <w:abstractNumId w:val="39"/>
  </w:num>
  <w:num w:numId="2">
    <w:abstractNumId w:val="16"/>
  </w:num>
  <w:num w:numId="3">
    <w:abstractNumId w:val="12"/>
  </w:num>
  <w:num w:numId="4">
    <w:abstractNumId w:val="0"/>
  </w:num>
  <w:num w:numId="5">
    <w:abstractNumId w:val="31"/>
  </w:num>
  <w:num w:numId="6">
    <w:abstractNumId w:val="41"/>
  </w:num>
  <w:num w:numId="7">
    <w:abstractNumId w:val="23"/>
  </w:num>
  <w:num w:numId="8">
    <w:abstractNumId w:val="4"/>
  </w:num>
  <w:num w:numId="9">
    <w:abstractNumId w:val="27"/>
  </w:num>
  <w:num w:numId="10">
    <w:abstractNumId w:val="9"/>
  </w:num>
  <w:num w:numId="11">
    <w:abstractNumId w:val="14"/>
  </w:num>
  <w:num w:numId="12">
    <w:abstractNumId w:val="1"/>
  </w:num>
  <w:num w:numId="13">
    <w:abstractNumId w:val="15"/>
  </w:num>
  <w:num w:numId="14">
    <w:abstractNumId w:val="5"/>
  </w:num>
  <w:num w:numId="15">
    <w:abstractNumId w:val="13"/>
  </w:num>
  <w:num w:numId="16">
    <w:abstractNumId w:val="20"/>
  </w:num>
  <w:num w:numId="17">
    <w:abstractNumId w:val="11"/>
  </w:num>
  <w:num w:numId="18">
    <w:abstractNumId w:val="30"/>
  </w:num>
  <w:num w:numId="19">
    <w:abstractNumId w:val="40"/>
  </w:num>
  <w:num w:numId="20">
    <w:abstractNumId w:val="37"/>
  </w:num>
  <w:num w:numId="21">
    <w:abstractNumId w:val="34"/>
  </w:num>
  <w:num w:numId="22">
    <w:abstractNumId w:val="29"/>
  </w:num>
  <w:num w:numId="23">
    <w:abstractNumId w:val="36"/>
  </w:num>
  <w:num w:numId="24">
    <w:abstractNumId w:val="38"/>
  </w:num>
  <w:num w:numId="25">
    <w:abstractNumId w:val="18"/>
  </w:num>
  <w:num w:numId="26">
    <w:abstractNumId w:val="33"/>
  </w:num>
  <w:num w:numId="27">
    <w:abstractNumId w:val="44"/>
  </w:num>
  <w:num w:numId="28">
    <w:abstractNumId w:val="22"/>
  </w:num>
  <w:num w:numId="29">
    <w:abstractNumId w:val="28"/>
  </w:num>
  <w:num w:numId="30">
    <w:abstractNumId w:val="26"/>
  </w:num>
  <w:num w:numId="31">
    <w:abstractNumId w:val="8"/>
  </w:num>
  <w:num w:numId="32">
    <w:abstractNumId w:val="10"/>
  </w:num>
  <w:num w:numId="33">
    <w:abstractNumId w:val="21"/>
  </w:num>
  <w:num w:numId="34">
    <w:abstractNumId w:val="6"/>
  </w:num>
  <w:num w:numId="35">
    <w:abstractNumId w:val="35"/>
  </w:num>
  <w:num w:numId="36">
    <w:abstractNumId w:val="25"/>
  </w:num>
  <w:num w:numId="37">
    <w:abstractNumId w:val="42"/>
  </w:num>
  <w:num w:numId="38">
    <w:abstractNumId w:val="43"/>
  </w:num>
  <w:num w:numId="39">
    <w:abstractNumId w:val="3"/>
  </w:num>
  <w:num w:numId="40">
    <w:abstractNumId w:val="32"/>
  </w:num>
  <w:num w:numId="41">
    <w:abstractNumId w:val="7"/>
  </w:num>
  <w:num w:numId="42">
    <w:abstractNumId w:val="45"/>
  </w:num>
  <w:num w:numId="43">
    <w:abstractNumId w:val="17"/>
  </w:num>
  <w:num w:numId="44">
    <w:abstractNumId w:val="24"/>
  </w:num>
  <w:num w:numId="45">
    <w:abstractNumId w:val="19"/>
  </w:num>
  <w:num w:numId="46">
    <w:abstractNumId w:val="46"/>
  </w:num>
  <w:num w:numId="47">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9"/>
  <w:hyphenationZone w:val="425"/>
  <w:characterSpacingControl w:val="doNotCompress"/>
  <w:footnotePr>
    <w:footnote w:id="0"/>
    <w:footnote w:id="1"/>
  </w:footnotePr>
  <w:endnotePr>
    <w:endnote w:id="0"/>
    <w:endnote w:id="1"/>
  </w:endnotePr>
  <w:compat>
    <w:useFELayout/>
  </w:compat>
  <w:rsids>
    <w:rsidRoot w:val="00A66191"/>
    <w:rsid w:val="00085E3E"/>
    <w:rsid w:val="00282A18"/>
    <w:rsid w:val="00293425"/>
    <w:rsid w:val="00314466"/>
    <w:rsid w:val="00352ADA"/>
    <w:rsid w:val="0037126D"/>
    <w:rsid w:val="003860AB"/>
    <w:rsid w:val="003E4A55"/>
    <w:rsid w:val="004C527D"/>
    <w:rsid w:val="004D6466"/>
    <w:rsid w:val="00572FE7"/>
    <w:rsid w:val="0059562B"/>
    <w:rsid w:val="005C2B6E"/>
    <w:rsid w:val="00626309"/>
    <w:rsid w:val="0068609B"/>
    <w:rsid w:val="00686D97"/>
    <w:rsid w:val="006D15F9"/>
    <w:rsid w:val="006E61EB"/>
    <w:rsid w:val="007133DF"/>
    <w:rsid w:val="00721439"/>
    <w:rsid w:val="00727475"/>
    <w:rsid w:val="0073221A"/>
    <w:rsid w:val="007A3445"/>
    <w:rsid w:val="007A491C"/>
    <w:rsid w:val="00830DFF"/>
    <w:rsid w:val="008901FD"/>
    <w:rsid w:val="008E51C2"/>
    <w:rsid w:val="00912113"/>
    <w:rsid w:val="00A23367"/>
    <w:rsid w:val="00A517CF"/>
    <w:rsid w:val="00A66191"/>
    <w:rsid w:val="00A71AC6"/>
    <w:rsid w:val="00AF53C2"/>
    <w:rsid w:val="00B22C3A"/>
    <w:rsid w:val="00B30AFE"/>
    <w:rsid w:val="00B8343A"/>
    <w:rsid w:val="00B937F3"/>
    <w:rsid w:val="00C2070E"/>
    <w:rsid w:val="00C60E4B"/>
    <w:rsid w:val="00CC2DA8"/>
    <w:rsid w:val="00D67E50"/>
    <w:rsid w:val="00D7079E"/>
    <w:rsid w:val="00E772E7"/>
    <w:rsid w:val="00EC6FD0"/>
    <w:rsid w:val="00F613AF"/>
    <w:rsid w:val="00FC505C"/>
  </w:rsids>
  <m:mathPr>
    <m:mathFont m:val="Cambria Math"/>
    <m:brkBin m:val="before"/>
    <m:brkBinSub m:val="--"/>
    <m:smallFrac/>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s-ES" w:eastAsia="es-E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Title" w:semiHidden="0" w:uiPriority="10" w:unhideWhenUsed="0" w:qFormat="1"/>
    <w:lsdException w:name="Default Paragraph Font" w:uiPriority="1"/>
    <w:lsdException w:name="Subtitle" w:semiHidden="0" w:uiPriority="11" w:unhideWhenUsed="0" w:qFormat="1"/>
    <w:lsdException w:name="Body Text Indent 2"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26309"/>
  </w:style>
  <w:style w:type="paragraph" w:styleId="Ttulo1">
    <w:name w:val="heading 1"/>
    <w:basedOn w:val="Normal"/>
    <w:next w:val="Normal"/>
    <w:link w:val="Ttulo1Car"/>
    <w:uiPriority w:val="9"/>
    <w:qFormat/>
    <w:rsid w:val="00A66191"/>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Ttulo2">
    <w:name w:val="heading 2"/>
    <w:basedOn w:val="Normal"/>
    <w:next w:val="Normal"/>
    <w:link w:val="Ttulo2Car"/>
    <w:uiPriority w:val="9"/>
    <w:unhideWhenUsed/>
    <w:qFormat/>
    <w:rsid w:val="00A66191"/>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Ttulo3">
    <w:name w:val="heading 3"/>
    <w:basedOn w:val="Normal"/>
    <w:next w:val="Normal"/>
    <w:link w:val="Ttulo3Car"/>
    <w:uiPriority w:val="9"/>
    <w:unhideWhenUsed/>
    <w:qFormat/>
    <w:rsid w:val="00A66191"/>
    <w:pPr>
      <w:keepNext/>
      <w:keepLines/>
      <w:spacing w:before="200" w:after="0"/>
      <w:outlineLvl w:val="2"/>
    </w:pPr>
    <w:rPr>
      <w:rFonts w:asciiTheme="majorHAnsi" w:eastAsiaTheme="majorEastAsia" w:hAnsiTheme="majorHAnsi" w:cstheme="majorBidi"/>
      <w:b/>
      <w:bCs/>
      <w:color w:val="4F81BD" w:themeColor="accent1"/>
    </w:rPr>
  </w:style>
  <w:style w:type="paragraph" w:styleId="Ttulo4">
    <w:name w:val="heading 4"/>
    <w:basedOn w:val="Normal"/>
    <w:link w:val="Ttulo4Car"/>
    <w:uiPriority w:val="9"/>
    <w:qFormat/>
    <w:rsid w:val="00A66191"/>
    <w:pPr>
      <w:spacing w:before="100" w:beforeAutospacing="1" w:after="100" w:afterAutospacing="1" w:line="240" w:lineRule="auto"/>
      <w:outlineLvl w:val="3"/>
    </w:pPr>
    <w:rPr>
      <w:rFonts w:ascii="Times New Roman" w:eastAsia="Times New Roman" w:hAnsi="Times New Roman" w:cs="Times New Roman"/>
      <w:b/>
      <w:bCs/>
      <w:sz w:val="24"/>
      <w:szCs w:val="24"/>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A66191"/>
    <w:rPr>
      <w:rFonts w:asciiTheme="majorHAnsi" w:eastAsiaTheme="majorEastAsia" w:hAnsiTheme="majorHAnsi" w:cstheme="majorBidi"/>
      <w:b/>
      <w:bCs/>
      <w:color w:val="365F91" w:themeColor="accent1" w:themeShade="BF"/>
      <w:sz w:val="28"/>
      <w:szCs w:val="28"/>
    </w:rPr>
  </w:style>
  <w:style w:type="character" w:customStyle="1" w:styleId="Ttulo2Car">
    <w:name w:val="Título 2 Car"/>
    <w:basedOn w:val="Fuentedeprrafopredeter"/>
    <w:link w:val="Ttulo2"/>
    <w:uiPriority w:val="9"/>
    <w:rsid w:val="00A66191"/>
    <w:rPr>
      <w:rFonts w:asciiTheme="majorHAnsi" w:eastAsiaTheme="majorEastAsia" w:hAnsiTheme="majorHAnsi" w:cstheme="majorBidi"/>
      <w:b/>
      <w:bCs/>
      <w:color w:val="4F81BD" w:themeColor="accent1"/>
      <w:sz w:val="26"/>
      <w:szCs w:val="26"/>
    </w:rPr>
  </w:style>
  <w:style w:type="character" w:customStyle="1" w:styleId="Ttulo3Car">
    <w:name w:val="Título 3 Car"/>
    <w:basedOn w:val="Fuentedeprrafopredeter"/>
    <w:link w:val="Ttulo3"/>
    <w:uiPriority w:val="9"/>
    <w:rsid w:val="00A66191"/>
    <w:rPr>
      <w:rFonts w:asciiTheme="majorHAnsi" w:eastAsiaTheme="majorEastAsia" w:hAnsiTheme="majorHAnsi" w:cstheme="majorBidi"/>
      <w:b/>
      <w:bCs/>
      <w:color w:val="4F81BD" w:themeColor="accent1"/>
    </w:rPr>
  </w:style>
  <w:style w:type="character" w:customStyle="1" w:styleId="Ttulo4Car">
    <w:name w:val="Título 4 Car"/>
    <w:basedOn w:val="Fuentedeprrafopredeter"/>
    <w:link w:val="Ttulo4"/>
    <w:uiPriority w:val="9"/>
    <w:rsid w:val="00A66191"/>
    <w:rPr>
      <w:rFonts w:ascii="Times New Roman" w:eastAsia="Times New Roman" w:hAnsi="Times New Roman" w:cs="Times New Roman"/>
      <w:b/>
      <w:bCs/>
      <w:sz w:val="24"/>
      <w:szCs w:val="24"/>
      <w:lang w:eastAsia="es-ES"/>
    </w:rPr>
  </w:style>
  <w:style w:type="paragraph" w:styleId="Prrafodelista">
    <w:name w:val="List Paragraph"/>
    <w:basedOn w:val="Normal"/>
    <w:uiPriority w:val="34"/>
    <w:qFormat/>
    <w:rsid w:val="00A66191"/>
    <w:pPr>
      <w:ind w:left="720"/>
      <w:contextualSpacing/>
    </w:pPr>
  </w:style>
  <w:style w:type="paragraph" w:styleId="Sinespaciado">
    <w:name w:val="No Spacing"/>
    <w:uiPriority w:val="1"/>
    <w:qFormat/>
    <w:rsid w:val="00A66191"/>
    <w:pPr>
      <w:spacing w:after="0" w:line="240" w:lineRule="auto"/>
    </w:pPr>
  </w:style>
  <w:style w:type="paragraph" w:styleId="Piedepgina">
    <w:name w:val="footer"/>
    <w:basedOn w:val="Normal"/>
    <w:link w:val="PiedepginaCar"/>
    <w:uiPriority w:val="99"/>
    <w:unhideWhenUsed/>
    <w:rsid w:val="00A66191"/>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A66191"/>
  </w:style>
  <w:style w:type="paragraph" w:styleId="Textodeglobo">
    <w:name w:val="Balloon Text"/>
    <w:basedOn w:val="Normal"/>
    <w:link w:val="TextodegloboCar"/>
    <w:uiPriority w:val="99"/>
    <w:semiHidden/>
    <w:unhideWhenUsed/>
    <w:rsid w:val="00A66191"/>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A66191"/>
    <w:rPr>
      <w:rFonts w:ascii="Tahoma" w:hAnsi="Tahoma" w:cs="Tahoma"/>
      <w:sz w:val="16"/>
      <w:szCs w:val="16"/>
    </w:rPr>
  </w:style>
  <w:style w:type="paragraph" w:styleId="NormalWeb">
    <w:name w:val="Normal (Web)"/>
    <w:basedOn w:val="Normal"/>
    <w:uiPriority w:val="99"/>
    <w:unhideWhenUsed/>
    <w:rsid w:val="00A66191"/>
    <w:pPr>
      <w:spacing w:before="100" w:beforeAutospacing="1" w:after="100" w:afterAutospacing="1" w:line="240" w:lineRule="auto"/>
    </w:pPr>
    <w:rPr>
      <w:rFonts w:ascii="Times New Roman" w:eastAsia="Times New Roman" w:hAnsi="Times New Roman" w:cs="Times New Roman"/>
      <w:sz w:val="24"/>
      <w:szCs w:val="24"/>
    </w:rPr>
  </w:style>
  <w:style w:type="character" w:styleId="Hipervnculo">
    <w:name w:val="Hyperlink"/>
    <w:basedOn w:val="Fuentedeprrafopredeter"/>
    <w:uiPriority w:val="99"/>
    <w:unhideWhenUsed/>
    <w:rsid w:val="00A66191"/>
    <w:rPr>
      <w:color w:val="0000FF"/>
      <w:u w:val="single"/>
    </w:rPr>
  </w:style>
  <w:style w:type="paragraph" w:styleId="Textonotapie">
    <w:name w:val="footnote text"/>
    <w:basedOn w:val="Normal"/>
    <w:link w:val="TextonotapieCar"/>
    <w:unhideWhenUsed/>
    <w:rsid w:val="00A66191"/>
    <w:pPr>
      <w:spacing w:after="0" w:line="240" w:lineRule="auto"/>
    </w:pPr>
    <w:rPr>
      <w:rFonts w:ascii="Calibri" w:eastAsia="Calibri" w:hAnsi="Calibri" w:cs="Times New Roman"/>
      <w:sz w:val="20"/>
      <w:szCs w:val="20"/>
    </w:rPr>
  </w:style>
  <w:style w:type="character" w:customStyle="1" w:styleId="TextonotapieCar">
    <w:name w:val="Texto nota pie Car"/>
    <w:basedOn w:val="Fuentedeprrafopredeter"/>
    <w:link w:val="Textonotapie"/>
    <w:rsid w:val="00A66191"/>
    <w:rPr>
      <w:rFonts w:ascii="Calibri" w:eastAsia="Calibri" w:hAnsi="Calibri" w:cs="Times New Roman"/>
      <w:sz w:val="20"/>
      <w:szCs w:val="20"/>
    </w:rPr>
  </w:style>
  <w:style w:type="character" w:styleId="Refdenotaalpie">
    <w:name w:val="footnote reference"/>
    <w:semiHidden/>
    <w:unhideWhenUsed/>
    <w:rsid w:val="00A66191"/>
    <w:rPr>
      <w:vertAlign w:val="superscript"/>
    </w:rPr>
  </w:style>
  <w:style w:type="paragraph" w:customStyle="1" w:styleId="Default">
    <w:name w:val="Default"/>
    <w:rsid w:val="00A66191"/>
    <w:pPr>
      <w:autoSpaceDE w:val="0"/>
      <w:autoSpaceDN w:val="0"/>
      <w:adjustRightInd w:val="0"/>
      <w:spacing w:after="0" w:line="240" w:lineRule="auto"/>
    </w:pPr>
    <w:rPr>
      <w:rFonts w:ascii="Times New Roman" w:eastAsia="Calibri" w:hAnsi="Times New Roman" w:cs="Times New Roman"/>
      <w:color w:val="000000"/>
      <w:sz w:val="24"/>
      <w:szCs w:val="24"/>
      <w:lang w:val="en-US"/>
    </w:rPr>
  </w:style>
  <w:style w:type="paragraph" w:styleId="Lista2">
    <w:name w:val="List 2"/>
    <w:basedOn w:val="Normal"/>
    <w:uiPriority w:val="99"/>
    <w:unhideWhenUsed/>
    <w:rsid w:val="00A66191"/>
    <w:pPr>
      <w:ind w:left="566" w:hanging="283"/>
      <w:contextualSpacing/>
    </w:pPr>
  </w:style>
  <w:style w:type="paragraph" w:styleId="Lista3">
    <w:name w:val="List 3"/>
    <w:basedOn w:val="Normal"/>
    <w:uiPriority w:val="99"/>
    <w:unhideWhenUsed/>
    <w:rsid w:val="00A66191"/>
    <w:pPr>
      <w:ind w:left="849" w:hanging="283"/>
      <w:contextualSpacing/>
    </w:pPr>
  </w:style>
  <w:style w:type="paragraph" w:styleId="Listaconvietas">
    <w:name w:val="List Bullet"/>
    <w:basedOn w:val="Normal"/>
    <w:uiPriority w:val="99"/>
    <w:unhideWhenUsed/>
    <w:rsid w:val="00A66191"/>
    <w:pPr>
      <w:numPr>
        <w:numId w:val="4"/>
      </w:numPr>
      <w:contextualSpacing/>
    </w:pPr>
  </w:style>
  <w:style w:type="paragraph" w:styleId="Ttulo">
    <w:name w:val="Title"/>
    <w:basedOn w:val="Normal"/>
    <w:next w:val="Normal"/>
    <w:link w:val="TtuloCar"/>
    <w:uiPriority w:val="10"/>
    <w:qFormat/>
    <w:rsid w:val="00A66191"/>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tuloCar">
    <w:name w:val="Título Car"/>
    <w:basedOn w:val="Fuentedeprrafopredeter"/>
    <w:link w:val="Ttulo"/>
    <w:uiPriority w:val="10"/>
    <w:rsid w:val="00A66191"/>
    <w:rPr>
      <w:rFonts w:asciiTheme="majorHAnsi" w:eastAsiaTheme="majorEastAsia" w:hAnsiTheme="majorHAnsi" w:cstheme="majorBidi"/>
      <w:color w:val="17365D" w:themeColor="text2" w:themeShade="BF"/>
      <w:spacing w:val="5"/>
      <w:kern w:val="28"/>
      <w:sz w:val="52"/>
      <w:szCs w:val="52"/>
    </w:rPr>
  </w:style>
  <w:style w:type="paragraph" w:styleId="Textoindependiente">
    <w:name w:val="Body Text"/>
    <w:basedOn w:val="Normal"/>
    <w:link w:val="TextoindependienteCar"/>
    <w:uiPriority w:val="99"/>
    <w:unhideWhenUsed/>
    <w:rsid w:val="00A66191"/>
    <w:pPr>
      <w:spacing w:after="120"/>
    </w:pPr>
  </w:style>
  <w:style w:type="character" w:customStyle="1" w:styleId="TextoindependienteCar">
    <w:name w:val="Texto independiente Car"/>
    <w:basedOn w:val="Fuentedeprrafopredeter"/>
    <w:link w:val="Textoindependiente"/>
    <w:uiPriority w:val="99"/>
    <w:rsid w:val="00A66191"/>
  </w:style>
  <w:style w:type="character" w:customStyle="1" w:styleId="editsection">
    <w:name w:val="editsection"/>
    <w:basedOn w:val="Fuentedeprrafopredeter"/>
    <w:rsid w:val="00A66191"/>
  </w:style>
  <w:style w:type="character" w:customStyle="1" w:styleId="mw-headline">
    <w:name w:val="mw-headline"/>
    <w:basedOn w:val="Fuentedeprrafopredeter"/>
    <w:rsid w:val="00A66191"/>
  </w:style>
  <w:style w:type="table" w:styleId="Tablaconcuadrcula">
    <w:name w:val="Table Grid"/>
    <w:basedOn w:val="Tablanormal"/>
    <w:uiPriority w:val="59"/>
    <w:rsid w:val="00A66191"/>
    <w:pPr>
      <w:spacing w:after="0" w:line="240" w:lineRule="auto"/>
    </w:pPr>
    <w:rPr>
      <w:lang w:val="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col-smx">
    <w:name w:val="col-smx"/>
    <w:basedOn w:val="Fuentedeprrafopredeter"/>
    <w:rsid w:val="00A66191"/>
  </w:style>
  <w:style w:type="character" w:styleId="Textoennegrita">
    <w:name w:val="Strong"/>
    <w:basedOn w:val="Fuentedeprrafopredeter"/>
    <w:uiPriority w:val="22"/>
    <w:qFormat/>
    <w:rsid w:val="00A66191"/>
    <w:rPr>
      <w:b/>
      <w:bCs/>
    </w:rPr>
  </w:style>
  <w:style w:type="character" w:customStyle="1" w:styleId="highlightedsearchterm">
    <w:name w:val="highlightedsearchterm"/>
    <w:basedOn w:val="Fuentedeprrafopredeter"/>
    <w:rsid w:val="00A66191"/>
  </w:style>
  <w:style w:type="paragraph" w:customStyle="1" w:styleId="western">
    <w:name w:val="western"/>
    <w:basedOn w:val="Normal"/>
    <w:rsid w:val="00A66191"/>
    <w:pPr>
      <w:spacing w:before="100" w:beforeAutospacing="1" w:after="100" w:afterAutospacing="1" w:line="240" w:lineRule="auto"/>
    </w:pPr>
    <w:rPr>
      <w:rFonts w:ascii="Times New Roman" w:eastAsia="Times New Roman" w:hAnsi="Times New Roman" w:cs="Times New Roman"/>
      <w:sz w:val="24"/>
      <w:szCs w:val="24"/>
    </w:rPr>
  </w:style>
  <w:style w:type="paragraph" w:styleId="Sangra2detindependiente">
    <w:name w:val="Body Text Indent 2"/>
    <w:basedOn w:val="Normal"/>
    <w:link w:val="Sangra2detindependienteCar"/>
    <w:rsid w:val="00A66191"/>
    <w:pPr>
      <w:spacing w:after="120" w:line="480" w:lineRule="auto"/>
      <w:ind w:left="283"/>
    </w:pPr>
    <w:rPr>
      <w:rFonts w:ascii="Times New Roman" w:eastAsia="Times New Roman" w:hAnsi="Times New Roman" w:cs="Times New Roman"/>
      <w:sz w:val="24"/>
      <w:szCs w:val="24"/>
      <w:lang w:eastAsia="pt-BR"/>
    </w:rPr>
  </w:style>
  <w:style w:type="character" w:customStyle="1" w:styleId="Sangra2detindependienteCar">
    <w:name w:val="Sangría 2 de t. independiente Car"/>
    <w:basedOn w:val="Fuentedeprrafopredeter"/>
    <w:link w:val="Sangra2detindependiente"/>
    <w:rsid w:val="00A66191"/>
    <w:rPr>
      <w:rFonts w:ascii="Times New Roman" w:eastAsia="Times New Roman" w:hAnsi="Times New Roman" w:cs="Times New Roman"/>
      <w:sz w:val="24"/>
      <w:szCs w:val="24"/>
      <w:lang w:eastAsia="pt-BR"/>
    </w:rPr>
  </w:style>
  <w:style w:type="character" w:customStyle="1" w:styleId="texto">
    <w:name w:val="texto"/>
    <w:basedOn w:val="Fuentedeprrafopredeter"/>
    <w:rsid w:val="00A66191"/>
  </w:style>
  <w:style w:type="paragraph" w:customStyle="1" w:styleId="default0">
    <w:name w:val="default"/>
    <w:basedOn w:val="Normal"/>
    <w:rsid w:val="00A66191"/>
    <w:pPr>
      <w:spacing w:before="100" w:beforeAutospacing="1" w:after="100" w:afterAutospacing="1" w:line="240" w:lineRule="auto"/>
    </w:pPr>
    <w:rPr>
      <w:rFonts w:ascii="Times New Roman" w:eastAsia="Times New Roman" w:hAnsi="Times New Roman" w:cs="Times New Roman"/>
      <w:sz w:val="24"/>
      <w:szCs w:val="24"/>
    </w:rPr>
  </w:style>
  <w:style w:type="character" w:styleId="nfasis">
    <w:name w:val="Emphasis"/>
    <w:basedOn w:val="Fuentedeprrafopredeter"/>
    <w:uiPriority w:val="20"/>
    <w:qFormat/>
    <w:rsid w:val="00A66191"/>
    <w:rPr>
      <w:i/>
      <w:iCs/>
    </w:rPr>
  </w:style>
  <w:style w:type="paragraph" w:styleId="Encabezado">
    <w:name w:val="header"/>
    <w:basedOn w:val="Normal"/>
    <w:link w:val="EncabezadoCar"/>
    <w:uiPriority w:val="99"/>
    <w:unhideWhenUsed/>
    <w:rsid w:val="00A66191"/>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A66191"/>
  </w:style>
  <w:style w:type="character" w:customStyle="1" w:styleId="sumario1">
    <w:name w:val="sumario1"/>
    <w:basedOn w:val="Fuentedeprrafopredeter"/>
    <w:rsid w:val="00A66191"/>
  </w:style>
  <w:style w:type="character" w:customStyle="1" w:styleId="reference-text">
    <w:name w:val="reference-text"/>
    <w:basedOn w:val="Fuentedeprrafopredeter"/>
    <w:rsid w:val="00A66191"/>
  </w:style>
  <w:style w:type="character" w:customStyle="1" w:styleId="haupttext">
    <w:name w:val="haupttext"/>
    <w:basedOn w:val="Fuentedeprrafopredeter"/>
    <w:rsid w:val="00A66191"/>
  </w:style>
  <w:style w:type="character" w:customStyle="1" w:styleId="longtext">
    <w:name w:val="long_text"/>
    <w:basedOn w:val="Fuentedeprrafopredeter"/>
    <w:rsid w:val="00A66191"/>
  </w:style>
  <w:style w:type="character" w:customStyle="1" w:styleId="hps">
    <w:name w:val="hps"/>
    <w:basedOn w:val="Fuentedeprrafopredeter"/>
    <w:rsid w:val="00A66191"/>
  </w:style>
  <w:style w:type="character" w:customStyle="1" w:styleId="A6">
    <w:name w:val="A6"/>
    <w:uiPriority w:val="99"/>
    <w:rsid w:val="00A66191"/>
    <w:rPr>
      <w:rFonts w:cs="AGaramond"/>
      <w:color w:val="000000"/>
      <w:sz w:val="21"/>
      <w:szCs w:val="21"/>
    </w:rPr>
  </w:style>
  <w:style w:type="character" w:customStyle="1" w:styleId="corchete-llamada1">
    <w:name w:val="corchete-llamada1"/>
    <w:basedOn w:val="Fuentedeprrafopredeter"/>
    <w:rsid w:val="00A66191"/>
    <w:rPr>
      <w:vanish/>
      <w:webHidden w:val="0"/>
      <w:specVanish w:val="0"/>
    </w:rPr>
  </w:style>
  <w:style w:type="character" w:customStyle="1" w:styleId="int-txt">
    <w:name w:val="int-txt"/>
    <w:basedOn w:val="Fuentedeprrafopredeter"/>
    <w:rsid w:val="00A66191"/>
  </w:style>
  <w:style w:type="character" w:customStyle="1" w:styleId="int-titulo">
    <w:name w:val="int-titulo"/>
    <w:basedOn w:val="Fuentedeprrafopredeter"/>
    <w:rsid w:val="00A66191"/>
  </w:style>
  <w:style w:type="character" w:customStyle="1" w:styleId="e07">
    <w:name w:val="e07"/>
    <w:basedOn w:val="Fuentedeprrafopredeter"/>
    <w:rsid w:val="00A66191"/>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s-ES" w:eastAsia="es-E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Title" w:semiHidden="0" w:uiPriority="10" w:unhideWhenUsed="0" w:qFormat="1"/>
    <w:lsdException w:name="Default Paragraph Font" w:uiPriority="1"/>
    <w:lsdException w:name="Subtitle" w:semiHidden="0" w:uiPriority="11" w:unhideWhenUsed="0" w:qFormat="1"/>
    <w:lsdException w:name="Body Text Indent 2"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Ttulo1">
    <w:name w:val="heading 1"/>
    <w:basedOn w:val="Normal"/>
    <w:next w:val="Normal"/>
    <w:link w:val="Ttulo1Car"/>
    <w:uiPriority w:val="9"/>
    <w:qFormat/>
    <w:rsid w:val="00A66191"/>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Ttulo2">
    <w:name w:val="heading 2"/>
    <w:basedOn w:val="Normal"/>
    <w:next w:val="Normal"/>
    <w:link w:val="Ttulo2Car"/>
    <w:uiPriority w:val="9"/>
    <w:unhideWhenUsed/>
    <w:qFormat/>
    <w:rsid w:val="00A66191"/>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Ttulo3">
    <w:name w:val="heading 3"/>
    <w:basedOn w:val="Normal"/>
    <w:next w:val="Normal"/>
    <w:link w:val="Ttulo3Car"/>
    <w:uiPriority w:val="9"/>
    <w:unhideWhenUsed/>
    <w:qFormat/>
    <w:rsid w:val="00A66191"/>
    <w:pPr>
      <w:keepNext/>
      <w:keepLines/>
      <w:spacing w:before="200" w:after="0"/>
      <w:outlineLvl w:val="2"/>
    </w:pPr>
    <w:rPr>
      <w:rFonts w:asciiTheme="majorHAnsi" w:eastAsiaTheme="majorEastAsia" w:hAnsiTheme="majorHAnsi" w:cstheme="majorBidi"/>
      <w:b/>
      <w:bCs/>
      <w:color w:val="4F81BD" w:themeColor="accent1"/>
    </w:rPr>
  </w:style>
  <w:style w:type="paragraph" w:styleId="Ttulo4">
    <w:name w:val="heading 4"/>
    <w:basedOn w:val="Normal"/>
    <w:link w:val="Ttulo4Car"/>
    <w:uiPriority w:val="9"/>
    <w:qFormat/>
    <w:rsid w:val="00A66191"/>
    <w:pPr>
      <w:spacing w:before="100" w:beforeAutospacing="1" w:after="100" w:afterAutospacing="1" w:line="240" w:lineRule="auto"/>
      <w:outlineLvl w:val="3"/>
    </w:pPr>
    <w:rPr>
      <w:rFonts w:ascii="Times New Roman" w:eastAsia="Times New Roman" w:hAnsi="Times New Roman" w:cs="Times New Roman"/>
      <w:b/>
      <w:bCs/>
      <w:sz w:val="24"/>
      <w:szCs w:val="24"/>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A66191"/>
    <w:rPr>
      <w:rFonts w:asciiTheme="majorHAnsi" w:eastAsiaTheme="majorEastAsia" w:hAnsiTheme="majorHAnsi" w:cstheme="majorBidi"/>
      <w:b/>
      <w:bCs/>
      <w:color w:val="365F91" w:themeColor="accent1" w:themeShade="BF"/>
      <w:sz w:val="28"/>
      <w:szCs w:val="28"/>
    </w:rPr>
  </w:style>
  <w:style w:type="character" w:customStyle="1" w:styleId="Ttulo2Car">
    <w:name w:val="Título 2 Car"/>
    <w:basedOn w:val="Fuentedeprrafopredeter"/>
    <w:link w:val="Ttulo2"/>
    <w:uiPriority w:val="9"/>
    <w:rsid w:val="00A66191"/>
    <w:rPr>
      <w:rFonts w:asciiTheme="majorHAnsi" w:eastAsiaTheme="majorEastAsia" w:hAnsiTheme="majorHAnsi" w:cstheme="majorBidi"/>
      <w:b/>
      <w:bCs/>
      <w:color w:val="4F81BD" w:themeColor="accent1"/>
      <w:sz w:val="26"/>
      <w:szCs w:val="26"/>
    </w:rPr>
  </w:style>
  <w:style w:type="character" w:customStyle="1" w:styleId="Ttulo3Car">
    <w:name w:val="Título 3 Car"/>
    <w:basedOn w:val="Fuentedeprrafopredeter"/>
    <w:link w:val="Ttulo3"/>
    <w:uiPriority w:val="9"/>
    <w:rsid w:val="00A66191"/>
    <w:rPr>
      <w:rFonts w:asciiTheme="majorHAnsi" w:eastAsiaTheme="majorEastAsia" w:hAnsiTheme="majorHAnsi" w:cstheme="majorBidi"/>
      <w:b/>
      <w:bCs/>
      <w:color w:val="4F81BD" w:themeColor="accent1"/>
    </w:rPr>
  </w:style>
  <w:style w:type="character" w:customStyle="1" w:styleId="Ttulo4Car">
    <w:name w:val="Título 4 Car"/>
    <w:basedOn w:val="Fuentedeprrafopredeter"/>
    <w:link w:val="Ttulo4"/>
    <w:uiPriority w:val="9"/>
    <w:rsid w:val="00A66191"/>
    <w:rPr>
      <w:rFonts w:ascii="Times New Roman" w:eastAsia="Times New Roman" w:hAnsi="Times New Roman" w:cs="Times New Roman"/>
      <w:b/>
      <w:bCs/>
      <w:sz w:val="24"/>
      <w:szCs w:val="24"/>
      <w:lang w:eastAsia="es-ES"/>
    </w:rPr>
  </w:style>
  <w:style w:type="paragraph" w:styleId="Prrafodelista">
    <w:name w:val="List Paragraph"/>
    <w:basedOn w:val="Normal"/>
    <w:uiPriority w:val="34"/>
    <w:qFormat/>
    <w:rsid w:val="00A66191"/>
    <w:pPr>
      <w:ind w:left="720"/>
      <w:contextualSpacing/>
    </w:pPr>
  </w:style>
  <w:style w:type="paragraph" w:styleId="Sinespaciado">
    <w:name w:val="No Spacing"/>
    <w:uiPriority w:val="1"/>
    <w:qFormat/>
    <w:rsid w:val="00A66191"/>
    <w:pPr>
      <w:spacing w:after="0" w:line="240" w:lineRule="auto"/>
    </w:pPr>
  </w:style>
  <w:style w:type="paragraph" w:styleId="Piedepgina">
    <w:name w:val="footer"/>
    <w:basedOn w:val="Normal"/>
    <w:link w:val="PiedepginaCar"/>
    <w:uiPriority w:val="99"/>
    <w:unhideWhenUsed/>
    <w:rsid w:val="00A66191"/>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A66191"/>
  </w:style>
  <w:style w:type="paragraph" w:styleId="Textodeglobo">
    <w:name w:val="Balloon Text"/>
    <w:basedOn w:val="Normal"/>
    <w:link w:val="TextodegloboCar"/>
    <w:uiPriority w:val="99"/>
    <w:semiHidden/>
    <w:unhideWhenUsed/>
    <w:rsid w:val="00A66191"/>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A66191"/>
    <w:rPr>
      <w:rFonts w:ascii="Tahoma" w:hAnsi="Tahoma" w:cs="Tahoma"/>
      <w:sz w:val="16"/>
      <w:szCs w:val="16"/>
    </w:rPr>
  </w:style>
  <w:style w:type="paragraph" w:styleId="NormalWeb">
    <w:name w:val="Normal (Web)"/>
    <w:basedOn w:val="Normal"/>
    <w:uiPriority w:val="99"/>
    <w:unhideWhenUsed/>
    <w:rsid w:val="00A66191"/>
    <w:pPr>
      <w:spacing w:before="100" w:beforeAutospacing="1" w:after="100" w:afterAutospacing="1" w:line="240" w:lineRule="auto"/>
    </w:pPr>
    <w:rPr>
      <w:rFonts w:ascii="Times New Roman" w:eastAsia="Times New Roman" w:hAnsi="Times New Roman" w:cs="Times New Roman"/>
      <w:sz w:val="24"/>
      <w:szCs w:val="24"/>
    </w:rPr>
  </w:style>
  <w:style w:type="character" w:styleId="Hipervnculo">
    <w:name w:val="Hyperlink"/>
    <w:basedOn w:val="Fuentedeprrafopredeter"/>
    <w:uiPriority w:val="99"/>
    <w:unhideWhenUsed/>
    <w:rsid w:val="00A66191"/>
    <w:rPr>
      <w:color w:val="0000FF"/>
      <w:u w:val="single"/>
    </w:rPr>
  </w:style>
  <w:style w:type="paragraph" w:styleId="Textonotapie">
    <w:name w:val="footnote text"/>
    <w:basedOn w:val="Normal"/>
    <w:link w:val="TextonotapieCar"/>
    <w:unhideWhenUsed/>
    <w:rsid w:val="00A66191"/>
    <w:pPr>
      <w:spacing w:after="0" w:line="240" w:lineRule="auto"/>
    </w:pPr>
    <w:rPr>
      <w:rFonts w:ascii="Calibri" w:eastAsia="Calibri" w:hAnsi="Calibri" w:cs="Times New Roman"/>
      <w:sz w:val="20"/>
      <w:szCs w:val="20"/>
    </w:rPr>
  </w:style>
  <w:style w:type="character" w:customStyle="1" w:styleId="TextonotapieCar">
    <w:name w:val="Texto nota pie Car"/>
    <w:basedOn w:val="Fuentedeprrafopredeter"/>
    <w:link w:val="Textonotapie"/>
    <w:rsid w:val="00A66191"/>
    <w:rPr>
      <w:rFonts w:ascii="Calibri" w:eastAsia="Calibri" w:hAnsi="Calibri" w:cs="Times New Roman"/>
      <w:sz w:val="20"/>
      <w:szCs w:val="20"/>
    </w:rPr>
  </w:style>
  <w:style w:type="character" w:styleId="Refdenotaalpie">
    <w:name w:val="footnote reference"/>
    <w:semiHidden/>
    <w:unhideWhenUsed/>
    <w:rsid w:val="00A66191"/>
    <w:rPr>
      <w:vertAlign w:val="superscript"/>
    </w:rPr>
  </w:style>
  <w:style w:type="paragraph" w:customStyle="1" w:styleId="Default">
    <w:name w:val="Default"/>
    <w:rsid w:val="00A66191"/>
    <w:pPr>
      <w:autoSpaceDE w:val="0"/>
      <w:autoSpaceDN w:val="0"/>
      <w:adjustRightInd w:val="0"/>
      <w:spacing w:after="0" w:line="240" w:lineRule="auto"/>
    </w:pPr>
    <w:rPr>
      <w:rFonts w:ascii="Times New Roman" w:eastAsia="Calibri" w:hAnsi="Times New Roman" w:cs="Times New Roman"/>
      <w:color w:val="000000"/>
      <w:sz w:val="24"/>
      <w:szCs w:val="24"/>
      <w:lang w:val="en-US"/>
    </w:rPr>
  </w:style>
  <w:style w:type="paragraph" w:styleId="Lista2">
    <w:name w:val="List 2"/>
    <w:basedOn w:val="Normal"/>
    <w:uiPriority w:val="99"/>
    <w:unhideWhenUsed/>
    <w:rsid w:val="00A66191"/>
    <w:pPr>
      <w:ind w:left="566" w:hanging="283"/>
      <w:contextualSpacing/>
    </w:pPr>
  </w:style>
  <w:style w:type="paragraph" w:styleId="Lista3">
    <w:name w:val="List 3"/>
    <w:basedOn w:val="Normal"/>
    <w:uiPriority w:val="99"/>
    <w:unhideWhenUsed/>
    <w:rsid w:val="00A66191"/>
    <w:pPr>
      <w:ind w:left="849" w:hanging="283"/>
      <w:contextualSpacing/>
    </w:pPr>
  </w:style>
  <w:style w:type="paragraph" w:styleId="Listaconvietas">
    <w:name w:val="List Bullet"/>
    <w:basedOn w:val="Normal"/>
    <w:uiPriority w:val="99"/>
    <w:unhideWhenUsed/>
    <w:rsid w:val="00A66191"/>
    <w:pPr>
      <w:numPr>
        <w:numId w:val="4"/>
      </w:numPr>
      <w:contextualSpacing/>
    </w:pPr>
  </w:style>
  <w:style w:type="paragraph" w:styleId="Ttulo">
    <w:name w:val="Title"/>
    <w:basedOn w:val="Normal"/>
    <w:next w:val="Normal"/>
    <w:link w:val="TtuloCar"/>
    <w:uiPriority w:val="10"/>
    <w:qFormat/>
    <w:rsid w:val="00A66191"/>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tuloCar">
    <w:name w:val="Título Car"/>
    <w:basedOn w:val="Fuentedeprrafopredeter"/>
    <w:link w:val="Ttulo"/>
    <w:uiPriority w:val="10"/>
    <w:rsid w:val="00A66191"/>
    <w:rPr>
      <w:rFonts w:asciiTheme="majorHAnsi" w:eastAsiaTheme="majorEastAsia" w:hAnsiTheme="majorHAnsi" w:cstheme="majorBidi"/>
      <w:color w:val="17365D" w:themeColor="text2" w:themeShade="BF"/>
      <w:spacing w:val="5"/>
      <w:kern w:val="28"/>
      <w:sz w:val="52"/>
      <w:szCs w:val="52"/>
    </w:rPr>
  </w:style>
  <w:style w:type="paragraph" w:styleId="Textoindependiente">
    <w:name w:val="Body Text"/>
    <w:basedOn w:val="Normal"/>
    <w:link w:val="TextoindependienteCar"/>
    <w:uiPriority w:val="99"/>
    <w:unhideWhenUsed/>
    <w:rsid w:val="00A66191"/>
    <w:pPr>
      <w:spacing w:after="120"/>
    </w:pPr>
  </w:style>
  <w:style w:type="character" w:customStyle="1" w:styleId="TextoindependienteCar">
    <w:name w:val="Texto independiente Car"/>
    <w:basedOn w:val="Fuentedeprrafopredeter"/>
    <w:link w:val="Textoindependiente"/>
    <w:uiPriority w:val="99"/>
    <w:rsid w:val="00A66191"/>
  </w:style>
  <w:style w:type="character" w:customStyle="1" w:styleId="editsection">
    <w:name w:val="editsection"/>
    <w:basedOn w:val="Fuentedeprrafopredeter"/>
    <w:rsid w:val="00A66191"/>
  </w:style>
  <w:style w:type="character" w:customStyle="1" w:styleId="mw-headline">
    <w:name w:val="mw-headline"/>
    <w:basedOn w:val="Fuentedeprrafopredeter"/>
    <w:rsid w:val="00A66191"/>
  </w:style>
  <w:style w:type="table" w:styleId="Tablaconcuadrcula">
    <w:name w:val="Table Grid"/>
    <w:basedOn w:val="Tablanormal"/>
    <w:uiPriority w:val="59"/>
    <w:rsid w:val="00A66191"/>
    <w:pPr>
      <w:spacing w:after="0" w:line="240" w:lineRule="auto"/>
    </w:pPr>
    <w:rPr>
      <w:lang w:val="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col-smx">
    <w:name w:val="col-smx"/>
    <w:basedOn w:val="Fuentedeprrafopredeter"/>
    <w:rsid w:val="00A66191"/>
  </w:style>
  <w:style w:type="character" w:styleId="Textoennegrita">
    <w:name w:val="Strong"/>
    <w:basedOn w:val="Fuentedeprrafopredeter"/>
    <w:uiPriority w:val="22"/>
    <w:qFormat/>
    <w:rsid w:val="00A66191"/>
    <w:rPr>
      <w:b/>
      <w:bCs/>
    </w:rPr>
  </w:style>
  <w:style w:type="character" w:customStyle="1" w:styleId="highlightedsearchterm">
    <w:name w:val="highlightedsearchterm"/>
    <w:basedOn w:val="Fuentedeprrafopredeter"/>
    <w:rsid w:val="00A66191"/>
  </w:style>
  <w:style w:type="paragraph" w:customStyle="1" w:styleId="western">
    <w:name w:val="western"/>
    <w:basedOn w:val="Normal"/>
    <w:rsid w:val="00A66191"/>
    <w:pPr>
      <w:spacing w:before="100" w:beforeAutospacing="1" w:after="100" w:afterAutospacing="1" w:line="240" w:lineRule="auto"/>
    </w:pPr>
    <w:rPr>
      <w:rFonts w:ascii="Times New Roman" w:eastAsia="Times New Roman" w:hAnsi="Times New Roman" w:cs="Times New Roman"/>
      <w:sz w:val="24"/>
      <w:szCs w:val="24"/>
    </w:rPr>
  </w:style>
  <w:style w:type="paragraph" w:styleId="Sangra2detindependiente">
    <w:name w:val="Body Text Indent 2"/>
    <w:basedOn w:val="Normal"/>
    <w:link w:val="Sangra2detindependienteCar"/>
    <w:rsid w:val="00A66191"/>
    <w:pPr>
      <w:spacing w:after="120" w:line="480" w:lineRule="auto"/>
      <w:ind w:left="283"/>
    </w:pPr>
    <w:rPr>
      <w:rFonts w:ascii="Times New Roman" w:eastAsia="Times New Roman" w:hAnsi="Times New Roman" w:cs="Times New Roman"/>
      <w:sz w:val="24"/>
      <w:szCs w:val="24"/>
      <w:lang w:eastAsia="pt-BR"/>
    </w:rPr>
  </w:style>
  <w:style w:type="character" w:customStyle="1" w:styleId="Sangra2detindependienteCar">
    <w:name w:val="Sangría 2 de t. independiente Car"/>
    <w:basedOn w:val="Fuentedeprrafopredeter"/>
    <w:link w:val="Sangra2detindependiente"/>
    <w:rsid w:val="00A66191"/>
    <w:rPr>
      <w:rFonts w:ascii="Times New Roman" w:eastAsia="Times New Roman" w:hAnsi="Times New Roman" w:cs="Times New Roman"/>
      <w:sz w:val="24"/>
      <w:szCs w:val="24"/>
      <w:lang w:eastAsia="pt-BR"/>
    </w:rPr>
  </w:style>
  <w:style w:type="character" w:customStyle="1" w:styleId="texto">
    <w:name w:val="texto"/>
    <w:basedOn w:val="Fuentedeprrafopredeter"/>
    <w:rsid w:val="00A66191"/>
  </w:style>
  <w:style w:type="paragraph" w:customStyle="1" w:styleId="default0">
    <w:name w:val="default"/>
    <w:basedOn w:val="Normal"/>
    <w:rsid w:val="00A66191"/>
    <w:pPr>
      <w:spacing w:before="100" w:beforeAutospacing="1" w:after="100" w:afterAutospacing="1" w:line="240" w:lineRule="auto"/>
    </w:pPr>
    <w:rPr>
      <w:rFonts w:ascii="Times New Roman" w:eastAsia="Times New Roman" w:hAnsi="Times New Roman" w:cs="Times New Roman"/>
      <w:sz w:val="24"/>
      <w:szCs w:val="24"/>
    </w:rPr>
  </w:style>
  <w:style w:type="character" w:styleId="nfasis">
    <w:name w:val="Emphasis"/>
    <w:basedOn w:val="Fuentedeprrafopredeter"/>
    <w:uiPriority w:val="20"/>
    <w:qFormat/>
    <w:rsid w:val="00A66191"/>
    <w:rPr>
      <w:i/>
      <w:iCs/>
    </w:rPr>
  </w:style>
  <w:style w:type="paragraph" w:styleId="Encabezado">
    <w:name w:val="header"/>
    <w:basedOn w:val="Normal"/>
    <w:link w:val="EncabezadoCar"/>
    <w:uiPriority w:val="99"/>
    <w:unhideWhenUsed/>
    <w:rsid w:val="00A66191"/>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A66191"/>
  </w:style>
  <w:style w:type="character" w:customStyle="1" w:styleId="sumario1">
    <w:name w:val="sumario1"/>
    <w:basedOn w:val="Fuentedeprrafopredeter"/>
    <w:rsid w:val="00A66191"/>
  </w:style>
  <w:style w:type="character" w:customStyle="1" w:styleId="reference-text">
    <w:name w:val="reference-text"/>
    <w:basedOn w:val="Fuentedeprrafopredeter"/>
    <w:rsid w:val="00A66191"/>
  </w:style>
  <w:style w:type="character" w:customStyle="1" w:styleId="haupttext">
    <w:name w:val="haupttext"/>
    <w:basedOn w:val="Fuentedeprrafopredeter"/>
    <w:rsid w:val="00A66191"/>
  </w:style>
  <w:style w:type="character" w:customStyle="1" w:styleId="longtext">
    <w:name w:val="long_text"/>
    <w:basedOn w:val="Fuentedeprrafopredeter"/>
    <w:rsid w:val="00A66191"/>
  </w:style>
  <w:style w:type="character" w:customStyle="1" w:styleId="hps">
    <w:name w:val="hps"/>
    <w:basedOn w:val="Fuentedeprrafopredeter"/>
    <w:rsid w:val="00A66191"/>
  </w:style>
  <w:style w:type="character" w:customStyle="1" w:styleId="A6">
    <w:name w:val="A6"/>
    <w:uiPriority w:val="99"/>
    <w:rsid w:val="00A66191"/>
    <w:rPr>
      <w:rFonts w:cs="AGaramond"/>
      <w:color w:val="000000"/>
      <w:sz w:val="21"/>
      <w:szCs w:val="21"/>
    </w:rPr>
  </w:style>
  <w:style w:type="character" w:customStyle="1" w:styleId="corchete-llamada1">
    <w:name w:val="corchete-llamada1"/>
    <w:basedOn w:val="Fuentedeprrafopredeter"/>
    <w:rsid w:val="00A66191"/>
    <w:rPr>
      <w:vanish/>
      <w:webHidden w:val="0"/>
      <w:specVanish w:val="0"/>
    </w:rPr>
  </w:style>
  <w:style w:type="character" w:customStyle="1" w:styleId="int-txt">
    <w:name w:val="int-txt"/>
    <w:basedOn w:val="Fuentedeprrafopredeter"/>
    <w:rsid w:val="00A66191"/>
  </w:style>
  <w:style w:type="character" w:customStyle="1" w:styleId="int-titulo">
    <w:name w:val="int-titulo"/>
    <w:basedOn w:val="Fuentedeprrafopredeter"/>
    <w:rsid w:val="00A66191"/>
  </w:style>
  <w:style w:type="character" w:customStyle="1" w:styleId="e07">
    <w:name w:val="e07"/>
    <w:basedOn w:val="Fuentedeprrafopredeter"/>
    <w:rsid w:val="00A66191"/>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26" Type="http://schemas.openxmlformats.org/officeDocument/2006/relationships/hyperlink" Target="http://es.wikipedia.org/wiki/Liberalizaci%C3%B3n" TargetMode="External"/><Relationship Id="rId117" Type="http://schemas.openxmlformats.org/officeDocument/2006/relationships/hyperlink" Target="http://es.wikipedia.org/wiki/Piau%C3%AD" TargetMode="External"/><Relationship Id="rId21" Type="http://schemas.openxmlformats.org/officeDocument/2006/relationships/hyperlink" Target="http://es.wikipedia.org/wiki/Gasto_p%C3%BAblico" TargetMode="External"/><Relationship Id="rId42" Type="http://schemas.openxmlformats.org/officeDocument/2006/relationships/hyperlink" Target="http://www.economia48.com/spa/d/curva/curva.htm" TargetMode="External"/><Relationship Id="rId47" Type="http://schemas.openxmlformats.org/officeDocument/2006/relationships/hyperlink" Target="http://www.economia48.com/spa/d/ingresos/ingresos.htm" TargetMode="External"/><Relationship Id="rId63" Type="http://schemas.openxmlformats.org/officeDocument/2006/relationships/hyperlink" Target="http://es.wikipedia.org/wiki/Inflaci%C3%B3n" TargetMode="External"/><Relationship Id="rId68" Type="http://schemas.openxmlformats.org/officeDocument/2006/relationships/hyperlink" Target="http://es.wikipedia.org/wiki/Econom%C3%ADas_de_escala" TargetMode="External"/><Relationship Id="rId84" Type="http://schemas.openxmlformats.org/officeDocument/2006/relationships/diagramData" Target="diagrams/data1.xml"/><Relationship Id="rId89" Type="http://schemas.openxmlformats.org/officeDocument/2006/relationships/hyperlink" Target="http://es.wikipedia.org/wiki/PBI" TargetMode="External"/><Relationship Id="rId112" Type="http://schemas.openxmlformats.org/officeDocument/2006/relationships/hyperlink" Target="http://es.wikipedia.org/wiki/Mato_Grosso_do_Sul" TargetMode="External"/><Relationship Id="rId133" Type="http://schemas.openxmlformats.org/officeDocument/2006/relationships/chart" Target="charts/chart1.xml"/><Relationship Id="rId138" Type="http://schemas.openxmlformats.org/officeDocument/2006/relationships/hyperlink" Target="http://translate.googleusercontent.com/translate_c?depth=1&amp;ei=anHXUIOGB5OK9gSmpICYBg&amp;hl=es&amp;prev=/search%3Fq%3Dpac%2Bbrasil%2Bprograma%26hl%3Des%26tbo%3Dd%26biw%3D1440%26bih%3D797&amp;rurl=translate.google.com.ec&amp;sl=en&amp;u=http://en.wikipedia.org/wiki/Economic_growth&amp;usg=ALkJrhjlCF2J5cDGl_GhCPHxZTZPPSltkg" TargetMode="External"/><Relationship Id="rId154" Type="http://schemas.openxmlformats.org/officeDocument/2006/relationships/chart" Target="charts/chart10.xml"/><Relationship Id="rId159" Type="http://schemas.openxmlformats.org/officeDocument/2006/relationships/hyperlink" Target="http://es.wikipedia.org/wiki/Microempresa" TargetMode="External"/><Relationship Id="rId175" Type="http://schemas.openxmlformats.org/officeDocument/2006/relationships/hyperlink" Target="http://es.wikipedia.org/wiki/2009" TargetMode="External"/><Relationship Id="rId170" Type="http://schemas.openxmlformats.org/officeDocument/2006/relationships/hyperlink" Target="http://es.wikipedia.org/wiki/%C3%81lvaro_Noboa" TargetMode="External"/><Relationship Id="rId16" Type="http://schemas.openxmlformats.org/officeDocument/2006/relationships/hyperlink" Target="http://es.wikipedia.org/wiki/Liberalismo_econ%C3%B3mico" TargetMode="External"/><Relationship Id="rId107" Type="http://schemas.openxmlformats.org/officeDocument/2006/relationships/hyperlink" Target="http://es.wikipedia.org/wiki/Brasil" TargetMode="External"/><Relationship Id="rId11" Type="http://schemas.openxmlformats.org/officeDocument/2006/relationships/image" Target="media/image2.png"/><Relationship Id="rId32" Type="http://schemas.openxmlformats.org/officeDocument/2006/relationships/hyperlink" Target="http://www.economia48.com/spa/d/demanda-efectiva/demanda-efectiva.htm" TargetMode="External"/><Relationship Id="rId37" Type="http://schemas.openxmlformats.org/officeDocument/2006/relationships/hyperlink" Target="http://www.economia48.com/spa/d/politica-monetaria/politica-monetaria.htm" TargetMode="External"/><Relationship Id="rId53" Type="http://schemas.openxmlformats.org/officeDocument/2006/relationships/hyperlink" Target="http://es.wikipedia.org/wiki/Aranceles" TargetMode="External"/><Relationship Id="rId58" Type="http://schemas.openxmlformats.org/officeDocument/2006/relationships/hyperlink" Target="http://es.wikipedia.org/wiki/Mano_de_obra" TargetMode="External"/><Relationship Id="rId74" Type="http://schemas.openxmlformats.org/officeDocument/2006/relationships/hyperlink" Target="http://es.wikipedia.org/wiki/Pol%C3%ADticas_econ%C3%B3micas" TargetMode="External"/><Relationship Id="rId79" Type="http://schemas.openxmlformats.org/officeDocument/2006/relationships/hyperlink" Target="http://es.wikipedia.org/wiki/Devaluaci%C3%B3n" TargetMode="External"/><Relationship Id="rId102" Type="http://schemas.openxmlformats.org/officeDocument/2006/relationships/hyperlink" Target="http://es.wikipedia.org/wiki/2007" TargetMode="External"/><Relationship Id="rId123" Type="http://schemas.openxmlformats.org/officeDocument/2006/relationships/hyperlink" Target="http://es.wikipedia.org/wiki/Cear%C3%A1" TargetMode="External"/><Relationship Id="rId128" Type="http://schemas.openxmlformats.org/officeDocument/2006/relationships/hyperlink" Target="http://es.wikipedia.org/wiki/Fernando_de_Noronha_%28islas%29" TargetMode="External"/><Relationship Id="rId144" Type="http://schemas.openxmlformats.org/officeDocument/2006/relationships/chart" Target="charts/chart5.xml"/><Relationship Id="rId149" Type="http://schemas.openxmlformats.org/officeDocument/2006/relationships/hyperlink" Target="http://es.wikipedia.org/wiki/Rafael_Correa" TargetMode="External"/><Relationship Id="rId5" Type="http://schemas.openxmlformats.org/officeDocument/2006/relationships/webSettings" Target="webSettings.xml"/><Relationship Id="rId90" Type="http://schemas.openxmlformats.org/officeDocument/2006/relationships/hyperlink" Target="http://es.wikipedia.org/wiki/Desempleo" TargetMode="External"/><Relationship Id="rId95" Type="http://schemas.openxmlformats.org/officeDocument/2006/relationships/hyperlink" Target="http://es.wikipedia.org/wiki/2008" TargetMode="External"/><Relationship Id="rId160" Type="http://schemas.openxmlformats.org/officeDocument/2006/relationships/hyperlink" Target="http://es.wikipedia.org/wiki/Quichua" TargetMode="External"/><Relationship Id="rId165" Type="http://schemas.openxmlformats.org/officeDocument/2006/relationships/hyperlink" Target="http://es.wikipedia.org/wiki/2001" TargetMode="External"/><Relationship Id="rId181" Type="http://schemas.openxmlformats.org/officeDocument/2006/relationships/image" Target="media/image7.png"/><Relationship Id="rId186" Type="http://schemas.microsoft.com/office/2007/relationships/stylesWithEffects" Target="stylesWithEffects.xml"/><Relationship Id="rId22" Type="http://schemas.openxmlformats.org/officeDocument/2006/relationships/hyperlink" Target="http://es.wikipedia.org/wiki/Reforma" TargetMode="External"/><Relationship Id="rId27" Type="http://schemas.openxmlformats.org/officeDocument/2006/relationships/hyperlink" Target="http://es.wikipedia.org/wiki/Tipo_de_cambio" TargetMode="External"/><Relationship Id="rId43" Type="http://schemas.openxmlformats.org/officeDocument/2006/relationships/hyperlink" Target="http://www.economia48.com/spa/d/demanda-de-dinero/demanda-de-dinero.htm" TargetMode="External"/><Relationship Id="rId48" Type="http://schemas.openxmlformats.org/officeDocument/2006/relationships/hyperlink" Target="http://www.economia48.com/spa/d/gasto/gasto.htm" TargetMode="External"/><Relationship Id="rId64" Type="http://schemas.openxmlformats.org/officeDocument/2006/relationships/hyperlink" Target="http://es.wikipedia.org/wiki/Deuda_externa" TargetMode="External"/><Relationship Id="rId69" Type="http://schemas.openxmlformats.org/officeDocument/2006/relationships/hyperlink" Target="http://es.wikipedia.org/wiki/Sector_industrial" TargetMode="External"/><Relationship Id="rId113" Type="http://schemas.openxmlformats.org/officeDocument/2006/relationships/hyperlink" Target="http://es.wikipedia.org/wiki/Tocantins" TargetMode="External"/><Relationship Id="rId118" Type="http://schemas.openxmlformats.org/officeDocument/2006/relationships/hyperlink" Target="http://es.wikipedia.org/wiki/Estado_de_S%C3%A3o_Paulo" TargetMode="External"/><Relationship Id="rId134" Type="http://schemas.openxmlformats.org/officeDocument/2006/relationships/chart" Target="charts/chart2.xml"/><Relationship Id="rId139" Type="http://schemas.openxmlformats.org/officeDocument/2006/relationships/hyperlink" Target="http://translate.googleusercontent.com/translate_c?depth=1&amp;ei=anHXUIOGB5OK9gSmpICYBg&amp;hl=es&amp;prev=/search%3Fq%3Dpac%2Bbrasil%2Bprograma%26hl%3Des%26tbo%3Dd%26biw%3D1440%26bih%3D797&amp;rurl=translate.google.com.ec&amp;sl=en&amp;u=http://en.wikipedia.org/wiki/Brazil&amp;usg=ALkJrhhY7twRVaG2YR-fQyn0eSMyMaABjA" TargetMode="External"/><Relationship Id="rId80" Type="http://schemas.openxmlformats.org/officeDocument/2006/relationships/hyperlink" Target="http://es.wikipedia.org/wiki/Quiebra" TargetMode="External"/><Relationship Id="rId85" Type="http://schemas.openxmlformats.org/officeDocument/2006/relationships/diagramLayout" Target="diagrams/layout1.xml"/><Relationship Id="rId150" Type="http://schemas.openxmlformats.org/officeDocument/2006/relationships/hyperlink" Target="http://es.wikipedia.org/wiki/Banco_Mundial" TargetMode="External"/><Relationship Id="rId155" Type="http://schemas.openxmlformats.org/officeDocument/2006/relationships/hyperlink" Target="http://es.wikipedia.org/w/index.php?title=Zumbahua&amp;action=edit&amp;redlink=1" TargetMode="External"/><Relationship Id="rId171" Type="http://schemas.openxmlformats.org/officeDocument/2006/relationships/hyperlink" Target="http://es.wikipedia.org/wiki/Elecciones" TargetMode="External"/><Relationship Id="rId176" Type="http://schemas.openxmlformats.org/officeDocument/2006/relationships/hyperlink" Target="http://es.wikipedia.org/wiki/15_de_enero" TargetMode="External"/><Relationship Id="rId12" Type="http://schemas.openxmlformats.org/officeDocument/2006/relationships/hyperlink" Target="http://es.wikipedia.org/wiki/Econom%C3%ADa" TargetMode="External"/><Relationship Id="rId17" Type="http://schemas.openxmlformats.org/officeDocument/2006/relationships/hyperlink" Target="http://es.wikipedia.org/wiki/Estado" TargetMode="External"/><Relationship Id="rId33" Type="http://schemas.openxmlformats.org/officeDocument/2006/relationships/hyperlink" Target="http://www.economia48.com/spa/d/incidencia/incidencia.htm" TargetMode="External"/><Relationship Id="rId38" Type="http://schemas.openxmlformats.org/officeDocument/2006/relationships/hyperlink" Target="http://www.economia48.com/spa/d/renta/renta.htm" TargetMode="External"/><Relationship Id="rId59" Type="http://schemas.openxmlformats.org/officeDocument/2006/relationships/hyperlink" Target="http://es.wikipedia.org/wiki/Sector_servicios" TargetMode="External"/><Relationship Id="rId103" Type="http://schemas.openxmlformats.org/officeDocument/2006/relationships/hyperlink" Target="http://es.wikipedia.org/wiki/Universidad" TargetMode="External"/><Relationship Id="rId108" Type="http://schemas.openxmlformats.org/officeDocument/2006/relationships/hyperlink" Target="http://es.wikipedia.org/wiki/Estados_de_Brasil" TargetMode="External"/><Relationship Id="rId124" Type="http://schemas.openxmlformats.org/officeDocument/2006/relationships/hyperlink" Target="http://es.wikipedia.org/wiki/Maranh%C3%A3o" TargetMode="External"/><Relationship Id="rId129" Type="http://schemas.openxmlformats.org/officeDocument/2006/relationships/hyperlink" Target="http://es.wikipedia.org/wiki/R%C3%ADo_Grande_del_Norte" TargetMode="External"/><Relationship Id="rId54" Type="http://schemas.openxmlformats.org/officeDocument/2006/relationships/hyperlink" Target="http://es.wikipedia.org/wiki/Importaci%C3%B3n" TargetMode="External"/><Relationship Id="rId70" Type="http://schemas.openxmlformats.org/officeDocument/2006/relationships/hyperlink" Target="http://es.wikipedia.org/wiki/Monopolios" TargetMode="External"/><Relationship Id="rId75" Type="http://schemas.openxmlformats.org/officeDocument/2006/relationships/hyperlink" Target="http://es.wikipedia.org/wiki/Liberalizaci%C3%B3n" TargetMode="External"/><Relationship Id="rId91" Type="http://schemas.openxmlformats.org/officeDocument/2006/relationships/hyperlink" Target="http://es.wikipedia.org/wiki/PBI" TargetMode="External"/><Relationship Id="rId96" Type="http://schemas.openxmlformats.org/officeDocument/2006/relationships/hyperlink" Target="http://es.wikipedia.org/wiki/Petr%C3%B3leo" TargetMode="External"/><Relationship Id="rId140" Type="http://schemas.openxmlformats.org/officeDocument/2006/relationships/hyperlink" Target="http://translate.googleusercontent.com/translate_c?depth=1&amp;ei=anHXUIOGB5OK9gSmpICYBg&amp;hl=es&amp;prev=/search%3Fq%3Dpac%2Bbrasil%2Bprograma%26hl%3Des%26tbo%3Dd%26biw%3D1440%26bih%3D797&amp;rurl=translate.google.com.ec&amp;sl=en&amp;u=http://en.wikipedia.org/wiki/Reais&amp;usg=ALkJrhhVuAlc77FfFrxf9V1kbTDLuzprNg" TargetMode="External"/><Relationship Id="rId145" Type="http://schemas.openxmlformats.org/officeDocument/2006/relationships/chart" Target="charts/chart6.xml"/><Relationship Id="rId161" Type="http://schemas.openxmlformats.org/officeDocument/2006/relationships/hyperlink" Target="http://es.wikipedia.org/wiki/Maestr%C3%ADa" TargetMode="External"/><Relationship Id="rId166" Type="http://schemas.openxmlformats.org/officeDocument/2006/relationships/hyperlink" Target="http://es.wikipedia.org/wiki/Elecciones" TargetMode="External"/><Relationship Id="rId182" Type="http://schemas.openxmlformats.org/officeDocument/2006/relationships/image" Target="media/image8.png"/><Relationship Id="rId1" Type="http://schemas.openxmlformats.org/officeDocument/2006/relationships/customXml" Target="../customXml/item1.xml"/><Relationship Id="rId6" Type="http://schemas.openxmlformats.org/officeDocument/2006/relationships/footnotes" Target="footnotes.xml"/><Relationship Id="rId23" Type="http://schemas.openxmlformats.org/officeDocument/2006/relationships/hyperlink" Target="http://es.wikipedia.org/wiki/Consumo" TargetMode="External"/><Relationship Id="rId28" Type="http://schemas.openxmlformats.org/officeDocument/2006/relationships/hyperlink" Target="http://es.wikipedia.org/wiki/Privatizaci%C3%B3n" TargetMode="External"/><Relationship Id="rId49" Type="http://schemas.openxmlformats.org/officeDocument/2006/relationships/hyperlink" Target="http://es.wikipedia.org/wiki/Desarrollismo" TargetMode="External"/><Relationship Id="rId114" Type="http://schemas.openxmlformats.org/officeDocument/2006/relationships/hyperlink" Target="http://es.wikipedia.org/wiki/Minas_Gerais" TargetMode="External"/><Relationship Id="rId119" Type="http://schemas.openxmlformats.org/officeDocument/2006/relationships/hyperlink" Target="http://es.wikipedia.org/wiki/Paran%C3%A1_%28estado%29" TargetMode="External"/><Relationship Id="rId44" Type="http://schemas.openxmlformats.org/officeDocument/2006/relationships/hyperlink" Target="http://www.economia48.com/spa/d/incremento/incremento.htm" TargetMode="External"/><Relationship Id="rId60" Type="http://schemas.openxmlformats.org/officeDocument/2006/relationships/hyperlink" Target="http://es.wikipedia.org/wiki/Pa%C3%ADses_desarrollados" TargetMode="External"/><Relationship Id="rId65" Type="http://schemas.openxmlformats.org/officeDocument/2006/relationships/hyperlink" Target="http://es.wikipedia.org/wiki/Exportaciones" TargetMode="External"/><Relationship Id="rId81" Type="http://schemas.openxmlformats.org/officeDocument/2006/relationships/hyperlink" Target="http://es.wikipedia.org/wiki/Escandinavia" TargetMode="External"/><Relationship Id="rId86" Type="http://schemas.openxmlformats.org/officeDocument/2006/relationships/diagramQuickStyle" Target="diagrams/quickStyle1.xml"/><Relationship Id="rId130" Type="http://schemas.openxmlformats.org/officeDocument/2006/relationships/hyperlink" Target="http://es.wikipedia.org/wiki/Sergipe" TargetMode="External"/><Relationship Id="rId135" Type="http://schemas.openxmlformats.org/officeDocument/2006/relationships/image" Target="media/image5.png"/><Relationship Id="rId151" Type="http://schemas.openxmlformats.org/officeDocument/2006/relationships/hyperlink" Target="http://es.wikipedia.org/wiki/Fondo_Monetario_Internacional" TargetMode="External"/><Relationship Id="rId156" Type="http://schemas.openxmlformats.org/officeDocument/2006/relationships/hyperlink" Target="http://es.wikipedia.org/wiki/Provincia_de_Cotopaxi" TargetMode="External"/><Relationship Id="rId177" Type="http://schemas.openxmlformats.org/officeDocument/2006/relationships/hyperlink" Target="http://es.wikipedia.org/wiki/2011" TargetMode="External"/><Relationship Id="rId4" Type="http://schemas.openxmlformats.org/officeDocument/2006/relationships/settings" Target="settings.xml"/><Relationship Id="rId9" Type="http://schemas.openxmlformats.org/officeDocument/2006/relationships/footer" Target="footer1.xml"/><Relationship Id="rId172" Type="http://schemas.openxmlformats.org/officeDocument/2006/relationships/hyperlink" Target="http://es.wikipedia.org/wiki/Elecciones_presidenciales_de_Ecuador_de_2009" TargetMode="External"/><Relationship Id="rId180" Type="http://schemas.openxmlformats.org/officeDocument/2006/relationships/hyperlink" Target="http://www.econlink.com.ar/modelo-isi" TargetMode="External"/><Relationship Id="rId13" Type="http://schemas.openxmlformats.org/officeDocument/2006/relationships/hyperlink" Target="http://es.wikipedia.org/wiki/Sociedad" TargetMode="External"/><Relationship Id="rId18" Type="http://schemas.openxmlformats.org/officeDocument/2006/relationships/hyperlink" Target="http://es.wikipedia.org/wiki/Estado" TargetMode="External"/><Relationship Id="rId39" Type="http://schemas.openxmlformats.org/officeDocument/2006/relationships/hyperlink" Target="http://www.economia48.com/spa/d/causa/causa.htm" TargetMode="External"/><Relationship Id="rId109" Type="http://schemas.openxmlformats.org/officeDocument/2006/relationships/hyperlink" Target="http://es.wikipedia.org/wiki/Goi%C3%A1s" TargetMode="External"/><Relationship Id="rId34" Type="http://schemas.openxmlformats.org/officeDocument/2006/relationships/hyperlink" Target="http://www.economia48.com/spa/d/produccion/produccion.htm" TargetMode="External"/><Relationship Id="rId50" Type="http://schemas.openxmlformats.org/officeDocument/2006/relationships/hyperlink" Target="http://es.wikipedia.org/wiki/Teor%C3%ADa_de_la_dependencia" TargetMode="External"/><Relationship Id="rId55" Type="http://schemas.openxmlformats.org/officeDocument/2006/relationships/hyperlink" Target="http://es.wikipedia.org/wiki/Tipo_de_cambio" TargetMode="External"/><Relationship Id="rId76" Type="http://schemas.openxmlformats.org/officeDocument/2006/relationships/hyperlink" Target="http://es.wikipedia.org/wiki/Banco_central" TargetMode="External"/><Relationship Id="rId97" Type="http://schemas.openxmlformats.org/officeDocument/2006/relationships/hyperlink" Target="http://es.wikipedia.org/wiki/2007" TargetMode="External"/><Relationship Id="rId104" Type="http://schemas.openxmlformats.org/officeDocument/2006/relationships/hyperlink" Target="http://es.wikipedia.org/wiki/Tasa_de_mortalidad_infantil" TargetMode="External"/><Relationship Id="rId120" Type="http://schemas.openxmlformats.org/officeDocument/2006/relationships/hyperlink" Target="http://es.wikipedia.org/wiki/Kil%C3%B3metros_cuadrados" TargetMode="External"/><Relationship Id="rId125" Type="http://schemas.openxmlformats.org/officeDocument/2006/relationships/hyperlink" Target="http://es.wikipedia.org/wiki/Para%C3%ADba" TargetMode="External"/><Relationship Id="rId141" Type="http://schemas.openxmlformats.org/officeDocument/2006/relationships/hyperlink" Target="http://translate.googleusercontent.com/translate_c?depth=1&amp;ei=anHXUIOGB5OK9gSmpICYBg&amp;hl=es&amp;prev=/search%3Fq%3Dpac%2Bbrasil%2Bprograma%26hl%3Des%26tbo%3Dd%26biw%3D1440%26bih%3D797&amp;rurl=translate.google.com.ec&amp;sl=en&amp;u=http://en.wikipedia.org/wiki/Dilma_Rousseff&amp;usg=ALkJrhjaawrauWMP5gaVx0z4CHDaCcWdfg" TargetMode="External"/><Relationship Id="rId146" Type="http://schemas.openxmlformats.org/officeDocument/2006/relationships/chart" Target="charts/chart7.xml"/><Relationship Id="rId167" Type="http://schemas.openxmlformats.org/officeDocument/2006/relationships/hyperlink" Target="http://es.wikipedia.org/wiki/Segunda_vuelta_electoral" TargetMode="External"/><Relationship Id="rId7" Type="http://schemas.openxmlformats.org/officeDocument/2006/relationships/endnotes" Target="endnotes.xml"/><Relationship Id="rId71" Type="http://schemas.openxmlformats.org/officeDocument/2006/relationships/hyperlink" Target="http://es.wikipedia.org/wiki/Consumo" TargetMode="External"/><Relationship Id="rId92" Type="http://schemas.openxmlformats.org/officeDocument/2006/relationships/hyperlink" Target="http://es.wikipedia.org/wiki/Cr%C3%A9dito" TargetMode="External"/><Relationship Id="rId162" Type="http://schemas.openxmlformats.org/officeDocument/2006/relationships/hyperlink" Target="http://es.wikipedia.org/wiki/Universidad_San_Francisco_de_Quito" TargetMode="External"/><Relationship Id="rId183" Type="http://schemas.openxmlformats.org/officeDocument/2006/relationships/fontTable" Target="fontTable.xml"/><Relationship Id="rId2" Type="http://schemas.openxmlformats.org/officeDocument/2006/relationships/numbering" Target="numbering.xml"/><Relationship Id="rId29" Type="http://schemas.openxmlformats.org/officeDocument/2006/relationships/hyperlink" Target="http://es.wikipedia.org/wiki/Desregulaci%C3%B3n" TargetMode="External"/><Relationship Id="rId24" Type="http://schemas.openxmlformats.org/officeDocument/2006/relationships/hyperlink" Target="http://es.wikipedia.org/wiki/Producci%C3%B3n_%28econom%C3%ADa%29" TargetMode="External"/><Relationship Id="rId40" Type="http://schemas.openxmlformats.org/officeDocument/2006/relationships/hyperlink" Target="http://www.economia48.com/spa/d/trampa-de-la-liquidez/trampa-de-la-liquidez.htm" TargetMode="External"/><Relationship Id="rId45" Type="http://schemas.openxmlformats.org/officeDocument/2006/relationships/hyperlink" Target="http://www.economia48.com/spa/d/oferta-monetaria/oferta-monetaria.htm" TargetMode="External"/><Relationship Id="rId66" Type="http://schemas.openxmlformats.org/officeDocument/2006/relationships/hyperlink" Target="http://es.wikipedia.org/wiki/Distribuci%C3%B3n_del_ingreso" TargetMode="External"/><Relationship Id="rId87" Type="http://schemas.openxmlformats.org/officeDocument/2006/relationships/diagramColors" Target="diagrams/colors1.xml"/><Relationship Id="rId110" Type="http://schemas.openxmlformats.org/officeDocument/2006/relationships/hyperlink" Target="http://es.wikipedia.org/wiki/Distrito_Federal_de_Brasil" TargetMode="External"/><Relationship Id="rId115" Type="http://schemas.openxmlformats.org/officeDocument/2006/relationships/hyperlink" Target="http://es.wikipedia.org/wiki/Bah%C3%ADa" TargetMode="External"/><Relationship Id="rId131" Type="http://schemas.openxmlformats.org/officeDocument/2006/relationships/hyperlink" Target="http://translate.googleusercontent.com/translate_c?hl=es&amp;prev=/search%3Fq%3Dbolsa%2Bfamilia%2Bbrasil%26hl%3Des%26biw%3D1152%26bih%3D609%26prmd%3Dimvns&amp;rurl=translate.google.com.ec&amp;sl=en&amp;u=http://en.wikipedia.org/wiki/Reais&amp;usg=ALkJrhj47KeVmvC1Bd-KUWt_J5x22REgiw" TargetMode="External"/><Relationship Id="rId136" Type="http://schemas.openxmlformats.org/officeDocument/2006/relationships/hyperlink" Target="http://translate.googleusercontent.com/translate_c?depth=1&amp;ei=anHXUIOGB5OK9gSmpICYBg&amp;hl=es&amp;prev=/search%3Fq%3Dpac%2Bbrasil%2Bprograma%26hl%3Des%26tbo%3Dd%26biw%3D1440%26bih%3D797&amp;rurl=translate.google.com.ec&amp;sl=en&amp;u=http://en.wikipedia.org/wiki/Luiz_In%25C3%25A1cio_Lula_da_Silva&amp;usg=ALkJrhhqIgV1fuzX3CTy0y9NTG3q0hObKw" TargetMode="External"/><Relationship Id="rId157" Type="http://schemas.openxmlformats.org/officeDocument/2006/relationships/hyperlink" Target="http://es.wikipedia.org/wiki/Extrema_pobreza" TargetMode="External"/><Relationship Id="rId178" Type="http://schemas.openxmlformats.org/officeDocument/2006/relationships/hyperlink" Target="http://es.wikipedia.org/wiki/Constituci%C3%B3n" TargetMode="External"/><Relationship Id="rId61" Type="http://schemas.openxmlformats.org/officeDocument/2006/relationships/hyperlink" Target="http://es.wikipedia.org/wiki/Pater_familias" TargetMode="External"/><Relationship Id="rId82" Type="http://schemas.openxmlformats.org/officeDocument/2006/relationships/image" Target="media/image3.jpeg"/><Relationship Id="rId152" Type="http://schemas.openxmlformats.org/officeDocument/2006/relationships/chart" Target="charts/chart9.xml"/><Relationship Id="rId173" Type="http://schemas.openxmlformats.org/officeDocument/2006/relationships/hyperlink" Target="http://es.wikipedia.org/w/index.php?title=Primera_vuelta_electoral&amp;action=edit&amp;redlink=1" TargetMode="External"/><Relationship Id="rId19" Type="http://schemas.openxmlformats.org/officeDocument/2006/relationships/hyperlink" Target="http://es.wikipedia.org/wiki/Empresas" TargetMode="External"/><Relationship Id="rId14" Type="http://schemas.openxmlformats.org/officeDocument/2006/relationships/hyperlink" Target="http://es.wikipedia.org/wiki/Medio_ambiente" TargetMode="External"/><Relationship Id="rId30" Type="http://schemas.openxmlformats.org/officeDocument/2006/relationships/hyperlink" Target="http://www.economia48.com/spa/d/principal/principal.htm" TargetMode="External"/><Relationship Id="rId35" Type="http://schemas.openxmlformats.org/officeDocument/2006/relationships/hyperlink" Target="http://www.economia48.com/spa/d/empleo/empleo.htm" TargetMode="External"/><Relationship Id="rId56" Type="http://schemas.openxmlformats.org/officeDocument/2006/relationships/hyperlink" Target="http://es.wikipedia.org/wiki/T%C3%A9rminos_de_intercambio" TargetMode="External"/><Relationship Id="rId77" Type="http://schemas.openxmlformats.org/officeDocument/2006/relationships/hyperlink" Target="http://es.wikipedia.org/wiki/Cr%C3%A9dito" TargetMode="External"/><Relationship Id="rId100" Type="http://schemas.openxmlformats.org/officeDocument/2006/relationships/hyperlink" Target="http://es.wikipedia.org/wiki/Am%C3%A9rica_Latina" TargetMode="External"/><Relationship Id="rId105" Type="http://schemas.openxmlformats.org/officeDocument/2006/relationships/hyperlink" Target="http://es.wikipedia.org/wiki/Ecorregi%C3%B3n" TargetMode="External"/><Relationship Id="rId126" Type="http://schemas.openxmlformats.org/officeDocument/2006/relationships/hyperlink" Target="http://es.wikipedia.org/wiki/Piau%C3%AD" TargetMode="External"/><Relationship Id="rId147" Type="http://schemas.openxmlformats.org/officeDocument/2006/relationships/image" Target="media/image6.png"/><Relationship Id="rId168" Type="http://schemas.openxmlformats.org/officeDocument/2006/relationships/hyperlink" Target="http://es.wikipedia.org/wiki/26_de_noviembre" TargetMode="External"/><Relationship Id="rId8" Type="http://schemas.openxmlformats.org/officeDocument/2006/relationships/image" Target="media/image1.jpeg"/><Relationship Id="rId51" Type="http://schemas.openxmlformats.org/officeDocument/2006/relationships/hyperlink" Target="http://es.wikipedia.org/wiki/Libre_comercio" TargetMode="External"/><Relationship Id="rId72" Type="http://schemas.openxmlformats.org/officeDocument/2006/relationships/hyperlink" Target="http://es.wikipedia.org/wiki/Divisas" TargetMode="External"/><Relationship Id="rId93" Type="http://schemas.openxmlformats.org/officeDocument/2006/relationships/hyperlink" Target="http://es.wikipedia.org/wiki/Exportaci%C3%B3n" TargetMode="External"/><Relationship Id="rId98" Type="http://schemas.openxmlformats.org/officeDocument/2006/relationships/hyperlink" Target="http://es.wikipedia.org/wiki/Cuenca_de_Santos" TargetMode="External"/><Relationship Id="rId121" Type="http://schemas.openxmlformats.org/officeDocument/2006/relationships/hyperlink" Target="http://es.wikipedia.org/wiki/Alagoas" TargetMode="External"/><Relationship Id="rId142" Type="http://schemas.openxmlformats.org/officeDocument/2006/relationships/chart" Target="charts/chart3.xml"/><Relationship Id="rId163" Type="http://schemas.openxmlformats.org/officeDocument/2006/relationships/hyperlink" Target="http://es.wikipedia.org/wiki/Universidad_de_Illinois_en_Urbana-Champaign" TargetMode="External"/><Relationship Id="rId184" Type="http://schemas.openxmlformats.org/officeDocument/2006/relationships/theme" Target="theme/theme1.xml"/><Relationship Id="rId3" Type="http://schemas.openxmlformats.org/officeDocument/2006/relationships/styles" Target="styles.xml"/><Relationship Id="rId25" Type="http://schemas.openxmlformats.org/officeDocument/2006/relationships/hyperlink" Target="http://es.wikipedia.org/wiki/Renta_financiera" TargetMode="External"/><Relationship Id="rId46" Type="http://schemas.openxmlformats.org/officeDocument/2006/relationships/hyperlink" Target="http://www.economia48.com/spa/d/politica-monetaria/politica-monetaria.htm" TargetMode="External"/><Relationship Id="rId67" Type="http://schemas.openxmlformats.org/officeDocument/2006/relationships/hyperlink" Target="http://es.wikipedia.org/wiki/Mercado_interno" TargetMode="External"/><Relationship Id="rId116" Type="http://schemas.openxmlformats.org/officeDocument/2006/relationships/hyperlink" Target="http://es.wikipedia.org/wiki/Maranh%C3%A3o" TargetMode="External"/><Relationship Id="rId137" Type="http://schemas.openxmlformats.org/officeDocument/2006/relationships/hyperlink" Target="http://translate.googleusercontent.com/translate_c?depth=1&amp;ei=anHXUIOGB5OK9gSmpICYBg&amp;hl=es&amp;prev=/search%3Fq%3Dpac%2Bbrasil%2Bprograma%26hl%3Des%26tbo%3Dd%26biw%3D1440%26bih%3D797&amp;rurl=translate.google.com.ec&amp;sl=en&amp;u=http://en.wikipedia.org/wiki/Economic_policy&amp;usg=ALkJrhic3etcT0HzlQmxolV8u1581r2E6g" TargetMode="External"/><Relationship Id="rId158" Type="http://schemas.openxmlformats.org/officeDocument/2006/relationships/hyperlink" Target="http://es.wikipedia.org/wiki/Alfabetizaci%C3%B3n" TargetMode="External"/><Relationship Id="rId20" Type="http://schemas.openxmlformats.org/officeDocument/2006/relationships/hyperlink" Target="http://es.wikipedia.org/wiki/Estado" TargetMode="External"/><Relationship Id="rId41" Type="http://schemas.openxmlformats.org/officeDocument/2006/relationships/hyperlink" Target="http://www.economia48.com/spa/d/tipo-de-interes/tipo-de-interes.htm" TargetMode="External"/><Relationship Id="rId62" Type="http://schemas.openxmlformats.org/officeDocument/2006/relationships/hyperlink" Target="http://es.wikipedia.org/wiki/Desempleo" TargetMode="External"/><Relationship Id="rId83" Type="http://schemas.openxmlformats.org/officeDocument/2006/relationships/image" Target="media/image4.png"/><Relationship Id="rId88" Type="http://schemas.openxmlformats.org/officeDocument/2006/relationships/hyperlink" Target="http://es.wikipedia.org/wiki/Inflaci%C3%B3n" TargetMode="External"/><Relationship Id="rId111" Type="http://schemas.openxmlformats.org/officeDocument/2006/relationships/hyperlink" Target="http://es.wikipedia.org/wiki/Mato_Grosso" TargetMode="External"/><Relationship Id="rId132" Type="http://schemas.openxmlformats.org/officeDocument/2006/relationships/hyperlink" Target="http://translate.googleusercontent.com/translate_c?hl=es&amp;prev=/search%3Fq%3Dbolsa%2Bfamilia%2Bbrasil%26hl%3Des%26biw%3D1152%26bih%3D609%26prmd%3Dimvns&amp;rurl=translate.google.com.ec&amp;sl=en&amp;u=http://en.wikipedia.org/wiki/Per-capita_income&amp;usg=ALkJrhgfFO-_9WPQgJD4Q0naeb3Vk6Sy3A" TargetMode="External"/><Relationship Id="rId153" Type="http://schemas.openxmlformats.org/officeDocument/2006/relationships/hyperlink" Target="http://cronica.com.ec/index.php?option=com_content&amp;view=article&amp;id=2241:mucho-mejor-si-es-hecho-en-ecuador&amp;catid=34:locales&amp;Itemid=56" TargetMode="External"/><Relationship Id="rId174" Type="http://schemas.openxmlformats.org/officeDocument/2006/relationships/hyperlink" Target="http://es.wikipedia.org/wiki/26_de_abril" TargetMode="External"/><Relationship Id="rId179" Type="http://schemas.openxmlformats.org/officeDocument/2006/relationships/hyperlink" Target="http://es.wikipedia.org/wiki/Asamblea_Nacional_Constituyente_de_Ecuador_de_2007" TargetMode="External"/><Relationship Id="rId15" Type="http://schemas.openxmlformats.org/officeDocument/2006/relationships/hyperlink" Target="http://es.wikipedia.org/wiki/Liberalismo_social" TargetMode="External"/><Relationship Id="rId36" Type="http://schemas.openxmlformats.org/officeDocument/2006/relationships/hyperlink" Target="http://www.economia48.com/spa/d/eficacia/eficacia.htm" TargetMode="External"/><Relationship Id="rId57" Type="http://schemas.openxmlformats.org/officeDocument/2006/relationships/hyperlink" Target="http://es.wikipedia.org/wiki/Peque%C3%B1a_y_mediana_empresa" TargetMode="External"/><Relationship Id="rId106" Type="http://schemas.openxmlformats.org/officeDocument/2006/relationships/hyperlink" Target="http://es.wikipedia.org/wiki/Sabana_tropical" TargetMode="External"/><Relationship Id="rId127" Type="http://schemas.openxmlformats.org/officeDocument/2006/relationships/hyperlink" Target="http://es.wikipedia.org/wiki/Pernambuco" TargetMode="External"/><Relationship Id="rId10" Type="http://schemas.openxmlformats.org/officeDocument/2006/relationships/footer" Target="footer2.xml"/><Relationship Id="rId31" Type="http://schemas.openxmlformats.org/officeDocument/2006/relationships/hyperlink" Target="http://www.economia48.com/spa/d/analisis/analisis.htm" TargetMode="External"/><Relationship Id="rId52" Type="http://schemas.openxmlformats.org/officeDocument/2006/relationships/hyperlink" Target="http://es.wikipedia.org/wiki/Proteccionismo" TargetMode="External"/><Relationship Id="rId73" Type="http://schemas.openxmlformats.org/officeDocument/2006/relationships/hyperlink" Target="http://es.wikipedia.org/wiki/Capital_%28econom%C3%ADa%29" TargetMode="External"/><Relationship Id="rId78" Type="http://schemas.openxmlformats.org/officeDocument/2006/relationships/hyperlink" Target="http://es.wikipedia.org/wiki/Demanda" TargetMode="External"/><Relationship Id="rId94" Type="http://schemas.openxmlformats.org/officeDocument/2006/relationships/hyperlink" Target="http://es.wikipedia.org/wiki/2002" TargetMode="External"/><Relationship Id="rId99" Type="http://schemas.openxmlformats.org/officeDocument/2006/relationships/hyperlink" Target="http://es.wikipedia.org/wiki/Real_brasile%C3%B1o" TargetMode="External"/><Relationship Id="rId101" Type="http://schemas.openxmlformats.org/officeDocument/2006/relationships/hyperlink" Target="http://es.wikipedia.org/wiki/Uranio" TargetMode="External"/><Relationship Id="rId122" Type="http://schemas.openxmlformats.org/officeDocument/2006/relationships/hyperlink" Target="http://es.wikipedia.org/wiki/Bah%C3%ADa_%28Brasil%29" TargetMode="External"/><Relationship Id="rId143" Type="http://schemas.openxmlformats.org/officeDocument/2006/relationships/chart" Target="charts/chart4.xml"/><Relationship Id="rId148" Type="http://schemas.openxmlformats.org/officeDocument/2006/relationships/chart" Target="charts/chart8.xml"/><Relationship Id="rId164" Type="http://schemas.openxmlformats.org/officeDocument/2006/relationships/hyperlink" Target="http://es.wikipedia.org/wiki/Estados_Unidos" TargetMode="External"/><Relationship Id="rId169" Type="http://schemas.openxmlformats.org/officeDocument/2006/relationships/hyperlink" Target="http://es.wikipedia.org/wiki/2006" TargetMode="External"/><Relationship Id="rId185" Type="http://schemas.microsoft.com/office/2007/relationships/diagramDrawing" Target="diagrams/drawing1.xml"/></Relationships>
</file>

<file path=word/_rels/footnotes.xml.rels><?xml version="1.0" encoding="UTF-8" standalone="yes"?>
<Relationships xmlns="http://schemas.openxmlformats.org/package/2006/relationships"><Relationship Id="rId3" Type="http://schemas.openxmlformats.org/officeDocument/2006/relationships/hyperlink" Target="http://es.wikipedia.org/wiki/S%C3%A3o_Caetano_do_Sul" TargetMode="External"/><Relationship Id="rId7" Type="http://schemas.openxmlformats.org/officeDocument/2006/relationships/hyperlink" Target="http://es.wikipedia.org/w/index.php?title=Rio_Grande_da_Serra&amp;action=edit&amp;redlink=1" TargetMode="External"/><Relationship Id="rId2" Type="http://schemas.openxmlformats.org/officeDocument/2006/relationships/hyperlink" Target="http://es.wikipedia.org/wiki/S%C3%A3o_Bernardo_do_Campo" TargetMode="External"/><Relationship Id="rId1" Type="http://schemas.openxmlformats.org/officeDocument/2006/relationships/hyperlink" Target="http://es.wikipedia.org/wiki/Regi%C3%B3n_Metropolitana_de_S%C3%A3o_Paulo" TargetMode="External"/><Relationship Id="rId6" Type="http://schemas.openxmlformats.org/officeDocument/2006/relationships/hyperlink" Target="http://es.wikipedia.org/wiki/Ribeir%C3%A3o_Pires" TargetMode="External"/><Relationship Id="rId5" Type="http://schemas.openxmlformats.org/officeDocument/2006/relationships/hyperlink" Target="http://es.wikipedia.org/wiki/Mau%C3%A1" TargetMode="External"/><Relationship Id="rId4" Type="http://schemas.openxmlformats.org/officeDocument/2006/relationships/hyperlink" Target="http://es.wikipedia.org/w/index.php?title=Diadema_%28Brasil%29&amp;action=edit&amp;redlink=1" TargetMode="External"/></Relationships>
</file>

<file path=word/charts/_rels/chart1.xml.rels><?xml version="1.0" encoding="UTF-8" standalone="yes"?>
<Relationships xmlns="http://schemas.openxmlformats.org/package/2006/relationships"><Relationship Id="rId1" Type="http://schemas.openxmlformats.org/officeDocument/2006/relationships/oleObject" Target="Libro1" TargetMode="External"/></Relationships>
</file>

<file path=word/charts/_rels/chart10.xml.rels><?xml version="1.0" encoding="UTF-8" standalone="yes"?>
<Relationships xmlns="http://schemas.openxmlformats.org/package/2006/relationships"><Relationship Id="rId2" Type="http://schemas.openxmlformats.org/officeDocument/2006/relationships/chartUserShapes" Target="../drawings/drawing1.xml"/><Relationship Id="rId1" Type="http://schemas.openxmlformats.org/officeDocument/2006/relationships/oleObject" Target="Libro1"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Libro1"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J:\grafico%20BDH.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J:\grafico%20BDH.xlsx"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file:///J:\grafico%20BDH.xlsx" TargetMode="External"/></Relationships>
</file>

<file path=word/charts/_rels/chart6.xml.rels><?xml version="1.0" encoding="UTF-8" standalone="yes"?>
<Relationships xmlns="http://schemas.openxmlformats.org/package/2006/relationships"><Relationship Id="rId1" Type="http://schemas.openxmlformats.org/officeDocument/2006/relationships/oleObject" Target="file:///J:\tabla-grafico%20MIDUVI.xlsx" TargetMode="External"/></Relationships>
</file>

<file path=word/charts/_rels/chart7.xml.rels><?xml version="1.0" encoding="UTF-8" standalone="yes"?>
<Relationships xmlns="http://schemas.openxmlformats.org/package/2006/relationships"><Relationship Id="rId1" Type="http://schemas.openxmlformats.org/officeDocument/2006/relationships/oleObject" Target="Libro1" TargetMode="External"/></Relationships>
</file>

<file path=word/charts/_rels/chart8.xml.rels><?xml version="1.0" encoding="UTF-8" standalone="yes"?>
<Relationships xmlns="http://schemas.openxmlformats.org/package/2006/relationships"><Relationship Id="rId1" Type="http://schemas.openxmlformats.org/officeDocument/2006/relationships/oleObject" Target="file:///J:\grafico%20monto%20de%20inversion%20educacion%20ecu.xlsx" TargetMode="External"/></Relationships>
</file>

<file path=word/charts/_rels/chart9.xml.rels><?xml version="1.0" encoding="UTF-8" standalone="yes"?>
<Relationships xmlns="http://schemas.openxmlformats.org/package/2006/relationships"><Relationship Id="rId1" Type="http://schemas.openxmlformats.org/officeDocument/2006/relationships/oleObject" Target="Libro1" TargetMode="External"/></Relationships>
</file>

<file path=word/charts/chart1.xml><?xml version="1.0" encoding="utf-8"?>
<c:chartSpace xmlns:c="http://schemas.openxmlformats.org/drawingml/2006/chart" xmlns:a="http://schemas.openxmlformats.org/drawingml/2006/main" xmlns:r="http://schemas.openxmlformats.org/officeDocument/2006/relationships">
  <c:lang val="es-ES"/>
  <c:chart>
    <c:title>
      <c:tx>
        <c:rich>
          <a:bodyPr/>
          <a:lstStyle/>
          <a:p>
            <a:pPr>
              <a:defRPr/>
            </a:pPr>
            <a:r>
              <a:rPr lang="es-ES"/>
              <a:t>escuelas beneficiadas por el programa</a:t>
            </a:r>
            <a:r>
              <a:rPr lang="es-ES" baseline="0"/>
              <a:t> más educación </a:t>
            </a:r>
            <a:r>
              <a:rPr lang="es-ES"/>
              <a:t> </a:t>
            </a:r>
          </a:p>
        </c:rich>
      </c:tx>
      <c:layout/>
    </c:title>
    <c:plotArea>
      <c:layout/>
      <c:barChart>
        <c:barDir val="col"/>
        <c:grouping val="clustered"/>
        <c:ser>
          <c:idx val="1"/>
          <c:order val="0"/>
          <c:tx>
            <c:strRef>
              <c:f>Hoja1!$B$1</c:f>
              <c:strCache>
                <c:ptCount val="1"/>
                <c:pt idx="0">
                  <c:v>escuelas beneficiadas</c:v>
                </c:pt>
              </c:strCache>
            </c:strRef>
          </c:tx>
          <c:cat>
            <c:numRef>
              <c:f>Hoja1!$A$2:$A$4</c:f>
              <c:numCache>
                <c:formatCode>General</c:formatCode>
                <c:ptCount val="3"/>
                <c:pt idx="0">
                  <c:v>2008</c:v>
                </c:pt>
                <c:pt idx="1">
                  <c:v>2009</c:v>
                </c:pt>
                <c:pt idx="2">
                  <c:v>2010</c:v>
                </c:pt>
              </c:numCache>
            </c:numRef>
          </c:cat>
          <c:val>
            <c:numRef>
              <c:f>Hoja1!$B$2:$B$4</c:f>
              <c:numCache>
                <c:formatCode>#,##0</c:formatCode>
                <c:ptCount val="3"/>
                <c:pt idx="0">
                  <c:v>1380</c:v>
                </c:pt>
                <c:pt idx="1">
                  <c:v>5000</c:v>
                </c:pt>
                <c:pt idx="2">
                  <c:v>10000</c:v>
                </c:pt>
              </c:numCache>
            </c:numRef>
          </c:val>
        </c:ser>
        <c:axId val="9637888"/>
        <c:axId val="9639424"/>
      </c:barChart>
      <c:catAx>
        <c:axId val="9637888"/>
        <c:scaling>
          <c:orientation val="minMax"/>
        </c:scaling>
        <c:axPos val="b"/>
        <c:numFmt formatCode="General" sourceLinked="1"/>
        <c:tickLblPos val="nextTo"/>
        <c:crossAx val="9639424"/>
        <c:crosses val="autoZero"/>
        <c:auto val="1"/>
        <c:lblAlgn val="ctr"/>
        <c:lblOffset val="100"/>
      </c:catAx>
      <c:valAx>
        <c:axId val="9639424"/>
        <c:scaling>
          <c:orientation val="minMax"/>
        </c:scaling>
        <c:axPos val="l"/>
        <c:majorGridlines/>
        <c:numFmt formatCode="#,##0" sourceLinked="1"/>
        <c:tickLblPos val="nextTo"/>
        <c:crossAx val="9637888"/>
        <c:crosses val="autoZero"/>
        <c:crossBetween val="between"/>
      </c:valAx>
    </c:plotArea>
    <c:legend>
      <c:legendPos val="r"/>
      <c:layout/>
    </c:legend>
    <c:plotVisOnly val="1"/>
    <c:dispBlanksAs val="gap"/>
  </c:chart>
  <c:externalData r:id="rId1"/>
</c:chartSpace>
</file>

<file path=word/charts/chart10.xml><?xml version="1.0" encoding="utf-8"?>
<c:chartSpace xmlns:c="http://schemas.openxmlformats.org/drawingml/2006/chart" xmlns:a="http://schemas.openxmlformats.org/drawingml/2006/main" xmlns:r="http://schemas.openxmlformats.org/officeDocument/2006/relationships">
  <c:lang val="es-ES"/>
  <c:chart>
    <c:view3D>
      <c:rAngAx val="1"/>
    </c:view3D>
    <c:plotArea>
      <c:layout>
        <c:manualLayout>
          <c:layoutTarget val="inner"/>
          <c:xMode val="edge"/>
          <c:yMode val="edge"/>
          <c:x val="0.32061904691292131"/>
          <c:y val="0.20717154258156759"/>
          <c:w val="0.43756295999723893"/>
          <c:h val="0.61801392712089864"/>
        </c:manualLayout>
      </c:layout>
      <c:bar3DChart>
        <c:barDir val="col"/>
        <c:grouping val="clustered"/>
        <c:ser>
          <c:idx val="1"/>
          <c:order val="0"/>
          <c:tx>
            <c:strRef>
              <c:f>Hoja1!$B$2</c:f>
              <c:strCache>
                <c:ptCount val="1"/>
                <c:pt idx="0">
                  <c:v>EXPORTACIONES</c:v>
                </c:pt>
              </c:strCache>
            </c:strRef>
          </c:tx>
          <c:cat>
            <c:numRef>
              <c:f>Hoja1!$A$3:$A$8</c:f>
              <c:numCache>
                <c:formatCode>General</c:formatCode>
                <c:ptCount val="6"/>
                <c:pt idx="0">
                  <c:v>2006</c:v>
                </c:pt>
                <c:pt idx="1">
                  <c:v>2007</c:v>
                </c:pt>
                <c:pt idx="2">
                  <c:v>2008</c:v>
                </c:pt>
                <c:pt idx="3">
                  <c:v>2009</c:v>
                </c:pt>
                <c:pt idx="4">
                  <c:v>2010</c:v>
                </c:pt>
                <c:pt idx="5">
                  <c:v>2011</c:v>
                </c:pt>
              </c:numCache>
            </c:numRef>
          </c:cat>
          <c:val>
            <c:numRef>
              <c:f>Hoja1!$B$3:$B$8</c:f>
              <c:numCache>
                <c:formatCode>#,##0</c:formatCode>
                <c:ptCount val="6"/>
                <c:pt idx="0">
                  <c:v>12728000000</c:v>
                </c:pt>
                <c:pt idx="1">
                  <c:v>14321000000</c:v>
                </c:pt>
                <c:pt idx="2">
                  <c:v>18510000000</c:v>
                </c:pt>
                <c:pt idx="3">
                  <c:v>13762000000</c:v>
                </c:pt>
                <c:pt idx="4">
                  <c:v>17489928000</c:v>
                </c:pt>
                <c:pt idx="5">
                  <c:v>22292250000</c:v>
                </c:pt>
              </c:numCache>
            </c:numRef>
          </c:val>
        </c:ser>
        <c:ser>
          <c:idx val="2"/>
          <c:order val="1"/>
          <c:tx>
            <c:strRef>
              <c:f>Hoja1!$C$2</c:f>
              <c:strCache>
                <c:ptCount val="1"/>
                <c:pt idx="0">
                  <c:v>IMPORTACIONES</c:v>
                </c:pt>
              </c:strCache>
            </c:strRef>
          </c:tx>
          <c:cat>
            <c:numRef>
              <c:f>Hoja1!$A$3:$A$8</c:f>
              <c:numCache>
                <c:formatCode>General</c:formatCode>
                <c:ptCount val="6"/>
                <c:pt idx="0">
                  <c:v>2006</c:v>
                </c:pt>
                <c:pt idx="1">
                  <c:v>2007</c:v>
                </c:pt>
                <c:pt idx="2">
                  <c:v>2008</c:v>
                </c:pt>
                <c:pt idx="3">
                  <c:v>2009</c:v>
                </c:pt>
                <c:pt idx="4">
                  <c:v>2010</c:v>
                </c:pt>
                <c:pt idx="5">
                  <c:v>2011</c:v>
                </c:pt>
              </c:numCache>
            </c:numRef>
          </c:cat>
          <c:val>
            <c:numRef>
              <c:f>Hoja1!$C$3:$C$8</c:f>
              <c:numCache>
                <c:formatCode>#,##0</c:formatCode>
                <c:ptCount val="6"/>
                <c:pt idx="0">
                  <c:v>11266000000</c:v>
                </c:pt>
                <c:pt idx="1">
                  <c:v>12695000000</c:v>
                </c:pt>
                <c:pt idx="2">
                  <c:v>17415000000</c:v>
                </c:pt>
                <c:pt idx="3">
                  <c:v>14072000000</c:v>
                </c:pt>
                <c:pt idx="4">
                  <c:v>19468655000</c:v>
                </c:pt>
                <c:pt idx="5">
                  <c:v>23009547000</c:v>
                </c:pt>
              </c:numCache>
            </c:numRef>
          </c:val>
        </c:ser>
        <c:shape val="box"/>
        <c:axId val="65570688"/>
        <c:axId val="65572224"/>
        <c:axId val="0"/>
      </c:bar3DChart>
      <c:catAx>
        <c:axId val="65570688"/>
        <c:scaling>
          <c:orientation val="minMax"/>
        </c:scaling>
        <c:axPos val="b"/>
        <c:numFmt formatCode="General" sourceLinked="1"/>
        <c:tickLblPos val="nextTo"/>
        <c:txPr>
          <a:bodyPr/>
          <a:lstStyle/>
          <a:p>
            <a:pPr>
              <a:defRPr lang="en-US"/>
            </a:pPr>
            <a:endParaRPr lang="es-ES"/>
          </a:p>
        </c:txPr>
        <c:crossAx val="65572224"/>
        <c:crosses val="autoZero"/>
        <c:auto val="1"/>
        <c:lblAlgn val="ctr"/>
        <c:lblOffset val="100"/>
      </c:catAx>
      <c:valAx>
        <c:axId val="65572224"/>
        <c:scaling>
          <c:orientation val="minMax"/>
        </c:scaling>
        <c:axPos val="l"/>
        <c:majorGridlines/>
        <c:numFmt formatCode="#,##0" sourceLinked="1"/>
        <c:tickLblPos val="nextTo"/>
        <c:txPr>
          <a:bodyPr/>
          <a:lstStyle/>
          <a:p>
            <a:pPr>
              <a:defRPr lang="en-US"/>
            </a:pPr>
            <a:endParaRPr lang="es-ES"/>
          </a:p>
        </c:txPr>
        <c:crossAx val="65570688"/>
        <c:crosses val="autoZero"/>
        <c:crossBetween val="between"/>
      </c:valAx>
    </c:plotArea>
    <c:legend>
      <c:legendPos val="r"/>
      <c:layout/>
      <c:txPr>
        <a:bodyPr/>
        <a:lstStyle/>
        <a:p>
          <a:pPr>
            <a:defRPr lang="en-US"/>
          </a:pPr>
          <a:endParaRPr lang="es-ES"/>
        </a:p>
      </c:txPr>
    </c:legend>
    <c:plotVisOnly val="1"/>
    <c:dispBlanksAs val="gap"/>
  </c:chart>
  <c:externalData r:id="rId1"/>
  <c:userShapes r:id="rId2"/>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es-ES"/>
  <c:chart>
    <c:title>
      <c:tx>
        <c:rich>
          <a:bodyPr/>
          <a:lstStyle/>
          <a:p>
            <a:pPr>
              <a:defRPr/>
            </a:pPr>
            <a:r>
              <a:rPr lang="en-US"/>
              <a:t>nº de estudiantes beneficiados</a:t>
            </a:r>
            <a:r>
              <a:rPr lang="en-US" baseline="0"/>
              <a:t> por el programa más educación</a:t>
            </a:r>
            <a:endParaRPr lang="en-US"/>
          </a:p>
        </c:rich>
      </c:tx>
      <c:layout/>
    </c:title>
    <c:plotArea>
      <c:layout/>
      <c:barChart>
        <c:barDir val="col"/>
        <c:grouping val="clustered"/>
        <c:ser>
          <c:idx val="0"/>
          <c:order val="0"/>
          <c:tx>
            <c:strRef>
              <c:f>Hoja1!$C$1</c:f>
              <c:strCache>
                <c:ptCount val="1"/>
                <c:pt idx="0">
                  <c:v>nº de estudiantes</c:v>
                </c:pt>
              </c:strCache>
            </c:strRef>
          </c:tx>
          <c:cat>
            <c:numRef>
              <c:f>Hoja1!$A$2:$A$4</c:f>
              <c:numCache>
                <c:formatCode>General</c:formatCode>
                <c:ptCount val="3"/>
                <c:pt idx="0">
                  <c:v>2008</c:v>
                </c:pt>
                <c:pt idx="1">
                  <c:v>2009</c:v>
                </c:pt>
                <c:pt idx="2">
                  <c:v>2010</c:v>
                </c:pt>
              </c:numCache>
            </c:numRef>
          </c:cat>
          <c:val>
            <c:numRef>
              <c:f>Hoja1!$C$2:$C$4</c:f>
              <c:numCache>
                <c:formatCode>#,##0</c:formatCode>
                <c:ptCount val="3"/>
                <c:pt idx="0">
                  <c:v>386000</c:v>
                </c:pt>
                <c:pt idx="1">
                  <c:v>1500000</c:v>
                </c:pt>
                <c:pt idx="2">
                  <c:v>2300000</c:v>
                </c:pt>
              </c:numCache>
            </c:numRef>
          </c:val>
        </c:ser>
        <c:axId val="9647232"/>
        <c:axId val="9648768"/>
      </c:barChart>
      <c:catAx>
        <c:axId val="9647232"/>
        <c:scaling>
          <c:orientation val="minMax"/>
        </c:scaling>
        <c:axPos val="b"/>
        <c:numFmt formatCode="General" sourceLinked="1"/>
        <c:tickLblPos val="nextTo"/>
        <c:crossAx val="9648768"/>
        <c:crosses val="autoZero"/>
        <c:auto val="1"/>
        <c:lblAlgn val="ctr"/>
        <c:lblOffset val="100"/>
      </c:catAx>
      <c:valAx>
        <c:axId val="9648768"/>
        <c:scaling>
          <c:orientation val="minMax"/>
        </c:scaling>
        <c:axPos val="l"/>
        <c:majorGridlines/>
        <c:numFmt formatCode="#,##0" sourceLinked="1"/>
        <c:tickLblPos val="nextTo"/>
        <c:crossAx val="9647232"/>
        <c:crosses val="autoZero"/>
        <c:crossBetween val="between"/>
      </c:valAx>
    </c:plotArea>
    <c:legend>
      <c:legendPos val="r"/>
      <c:layout/>
    </c:legend>
    <c:plotVisOnly val="1"/>
    <c:dispBlanksAs val="gap"/>
  </c:chart>
  <c:externalData r:id="rId1"/>
</c:chartSpace>
</file>

<file path=word/charts/chart3.xml><?xml version="1.0" encoding="utf-8"?>
<c:chartSpace xmlns:c="http://schemas.openxmlformats.org/drawingml/2006/chart" xmlns:a="http://schemas.openxmlformats.org/drawingml/2006/main" xmlns:r="http://schemas.openxmlformats.org/officeDocument/2006/relationships">
  <c:lang val="es-ES"/>
  <c:style val="3"/>
  <c:chart>
    <c:title>
      <c:tx>
        <c:rich>
          <a:bodyPr/>
          <a:lstStyle/>
          <a:p>
            <a:pPr>
              <a:defRPr lang="en-US"/>
            </a:pPr>
            <a:r>
              <a:rPr lang="en-US"/>
              <a:t>Total</a:t>
            </a:r>
            <a:r>
              <a:rPr lang="en-US" baseline="0"/>
              <a:t> de beneficiarios de BDH</a:t>
            </a:r>
            <a:endParaRPr lang="en-US"/>
          </a:p>
        </c:rich>
      </c:tx>
      <c:layout/>
    </c:title>
    <c:plotArea>
      <c:layout/>
      <c:barChart>
        <c:barDir val="col"/>
        <c:grouping val="clustered"/>
        <c:ser>
          <c:idx val="0"/>
          <c:order val="0"/>
          <c:tx>
            <c:strRef>
              <c:f>Hoja1!$F$2</c:f>
              <c:strCache>
                <c:ptCount val="1"/>
                <c:pt idx="0">
                  <c:v>total</c:v>
                </c:pt>
              </c:strCache>
            </c:strRef>
          </c:tx>
          <c:dLbls>
            <c:dLbl>
              <c:idx val="0"/>
              <c:layout>
                <c:manualLayout>
                  <c:x val="1.3689253935660521E-2"/>
                  <c:y val="0"/>
                </c:manualLayout>
              </c:layout>
              <c:showVal val="1"/>
            </c:dLbl>
            <c:dLbl>
              <c:idx val="1"/>
              <c:layout>
                <c:manualLayout>
                  <c:x val="-2.7378507871321498E-3"/>
                  <c:y val="-3.8424591738712779E-2"/>
                </c:manualLayout>
              </c:layout>
              <c:showVal val="1"/>
            </c:dLbl>
            <c:dLbl>
              <c:idx val="2"/>
              <c:layout>
                <c:manualLayout>
                  <c:x val="1.9164739931122696E-2"/>
                  <c:y val="-2.6897214217099393E-2"/>
                </c:manualLayout>
              </c:layout>
              <c:showVal val="1"/>
            </c:dLbl>
            <c:dLbl>
              <c:idx val="3"/>
              <c:layout>
                <c:manualLayout>
                  <c:x val="0"/>
                  <c:y val="1.9212295869356393E-2"/>
                </c:manualLayout>
              </c:layout>
              <c:showVal val="1"/>
            </c:dLbl>
            <c:dLbl>
              <c:idx val="5"/>
              <c:layout>
                <c:manualLayout>
                  <c:x val="0"/>
                  <c:y val="1.1527377521613863E-2"/>
                </c:manualLayout>
              </c:layout>
              <c:showVal val="1"/>
            </c:dLbl>
            <c:txPr>
              <a:bodyPr/>
              <a:lstStyle/>
              <a:p>
                <a:pPr>
                  <a:defRPr lang="en-US" b="1"/>
                </a:pPr>
                <a:endParaRPr lang="es-ES"/>
              </a:p>
            </c:txPr>
            <c:showVal val="1"/>
          </c:dLbls>
          <c:cat>
            <c:numRef>
              <c:f>Hoja1!$A$3:$A$8</c:f>
              <c:numCache>
                <c:formatCode>General</c:formatCode>
                <c:ptCount val="6"/>
                <c:pt idx="0">
                  <c:v>2007</c:v>
                </c:pt>
                <c:pt idx="1">
                  <c:v>2008</c:v>
                </c:pt>
                <c:pt idx="2">
                  <c:v>2009</c:v>
                </c:pt>
                <c:pt idx="3">
                  <c:v>2010</c:v>
                </c:pt>
                <c:pt idx="4">
                  <c:v>2011</c:v>
                </c:pt>
                <c:pt idx="5">
                  <c:v>2012</c:v>
                </c:pt>
              </c:numCache>
            </c:numRef>
          </c:cat>
          <c:val>
            <c:numRef>
              <c:f>Hoja1!$F$3:$F$8</c:f>
              <c:numCache>
                <c:formatCode>#,##0</c:formatCode>
                <c:ptCount val="6"/>
                <c:pt idx="0">
                  <c:v>1181737</c:v>
                </c:pt>
                <c:pt idx="1">
                  <c:v>1275384</c:v>
                </c:pt>
                <c:pt idx="2">
                  <c:v>1299603</c:v>
                </c:pt>
                <c:pt idx="3">
                  <c:v>1642571</c:v>
                </c:pt>
                <c:pt idx="4">
                  <c:v>1774661</c:v>
                </c:pt>
                <c:pt idx="5">
                  <c:v>1853238</c:v>
                </c:pt>
              </c:numCache>
            </c:numRef>
          </c:val>
        </c:ser>
        <c:axId val="59572608"/>
        <c:axId val="59574144"/>
      </c:barChart>
      <c:catAx>
        <c:axId val="59572608"/>
        <c:scaling>
          <c:orientation val="minMax"/>
        </c:scaling>
        <c:axPos val="b"/>
        <c:numFmt formatCode="General" sourceLinked="1"/>
        <c:tickLblPos val="nextTo"/>
        <c:txPr>
          <a:bodyPr/>
          <a:lstStyle/>
          <a:p>
            <a:pPr>
              <a:defRPr lang="en-US"/>
            </a:pPr>
            <a:endParaRPr lang="es-ES"/>
          </a:p>
        </c:txPr>
        <c:crossAx val="59574144"/>
        <c:crosses val="autoZero"/>
        <c:auto val="1"/>
        <c:lblAlgn val="ctr"/>
        <c:lblOffset val="100"/>
      </c:catAx>
      <c:valAx>
        <c:axId val="59574144"/>
        <c:scaling>
          <c:orientation val="minMax"/>
        </c:scaling>
        <c:axPos val="l"/>
        <c:majorGridlines/>
        <c:numFmt formatCode="#,##0" sourceLinked="1"/>
        <c:tickLblPos val="nextTo"/>
        <c:txPr>
          <a:bodyPr/>
          <a:lstStyle/>
          <a:p>
            <a:pPr>
              <a:defRPr lang="en-US"/>
            </a:pPr>
            <a:endParaRPr lang="es-ES"/>
          </a:p>
        </c:txPr>
        <c:crossAx val="59572608"/>
        <c:crosses val="autoZero"/>
        <c:crossBetween val="between"/>
      </c:valAx>
    </c:plotArea>
    <c:legend>
      <c:legendPos val="r"/>
      <c:layout/>
      <c:txPr>
        <a:bodyPr/>
        <a:lstStyle/>
        <a:p>
          <a:pPr>
            <a:defRPr lang="en-US"/>
          </a:pPr>
          <a:endParaRPr lang="es-ES"/>
        </a:p>
      </c:txPr>
    </c:legend>
    <c:plotVisOnly val="1"/>
    <c:dispBlanksAs val="gap"/>
  </c:chart>
  <c:externalData r:id="rId1"/>
</c:chartSpace>
</file>

<file path=word/charts/chart4.xml><?xml version="1.0" encoding="utf-8"?>
<c:chartSpace xmlns:c="http://schemas.openxmlformats.org/drawingml/2006/chart" xmlns:a="http://schemas.openxmlformats.org/drawingml/2006/main" xmlns:r="http://schemas.openxmlformats.org/officeDocument/2006/relationships">
  <c:lang val="es-ES"/>
  <c:chart>
    <c:title>
      <c:tx>
        <c:rich>
          <a:bodyPr/>
          <a:lstStyle/>
          <a:p>
            <a:pPr>
              <a:defRPr lang="en-US"/>
            </a:pPr>
            <a:r>
              <a:rPr lang="en-US"/>
              <a:t>Beneficiarios de CDH</a:t>
            </a:r>
          </a:p>
        </c:rich>
      </c:tx>
      <c:layout/>
    </c:title>
    <c:plotArea>
      <c:layout/>
      <c:barChart>
        <c:barDir val="col"/>
        <c:grouping val="clustered"/>
        <c:ser>
          <c:idx val="1"/>
          <c:order val="0"/>
          <c:tx>
            <c:strRef>
              <c:f>Hoja2!$B$2</c:f>
              <c:strCache>
                <c:ptCount val="1"/>
                <c:pt idx="0">
                  <c:v>Beneficiarios</c:v>
                </c:pt>
              </c:strCache>
            </c:strRef>
          </c:tx>
          <c:dLbls>
            <c:dLbl>
              <c:idx val="0"/>
              <c:layout>
                <c:manualLayout>
                  <c:x val="0"/>
                  <c:y val="-2.7777777777778487E-2"/>
                </c:manualLayout>
              </c:layout>
              <c:showVal val="1"/>
            </c:dLbl>
            <c:dLbl>
              <c:idx val="2"/>
              <c:layout>
                <c:manualLayout>
                  <c:x val="0"/>
                  <c:y val="-2.3148148148148147E-2"/>
                </c:manualLayout>
              </c:layout>
              <c:showVal val="1"/>
            </c:dLbl>
            <c:dLbl>
              <c:idx val="3"/>
              <c:layout>
                <c:manualLayout>
                  <c:x val="0"/>
                  <c:y val="2.3148148148148126E-2"/>
                </c:manualLayout>
              </c:layout>
              <c:showVal val="1"/>
            </c:dLbl>
            <c:txPr>
              <a:bodyPr/>
              <a:lstStyle/>
              <a:p>
                <a:pPr>
                  <a:defRPr lang="en-US"/>
                </a:pPr>
                <a:endParaRPr lang="es-ES"/>
              </a:p>
            </c:txPr>
            <c:showVal val="1"/>
          </c:dLbls>
          <c:cat>
            <c:numRef>
              <c:f>Hoja2!$A$3:$A$8</c:f>
              <c:numCache>
                <c:formatCode>General</c:formatCode>
                <c:ptCount val="6"/>
                <c:pt idx="0">
                  <c:v>2007</c:v>
                </c:pt>
                <c:pt idx="1">
                  <c:v>2008</c:v>
                </c:pt>
                <c:pt idx="2">
                  <c:v>2009</c:v>
                </c:pt>
                <c:pt idx="3">
                  <c:v>2010</c:v>
                </c:pt>
                <c:pt idx="4">
                  <c:v>2011</c:v>
                </c:pt>
                <c:pt idx="5">
                  <c:v>2012</c:v>
                </c:pt>
              </c:numCache>
            </c:numRef>
          </c:cat>
          <c:val>
            <c:numRef>
              <c:f>Hoja2!$B$3:$B$8</c:f>
              <c:numCache>
                <c:formatCode>#,##0</c:formatCode>
                <c:ptCount val="6"/>
                <c:pt idx="0">
                  <c:v>58422</c:v>
                </c:pt>
                <c:pt idx="1">
                  <c:v>82793</c:v>
                </c:pt>
                <c:pt idx="2">
                  <c:v>118090</c:v>
                </c:pt>
                <c:pt idx="3">
                  <c:v>461625</c:v>
                </c:pt>
                <c:pt idx="4">
                  <c:v>84124</c:v>
                </c:pt>
                <c:pt idx="5">
                  <c:v>149481</c:v>
                </c:pt>
              </c:numCache>
            </c:numRef>
          </c:val>
        </c:ser>
        <c:gapWidth val="100"/>
        <c:axId val="59606912"/>
        <c:axId val="59608448"/>
      </c:barChart>
      <c:catAx>
        <c:axId val="59606912"/>
        <c:scaling>
          <c:orientation val="minMax"/>
        </c:scaling>
        <c:axPos val="b"/>
        <c:numFmt formatCode="General" sourceLinked="1"/>
        <c:tickLblPos val="nextTo"/>
        <c:txPr>
          <a:bodyPr/>
          <a:lstStyle/>
          <a:p>
            <a:pPr>
              <a:defRPr lang="en-US"/>
            </a:pPr>
            <a:endParaRPr lang="es-ES"/>
          </a:p>
        </c:txPr>
        <c:crossAx val="59608448"/>
        <c:crosses val="autoZero"/>
        <c:auto val="1"/>
        <c:lblAlgn val="ctr"/>
        <c:lblOffset val="100"/>
      </c:catAx>
      <c:valAx>
        <c:axId val="59608448"/>
        <c:scaling>
          <c:orientation val="minMax"/>
        </c:scaling>
        <c:axPos val="l"/>
        <c:majorGridlines/>
        <c:numFmt formatCode="#,##0" sourceLinked="1"/>
        <c:tickLblPos val="nextTo"/>
        <c:txPr>
          <a:bodyPr/>
          <a:lstStyle/>
          <a:p>
            <a:pPr>
              <a:defRPr lang="en-US"/>
            </a:pPr>
            <a:endParaRPr lang="es-ES"/>
          </a:p>
        </c:txPr>
        <c:crossAx val="59606912"/>
        <c:crosses val="autoZero"/>
        <c:crossBetween val="between"/>
      </c:valAx>
    </c:plotArea>
    <c:legend>
      <c:legendPos val="r"/>
      <c:layout/>
      <c:txPr>
        <a:bodyPr/>
        <a:lstStyle/>
        <a:p>
          <a:pPr rtl="0">
            <a:defRPr lang="en-US"/>
          </a:pPr>
          <a:endParaRPr lang="es-ES"/>
        </a:p>
      </c:txPr>
    </c:legend>
    <c:plotVisOnly val="1"/>
    <c:dispBlanksAs val="gap"/>
  </c:chart>
  <c:externalData r:id="rId1"/>
</c:chartSpace>
</file>

<file path=word/charts/chart5.xml><?xml version="1.0" encoding="utf-8"?>
<c:chartSpace xmlns:c="http://schemas.openxmlformats.org/drawingml/2006/chart" xmlns:a="http://schemas.openxmlformats.org/drawingml/2006/main" xmlns:r="http://schemas.openxmlformats.org/officeDocument/2006/relationships">
  <c:date1904 val="1"/>
  <c:lang val="es-ES"/>
  <c:chart>
    <c:title>
      <c:tx>
        <c:rich>
          <a:bodyPr/>
          <a:lstStyle/>
          <a:p>
            <a:pPr>
              <a:defRPr lang="en-US"/>
            </a:pPr>
            <a:r>
              <a:rPr lang="en-US"/>
              <a:t>Monto de</a:t>
            </a:r>
            <a:r>
              <a:rPr lang="en-US" baseline="0"/>
              <a:t> inversión CDH</a:t>
            </a:r>
            <a:endParaRPr lang="en-US"/>
          </a:p>
        </c:rich>
      </c:tx>
      <c:layout/>
    </c:title>
    <c:plotArea>
      <c:layout/>
      <c:barChart>
        <c:barDir val="col"/>
        <c:grouping val="clustered"/>
        <c:ser>
          <c:idx val="1"/>
          <c:order val="0"/>
          <c:tx>
            <c:strRef>
              <c:f>Hoja2!$B$10</c:f>
              <c:strCache>
                <c:ptCount val="1"/>
                <c:pt idx="0">
                  <c:v>Monto</c:v>
                </c:pt>
              </c:strCache>
            </c:strRef>
          </c:tx>
          <c:dLbls>
            <c:dLbl>
              <c:idx val="0"/>
              <c:layout>
                <c:manualLayout>
                  <c:x val="1.3888888888889079E-2"/>
                  <c:y val="-4.1667031204432804E-2"/>
                </c:manualLayout>
              </c:layout>
              <c:showVal val="1"/>
            </c:dLbl>
            <c:dLbl>
              <c:idx val="1"/>
              <c:layout>
                <c:manualLayout>
                  <c:x val="1.9444444444444445E-2"/>
                  <c:y val="-0.1111111111111111"/>
                </c:manualLayout>
              </c:layout>
              <c:showVal val="1"/>
            </c:dLbl>
            <c:dLbl>
              <c:idx val="2"/>
              <c:layout>
                <c:manualLayout>
                  <c:x val="8.3333333333333367E-3"/>
                  <c:y val="4.6296296296296927E-3"/>
                </c:manualLayout>
              </c:layout>
              <c:showVal val="1"/>
            </c:dLbl>
            <c:dLbl>
              <c:idx val="3"/>
              <c:layout>
                <c:manualLayout>
                  <c:x val="5.5555555555555558E-3"/>
                  <c:y val="1.3888888888889079E-2"/>
                </c:manualLayout>
              </c:layout>
              <c:showVal val="1"/>
            </c:dLbl>
            <c:dLbl>
              <c:idx val="5"/>
              <c:layout>
                <c:manualLayout>
                  <c:x val="0"/>
                  <c:y val="-4.1666666666666664E-2"/>
                </c:manualLayout>
              </c:layout>
              <c:showVal val="1"/>
            </c:dLbl>
            <c:txPr>
              <a:bodyPr/>
              <a:lstStyle/>
              <a:p>
                <a:pPr>
                  <a:defRPr lang="en-US" b="1">
                    <a:solidFill>
                      <a:sysClr val="windowText" lastClr="000000"/>
                    </a:solidFill>
                  </a:defRPr>
                </a:pPr>
                <a:endParaRPr lang="es-ES"/>
              </a:p>
            </c:txPr>
            <c:showVal val="1"/>
          </c:dLbls>
          <c:cat>
            <c:numRef>
              <c:f>Hoja2!$A$11:$A$16</c:f>
              <c:numCache>
                <c:formatCode>General</c:formatCode>
                <c:ptCount val="6"/>
                <c:pt idx="0">
                  <c:v>2007</c:v>
                </c:pt>
                <c:pt idx="1">
                  <c:v>2008</c:v>
                </c:pt>
                <c:pt idx="2">
                  <c:v>2009</c:v>
                </c:pt>
                <c:pt idx="3">
                  <c:v>2010</c:v>
                </c:pt>
                <c:pt idx="4">
                  <c:v>2011</c:v>
                </c:pt>
                <c:pt idx="5">
                  <c:v>2012</c:v>
                </c:pt>
              </c:numCache>
            </c:numRef>
          </c:cat>
          <c:val>
            <c:numRef>
              <c:f>Hoja2!$B$11:$B$16</c:f>
              <c:numCache>
                <c:formatCode>#,##0</c:formatCode>
                <c:ptCount val="6"/>
                <c:pt idx="0">
                  <c:v>19906640</c:v>
                </c:pt>
                <c:pt idx="1">
                  <c:v>28092032</c:v>
                </c:pt>
                <c:pt idx="2">
                  <c:v>43953074</c:v>
                </c:pt>
                <c:pt idx="3">
                  <c:v>360113318</c:v>
                </c:pt>
                <c:pt idx="4">
                  <c:v>35547936</c:v>
                </c:pt>
                <c:pt idx="5">
                  <c:v>61900674</c:v>
                </c:pt>
              </c:numCache>
            </c:numRef>
          </c:val>
        </c:ser>
        <c:gapWidth val="100"/>
        <c:axId val="65412480"/>
        <c:axId val="65430656"/>
      </c:barChart>
      <c:catAx>
        <c:axId val="65412480"/>
        <c:scaling>
          <c:orientation val="minMax"/>
        </c:scaling>
        <c:axPos val="b"/>
        <c:numFmt formatCode="General" sourceLinked="1"/>
        <c:tickLblPos val="nextTo"/>
        <c:txPr>
          <a:bodyPr/>
          <a:lstStyle/>
          <a:p>
            <a:pPr>
              <a:defRPr lang="en-US"/>
            </a:pPr>
            <a:endParaRPr lang="es-ES"/>
          </a:p>
        </c:txPr>
        <c:crossAx val="65430656"/>
        <c:crosses val="autoZero"/>
        <c:auto val="1"/>
        <c:lblAlgn val="ctr"/>
        <c:lblOffset val="100"/>
      </c:catAx>
      <c:valAx>
        <c:axId val="65430656"/>
        <c:scaling>
          <c:orientation val="minMax"/>
        </c:scaling>
        <c:axPos val="l"/>
        <c:majorGridlines/>
        <c:numFmt formatCode="#,##0" sourceLinked="1"/>
        <c:tickLblPos val="nextTo"/>
        <c:txPr>
          <a:bodyPr/>
          <a:lstStyle/>
          <a:p>
            <a:pPr>
              <a:defRPr lang="en-US"/>
            </a:pPr>
            <a:endParaRPr lang="es-ES"/>
          </a:p>
        </c:txPr>
        <c:crossAx val="65412480"/>
        <c:crosses val="autoZero"/>
        <c:crossBetween val="between"/>
      </c:valAx>
    </c:plotArea>
    <c:legend>
      <c:legendPos val="r"/>
      <c:layout/>
      <c:txPr>
        <a:bodyPr/>
        <a:lstStyle/>
        <a:p>
          <a:pPr rtl="0">
            <a:defRPr lang="en-US"/>
          </a:pPr>
          <a:endParaRPr lang="es-ES"/>
        </a:p>
      </c:txPr>
    </c:legend>
    <c:plotVisOnly val="1"/>
    <c:dispBlanksAs val="gap"/>
  </c:chart>
  <c:externalData r:id="rId1"/>
</c:chartSpace>
</file>

<file path=word/charts/chart6.xml><?xml version="1.0" encoding="utf-8"?>
<c:chartSpace xmlns:c="http://schemas.openxmlformats.org/drawingml/2006/chart" xmlns:a="http://schemas.openxmlformats.org/drawingml/2006/main" xmlns:r="http://schemas.openxmlformats.org/officeDocument/2006/relationships">
  <c:lang val="es-ES"/>
  <c:chart>
    <c:title>
      <c:tx>
        <c:rich>
          <a:bodyPr/>
          <a:lstStyle/>
          <a:p>
            <a:pPr>
              <a:defRPr lang="en-US"/>
            </a:pPr>
            <a:r>
              <a:rPr lang="en-US" sz="1200">
                <a:latin typeface="Arial" pitchFamily="34" charset="0"/>
                <a:cs typeface="Arial" pitchFamily="34" charset="0"/>
              </a:rPr>
              <a:t>Gráfico de montos de inversión del bono de la vivienda para el período 2007-2010</a:t>
            </a:r>
          </a:p>
        </c:rich>
      </c:tx>
      <c:layout/>
    </c:title>
    <c:plotArea>
      <c:layout/>
      <c:barChart>
        <c:barDir val="col"/>
        <c:grouping val="clustered"/>
        <c:ser>
          <c:idx val="1"/>
          <c:order val="0"/>
          <c:tx>
            <c:strRef>
              <c:f>Hoja4!$B$2</c:f>
              <c:strCache>
                <c:ptCount val="1"/>
                <c:pt idx="0">
                  <c:v>monto de inversion</c:v>
                </c:pt>
              </c:strCache>
            </c:strRef>
          </c:tx>
          <c:dLbls>
            <c:dLbl>
              <c:idx val="0"/>
              <c:layout>
                <c:manualLayout>
                  <c:x val="1.9444444444444445E-2"/>
                  <c:y val="8.4875562720138275E-17"/>
                </c:manualLayout>
              </c:layout>
              <c:showVal val="1"/>
            </c:dLbl>
            <c:dLbl>
              <c:idx val="1"/>
              <c:layout>
                <c:manualLayout>
                  <c:x val="0"/>
                  <c:y val="1.8518518518518583E-2"/>
                </c:manualLayout>
              </c:layout>
              <c:showVal val="1"/>
            </c:dLbl>
            <c:dLbl>
              <c:idx val="2"/>
              <c:layout>
                <c:manualLayout>
                  <c:x val="1.3888888888888966E-2"/>
                  <c:y val="-2.3148148148148147E-2"/>
                </c:manualLayout>
              </c:layout>
              <c:showVal val="1"/>
            </c:dLbl>
            <c:txPr>
              <a:bodyPr/>
              <a:lstStyle/>
              <a:p>
                <a:pPr>
                  <a:defRPr lang="en-US" b="1"/>
                </a:pPr>
                <a:endParaRPr lang="es-ES"/>
              </a:p>
            </c:txPr>
            <c:showVal val="1"/>
          </c:dLbls>
          <c:cat>
            <c:numRef>
              <c:f>Hoja4!$A$3:$A$6</c:f>
              <c:numCache>
                <c:formatCode>General</c:formatCode>
                <c:ptCount val="4"/>
                <c:pt idx="0">
                  <c:v>2007</c:v>
                </c:pt>
                <c:pt idx="1">
                  <c:v>2008</c:v>
                </c:pt>
                <c:pt idx="2">
                  <c:v>2009</c:v>
                </c:pt>
                <c:pt idx="3">
                  <c:v>2010</c:v>
                </c:pt>
              </c:numCache>
            </c:numRef>
          </c:cat>
          <c:val>
            <c:numRef>
              <c:f>Hoja4!$B$3:$B$6</c:f>
              <c:numCache>
                <c:formatCode>#,##0</c:formatCode>
                <c:ptCount val="4"/>
                <c:pt idx="0">
                  <c:v>89525000</c:v>
                </c:pt>
                <c:pt idx="1">
                  <c:v>355239178</c:v>
                </c:pt>
                <c:pt idx="2">
                  <c:v>172141946</c:v>
                </c:pt>
                <c:pt idx="3">
                  <c:v>48465811</c:v>
                </c:pt>
              </c:numCache>
            </c:numRef>
          </c:val>
        </c:ser>
        <c:gapWidth val="100"/>
        <c:axId val="65463424"/>
        <c:axId val="65464960"/>
      </c:barChart>
      <c:catAx>
        <c:axId val="65463424"/>
        <c:scaling>
          <c:orientation val="minMax"/>
        </c:scaling>
        <c:axPos val="b"/>
        <c:numFmt formatCode="General" sourceLinked="1"/>
        <c:tickLblPos val="nextTo"/>
        <c:txPr>
          <a:bodyPr/>
          <a:lstStyle/>
          <a:p>
            <a:pPr>
              <a:defRPr lang="en-US"/>
            </a:pPr>
            <a:endParaRPr lang="es-ES"/>
          </a:p>
        </c:txPr>
        <c:crossAx val="65464960"/>
        <c:crosses val="autoZero"/>
        <c:auto val="1"/>
        <c:lblAlgn val="ctr"/>
        <c:lblOffset val="100"/>
      </c:catAx>
      <c:valAx>
        <c:axId val="65464960"/>
        <c:scaling>
          <c:orientation val="minMax"/>
        </c:scaling>
        <c:axPos val="l"/>
        <c:majorGridlines/>
        <c:numFmt formatCode="#,##0" sourceLinked="1"/>
        <c:tickLblPos val="nextTo"/>
        <c:txPr>
          <a:bodyPr/>
          <a:lstStyle/>
          <a:p>
            <a:pPr>
              <a:defRPr lang="en-US"/>
            </a:pPr>
            <a:endParaRPr lang="es-ES"/>
          </a:p>
        </c:txPr>
        <c:crossAx val="65463424"/>
        <c:crosses val="autoZero"/>
        <c:crossBetween val="between"/>
      </c:valAx>
    </c:plotArea>
    <c:legend>
      <c:legendPos val="r"/>
      <c:layout/>
      <c:txPr>
        <a:bodyPr/>
        <a:lstStyle/>
        <a:p>
          <a:pPr rtl="0">
            <a:defRPr lang="en-US"/>
          </a:pPr>
          <a:endParaRPr lang="es-ES"/>
        </a:p>
      </c:txPr>
    </c:legend>
    <c:plotVisOnly val="1"/>
    <c:dispBlanksAs val="gap"/>
  </c:chart>
  <c:externalData r:id="rId1"/>
</c:chartSpace>
</file>

<file path=word/charts/chart7.xml><?xml version="1.0" encoding="utf-8"?>
<c:chartSpace xmlns:c="http://schemas.openxmlformats.org/drawingml/2006/chart" xmlns:a="http://schemas.openxmlformats.org/drawingml/2006/main" xmlns:r="http://schemas.openxmlformats.org/officeDocument/2006/relationships">
  <c:date1904 val="1"/>
  <c:lang val="es-ES"/>
  <c:style val="7"/>
  <c:chart>
    <c:title>
      <c:tx>
        <c:rich>
          <a:bodyPr/>
          <a:lstStyle/>
          <a:p>
            <a:pPr>
              <a:defRPr lang="en-US"/>
            </a:pPr>
            <a:r>
              <a:rPr lang="en-US" sz="1400"/>
              <a:t>MONTO DE INVERSIÓN EN EDUCACIÓN POR AÑOS </a:t>
            </a:r>
          </a:p>
        </c:rich>
      </c:tx>
      <c:layout/>
    </c:title>
    <c:plotArea>
      <c:layout/>
      <c:barChart>
        <c:barDir val="col"/>
        <c:grouping val="clustered"/>
        <c:ser>
          <c:idx val="0"/>
          <c:order val="0"/>
          <c:tx>
            <c:strRef>
              <c:f>Hoja1!$B$2</c:f>
              <c:strCache>
                <c:ptCount val="1"/>
                <c:pt idx="0">
                  <c:v>MONTO DE INVERSION </c:v>
                </c:pt>
              </c:strCache>
            </c:strRef>
          </c:tx>
          <c:dLbls>
            <c:dLbl>
              <c:idx val="0"/>
              <c:layout>
                <c:manualLayout>
                  <c:x val="3.2438400790489916E-2"/>
                  <c:y val="6.9243166735364608E-3"/>
                </c:manualLayout>
              </c:layout>
              <c:showVal val="1"/>
            </c:dLbl>
            <c:dLbl>
              <c:idx val="1"/>
              <c:layout>
                <c:manualLayout>
                  <c:x val="-1.6219200395244944E-2"/>
                  <c:y val="-2.7697266694145812E-2"/>
                </c:manualLayout>
              </c:layout>
              <c:showVal val="1"/>
            </c:dLbl>
            <c:dLbl>
              <c:idx val="2"/>
              <c:layout>
                <c:manualLayout>
                  <c:x val="-2.1947873799726018E-2"/>
                  <c:y val="2.0833333333333412E-2"/>
                </c:manualLayout>
              </c:layout>
              <c:showVal val="1"/>
            </c:dLbl>
            <c:dLbl>
              <c:idx val="3"/>
              <c:layout>
                <c:manualLayout>
                  <c:x val="-2.0952506751310579E-2"/>
                  <c:y val="1.745118629356068E-2"/>
                </c:manualLayout>
              </c:layout>
              <c:showVal val="1"/>
            </c:dLbl>
            <c:dLbl>
              <c:idx val="4"/>
              <c:layout>
                <c:manualLayout>
                  <c:x val="-3.411687822171884E-3"/>
                  <c:y val="-7.8702764710629133E-3"/>
                </c:manualLayout>
              </c:layout>
              <c:showVal val="1"/>
            </c:dLbl>
            <c:dLbl>
              <c:idx val="5"/>
              <c:layout>
                <c:manualLayout>
                  <c:x val="1.0048241630691896E-2"/>
                  <c:y val="-1.4737617468033639E-2"/>
                </c:manualLayout>
              </c:layout>
              <c:showVal val="1"/>
            </c:dLbl>
            <c:txPr>
              <a:bodyPr/>
              <a:lstStyle/>
              <a:p>
                <a:pPr>
                  <a:defRPr lang="en-US" b="1"/>
                </a:pPr>
                <a:endParaRPr lang="es-ES"/>
              </a:p>
            </c:txPr>
            <c:showVal val="1"/>
          </c:dLbls>
          <c:cat>
            <c:numRef>
              <c:f>Hoja1!$A$3:$A$8</c:f>
              <c:numCache>
                <c:formatCode>General</c:formatCode>
                <c:ptCount val="6"/>
                <c:pt idx="0">
                  <c:v>2006</c:v>
                </c:pt>
                <c:pt idx="1">
                  <c:v>2007</c:v>
                </c:pt>
                <c:pt idx="2">
                  <c:v>2008</c:v>
                </c:pt>
                <c:pt idx="3">
                  <c:v>2009</c:v>
                </c:pt>
                <c:pt idx="4">
                  <c:v>2010</c:v>
                </c:pt>
                <c:pt idx="5">
                  <c:v>2011</c:v>
                </c:pt>
              </c:numCache>
            </c:numRef>
          </c:cat>
          <c:val>
            <c:numRef>
              <c:f>Hoja1!$B$3:$B$8</c:f>
              <c:numCache>
                <c:formatCode>#,##0</c:formatCode>
                <c:ptCount val="6"/>
                <c:pt idx="0">
                  <c:v>1095000000</c:v>
                </c:pt>
                <c:pt idx="1">
                  <c:v>1379000000</c:v>
                </c:pt>
                <c:pt idx="2">
                  <c:v>1847000000</c:v>
                </c:pt>
                <c:pt idx="3">
                  <c:v>2071000000</c:v>
                </c:pt>
                <c:pt idx="4">
                  <c:v>2166000000</c:v>
                </c:pt>
                <c:pt idx="5">
                  <c:v>2540000000</c:v>
                </c:pt>
              </c:numCache>
            </c:numRef>
          </c:val>
        </c:ser>
        <c:gapWidth val="100"/>
        <c:axId val="65481344"/>
        <c:axId val="65511808"/>
      </c:barChart>
      <c:catAx>
        <c:axId val="65481344"/>
        <c:scaling>
          <c:orientation val="minMax"/>
        </c:scaling>
        <c:axPos val="b"/>
        <c:numFmt formatCode="General" sourceLinked="1"/>
        <c:tickLblPos val="nextTo"/>
        <c:txPr>
          <a:bodyPr/>
          <a:lstStyle/>
          <a:p>
            <a:pPr>
              <a:defRPr lang="en-US"/>
            </a:pPr>
            <a:endParaRPr lang="es-ES"/>
          </a:p>
        </c:txPr>
        <c:crossAx val="65511808"/>
        <c:crosses val="autoZero"/>
        <c:auto val="1"/>
        <c:lblAlgn val="ctr"/>
        <c:lblOffset val="100"/>
      </c:catAx>
      <c:valAx>
        <c:axId val="65511808"/>
        <c:scaling>
          <c:orientation val="minMax"/>
        </c:scaling>
        <c:axPos val="l"/>
        <c:majorGridlines/>
        <c:numFmt formatCode="#,##0" sourceLinked="1"/>
        <c:tickLblPos val="nextTo"/>
        <c:txPr>
          <a:bodyPr/>
          <a:lstStyle/>
          <a:p>
            <a:pPr>
              <a:defRPr lang="en-US"/>
            </a:pPr>
            <a:endParaRPr lang="es-ES"/>
          </a:p>
        </c:txPr>
        <c:crossAx val="65481344"/>
        <c:crosses val="autoZero"/>
        <c:crossBetween val="between"/>
      </c:valAx>
    </c:plotArea>
    <c:legend>
      <c:legendPos val="r"/>
      <c:layout/>
      <c:txPr>
        <a:bodyPr/>
        <a:lstStyle/>
        <a:p>
          <a:pPr>
            <a:defRPr lang="en-US"/>
          </a:pPr>
          <a:endParaRPr lang="es-ES"/>
        </a:p>
      </c:txPr>
    </c:legend>
    <c:plotVisOnly val="1"/>
    <c:dispBlanksAs val="gap"/>
  </c:chart>
  <c:externalData r:id="rId1"/>
</c:chartSpace>
</file>

<file path=word/charts/chart8.xml><?xml version="1.0" encoding="utf-8"?>
<c:chartSpace xmlns:c="http://schemas.openxmlformats.org/drawingml/2006/chart" xmlns:a="http://schemas.openxmlformats.org/drawingml/2006/main" xmlns:r="http://schemas.openxmlformats.org/officeDocument/2006/relationships">
  <c:date1904 val="1"/>
  <c:lang val="es-ES"/>
  <c:style val="7"/>
  <c:chart>
    <c:title>
      <c:tx>
        <c:rich>
          <a:bodyPr/>
          <a:lstStyle/>
          <a:p>
            <a:pPr>
              <a:defRPr lang="en-US"/>
            </a:pPr>
            <a:r>
              <a:rPr lang="es-ES" sz="1400"/>
              <a:t>BENEFICIARIOS DE CREDITOS EDUCATIVOS DEL IECE </a:t>
            </a:r>
          </a:p>
        </c:rich>
      </c:tx>
      <c:layout/>
    </c:title>
    <c:plotArea>
      <c:layout/>
      <c:barChart>
        <c:barDir val="col"/>
        <c:grouping val="clustered"/>
        <c:ser>
          <c:idx val="0"/>
          <c:order val="0"/>
          <c:tx>
            <c:strRef>
              <c:f>Hoja2!$B$2</c:f>
              <c:strCache>
                <c:ptCount val="1"/>
                <c:pt idx="0">
                  <c:v>BENEFICIARIOS</c:v>
                </c:pt>
              </c:strCache>
            </c:strRef>
          </c:tx>
          <c:dLbls>
            <c:dLbl>
              <c:idx val="0"/>
              <c:layout>
                <c:manualLayout>
                  <c:x val="0"/>
                  <c:y val="0.18518518518518695"/>
                </c:manualLayout>
              </c:layout>
              <c:showVal val="1"/>
            </c:dLbl>
            <c:dLbl>
              <c:idx val="1"/>
              <c:layout>
                <c:manualLayout>
                  <c:x val="8.3163296042998696E-3"/>
                  <c:y val="0.263888888888895"/>
                </c:manualLayout>
              </c:layout>
              <c:showVal val="1"/>
            </c:dLbl>
            <c:txPr>
              <a:bodyPr/>
              <a:lstStyle/>
              <a:p>
                <a:pPr>
                  <a:defRPr lang="en-US" b="1"/>
                </a:pPr>
                <a:endParaRPr lang="es-ES"/>
              </a:p>
            </c:txPr>
            <c:showVal val="1"/>
          </c:dLbls>
          <c:cat>
            <c:strRef>
              <c:f>Hoja2!$A$3:$A$4</c:f>
              <c:strCache>
                <c:ptCount val="2"/>
                <c:pt idx="0">
                  <c:v>1998-2007</c:v>
                </c:pt>
                <c:pt idx="1">
                  <c:v>2007-2011</c:v>
                </c:pt>
              </c:strCache>
            </c:strRef>
          </c:cat>
          <c:val>
            <c:numRef>
              <c:f>Hoja2!$B$3:$B$4</c:f>
              <c:numCache>
                <c:formatCode>#,##0</c:formatCode>
                <c:ptCount val="2"/>
                <c:pt idx="0">
                  <c:v>62573</c:v>
                </c:pt>
                <c:pt idx="1">
                  <c:v>91955</c:v>
                </c:pt>
              </c:numCache>
            </c:numRef>
          </c:val>
        </c:ser>
        <c:gapWidth val="100"/>
        <c:axId val="65614208"/>
        <c:axId val="65615744"/>
      </c:barChart>
      <c:catAx>
        <c:axId val="65614208"/>
        <c:scaling>
          <c:orientation val="minMax"/>
        </c:scaling>
        <c:axPos val="b"/>
        <c:tickLblPos val="nextTo"/>
        <c:txPr>
          <a:bodyPr/>
          <a:lstStyle/>
          <a:p>
            <a:pPr>
              <a:defRPr lang="en-US"/>
            </a:pPr>
            <a:endParaRPr lang="es-ES"/>
          </a:p>
        </c:txPr>
        <c:crossAx val="65615744"/>
        <c:crosses val="autoZero"/>
        <c:auto val="1"/>
        <c:lblAlgn val="ctr"/>
        <c:lblOffset val="100"/>
      </c:catAx>
      <c:valAx>
        <c:axId val="65615744"/>
        <c:scaling>
          <c:orientation val="minMax"/>
        </c:scaling>
        <c:axPos val="l"/>
        <c:majorGridlines/>
        <c:numFmt formatCode="#,##0" sourceLinked="1"/>
        <c:tickLblPos val="nextTo"/>
        <c:txPr>
          <a:bodyPr/>
          <a:lstStyle/>
          <a:p>
            <a:pPr>
              <a:defRPr lang="en-US"/>
            </a:pPr>
            <a:endParaRPr lang="es-ES"/>
          </a:p>
        </c:txPr>
        <c:crossAx val="65614208"/>
        <c:crosses val="autoZero"/>
        <c:crossBetween val="between"/>
      </c:valAx>
    </c:plotArea>
    <c:legend>
      <c:legendPos val="r"/>
      <c:layout/>
      <c:txPr>
        <a:bodyPr/>
        <a:lstStyle/>
        <a:p>
          <a:pPr>
            <a:defRPr lang="en-US"/>
          </a:pPr>
          <a:endParaRPr lang="es-ES"/>
        </a:p>
      </c:txPr>
    </c:legend>
    <c:plotVisOnly val="1"/>
    <c:dispBlanksAs val="gap"/>
  </c:chart>
  <c:externalData r:id="rId1"/>
</c:chartSpace>
</file>

<file path=word/charts/chart9.xml><?xml version="1.0" encoding="utf-8"?>
<c:chartSpace xmlns:c="http://schemas.openxmlformats.org/drawingml/2006/chart" xmlns:a="http://schemas.openxmlformats.org/drawingml/2006/main" xmlns:r="http://schemas.openxmlformats.org/officeDocument/2006/relationships">
  <c:date1904 val="1"/>
  <c:lang val="es-ES"/>
  <c:chart>
    <c:title>
      <c:tx>
        <c:rich>
          <a:bodyPr/>
          <a:lstStyle/>
          <a:p>
            <a:pPr>
              <a:defRPr lang="en-US"/>
            </a:pPr>
            <a:r>
              <a:rPr lang="en-US"/>
              <a:t>Distribución del plan anual de inversiones 2011 en millones de dólares</a:t>
            </a:r>
          </a:p>
        </c:rich>
      </c:tx>
      <c:layout/>
    </c:title>
    <c:plotArea>
      <c:layout/>
      <c:pieChart>
        <c:varyColors val="1"/>
        <c:ser>
          <c:idx val="1"/>
          <c:order val="1"/>
          <c:tx>
            <c:strRef>
              <c:f>Hoja1!$B$2</c:f>
              <c:strCache>
                <c:ptCount val="1"/>
                <c:pt idx="0">
                  <c:v>monto en millones de dolares</c:v>
                </c:pt>
              </c:strCache>
            </c:strRef>
          </c:tx>
          <c:dLbls>
            <c:dLbl>
              <c:idx val="3"/>
              <c:layout>
                <c:manualLayout>
                  <c:x val="4.3306132188022034E-3"/>
                  <c:y val="4.9186622290770504E-2"/>
                </c:manualLayout>
              </c:layout>
              <c:showVal val="1"/>
            </c:dLbl>
            <c:dLbl>
              <c:idx val="4"/>
              <c:layout>
                <c:manualLayout>
                  <c:x val="-3.2458124552612745E-2"/>
                  <c:y val="-3.861271207078501E-2"/>
                </c:manualLayout>
              </c:layout>
              <c:showVal val="1"/>
            </c:dLbl>
            <c:txPr>
              <a:bodyPr/>
              <a:lstStyle/>
              <a:p>
                <a:pPr>
                  <a:defRPr lang="en-US"/>
                </a:pPr>
                <a:endParaRPr lang="es-ES"/>
              </a:p>
            </c:txPr>
            <c:showVal val="1"/>
            <c:showLeaderLines val="1"/>
          </c:dLbls>
          <c:cat>
            <c:strRef>
              <c:f>Hoja1!$A$3:$A$10</c:f>
              <c:strCache>
                <c:ptCount val="8"/>
                <c:pt idx="0">
                  <c:v>desarrollo social</c:v>
                </c:pt>
                <c:pt idx="1">
                  <c:v>sectores estrategicos</c:v>
                </c:pt>
                <c:pt idx="2">
                  <c:v>produccion</c:v>
                </c:pt>
                <c:pt idx="3">
                  <c:v>politica economica</c:v>
                </c:pt>
                <c:pt idx="4">
                  <c:v>politica </c:v>
                </c:pt>
                <c:pt idx="5">
                  <c:v>patrimonio</c:v>
                </c:pt>
                <c:pt idx="6">
                  <c:v>seguridad</c:v>
                </c:pt>
                <c:pt idx="7">
                  <c:v>otras entidades</c:v>
                </c:pt>
              </c:strCache>
            </c:strRef>
          </c:cat>
          <c:val>
            <c:numRef>
              <c:f>Hoja1!$B$3:$B$10</c:f>
              <c:numCache>
                <c:formatCode>#,##0.00</c:formatCode>
                <c:ptCount val="8"/>
                <c:pt idx="0">
                  <c:v>1247.46</c:v>
                </c:pt>
                <c:pt idx="1">
                  <c:v>1229.6099999999999</c:v>
                </c:pt>
                <c:pt idx="2">
                  <c:v>1045.06</c:v>
                </c:pt>
                <c:pt idx="3" formatCode="General">
                  <c:v>19.38</c:v>
                </c:pt>
                <c:pt idx="4" formatCode="General">
                  <c:v>29.79</c:v>
                </c:pt>
                <c:pt idx="5" formatCode="General">
                  <c:v>212.68</c:v>
                </c:pt>
                <c:pt idx="6" formatCode="General">
                  <c:v>391.95</c:v>
                </c:pt>
                <c:pt idx="7" formatCode="General">
                  <c:v>495.81</c:v>
                </c:pt>
              </c:numCache>
            </c:numRef>
          </c:val>
        </c:ser>
        <c:ser>
          <c:idx val="0"/>
          <c:order val="0"/>
          <c:tx>
            <c:strRef>
              <c:f>Hoja1!$B$2</c:f>
              <c:strCache>
                <c:ptCount val="1"/>
                <c:pt idx="0">
                  <c:v>monto en millones de dolares</c:v>
                </c:pt>
              </c:strCache>
            </c:strRef>
          </c:tx>
          <c:dLbls>
            <c:dLbl>
              <c:idx val="0"/>
              <c:layout>
                <c:manualLayout>
                  <c:x val="-0.16083390798146174"/>
                  <c:y val="0.17154184893554972"/>
                </c:manualLayout>
              </c:layout>
              <c:tx>
                <c:rich>
                  <a:bodyPr/>
                  <a:lstStyle/>
                  <a:p>
                    <a:r>
                      <a:rPr lang="en-US"/>
                      <a:t>1.247,46</a:t>
                    </a:r>
                  </a:p>
                  <a:p>
                    <a:r>
                      <a:rPr lang="en-US"/>
                      <a:t>27.01%</a:t>
                    </a:r>
                  </a:p>
                </c:rich>
              </c:tx>
              <c:showVal val="1"/>
            </c:dLbl>
            <c:dLbl>
              <c:idx val="1"/>
              <c:layout>
                <c:manualLayout>
                  <c:x val="-0.13594945234697414"/>
                  <c:y val="-0.21285272674249286"/>
                </c:manualLayout>
              </c:layout>
              <c:tx>
                <c:rich>
                  <a:bodyPr/>
                  <a:lstStyle/>
                  <a:p>
                    <a:r>
                      <a:rPr lang="en-US"/>
                      <a:t>1.229,61</a:t>
                    </a:r>
                  </a:p>
                  <a:p>
                    <a:r>
                      <a:rPr lang="en-US"/>
                      <a:t>26.21%</a:t>
                    </a:r>
                  </a:p>
                </c:rich>
              </c:tx>
              <c:showVal val="1"/>
            </c:dLbl>
            <c:dLbl>
              <c:idx val="2"/>
              <c:layout>
                <c:manualLayout>
                  <c:x val="0.12120424865425609"/>
                  <c:y val="-0.12082327209099022"/>
                </c:manualLayout>
              </c:layout>
              <c:tx>
                <c:rich>
                  <a:bodyPr/>
                  <a:lstStyle/>
                  <a:p>
                    <a:r>
                      <a:rPr lang="en-US"/>
                      <a:t>1.045,06</a:t>
                    </a:r>
                  </a:p>
                  <a:p>
                    <a:r>
                      <a:rPr lang="en-US"/>
                      <a:t>22.27%</a:t>
                    </a:r>
                  </a:p>
                </c:rich>
              </c:tx>
              <c:showVal val="1"/>
            </c:dLbl>
            <c:dLbl>
              <c:idx val="3"/>
              <c:layout>
                <c:manualLayout>
                  <c:x val="-2.1047005487951219E-3"/>
                  <c:y val="0.16813567118543171"/>
                </c:manualLayout>
              </c:layout>
              <c:tx>
                <c:rich>
                  <a:bodyPr/>
                  <a:lstStyle/>
                  <a:p>
                    <a:r>
                      <a:rPr lang="en-US"/>
                      <a:t>19,38</a:t>
                    </a:r>
                  </a:p>
                  <a:p>
                    <a:r>
                      <a:rPr lang="en-US"/>
                      <a:t>0.41%</a:t>
                    </a:r>
                  </a:p>
                </c:rich>
              </c:tx>
              <c:showVal val="1"/>
            </c:dLbl>
            <c:dLbl>
              <c:idx val="4"/>
              <c:layout>
                <c:manualLayout>
                  <c:x val="-8.8461942257218248E-3"/>
                  <c:y val="-0.10575425494493761"/>
                </c:manualLayout>
              </c:layout>
              <c:tx>
                <c:rich>
                  <a:bodyPr/>
                  <a:lstStyle/>
                  <a:p>
                    <a:r>
                      <a:rPr lang="en-US"/>
                      <a:t>29,79</a:t>
                    </a:r>
                  </a:p>
                  <a:p>
                    <a:r>
                      <a:rPr lang="en-US"/>
                      <a:t>0.64%</a:t>
                    </a:r>
                  </a:p>
                </c:rich>
              </c:tx>
              <c:showVal val="1"/>
            </c:dLbl>
            <c:dLbl>
              <c:idx val="5"/>
              <c:layout>
                <c:manualLayout>
                  <c:x val="4.6714242186121864E-2"/>
                  <c:y val="-0.22397433654126947"/>
                </c:manualLayout>
              </c:layout>
              <c:tx>
                <c:rich>
                  <a:bodyPr/>
                  <a:lstStyle/>
                  <a:p>
                    <a:r>
                      <a:rPr lang="en-US"/>
                      <a:t>212,68</a:t>
                    </a:r>
                  </a:p>
                  <a:p>
                    <a:r>
                      <a:rPr lang="en-US"/>
                      <a:t>4.53%</a:t>
                    </a:r>
                  </a:p>
                </c:rich>
              </c:tx>
              <c:showVal val="1"/>
            </c:dLbl>
            <c:dLbl>
              <c:idx val="6"/>
              <c:layout>
                <c:manualLayout>
                  <c:x val="0.10837061864212"/>
                  <c:y val="8.4545056867891766E-2"/>
                </c:manualLayout>
              </c:layout>
              <c:tx>
                <c:rich>
                  <a:bodyPr/>
                  <a:lstStyle/>
                  <a:p>
                    <a:r>
                      <a:rPr lang="en-US"/>
                      <a:t>391,95</a:t>
                    </a:r>
                  </a:p>
                  <a:p>
                    <a:r>
                      <a:rPr lang="en-US"/>
                      <a:t>8.35%</a:t>
                    </a:r>
                  </a:p>
                </c:rich>
              </c:tx>
              <c:showVal val="1"/>
            </c:dLbl>
            <c:dLbl>
              <c:idx val="7"/>
              <c:layout>
                <c:manualLayout>
                  <c:x val="8.0088522539570564E-2"/>
                  <c:y val="0.13103587051618548"/>
                </c:manualLayout>
              </c:layout>
              <c:tx>
                <c:rich>
                  <a:bodyPr/>
                  <a:lstStyle/>
                  <a:p>
                    <a:r>
                      <a:rPr lang="en-US"/>
                      <a:t>495,81</a:t>
                    </a:r>
                  </a:p>
                  <a:p>
                    <a:r>
                      <a:rPr lang="en-US"/>
                      <a:t>9.83%</a:t>
                    </a:r>
                  </a:p>
                </c:rich>
              </c:tx>
              <c:showVal val="1"/>
            </c:dLbl>
            <c:txPr>
              <a:bodyPr/>
              <a:lstStyle/>
              <a:p>
                <a:pPr>
                  <a:defRPr lang="en-US"/>
                </a:pPr>
                <a:endParaRPr lang="es-ES"/>
              </a:p>
            </c:txPr>
            <c:showVal val="1"/>
            <c:showLeaderLines val="1"/>
          </c:dLbls>
          <c:cat>
            <c:strRef>
              <c:f>Hoja1!$A$3:$A$10</c:f>
              <c:strCache>
                <c:ptCount val="8"/>
                <c:pt idx="0">
                  <c:v>desarrollo social</c:v>
                </c:pt>
                <c:pt idx="1">
                  <c:v>sectores estrategicos</c:v>
                </c:pt>
                <c:pt idx="2">
                  <c:v>produccion</c:v>
                </c:pt>
                <c:pt idx="3">
                  <c:v>politica economica</c:v>
                </c:pt>
                <c:pt idx="4">
                  <c:v>politica </c:v>
                </c:pt>
                <c:pt idx="5">
                  <c:v>patrimonio</c:v>
                </c:pt>
                <c:pt idx="6">
                  <c:v>seguridad</c:v>
                </c:pt>
                <c:pt idx="7">
                  <c:v>otras entidades</c:v>
                </c:pt>
              </c:strCache>
            </c:strRef>
          </c:cat>
          <c:val>
            <c:numRef>
              <c:f>Hoja1!$B$3:$B$10</c:f>
              <c:numCache>
                <c:formatCode>#,##0.00</c:formatCode>
                <c:ptCount val="8"/>
                <c:pt idx="0">
                  <c:v>1247.46</c:v>
                </c:pt>
                <c:pt idx="1">
                  <c:v>1229.6099999999999</c:v>
                </c:pt>
                <c:pt idx="2">
                  <c:v>1045.06</c:v>
                </c:pt>
                <c:pt idx="3" formatCode="General">
                  <c:v>19.38</c:v>
                </c:pt>
                <c:pt idx="4" formatCode="General">
                  <c:v>29.79</c:v>
                </c:pt>
                <c:pt idx="5" formatCode="General">
                  <c:v>212.68</c:v>
                </c:pt>
                <c:pt idx="6" formatCode="General">
                  <c:v>391.95</c:v>
                </c:pt>
                <c:pt idx="7" formatCode="General">
                  <c:v>495.81</c:v>
                </c:pt>
              </c:numCache>
            </c:numRef>
          </c:val>
        </c:ser>
        <c:firstSliceAng val="0"/>
      </c:pieChart>
    </c:plotArea>
    <c:legend>
      <c:legendPos val="r"/>
      <c:layout>
        <c:manualLayout>
          <c:xMode val="edge"/>
          <c:yMode val="edge"/>
          <c:x val="0.68335508977874659"/>
          <c:y val="0.28946602508019831"/>
          <c:w val="0.22160078259056723"/>
          <c:h val="0.55801224846894137"/>
        </c:manualLayout>
      </c:layout>
      <c:txPr>
        <a:bodyPr/>
        <a:lstStyle/>
        <a:p>
          <a:pPr>
            <a:defRPr lang="en-US"/>
          </a:pPr>
          <a:endParaRPr lang="es-ES"/>
        </a:p>
      </c:txPr>
    </c:legend>
    <c:plotVisOnly val="1"/>
    <c:dispBlanksAs val="zero"/>
  </c:chart>
  <c:txPr>
    <a:bodyPr/>
    <a:lstStyle/>
    <a:p>
      <a:pPr>
        <a:defRPr b="1"/>
      </a:pPr>
      <a:endParaRPr lang="es-ES"/>
    </a:p>
  </c:txPr>
  <c:externalData r:id="rId1"/>
</c:chartSpace>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2D899B66-22AA-4B23-AA81-3F0ADF64B813}" type="doc">
      <dgm:prSet loTypeId="urn:microsoft.com/office/officeart/2005/8/layout/lProcess2" loCatId="relationship" qsTypeId="urn:microsoft.com/office/officeart/2005/8/quickstyle/simple1" qsCatId="simple" csTypeId="urn:microsoft.com/office/officeart/2005/8/colors/accent1_2" csCatId="accent1" phldr="1"/>
      <dgm:spPr/>
      <dgm:t>
        <a:bodyPr/>
        <a:lstStyle/>
        <a:p>
          <a:endParaRPr lang="es-ES"/>
        </a:p>
      </dgm:t>
    </dgm:pt>
    <dgm:pt modelId="{FB83F862-A253-412F-B73A-DBDAEBA5309E}">
      <dgm:prSet phldrT="[Texto]"/>
      <dgm:spPr/>
      <dgm:t>
        <a:bodyPr/>
        <a:lstStyle/>
        <a:p>
          <a:r>
            <a:rPr lang="es-ES"/>
            <a:t>fase 1</a:t>
          </a:r>
        </a:p>
      </dgm:t>
    </dgm:pt>
    <dgm:pt modelId="{558AC45B-F606-489D-B382-A193928DE90F}" type="parTrans" cxnId="{25D29261-8587-43F9-83B8-C172AA352036}">
      <dgm:prSet/>
      <dgm:spPr/>
      <dgm:t>
        <a:bodyPr/>
        <a:lstStyle/>
        <a:p>
          <a:endParaRPr lang="es-ES"/>
        </a:p>
      </dgm:t>
    </dgm:pt>
    <dgm:pt modelId="{6D0928E1-9041-4F2B-AD62-86A0197F6009}" type="sibTrans" cxnId="{25D29261-8587-43F9-83B8-C172AA352036}">
      <dgm:prSet/>
      <dgm:spPr/>
      <dgm:t>
        <a:bodyPr/>
        <a:lstStyle/>
        <a:p>
          <a:endParaRPr lang="es-ES"/>
        </a:p>
      </dgm:t>
    </dgm:pt>
    <dgm:pt modelId="{229540AA-8D96-4F78-9871-E680BE252E44}">
      <dgm:prSet phldrT="[Texto]" custT="1"/>
      <dgm:spPr/>
      <dgm:t>
        <a:bodyPr/>
        <a:lstStyle/>
        <a:p>
          <a:r>
            <a:rPr lang="es-ES" sz="800"/>
            <a:t>acumulación para la transición y profundización de la redistribución</a:t>
          </a:r>
        </a:p>
      </dgm:t>
    </dgm:pt>
    <dgm:pt modelId="{611650F1-806C-40E0-89D4-0CE465DAD194}" type="parTrans" cxnId="{907A56B6-65B1-4E51-8607-CB23CDE27852}">
      <dgm:prSet/>
      <dgm:spPr/>
      <dgm:t>
        <a:bodyPr/>
        <a:lstStyle/>
        <a:p>
          <a:endParaRPr lang="es-ES"/>
        </a:p>
      </dgm:t>
    </dgm:pt>
    <dgm:pt modelId="{8816F7B1-B617-4F93-8332-3955085540CB}" type="sibTrans" cxnId="{907A56B6-65B1-4E51-8607-CB23CDE27852}">
      <dgm:prSet/>
      <dgm:spPr/>
      <dgm:t>
        <a:bodyPr/>
        <a:lstStyle/>
        <a:p>
          <a:endParaRPr lang="es-ES"/>
        </a:p>
      </dgm:t>
    </dgm:pt>
    <dgm:pt modelId="{B9BFBAA7-9A1E-4EA8-BCAA-350E29FDC256}">
      <dgm:prSet phldrT="[Texto]"/>
      <dgm:spPr/>
      <dgm:t>
        <a:bodyPr/>
        <a:lstStyle/>
        <a:p>
          <a:r>
            <a:rPr lang="es-ES"/>
            <a:t>fase 2</a:t>
          </a:r>
        </a:p>
      </dgm:t>
    </dgm:pt>
    <dgm:pt modelId="{44368D65-80EA-4623-9C1E-3E75FA065BC8}" type="parTrans" cxnId="{95FD4D0A-7C9E-4F2E-820C-3B8B0129AD43}">
      <dgm:prSet/>
      <dgm:spPr/>
      <dgm:t>
        <a:bodyPr/>
        <a:lstStyle/>
        <a:p>
          <a:endParaRPr lang="es-ES"/>
        </a:p>
      </dgm:t>
    </dgm:pt>
    <dgm:pt modelId="{461BA29B-44A2-4C63-8167-75BB5D89AF74}" type="sibTrans" cxnId="{95FD4D0A-7C9E-4F2E-820C-3B8B0129AD43}">
      <dgm:prSet/>
      <dgm:spPr/>
      <dgm:t>
        <a:bodyPr/>
        <a:lstStyle/>
        <a:p>
          <a:endParaRPr lang="es-ES"/>
        </a:p>
      </dgm:t>
    </dgm:pt>
    <dgm:pt modelId="{BE6BDBFC-16EB-42FD-9FD9-4F628A00CCCB}">
      <dgm:prSet phldrT="[Texto]" custT="1"/>
      <dgm:spPr/>
      <dgm:t>
        <a:bodyPr/>
        <a:lstStyle/>
        <a:p>
          <a:r>
            <a:rPr lang="es-ES" sz="800"/>
            <a:t>distribución en la acumulación y consolidación de la SSI</a:t>
          </a:r>
        </a:p>
      </dgm:t>
    </dgm:pt>
    <dgm:pt modelId="{2A64440F-1442-4925-96EA-1E87CC2EDE77}" type="parTrans" cxnId="{E8868E85-9295-4BD1-9B5B-980053FAB23F}">
      <dgm:prSet/>
      <dgm:spPr/>
      <dgm:t>
        <a:bodyPr/>
        <a:lstStyle/>
        <a:p>
          <a:endParaRPr lang="es-ES"/>
        </a:p>
      </dgm:t>
    </dgm:pt>
    <dgm:pt modelId="{2A43894F-F773-4D7F-9959-E887F140F952}" type="sibTrans" cxnId="{E8868E85-9295-4BD1-9B5B-980053FAB23F}">
      <dgm:prSet/>
      <dgm:spPr/>
      <dgm:t>
        <a:bodyPr/>
        <a:lstStyle/>
        <a:p>
          <a:endParaRPr lang="es-ES"/>
        </a:p>
      </dgm:t>
    </dgm:pt>
    <dgm:pt modelId="{FCE58BA9-4A3F-49F8-83CD-96ED8D188CF1}">
      <dgm:prSet phldrT="[Texto]" custT="1"/>
      <dgm:spPr/>
      <dgm:t>
        <a:bodyPr/>
        <a:lstStyle/>
        <a:p>
          <a:r>
            <a:rPr lang="es-ES" sz="800"/>
            <a:t>superávit energético y limpio.</a:t>
          </a:r>
        </a:p>
        <a:p>
          <a:r>
            <a:rPr lang="es-ES" sz="800"/>
            <a:t>Consolidación de la industria nacional y sectores turísticos </a:t>
          </a:r>
        </a:p>
      </dgm:t>
    </dgm:pt>
    <dgm:pt modelId="{D116A045-33DB-4D86-BD52-97E1F45B2623}" type="parTrans" cxnId="{A519C7C6-780E-4AEC-A5AA-782EF865B72B}">
      <dgm:prSet/>
      <dgm:spPr/>
      <dgm:t>
        <a:bodyPr/>
        <a:lstStyle/>
        <a:p>
          <a:endParaRPr lang="es-ES"/>
        </a:p>
      </dgm:t>
    </dgm:pt>
    <dgm:pt modelId="{731C6A50-213D-4728-A17E-15C80070BF27}" type="sibTrans" cxnId="{A519C7C6-780E-4AEC-A5AA-782EF865B72B}">
      <dgm:prSet/>
      <dgm:spPr/>
      <dgm:t>
        <a:bodyPr/>
        <a:lstStyle/>
        <a:p>
          <a:endParaRPr lang="es-ES"/>
        </a:p>
      </dgm:t>
    </dgm:pt>
    <dgm:pt modelId="{777CBE0E-96AE-4D2E-8A0E-81184C79BACA}">
      <dgm:prSet phldrT="[Texto]"/>
      <dgm:spPr/>
      <dgm:t>
        <a:bodyPr/>
        <a:lstStyle/>
        <a:p>
          <a:r>
            <a:rPr lang="es-ES"/>
            <a:t>fase 3 </a:t>
          </a:r>
        </a:p>
      </dgm:t>
    </dgm:pt>
    <dgm:pt modelId="{F4321251-43F2-4819-A5CB-DE11F52B2E6F}" type="parTrans" cxnId="{4C41A0E4-9FCF-4A01-87C1-330196FF767E}">
      <dgm:prSet/>
      <dgm:spPr/>
      <dgm:t>
        <a:bodyPr/>
        <a:lstStyle/>
        <a:p>
          <a:endParaRPr lang="es-ES"/>
        </a:p>
      </dgm:t>
    </dgm:pt>
    <dgm:pt modelId="{7BCDDAC6-82E6-4EFB-971B-A602D7593564}" type="sibTrans" cxnId="{4C41A0E4-9FCF-4A01-87C1-330196FF767E}">
      <dgm:prSet/>
      <dgm:spPr/>
      <dgm:t>
        <a:bodyPr/>
        <a:lstStyle/>
        <a:p>
          <a:endParaRPr lang="es-ES"/>
        </a:p>
      </dgm:t>
    </dgm:pt>
    <dgm:pt modelId="{A09490B1-F077-4FD1-8B6B-80DFFDFBD5EC}">
      <dgm:prSet phldrT="[Texto]" custT="1"/>
      <dgm:spPr/>
      <dgm:t>
        <a:bodyPr/>
        <a:lstStyle/>
        <a:p>
          <a:r>
            <a:rPr lang="es-ES" sz="800"/>
            <a:t>consolidación de la sustitución de exportaciones y distribución de la acumulación</a:t>
          </a:r>
        </a:p>
      </dgm:t>
    </dgm:pt>
    <dgm:pt modelId="{61DB0569-542B-45D4-9291-E6BF3CB2E839}" type="parTrans" cxnId="{BC5A5060-7586-4F8C-9854-9565BFDABE8B}">
      <dgm:prSet/>
      <dgm:spPr/>
      <dgm:t>
        <a:bodyPr/>
        <a:lstStyle/>
        <a:p>
          <a:endParaRPr lang="es-ES"/>
        </a:p>
      </dgm:t>
    </dgm:pt>
    <dgm:pt modelId="{1F732CB1-F94B-4DB7-BAD8-E104002EA0A5}" type="sibTrans" cxnId="{BC5A5060-7586-4F8C-9854-9565BFDABE8B}">
      <dgm:prSet/>
      <dgm:spPr/>
      <dgm:t>
        <a:bodyPr/>
        <a:lstStyle/>
        <a:p>
          <a:endParaRPr lang="es-ES"/>
        </a:p>
      </dgm:t>
    </dgm:pt>
    <dgm:pt modelId="{7EE99710-76CC-44DA-A9E3-B85AED6FBF3A}">
      <dgm:prSet phldrT="[Texto]" custT="1"/>
      <dgm:spPr/>
      <dgm:t>
        <a:bodyPr/>
        <a:lstStyle/>
        <a:p>
          <a:r>
            <a:rPr lang="es-ES" sz="800"/>
            <a:t>diversificación y sustitución de la esportaciones: investigación, innovación, ciencia y tecnología  </a:t>
          </a:r>
        </a:p>
      </dgm:t>
    </dgm:pt>
    <dgm:pt modelId="{FF3E164B-D052-40A7-8339-882F37FCC735}" type="parTrans" cxnId="{253841A1-D8E4-4D4A-871B-0FD05729A513}">
      <dgm:prSet/>
      <dgm:spPr/>
      <dgm:t>
        <a:bodyPr/>
        <a:lstStyle/>
        <a:p>
          <a:endParaRPr lang="es-ES"/>
        </a:p>
      </dgm:t>
    </dgm:pt>
    <dgm:pt modelId="{0BF93EC3-DF2C-47B8-AC78-D9E120E90E40}" type="sibTrans" cxnId="{253841A1-D8E4-4D4A-871B-0FD05729A513}">
      <dgm:prSet/>
      <dgm:spPr/>
      <dgm:t>
        <a:bodyPr/>
        <a:lstStyle/>
        <a:p>
          <a:endParaRPr lang="es-ES"/>
        </a:p>
      </dgm:t>
    </dgm:pt>
    <dgm:pt modelId="{B4EDB15A-F64A-4C05-BA85-3D942E3E4426}">
      <dgm:prSet phldrT="[Texto]"/>
      <dgm:spPr/>
      <dgm:t>
        <a:bodyPr/>
        <a:lstStyle/>
        <a:p>
          <a:r>
            <a:rPr lang="es-ES"/>
            <a:t>fase 4</a:t>
          </a:r>
        </a:p>
      </dgm:t>
    </dgm:pt>
    <dgm:pt modelId="{2419B26A-8FA4-45AB-A5CA-BA925EF969D3}" type="parTrans" cxnId="{EC46ED7E-30D6-46D8-9649-6AC565BDF431}">
      <dgm:prSet/>
      <dgm:spPr/>
      <dgm:t>
        <a:bodyPr/>
        <a:lstStyle/>
        <a:p>
          <a:endParaRPr lang="es-ES"/>
        </a:p>
      </dgm:t>
    </dgm:pt>
    <dgm:pt modelId="{E14F1F78-460A-4B8E-8A01-0B539A90DC0F}" type="sibTrans" cxnId="{EC46ED7E-30D6-46D8-9649-6AC565BDF431}">
      <dgm:prSet/>
      <dgm:spPr/>
      <dgm:t>
        <a:bodyPr/>
        <a:lstStyle/>
        <a:p>
          <a:endParaRPr lang="es-ES"/>
        </a:p>
      </dgm:t>
    </dgm:pt>
    <dgm:pt modelId="{2F159A6B-76DE-475A-BF7B-00EB847977BA}">
      <dgm:prSet phldrT="[Texto]" custT="1"/>
      <dgm:spPr/>
      <dgm:t>
        <a:bodyPr/>
        <a:lstStyle/>
        <a:p>
          <a:r>
            <a:rPr lang="es-ES" sz="900"/>
            <a:t>renovación productiva</a:t>
          </a:r>
        </a:p>
      </dgm:t>
    </dgm:pt>
    <dgm:pt modelId="{B3AC885E-7E18-40CE-AE71-8DB26D42D934}" type="parTrans" cxnId="{90439076-F051-4975-8845-79BFA8F5CB33}">
      <dgm:prSet/>
      <dgm:spPr/>
      <dgm:t>
        <a:bodyPr/>
        <a:lstStyle/>
        <a:p>
          <a:endParaRPr lang="es-ES"/>
        </a:p>
      </dgm:t>
    </dgm:pt>
    <dgm:pt modelId="{7E9176D3-972C-4811-8460-343E802E5805}" type="sibTrans" cxnId="{90439076-F051-4975-8845-79BFA8F5CB33}">
      <dgm:prSet/>
      <dgm:spPr/>
      <dgm:t>
        <a:bodyPr/>
        <a:lstStyle/>
        <a:p>
          <a:endParaRPr lang="es-ES"/>
        </a:p>
      </dgm:t>
    </dgm:pt>
    <dgm:pt modelId="{286D3062-8A5A-41FF-BDD2-4DA481C28CE3}">
      <dgm:prSet phldrT="[Texto]"/>
      <dgm:spPr/>
      <dgm:t>
        <a:bodyPr/>
        <a:lstStyle/>
        <a:p>
          <a:r>
            <a:rPr lang="es-ES"/>
            <a:t>sector terciario (exportador)  de bio-conocimiento y servicios turiíticos</a:t>
          </a:r>
        </a:p>
      </dgm:t>
    </dgm:pt>
    <dgm:pt modelId="{B4572FDD-841C-478A-99A0-DFAD24D6C53C}" type="parTrans" cxnId="{87E5DB7C-BDFE-497E-BBD6-13F6E7DA7502}">
      <dgm:prSet/>
      <dgm:spPr/>
      <dgm:t>
        <a:bodyPr/>
        <a:lstStyle/>
        <a:p>
          <a:endParaRPr lang="es-ES"/>
        </a:p>
      </dgm:t>
    </dgm:pt>
    <dgm:pt modelId="{E491503E-B485-40AD-843B-ECE6A8BB961B}" type="sibTrans" cxnId="{87E5DB7C-BDFE-497E-BBD6-13F6E7DA7502}">
      <dgm:prSet/>
      <dgm:spPr/>
      <dgm:t>
        <a:bodyPr/>
        <a:lstStyle/>
        <a:p>
          <a:endParaRPr lang="es-ES"/>
        </a:p>
      </dgm:t>
    </dgm:pt>
    <dgm:pt modelId="{498A1C5B-4E1D-4E2C-A08D-F5B0FE1F282A}">
      <dgm:prSet custT="1"/>
      <dgm:spPr/>
      <dgm:t>
        <a:bodyPr/>
        <a:lstStyle/>
        <a:p>
          <a:r>
            <a:rPr lang="es-ES" sz="800"/>
            <a:t>sustitución selectiva de importaciones</a:t>
          </a:r>
        </a:p>
      </dgm:t>
    </dgm:pt>
    <dgm:pt modelId="{BAA5C459-423C-4B14-8F1E-2F181ED84CA2}" type="parTrans" cxnId="{8C016626-8B9C-4825-9B16-3B2E1BAC7261}">
      <dgm:prSet/>
      <dgm:spPr/>
      <dgm:t>
        <a:bodyPr/>
        <a:lstStyle/>
        <a:p>
          <a:endParaRPr lang="es-ES"/>
        </a:p>
      </dgm:t>
    </dgm:pt>
    <dgm:pt modelId="{176DA33E-F0F4-4FAC-B3AF-B7CCF9A93B33}" type="sibTrans" cxnId="{8C016626-8B9C-4825-9B16-3B2E1BAC7261}">
      <dgm:prSet/>
      <dgm:spPr/>
      <dgm:t>
        <a:bodyPr/>
        <a:lstStyle/>
        <a:p>
          <a:endParaRPr lang="es-ES"/>
        </a:p>
      </dgm:t>
    </dgm:pt>
    <dgm:pt modelId="{04FD4867-0219-4412-9D22-D4C23205B109}">
      <dgm:prSet custT="1"/>
      <dgm:spPr/>
      <dgm:t>
        <a:bodyPr/>
        <a:lstStyle/>
        <a:p>
          <a:r>
            <a:rPr lang="es-ES" sz="800"/>
            <a:t>transferencia de tecnología aplicada</a:t>
          </a:r>
        </a:p>
      </dgm:t>
    </dgm:pt>
    <dgm:pt modelId="{AF455896-DDB9-402B-9C8D-4ED52D83B3DB}" type="parTrans" cxnId="{FA4DC388-4426-476F-A497-835F3E9552A4}">
      <dgm:prSet/>
      <dgm:spPr/>
      <dgm:t>
        <a:bodyPr/>
        <a:lstStyle/>
        <a:p>
          <a:endParaRPr lang="es-ES"/>
        </a:p>
      </dgm:t>
    </dgm:pt>
    <dgm:pt modelId="{2F16E53A-A5B1-4851-8144-A8BBC62C3435}" type="sibTrans" cxnId="{FA4DC388-4426-476F-A497-835F3E9552A4}">
      <dgm:prSet/>
      <dgm:spPr/>
      <dgm:t>
        <a:bodyPr/>
        <a:lstStyle/>
        <a:p>
          <a:endParaRPr lang="es-ES"/>
        </a:p>
      </dgm:t>
    </dgm:pt>
    <dgm:pt modelId="{181E957A-562C-4E55-A171-72F1638F153A}">
      <dgm:prSet phldrT="[Texto]" custT="1"/>
      <dgm:spPr/>
      <dgm:t>
        <a:bodyPr/>
        <a:lstStyle/>
        <a:p>
          <a:r>
            <a:rPr lang="es-ES" sz="800"/>
            <a:t>Innovación + desarrollo tecnológico</a:t>
          </a:r>
        </a:p>
      </dgm:t>
    </dgm:pt>
    <dgm:pt modelId="{F7BD2E37-3964-4EC0-A917-2495E616B9F1}" type="parTrans" cxnId="{955EF2F0-EEB8-4728-A760-169EBFAB069B}">
      <dgm:prSet/>
      <dgm:spPr/>
      <dgm:t>
        <a:bodyPr/>
        <a:lstStyle/>
        <a:p>
          <a:endParaRPr lang="es-ES"/>
        </a:p>
      </dgm:t>
    </dgm:pt>
    <dgm:pt modelId="{17B92E6B-2507-45A3-9E30-75F140F498A0}" type="sibTrans" cxnId="{955EF2F0-EEB8-4728-A760-169EBFAB069B}">
      <dgm:prSet/>
      <dgm:spPr/>
      <dgm:t>
        <a:bodyPr/>
        <a:lstStyle/>
        <a:p>
          <a:endParaRPr lang="es-ES"/>
        </a:p>
      </dgm:t>
    </dgm:pt>
    <dgm:pt modelId="{F8A2450D-45E8-4B23-BC9B-D2565E97AE9A}">
      <dgm:prSet phldrT="[Texto]"/>
      <dgm:spPr/>
      <dgm:t>
        <a:bodyPr/>
        <a:lstStyle/>
        <a:p>
          <a:r>
            <a:rPr lang="es-ES"/>
            <a:t>innovación tecnológica</a:t>
          </a:r>
        </a:p>
      </dgm:t>
    </dgm:pt>
    <dgm:pt modelId="{3AF7A092-2A57-47CC-B7F5-F0FC63910EA8}" type="parTrans" cxnId="{7169AFA3-1E12-41A8-9AC3-F3E73A0965B0}">
      <dgm:prSet/>
      <dgm:spPr/>
      <dgm:t>
        <a:bodyPr/>
        <a:lstStyle/>
        <a:p>
          <a:endParaRPr lang="es-ES"/>
        </a:p>
      </dgm:t>
    </dgm:pt>
    <dgm:pt modelId="{9B078BCF-54A8-4617-A913-7C493CFDF655}" type="sibTrans" cxnId="{7169AFA3-1E12-41A8-9AC3-F3E73A0965B0}">
      <dgm:prSet/>
      <dgm:spPr/>
      <dgm:t>
        <a:bodyPr/>
        <a:lstStyle/>
        <a:p>
          <a:endParaRPr lang="es-ES"/>
        </a:p>
      </dgm:t>
    </dgm:pt>
    <dgm:pt modelId="{789E7A03-B5AD-4070-B6D3-F55AEFA2AADD}">
      <dgm:prSet phldrT="[Texto]"/>
      <dgm:spPr/>
      <dgm:t>
        <a:bodyPr/>
        <a:lstStyle/>
        <a:p>
          <a:r>
            <a:rPr lang="es-ES"/>
            <a:t>biotecnologia</a:t>
          </a:r>
        </a:p>
      </dgm:t>
    </dgm:pt>
    <dgm:pt modelId="{DF58CF14-35F6-443D-BB36-42C781DBF67E}" type="parTrans" cxnId="{85D7B5FD-3A1E-4B13-9F32-7D5D5F345558}">
      <dgm:prSet/>
      <dgm:spPr/>
      <dgm:t>
        <a:bodyPr/>
        <a:lstStyle/>
        <a:p>
          <a:endParaRPr lang="es-ES"/>
        </a:p>
      </dgm:t>
    </dgm:pt>
    <dgm:pt modelId="{A69655CA-B363-4272-8F74-185141065DB8}" type="sibTrans" cxnId="{85D7B5FD-3A1E-4B13-9F32-7D5D5F345558}">
      <dgm:prSet/>
      <dgm:spPr/>
      <dgm:t>
        <a:bodyPr/>
        <a:lstStyle/>
        <a:p>
          <a:endParaRPr lang="es-ES"/>
        </a:p>
      </dgm:t>
    </dgm:pt>
    <dgm:pt modelId="{35074031-9CDD-4671-BA34-7016FEF46D52}" type="pres">
      <dgm:prSet presAssocID="{2D899B66-22AA-4B23-AA81-3F0ADF64B813}" presName="theList" presStyleCnt="0">
        <dgm:presLayoutVars>
          <dgm:dir/>
          <dgm:animLvl val="lvl"/>
          <dgm:resizeHandles val="exact"/>
        </dgm:presLayoutVars>
      </dgm:prSet>
      <dgm:spPr/>
      <dgm:t>
        <a:bodyPr/>
        <a:lstStyle/>
        <a:p>
          <a:endParaRPr lang="es-ES"/>
        </a:p>
      </dgm:t>
    </dgm:pt>
    <dgm:pt modelId="{51CC4883-3084-4291-A36F-5C1454F46AA5}" type="pres">
      <dgm:prSet presAssocID="{FB83F862-A253-412F-B73A-DBDAEBA5309E}" presName="compNode" presStyleCnt="0"/>
      <dgm:spPr/>
    </dgm:pt>
    <dgm:pt modelId="{5CC719C2-DDF5-4EF8-8A34-493CEA0F6D4C}" type="pres">
      <dgm:prSet presAssocID="{FB83F862-A253-412F-B73A-DBDAEBA5309E}" presName="aNode" presStyleLbl="bgShp" presStyleIdx="0" presStyleCnt="4"/>
      <dgm:spPr/>
      <dgm:t>
        <a:bodyPr/>
        <a:lstStyle/>
        <a:p>
          <a:endParaRPr lang="es-ES"/>
        </a:p>
      </dgm:t>
    </dgm:pt>
    <dgm:pt modelId="{07D1221C-BB85-457F-807F-EACE8B86587E}" type="pres">
      <dgm:prSet presAssocID="{FB83F862-A253-412F-B73A-DBDAEBA5309E}" presName="textNode" presStyleLbl="bgShp" presStyleIdx="0" presStyleCnt="4"/>
      <dgm:spPr/>
      <dgm:t>
        <a:bodyPr/>
        <a:lstStyle/>
        <a:p>
          <a:endParaRPr lang="es-ES"/>
        </a:p>
      </dgm:t>
    </dgm:pt>
    <dgm:pt modelId="{E55638AE-43B5-45AB-AFCA-C36C5A2C5A10}" type="pres">
      <dgm:prSet presAssocID="{FB83F862-A253-412F-B73A-DBDAEBA5309E}" presName="compChildNode" presStyleCnt="0"/>
      <dgm:spPr/>
    </dgm:pt>
    <dgm:pt modelId="{E6823223-E9BA-4409-811B-9576B9AF0B89}" type="pres">
      <dgm:prSet presAssocID="{FB83F862-A253-412F-B73A-DBDAEBA5309E}" presName="theInnerList" presStyleCnt="0"/>
      <dgm:spPr/>
    </dgm:pt>
    <dgm:pt modelId="{ED184CA5-7F2E-4D7A-B89D-B7CBD98C9826}" type="pres">
      <dgm:prSet presAssocID="{229540AA-8D96-4F78-9871-E680BE252E44}" presName="childNode" presStyleLbl="node1" presStyleIdx="0" presStyleCnt="12">
        <dgm:presLayoutVars>
          <dgm:bulletEnabled val="1"/>
        </dgm:presLayoutVars>
      </dgm:prSet>
      <dgm:spPr/>
      <dgm:t>
        <a:bodyPr/>
        <a:lstStyle/>
        <a:p>
          <a:endParaRPr lang="es-ES"/>
        </a:p>
      </dgm:t>
    </dgm:pt>
    <dgm:pt modelId="{22BE92D1-74D3-4FE9-B795-FEEC649B2011}" type="pres">
      <dgm:prSet presAssocID="{229540AA-8D96-4F78-9871-E680BE252E44}" presName="aSpace2" presStyleCnt="0"/>
      <dgm:spPr/>
    </dgm:pt>
    <dgm:pt modelId="{FCB4752E-1A01-477A-BC7F-6B9D46F6BB95}" type="pres">
      <dgm:prSet presAssocID="{498A1C5B-4E1D-4E2C-A08D-F5B0FE1F282A}" presName="childNode" presStyleLbl="node1" presStyleIdx="1" presStyleCnt="12">
        <dgm:presLayoutVars>
          <dgm:bulletEnabled val="1"/>
        </dgm:presLayoutVars>
      </dgm:prSet>
      <dgm:spPr/>
      <dgm:t>
        <a:bodyPr/>
        <a:lstStyle/>
        <a:p>
          <a:endParaRPr lang="es-ES"/>
        </a:p>
      </dgm:t>
    </dgm:pt>
    <dgm:pt modelId="{2BC7A574-FE94-4544-BCED-D791C9991F44}" type="pres">
      <dgm:prSet presAssocID="{498A1C5B-4E1D-4E2C-A08D-F5B0FE1F282A}" presName="aSpace2" presStyleCnt="0"/>
      <dgm:spPr/>
    </dgm:pt>
    <dgm:pt modelId="{6B87EC02-61FF-42E5-BDE1-34E73F904BD2}" type="pres">
      <dgm:prSet presAssocID="{04FD4867-0219-4412-9D22-D4C23205B109}" presName="childNode" presStyleLbl="node1" presStyleIdx="2" presStyleCnt="12">
        <dgm:presLayoutVars>
          <dgm:bulletEnabled val="1"/>
        </dgm:presLayoutVars>
      </dgm:prSet>
      <dgm:spPr/>
      <dgm:t>
        <a:bodyPr/>
        <a:lstStyle/>
        <a:p>
          <a:endParaRPr lang="es-ES"/>
        </a:p>
      </dgm:t>
    </dgm:pt>
    <dgm:pt modelId="{9BDFAB1F-2655-4EA8-B564-EA0EAE0EA1CA}" type="pres">
      <dgm:prSet presAssocID="{FB83F862-A253-412F-B73A-DBDAEBA5309E}" presName="aSpace" presStyleCnt="0"/>
      <dgm:spPr/>
    </dgm:pt>
    <dgm:pt modelId="{4E147F74-3533-458F-A9E8-B1454B59FE30}" type="pres">
      <dgm:prSet presAssocID="{B9BFBAA7-9A1E-4EA8-BCAA-350E29FDC256}" presName="compNode" presStyleCnt="0"/>
      <dgm:spPr/>
    </dgm:pt>
    <dgm:pt modelId="{E7C24935-28CF-4F00-9D90-3B670FE2CEC2}" type="pres">
      <dgm:prSet presAssocID="{B9BFBAA7-9A1E-4EA8-BCAA-350E29FDC256}" presName="aNode" presStyleLbl="bgShp" presStyleIdx="1" presStyleCnt="4"/>
      <dgm:spPr/>
      <dgm:t>
        <a:bodyPr/>
        <a:lstStyle/>
        <a:p>
          <a:endParaRPr lang="es-ES"/>
        </a:p>
      </dgm:t>
    </dgm:pt>
    <dgm:pt modelId="{B21B0B26-3167-4302-85D2-9B2607525D7F}" type="pres">
      <dgm:prSet presAssocID="{B9BFBAA7-9A1E-4EA8-BCAA-350E29FDC256}" presName="textNode" presStyleLbl="bgShp" presStyleIdx="1" presStyleCnt="4"/>
      <dgm:spPr/>
      <dgm:t>
        <a:bodyPr/>
        <a:lstStyle/>
        <a:p>
          <a:endParaRPr lang="es-ES"/>
        </a:p>
      </dgm:t>
    </dgm:pt>
    <dgm:pt modelId="{E7E3E1E0-22DB-4B91-8A2A-783A30F44215}" type="pres">
      <dgm:prSet presAssocID="{B9BFBAA7-9A1E-4EA8-BCAA-350E29FDC256}" presName="compChildNode" presStyleCnt="0"/>
      <dgm:spPr/>
    </dgm:pt>
    <dgm:pt modelId="{CBF2323E-9FBE-454C-B47D-119D4A83F25B}" type="pres">
      <dgm:prSet presAssocID="{B9BFBAA7-9A1E-4EA8-BCAA-350E29FDC256}" presName="theInnerList" presStyleCnt="0"/>
      <dgm:spPr/>
    </dgm:pt>
    <dgm:pt modelId="{B84ADEE7-BF31-4FDC-9DFD-BB129B05B0E5}" type="pres">
      <dgm:prSet presAssocID="{BE6BDBFC-16EB-42FD-9FD9-4F628A00CCCB}" presName="childNode" presStyleLbl="node1" presStyleIdx="3" presStyleCnt="12">
        <dgm:presLayoutVars>
          <dgm:bulletEnabled val="1"/>
        </dgm:presLayoutVars>
      </dgm:prSet>
      <dgm:spPr/>
      <dgm:t>
        <a:bodyPr/>
        <a:lstStyle/>
        <a:p>
          <a:endParaRPr lang="es-ES"/>
        </a:p>
      </dgm:t>
    </dgm:pt>
    <dgm:pt modelId="{5C8A5E2E-83CB-49D1-9791-97DE1F0D97C7}" type="pres">
      <dgm:prSet presAssocID="{BE6BDBFC-16EB-42FD-9FD9-4F628A00CCCB}" presName="aSpace2" presStyleCnt="0"/>
      <dgm:spPr/>
    </dgm:pt>
    <dgm:pt modelId="{7C5DDBBD-B3E0-41E0-9B99-13C9B0AC000D}" type="pres">
      <dgm:prSet presAssocID="{FCE58BA9-4A3F-49F8-83CD-96ED8D188CF1}" presName="childNode" presStyleLbl="node1" presStyleIdx="4" presStyleCnt="12" custScaleX="99494" custScaleY="138572">
        <dgm:presLayoutVars>
          <dgm:bulletEnabled val="1"/>
        </dgm:presLayoutVars>
      </dgm:prSet>
      <dgm:spPr/>
      <dgm:t>
        <a:bodyPr/>
        <a:lstStyle/>
        <a:p>
          <a:endParaRPr lang="es-ES"/>
        </a:p>
      </dgm:t>
    </dgm:pt>
    <dgm:pt modelId="{AC17DB56-79A0-44B8-875D-FD09F63DD36C}" type="pres">
      <dgm:prSet presAssocID="{FCE58BA9-4A3F-49F8-83CD-96ED8D188CF1}" presName="aSpace2" presStyleCnt="0"/>
      <dgm:spPr/>
    </dgm:pt>
    <dgm:pt modelId="{88139DC2-C4EB-419D-91DE-34F2CB0D0056}" type="pres">
      <dgm:prSet presAssocID="{181E957A-562C-4E55-A171-72F1638F153A}" presName="childNode" presStyleLbl="node1" presStyleIdx="5" presStyleCnt="12">
        <dgm:presLayoutVars>
          <dgm:bulletEnabled val="1"/>
        </dgm:presLayoutVars>
      </dgm:prSet>
      <dgm:spPr/>
      <dgm:t>
        <a:bodyPr/>
        <a:lstStyle/>
        <a:p>
          <a:endParaRPr lang="es-ES"/>
        </a:p>
      </dgm:t>
    </dgm:pt>
    <dgm:pt modelId="{8997BD4A-AF73-4F43-B507-38A760E46661}" type="pres">
      <dgm:prSet presAssocID="{B9BFBAA7-9A1E-4EA8-BCAA-350E29FDC256}" presName="aSpace" presStyleCnt="0"/>
      <dgm:spPr/>
    </dgm:pt>
    <dgm:pt modelId="{E598621B-BFE7-4B8F-BC32-AC21E4741086}" type="pres">
      <dgm:prSet presAssocID="{777CBE0E-96AE-4D2E-8A0E-81184C79BACA}" presName="compNode" presStyleCnt="0"/>
      <dgm:spPr/>
    </dgm:pt>
    <dgm:pt modelId="{1277D0DC-49F7-477E-80CC-2576FFBE97E6}" type="pres">
      <dgm:prSet presAssocID="{777CBE0E-96AE-4D2E-8A0E-81184C79BACA}" presName="aNode" presStyleLbl="bgShp" presStyleIdx="2" presStyleCnt="4" custLinFactNeighborX="223"/>
      <dgm:spPr/>
      <dgm:t>
        <a:bodyPr/>
        <a:lstStyle/>
        <a:p>
          <a:endParaRPr lang="es-ES"/>
        </a:p>
      </dgm:t>
    </dgm:pt>
    <dgm:pt modelId="{4F41A2EF-BA13-4BB0-871F-60210F6AFEDE}" type="pres">
      <dgm:prSet presAssocID="{777CBE0E-96AE-4D2E-8A0E-81184C79BACA}" presName="textNode" presStyleLbl="bgShp" presStyleIdx="2" presStyleCnt="4"/>
      <dgm:spPr/>
      <dgm:t>
        <a:bodyPr/>
        <a:lstStyle/>
        <a:p>
          <a:endParaRPr lang="es-ES"/>
        </a:p>
      </dgm:t>
    </dgm:pt>
    <dgm:pt modelId="{E2329B29-E289-4CA8-9F59-0F693A34EA11}" type="pres">
      <dgm:prSet presAssocID="{777CBE0E-96AE-4D2E-8A0E-81184C79BACA}" presName="compChildNode" presStyleCnt="0"/>
      <dgm:spPr/>
    </dgm:pt>
    <dgm:pt modelId="{7C971BD3-8A5F-4C5B-B6F0-81D8D98846C7}" type="pres">
      <dgm:prSet presAssocID="{777CBE0E-96AE-4D2E-8A0E-81184C79BACA}" presName="theInnerList" presStyleCnt="0"/>
      <dgm:spPr/>
    </dgm:pt>
    <dgm:pt modelId="{12683A2B-69C6-4D4B-A836-C4591AB0D000}" type="pres">
      <dgm:prSet presAssocID="{A09490B1-F077-4FD1-8B6B-80DFFDFBD5EC}" presName="childNode" presStyleLbl="node1" presStyleIdx="6" presStyleCnt="12" custScaleX="99829" custScaleY="161338">
        <dgm:presLayoutVars>
          <dgm:bulletEnabled val="1"/>
        </dgm:presLayoutVars>
      </dgm:prSet>
      <dgm:spPr/>
      <dgm:t>
        <a:bodyPr/>
        <a:lstStyle/>
        <a:p>
          <a:endParaRPr lang="es-ES"/>
        </a:p>
      </dgm:t>
    </dgm:pt>
    <dgm:pt modelId="{8066A18A-A796-4F9A-949F-3E2958CDD75E}" type="pres">
      <dgm:prSet presAssocID="{A09490B1-F077-4FD1-8B6B-80DFFDFBD5EC}" presName="aSpace2" presStyleCnt="0"/>
      <dgm:spPr/>
    </dgm:pt>
    <dgm:pt modelId="{44425F40-E248-4546-9C59-046221AC3033}" type="pres">
      <dgm:prSet presAssocID="{7EE99710-76CC-44DA-A9E3-B85AED6FBF3A}" presName="childNode" presStyleLbl="node1" presStyleIdx="7" presStyleCnt="12" custScaleX="107285" custScaleY="191146">
        <dgm:presLayoutVars>
          <dgm:bulletEnabled val="1"/>
        </dgm:presLayoutVars>
      </dgm:prSet>
      <dgm:spPr/>
      <dgm:t>
        <a:bodyPr/>
        <a:lstStyle/>
        <a:p>
          <a:endParaRPr lang="es-ES"/>
        </a:p>
      </dgm:t>
    </dgm:pt>
    <dgm:pt modelId="{0F669E7F-E53A-47BB-B56E-B9FDEEAA38CB}" type="pres">
      <dgm:prSet presAssocID="{7EE99710-76CC-44DA-A9E3-B85AED6FBF3A}" presName="aSpace2" presStyleCnt="0"/>
      <dgm:spPr/>
    </dgm:pt>
    <dgm:pt modelId="{F72C9C19-3CBE-4A46-AF91-3D8C7653C729}" type="pres">
      <dgm:prSet presAssocID="{F8A2450D-45E8-4B23-BC9B-D2565E97AE9A}" presName="childNode" presStyleLbl="node1" presStyleIdx="8" presStyleCnt="12">
        <dgm:presLayoutVars>
          <dgm:bulletEnabled val="1"/>
        </dgm:presLayoutVars>
      </dgm:prSet>
      <dgm:spPr/>
      <dgm:t>
        <a:bodyPr/>
        <a:lstStyle/>
        <a:p>
          <a:endParaRPr lang="es-ES"/>
        </a:p>
      </dgm:t>
    </dgm:pt>
    <dgm:pt modelId="{7F08F409-7C61-4B85-A2BD-343354F5376E}" type="pres">
      <dgm:prSet presAssocID="{777CBE0E-96AE-4D2E-8A0E-81184C79BACA}" presName="aSpace" presStyleCnt="0"/>
      <dgm:spPr/>
    </dgm:pt>
    <dgm:pt modelId="{0E4F4AA3-33F7-4F74-9955-815E2305A49A}" type="pres">
      <dgm:prSet presAssocID="{B4EDB15A-F64A-4C05-BA85-3D942E3E4426}" presName="compNode" presStyleCnt="0"/>
      <dgm:spPr/>
    </dgm:pt>
    <dgm:pt modelId="{A6D6C440-73BD-4F2C-8A30-5DB5900CAB01}" type="pres">
      <dgm:prSet presAssocID="{B4EDB15A-F64A-4C05-BA85-3D942E3E4426}" presName="aNode" presStyleLbl="bgShp" presStyleIdx="3" presStyleCnt="4"/>
      <dgm:spPr/>
      <dgm:t>
        <a:bodyPr/>
        <a:lstStyle/>
        <a:p>
          <a:endParaRPr lang="es-ES"/>
        </a:p>
      </dgm:t>
    </dgm:pt>
    <dgm:pt modelId="{06BA70F5-7048-4A04-A0AB-9319C3ED6FE7}" type="pres">
      <dgm:prSet presAssocID="{B4EDB15A-F64A-4C05-BA85-3D942E3E4426}" presName="textNode" presStyleLbl="bgShp" presStyleIdx="3" presStyleCnt="4"/>
      <dgm:spPr/>
      <dgm:t>
        <a:bodyPr/>
        <a:lstStyle/>
        <a:p>
          <a:endParaRPr lang="es-ES"/>
        </a:p>
      </dgm:t>
    </dgm:pt>
    <dgm:pt modelId="{9267FBF3-1B08-4B32-A53F-3BF2E2337753}" type="pres">
      <dgm:prSet presAssocID="{B4EDB15A-F64A-4C05-BA85-3D942E3E4426}" presName="compChildNode" presStyleCnt="0"/>
      <dgm:spPr/>
    </dgm:pt>
    <dgm:pt modelId="{8CF9BB63-DAF8-49CF-A7AC-8E0D1B5EA12D}" type="pres">
      <dgm:prSet presAssocID="{B4EDB15A-F64A-4C05-BA85-3D942E3E4426}" presName="theInnerList" presStyleCnt="0"/>
      <dgm:spPr/>
    </dgm:pt>
    <dgm:pt modelId="{427F4FBA-4607-489D-9E26-7DC9219CC50C}" type="pres">
      <dgm:prSet presAssocID="{2F159A6B-76DE-475A-BF7B-00EB847977BA}" presName="childNode" presStyleLbl="node1" presStyleIdx="9" presStyleCnt="12">
        <dgm:presLayoutVars>
          <dgm:bulletEnabled val="1"/>
        </dgm:presLayoutVars>
      </dgm:prSet>
      <dgm:spPr/>
      <dgm:t>
        <a:bodyPr/>
        <a:lstStyle/>
        <a:p>
          <a:endParaRPr lang="es-ES"/>
        </a:p>
      </dgm:t>
    </dgm:pt>
    <dgm:pt modelId="{CA9828BB-99A7-48D1-B564-352D934696A8}" type="pres">
      <dgm:prSet presAssocID="{2F159A6B-76DE-475A-BF7B-00EB847977BA}" presName="aSpace2" presStyleCnt="0"/>
      <dgm:spPr/>
    </dgm:pt>
    <dgm:pt modelId="{FA7C8F1F-D6CA-4954-A84A-F9B74F2571CC}" type="pres">
      <dgm:prSet presAssocID="{286D3062-8A5A-41FF-BDD2-4DA481C28CE3}" presName="childNode" presStyleLbl="node1" presStyleIdx="10" presStyleCnt="12">
        <dgm:presLayoutVars>
          <dgm:bulletEnabled val="1"/>
        </dgm:presLayoutVars>
      </dgm:prSet>
      <dgm:spPr/>
      <dgm:t>
        <a:bodyPr/>
        <a:lstStyle/>
        <a:p>
          <a:endParaRPr lang="es-ES"/>
        </a:p>
      </dgm:t>
    </dgm:pt>
    <dgm:pt modelId="{A2029C01-7CE2-45F4-9839-C5137440331E}" type="pres">
      <dgm:prSet presAssocID="{286D3062-8A5A-41FF-BDD2-4DA481C28CE3}" presName="aSpace2" presStyleCnt="0"/>
      <dgm:spPr/>
    </dgm:pt>
    <dgm:pt modelId="{F09A3F03-CB6B-440D-B03A-A83E74BB647C}" type="pres">
      <dgm:prSet presAssocID="{789E7A03-B5AD-4070-B6D3-F55AEFA2AADD}" presName="childNode" presStyleLbl="node1" presStyleIdx="11" presStyleCnt="12">
        <dgm:presLayoutVars>
          <dgm:bulletEnabled val="1"/>
        </dgm:presLayoutVars>
      </dgm:prSet>
      <dgm:spPr/>
      <dgm:t>
        <a:bodyPr/>
        <a:lstStyle/>
        <a:p>
          <a:endParaRPr lang="es-ES"/>
        </a:p>
      </dgm:t>
    </dgm:pt>
  </dgm:ptLst>
  <dgm:cxnLst>
    <dgm:cxn modelId="{7C94D839-5C85-47E7-B201-E00D60A0D666}" type="presOf" srcId="{777CBE0E-96AE-4D2E-8A0E-81184C79BACA}" destId="{1277D0DC-49F7-477E-80CC-2576FFBE97E6}" srcOrd="0" destOrd="0" presId="urn:microsoft.com/office/officeart/2005/8/layout/lProcess2"/>
    <dgm:cxn modelId="{253841A1-D8E4-4D4A-871B-0FD05729A513}" srcId="{777CBE0E-96AE-4D2E-8A0E-81184C79BACA}" destId="{7EE99710-76CC-44DA-A9E3-B85AED6FBF3A}" srcOrd="1" destOrd="0" parTransId="{FF3E164B-D052-40A7-8339-882F37FCC735}" sibTransId="{0BF93EC3-DF2C-47B8-AC78-D9E120E90E40}"/>
    <dgm:cxn modelId="{E8868E85-9295-4BD1-9B5B-980053FAB23F}" srcId="{B9BFBAA7-9A1E-4EA8-BCAA-350E29FDC256}" destId="{BE6BDBFC-16EB-42FD-9FD9-4F628A00CCCB}" srcOrd="0" destOrd="0" parTransId="{2A64440F-1442-4925-96EA-1E87CC2EDE77}" sibTransId="{2A43894F-F773-4D7F-9959-E887F140F952}"/>
    <dgm:cxn modelId="{F9577CDF-F952-456F-92EA-34F3741406A4}" type="presOf" srcId="{181E957A-562C-4E55-A171-72F1638F153A}" destId="{88139DC2-C4EB-419D-91DE-34F2CB0D0056}" srcOrd="0" destOrd="0" presId="urn:microsoft.com/office/officeart/2005/8/layout/lProcess2"/>
    <dgm:cxn modelId="{33EE2270-01F5-4B5B-853F-0DEA1B8D5AC7}" type="presOf" srcId="{498A1C5B-4E1D-4E2C-A08D-F5B0FE1F282A}" destId="{FCB4752E-1A01-477A-BC7F-6B9D46F6BB95}" srcOrd="0" destOrd="0" presId="urn:microsoft.com/office/officeart/2005/8/layout/lProcess2"/>
    <dgm:cxn modelId="{3D57637F-A92D-4589-97F3-C7F037044E5F}" type="presOf" srcId="{B9BFBAA7-9A1E-4EA8-BCAA-350E29FDC256}" destId="{E7C24935-28CF-4F00-9D90-3B670FE2CEC2}" srcOrd="0" destOrd="0" presId="urn:microsoft.com/office/officeart/2005/8/layout/lProcess2"/>
    <dgm:cxn modelId="{FA4DC388-4426-476F-A497-835F3E9552A4}" srcId="{FB83F862-A253-412F-B73A-DBDAEBA5309E}" destId="{04FD4867-0219-4412-9D22-D4C23205B109}" srcOrd="2" destOrd="0" parTransId="{AF455896-DDB9-402B-9C8D-4ED52D83B3DB}" sibTransId="{2F16E53A-A5B1-4851-8144-A8BBC62C3435}"/>
    <dgm:cxn modelId="{D3DD89D9-99E5-4F9F-AC77-CAE1464EC5F0}" type="presOf" srcId="{789E7A03-B5AD-4070-B6D3-F55AEFA2AADD}" destId="{F09A3F03-CB6B-440D-B03A-A83E74BB647C}" srcOrd="0" destOrd="0" presId="urn:microsoft.com/office/officeart/2005/8/layout/lProcess2"/>
    <dgm:cxn modelId="{BE500AE9-1A33-4E80-8E2F-47FA85CD6610}" type="presOf" srcId="{BE6BDBFC-16EB-42FD-9FD9-4F628A00CCCB}" destId="{B84ADEE7-BF31-4FDC-9DFD-BB129B05B0E5}" srcOrd="0" destOrd="0" presId="urn:microsoft.com/office/officeart/2005/8/layout/lProcess2"/>
    <dgm:cxn modelId="{B77B1355-559F-40E9-B95D-E48B631D21E9}" type="presOf" srcId="{FCE58BA9-4A3F-49F8-83CD-96ED8D188CF1}" destId="{7C5DDBBD-B3E0-41E0-9B99-13C9B0AC000D}" srcOrd="0" destOrd="0" presId="urn:microsoft.com/office/officeart/2005/8/layout/lProcess2"/>
    <dgm:cxn modelId="{2DA32F0B-8A9F-41CA-A143-D3F43382EF5A}" type="presOf" srcId="{B4EDB15A-F64A-4C05-BA85-3D942E3E4426}" destId="{A6D6C440-73BD-4F2C-8A30-5DB5900CAB01}" srcOrd="0" destOrd="0" presId="urn:microsoft.com/office/officeart/2005/8/layout/lProcess2"/>
    <dgm:cxn modelId="{EC18655E-D320-4A42-9AFF-F27C0936E869}" type="presOf" srcId="{B9BFBAA7-9A1E-4EA8-BCAA-350E29FDC256}" destId="{B21B0B26-3167-4302-85D2-9B2607525D7F}" srcOrd="1" destOrd="0" presId="urn:microsoft.com/office/officeart/2005/8/layout/lProcess2"/>
    <dgm:cxn modelId="{57BDA2F8-AD87-4298-9DAA-BDC9C2675C14}" type="presOf" srcId="{229540AA-8D96-4F78-9871-E680BE252E44}" destId="{ED184CA5-7F2E-4D7A-B89D-B7CBD98C9826}" srcOrd="0" destOrd="0" presId="urn:microsoft.com/office/officeart/2005/8/layout/lProcess2"/>
    <dgm:cxn modelId="{95FD4D0A-7C9E-4F2E-820C-3B8B0129AD43}" srcId="{2D899B66-22AA-4B23-AA81-3F0ADF64B813}" destId="{B9BFBAA7-9A1E-4EA8-BCAA-350E29FDC256}" srcOrd="1" destOrd="0" parTransId="{44368D65-80EA-4623-9C1E-3E75FA065BC8}" sibTransId="{461BA29B-44A2-4C63-8167-75BB5D89AF74}"/>
    <dgm:cxn modelId="{A519C7C6-780E-4AEC-A5AA-782EF865B72B}" srcId="{B9BFBAA7-9A1E-4EA8-BCAA-350E29FDC256}" destId="{FCE58BA9-4A3F-49F8-83CD-96ED8D188CF1}" srcOrd="1" destOrd="0" parTransId="{D116A045-33DB-4D86-BD52-97E1F45B2623}" sibTransId="{731C6A50-213D-4728-A17E-15C80070BF27}"/>
    <dgm:cxn modelId="{955EF2F0-EEB8-4728-A760-169EBFAB069B}" srcId="{B9BFBAA7-9A1E-4EA8-BCAA-350E29FDC256}" destId="{181E957A-562C-4E55-A171-72F1638F153A}" srcOrd="2" destOrd="0" parTransId="{F7BD2E37-3964-4EC0-A917-2495E616B9F1}" sibTransId="{17B92E6B-2507-45A3-9E30-75F140F498A0}"/>
    <dgm:cxn modelId="{DBF87CA8-8F6C-43E0-BAE3-02FE49CDB1AE}" type="presOf" srcId="{7EE99710-76CC-44DA-A9E3-B85AED6FBF3A}" destId="{44425F40-E248-4546-9C59-046221AC3033}" srcOrd="0" destOrd="0" presId="urn:microsoft.com/office/officeart/2005/8/layout/lProcess2"/>
    <dgm:cxn modelId="{25D29261-8587-43F9-83B8-C172AA352036}" srcId="{2D899B66-22AA-4B23-AA81-3F0ADF64B813}" destId="{FB83F862-A253-412F-B73A-DBDAEBA5309E}" srcOrd="0" destOrd="0" parTransId="{558AC45B-F606-489D-B382-A193928DE90F}" sibTransId="{6D0928E1-9041-4F2B-AD62-86A0197F6009}"/>
    <dgm:cxn modelId="{BC5A5060-7586-4F8C-9854-9565BFDABE8B}" srcId="{777CBE0E-96AE-4D2E-8A0E-81184C79BACA}" destId="{A09490B1-F077-4FD1-8B6B-80DFFDFBD5EC}" srcOrd="0" destOrd="0" parTransId="{61DB0569-542B-45D4-9291-E6BF3CB2E839}" sibTransId="{1F732CB1-F94B-4DB7-BAD8-E104002EA0A5}"/>
    <dgm:cxn modelId="{D78EBAE4-8709-4488-B00C-960BF86AC5E5}" type="presOf" srcId="{2D899B66-22AA-4B23-AA81-3F0ADF64B813}" destId="{35074031-9CDD-4671-BA34-7016FEF46D52}" srcOrd="0" destOrd="0" presId="urn:microsoft.com/office/officeart/2005/8/layout/lProcess2"/>
    <dgm:cxn modelId="{51E6B113-DFF0-4EDB-A62A-9CAD07F93C52}" type="presOf" srcId="{777CBE0E-96AE-4D2E-8A0E-81184C79BACA}" destId="{4F41A2EF-BA13-4BB0-871F-60210F6AFEDE}" srcOrd="1" destOrd="0" presId="urn:microsoft.com/office/officeart/2005/8/layout/lProcess2"/>
    <dgm:cxn modelId="{E3744F89-3B1F-4145-819F-71F9176D3DE9}" type="presOf" srcId="{2F159A6B-76DE-475A-BF7B-00EB847977BA}" destId="{427F4FBA-4607-489D-9E26-7DC9219CC50C}" srcOrd="0" destOrd="0" presId="urn:microsoft.com/office/officeart/2005/8/layout/lProcess2"/>
    <dgm:cxn modelId="{A1F15CD8-D681-4879-82BA-3EC9B6218D1E}" type="presOf" srcId="{F8A2450D-45E8-4B23-BC9B-D2565E97AE9A}" destId="{F72C9C19-3CBE-4A46-AF91-3D8C7653C729}" srcOrd="0" destOrd="0" presId="urn:microsoft.com/office/officeart/2005/8/layout/lProcess2"/>
    <dgm:cxn modelId="{86D984EE-8478-4123-B74E-F612475975B4}" type="presOf" srcId="{286D3062-8A5A-41FF-BDD2-4DA481C28CE3}" destId="{FA7C8F1F-D6CA-4954-A84A-F9B74F2571CC}" srcOrd="0" destOrd="0" presId="urn:microsoft.com/office/officeart/2005/8/layout/lProcess2"/>
    <dgm:cxn modelId="{85D7B5FD-3A1E-4B13-9F32-7D5D5F345558}" srcId="{B4EDB15A-F64A-4C05-BA85-3D942E3E4426}" destId="{789E7A03-B5AD-4070-B6D3-F55AEFA2AADD}" srcOrd="2" destOrd="0" parTransId="{DF58CF14-35F6-443D-BB36-42C781DBF67E}" sibTransId="{A69655CA-B363-4272-8F74-185141065DB8}"/>
    <dgm:cxn modelId="{EC46ED7E-30D6-46D8-9649-6AC565BDF431}" srcId="{2D899B66-22AA-4B23-AA81-3F0ADF64B813}" destId="{B4EDB15A-F64A-4C05-BA85-3D942E3E4426}" srcOrd="3" destOrd="0" parTransId="{2419B26A-8FA4-45AB-A5CA-BA925EF969D3}" sibTransId="{E14F1F78-460A-4B8E-8A01-0B539A90DC0F}"/>
    <dgm:cxn modelId="{87E5DB7C-BDFE-497E-BBD6-13F6E7DA7502}" srcId="{B4EDB15A-F64A-4C05-BA85-3D942E3E4426}" destId="{286D3062-8A5A-41FF-BDD2-4DA481C28CE3}" srcOrd="1" destOrd="0" parTransId="{B4572FDD-841C-478A-99A0-DFAD24D6C53C}" sibTransId="{E491503E-B485-40AD-843B-ECE6A8BB961B}"/>
    <dgm:cxn modelId="{8C016626-8B9C-4825-9B16-3B2E1BAC7261}" srcId="{FB83F862-A253-412F-B73A-DBDAEBA5309E}" destId="{498A1C5B-4E1D-4E2C-A08D-F5B0FE1F282A}" srcOrd="1" destOrd="0" parTransId="{BAA5C459-423C-4B14-8F1E-2F181ED84CA2}" sibTransId="{176DA33E-F0F4-4FAC-B3AF-B7CCF9A93B33}"/>
    <dgm:cxn modelId="{90439076-F051-4975-8845-79BFA8F5CB33}" srcId="{B4EDB15A-F64A-4C05-BA85-3D942E3E4426}" destId="{2F159A6B-76DE-475A-BF7B-00EB847977BA}" srcOrd="0" destOrd="0" parTransId="{B3AC885E-7E18-40CE-AE71-8DB26D42D934}" sibTransId="{7E9176D3-972C-4811-8460-343E802E5805}"/>
    <dgm:cxn modelId="{63CDCE58-B42B-49DA-919D-955B482833BD}" type="presOf" srcId="{04FD4867-0219-4412-9D22-D4C23205B109}" destId="{6B87EC02-61FF-42E5-BDE1-34E73F904BD2}" srcOrd="0" destOrd="0" presId="urn:microsoft.com/office/officeart/2005/8/layout/lProcess2"/>
    <dgm:cxn modelId="{94E8DDE1-11F6-43F7-8C9E-615E105C50C2}" type="presOf" srcId="{A09490B1-F077-4FD1-8B6B-80DFFDFBD5EC}" destId="{12683A2B-69C6-4D4B-A836-C4591AB0D000}" srcOrd="0" destOrd="0" presId="urn:microsoft.com/office/officeart/2005/8/layout/lProcess2"/>
    <dgm:cxn modelId="{4C41A0E4-9FCF-4A01-87C1-330196FF767E}" srcId="{2D899B66-22AA-4B23-AA81-3F0ADF64B813}" destId="{777CBE0E-96AE-4D2E-8A0E-81184C79BACA}" srcOrd="2" destOrd="0" parTransId="{F4321251-43F2-4819-A5CB-DE11F52B2E6F}" sibTransId="{7BCDDAC6-82E6-4EFB-971B-A602D7593564}"/>
    <dgm:cxn modelId="{B7783BDF-A505-485F-BEC7-8A1E947B64D0}" type="presOf" srcId="{FB83F862-A253-412F-B73A-DBDAEBA5309E}" destId="{5CC719C2-DDF5-4EF8-8A34-493CEA0F6D4C}" srcOrd="0" destOrd="0" presId="urn:microsoft.com/office/officeart/2005/8/layout/lProcess2"/>
    <dgm:cxn modelId="{7169AFA3-1E12-41A8-9AC3-F3E73A0965B0}" srcId="{777CBE0E-96AE-4D2E-8A0E-81184C79BACA}" destId="{F8A2450D-45E8-4B23-BC9B-D2565E97AE9A}" srcOrd="2" destOrd="0" parTransId="{3AF7A092-2A57-47CC-B7F5-F0FC63910EA8}" sibTransId="{9B078BCF-54A8-4617-A913-7C493CFDF655}"/>
    <dgm:cxn modelId="{5A878DA6-0046-45FD-B65C-47DBD5E14028}" type="presOf" srcId="{FB83F862-A253-412F-B73A-DBDAEBA5309E}" destId="{07D1221C-BB85-457F-807F-EACE8B86587E}" srcOrd="1" destOrd="0" presId="urn:microsoft.com/office/officeart/2005/8/layout/lProcess2"/>
    <dgm:cxn modelId="{907A56B6-65B1-4E51-8607-CB23CDE27852}" srcId="{FB83F862-A253-412F-B73A-DBDAEBA5309E}" destId="{229540AA-8D96-4F78-9871-E680BE252E44}" srcOrd="0" destOrd="0" parTransId="{611650F1-806C-40E0-89D4-0CE465DAD194}" sibTransId="{8816F7B1-B617-4F93-8332-3955085540CB}"/>
    <dgm:cxn modelId="{F727BE91-7A33-4988-87F4-EFD9A551E3A7}" type="presOf" srcId="{B4EDB15A-F64A-4C05-BA85-3D942E3E4426}" destId="{06BA70F5-7048-4A04-A0AB-9319C3ED6FE7}" srcOrd="1" destOrd="0" presId="urn:microsoft.com/office/officeart/2005/8/layout/lProcess2"/>
    <dgm:cxn modelId="{157DE15A-560C-4F5B-BDCA-9B1F4E54BFCF}" type="presParOf" srcId="{35074031-9CDD-4671-BA34-7016FEF46D52}" destId="{51CC4883-3084-4291-A36F-5C1454F46AA5}" srcOrd="0" destOrd="0" presId="urn:microsoft.com/office/officeart/2005/8/layout/lProcess2"/>
    <dgm:cxn modelId="{5F94758D-44F2-4F9D-937A-B20BDAE8C487}" type="presParOf" srcId="{51CC4883-3084-4291-A36F-5C1454F46AA5}" destId="{5CC719C2-DDF5-4EF8-8A34-493CEA0F6D4C}" srcOrd="0" destOrd="0" presId="urn:microsoft.com/office/officeart/2005/8/layout/lProcess2"/>
    <dgm:cxn modelId="{34426190-8D2B-49DA-8AEE-07F467CDAB7C}" type="presParOf" srcId="{51CC4883-3084-4291-A36F-5C1454F46AA5}" destId="{07D1221C-BB85-457F-807F-EACE8B86587E}" srcOrd="1" destOrd="0" presId="urn:microsoft.com/office/officeart/2005/8/layout/lProcess2"/>
    <dgm:cxn modelId="{28E19519-6B8B-4074-8137-EAC8DA612F1B}" type="presParOf" srcId="{51CC4883-3084-4291-A36F-5C1454F46AA5}" destId="{E55638AE-43B5-45AB-AFCA-C36C5A2C5A10}" srcOrd="2" destOrd="0" presId="urn:microsoft.com/office/officeart/2005/8/layout/lProcess2"/>
    <dgm:cxn modelId="{E3DDF82C-1B4D-46AF-9F1C-ADB8FB2AD0A6}" type="presParOf" srcId="{E55638AE-43B5-45AB-AFCA-C36C5A2C5A10}" destId="{E6823223-E9BA-4409-811B-9576B9AF0B89}" srcOrd="0" destOrd="0" presId="urn:microsoft.com/office/officeart/2005/8/layout/lProcess2"/>
    <dgm:cxn modelId="{C5FCC55B-2706-422B-A346-88FA813AE998}" type="presParOf" srcId="{E6823223-E9BA-4409-811B-9576B9AF0B89}" destId="{ED184CA5-7F2E-4D7A-B89D-B7CBD98C9826}" srcOrd="0" destOrd="0" presId="urn:microsoft.com/office/officeart/2005/8/layout/lProcess2"/>
    <dgm:cxn modelId="{7547D530-4767-4530-9E6B-EC9E3503822D}" type="presParOf" srcId="{E6823223-E9BA-4409-811B-9576B9AF0B89}" destId="{22BE92D1-74D3-4FE9-B795-FEEC649B2011}" srcOrd="1" destOrd="0" presId="urn:microsoft.com/office/officeart/2005/8/layout/lProcess2"/>
    <dgm:cxn modelId="{5B62663C-6C34-4A1B-BFCE-E1C6A6AD28B2}" type="presParOf" srcId="{E6823223-E9BA-4409-811B-9576B9AF0B89}" destId="{FCB4752E-1A01-477A-BC7F-6B9D46F6BB95}" srcOrd="2" destOrd="0" presId="urn:microsoft.com/office/officeart/2005/8/layout/lProcess2"/>
    <dgm:cxn modelId="{766A2578-9C32-4FF5-BFCE-B9284266D474}" type="presParOf" srcId="{E6823223-E9BA-4409-811B-9576B9AF0B89}" destId="{2BC7A574-FE94-4544-BCED-D791C9991F44}" srcOrd="3" destOrd="0" presId="urn:microsoft.com/office/officeart/2005/8/layout/lProcess2"/>
    <dgm:cxn modelId="{C1F04702-DB54-4A2F-97D1-ECE771375257}" type="presParOf" srcId="{E6823223-E9BA-4409-811B-9576B9AF0B89}" destId="{6B87EC02-61FF-42E5-BDE1-34E73F904BD2}" srcOrd="4" destOrd="0" presId="urn:microsoft.com/office/officeart/2005/8/layout/lProcess2"/>
    <dgm:cxn modelId="{2D26CAC7-A238-4231-97F2-049779DC12D2}" type="presParOf" srcId="{35074031-9CDD-4671-BA34-7016FEF46D52}" destId="{9BDFAB1F-2655-4EA8-B564-EA0EAE0EA1CA}" srcOrd="1" destOrd="0" presId="urn:microsoft.com/office/officeart/2005/8/layout/lProcess2"/>
    <dgm:cxn modelId="{A03B3048-9942-4387-895E-D956A9FB1CD6}" type="presParOf" srcId="{35074031-9CDD-4671-BA34-7016FEF46D52}" destId="{4E147F74-3533-458F-A9E8-B1454B59FE30}" srcOrd="2" destOrd="0" presId="urn:microsoft.com/office/officeart/2005/8/layout/lProcess2"/>
    <dgm:cxn modelId="{4E21F467-AD1D-48EA-999F-6A2EC35AE57A}" type="presParOf" srcId="{4E147F74-3533-458F-A9E8-B1454B59FE30}" destId="{E7C24935-28CF-4F00-9D90-3B670FE2CEC2}" srcOrd="0" destOrd="0" presId="urn:microsoft.com/office/officeart/2005/8/layout/lProcess2"/>
    <dgm:cxn modelId="{DFFEF458-9250-4B5A-8ABF-0CF7CE0BE8C7}" type="presParOf" srcId="{4E147F74-3533-458F-A9E8-B1454B59FE30}" destId="{B21B0B26-3167-4302-85D2-9B2607525D7F}" srcOrd="1" destOrd="0" presId="urn:microsoft.com/office/officeart/2005/8/layout/lProcess2"/>
    <dgm:cxn modelId="{CD9972B7-3417-4098-BC8C-171FB2A23392}" type="presParOf" srcId="{4E147F74-3533-458F-A9E8-B1454B59FE30}" destId="{E7E3E1E0-22DB-4B91-8A2A-783A30F44215}" srcOrd="2" destOrd="0" presId="urn:microsoft.com/office/officeart/2005/8/layout/lProcess2"/>
    <dgm:cxn modelId="{5BE0D0A8-D72C-42BC-BE4E-5D8C218E04D4}" type="presParOf" srcId="{E7E3E1E0-22DB-4B91-8A2A-783A30F44215}" destId="{CBF2323E-9FBE-454C-B47D-119D4A83F25B}" srcOrd="0" destOrd="0" presId="urn:microsoft.com/office/officeart/2005/8/layout/lProcess2"/>
    <dgm:cxn modelId="{1631713A-4AFE-4EF1-AFAF-6C6EBDCE8EA3}" type="presParOf" srcId="{CBF2323E-9FBE-454C-B47D-119D4A83F25B}" destId="{B84ADEE7-BF31-4FDC-9DFD-BB129B05B0E5}" srcOrd="0" destOrd="0" presId="urn:microsoft.com/office/officeart/2005/8/layout/lProcess2"/>
    <dgm:cxn modelId="{13703A36-82E8-488D-AD3A-DD37954F09A8}" type="presParOf" srcId="{CBF2323E-9FBE-454C-B47D-119D4A83F25B}" destId="{5C8A5E2E-83CB-49D1-9791-97DE1F0D97C7}" srcOrd="1" destOrd="0" presId="urn:microsoft.com/office/officeart/2005/8/layout/lProcess2"/>
    <dgm:cxn modelId="{E9AC4AF3-6C6B-4E49-A5DD-04221CE38CEC}" type="presParOf" srcId="{CBF2323E-9FBE-454C-B47D-119D4A83F25B}" destId="{7C5DDBBD-B3E0-41E0-9B99-13C9B0AC000D}" srcOrd="2" destOrd="0" presId="urn:microsoft.com/office/officeart/2005/8/layout/lProcess2"/>
    <dgm:cxn modelId="{560849A8-D01C-4ACA-BB0F-EC60B611A4BF}" type="presParOf" srcId="{CBF2323E-9FBE-454C-B47D-119D4A83F25B}" destId="{AC17DB56-79A0-44B8-875D-FD09F63DD36C}" srcOrd="3" destOrd="0" presId="urn:microsoft.com/office/officeart/2005/8/layout/lProcess2"/>
    <dgm:cxn modelId="{E64C43C0-A0B2-48E7-9DCC-7778756596A4}" type="presParOf" srcId="{CBF2323E-9FBE-454C-B47D-119D4A83F25B}" destId="{88139DC2-C4EB-419D-91DE-34F2CB0D0056}" srcOrd="4" destOrd="0" presId="urn:microsoft.com/office/officeart/2005/8/layout/lProcess2"/>
    <dgm:cxn modelId="{C4ECD8EC-5518-4706-916A-8C8C7AB29C43}" type="presParOf" srcId="{35074031-9CDD-4671-BA34-7016FEF46D52}" destId="{8997BD4A-AF73-4F43-B507-38A760E46661}" srcOrd="3" destOrd="0" presId="urn:microsoft.com/office/officeart/2005/8/layout/lProcess2"/>
    <dgm:cxn modelId="{D0A47E2D-F36C-4D22-8EA8-0F0C0183E1BD}" type="presParOf" srcId="{35074031-9CDD-4671-BA34-7016FEF46D52}" destId="{E598621B-BFE7-4B8F-BC32-AC21E4741086}" srcOrd="4" destOrd="0" presId="urn:microsoft.com/office/officeart/2005/8/layout/lProcess2"/>
    <dgm:cxn modelId="{BCF0A8A2-1F39-4E26-A06D-4DB600AEC484}" type="presParOf" srcId="{E598621B-BFE7-4B8F-BC32-AC21E4741086}" destId="{1277D0DC-49F7-477E-80CC-2576FFBE97E6}" srcOrd="0" destOrd="0" presId="urn:microsoft.com/office/officeart/2005/8/layout/lProcess2"/>
    <dgm:cxn modelId="{0C64F090-5E89-4060-9193-F252A89B35B8}" type="presParOf" srcId="{E598621B-BFE7-4B8F-BC32-AC21E4741086}" destId="{4F41A2EF-BA13-4BB0-871F-60210F6AFEDE}" srcOrd="1" destOrd="0" presId="urn:microsoft.com/office/officeart/2005/8/layout/lProcess2"/>
    <dgm:cxn modelId="{E8411218-B3AB-4B95-A796-1B7612D3EF46}" type="presParOf" srcId="{E598621B-BFE7-4B8F-BC32-AC21E4741086}" destId="{E2329B29-E289-4CA8-9F59-0F693A34EA11}" srcOrd="2" destOrd="0" presId="urn:microsoft.com/office/officeart/2005/8/layout/lProcess2"/>
    <dgm:cxn modelId="{7CA46177-A99D-44E6-89D2-09E1FDC32365}" type="presParOf" srcId="{E2329B29-E289-4CA8-9F59-0F693A34EA11}" destId="{7C971BD3-8A5F-4C5B-B6F0-81D8D98846C7}" srcOrd="0" destOrd="0" presId="urn:microsoft.com/office/officeart/2005/8/layout/lProcess2"/>
    <dgm:cxn modelId="{DE99818D-9CCD-4A07-B066-AD7E89A35A7F}" type="presParOf" srcId="{7C971BD3-8A5F-4C5B-B6F0-81D8D98846C7}" destId="{12683A2B-69C6-4D4B-A836-C4591AB0D000}" srcOrd="0" destOrd="0" presId="urn:microsoft.com/office/officeart/2005/8/layout/lProcess2"/>
    <dgm:cxn modelId="{5DBAA626-2A9D-491E-B57F-AE03179BDBD3}" type="presParOf" srcId="{7C971BD3-8A5F-4C5B-B6F0-81D8D98846C7}" destId="{8066A18A-A796-4F9A-949F-3E2958CDD75E}" srcOrd="1" destOrd="0" presId="urn:microsoft.com/office/officeart/2005/8/layout/lProcess2"/>
    <dgm:cxn modelId="{BEF7A780-0807-4E53-B0D2-FED2ADCD593F}" type="presParOf" srcId="{7C971BD3-8A5F-4C5B-B6F0-81D8D98846C7}" destId="{44425F40-E248-4546-9C59-046221AC3033}" srcOrd="2" destOrd="0" presId="urn:microsoft.com/office/officeart/2005/8/layout/lProcess2"/>
    <dgm:cxn modelId="{15C60617-8E7F-4F7E-B075-183D354E81E1}" type="presParOf" srcId="{7C971BD3-8A5F-4C5B-B6F0-81D8D98846C7}" destId="{0F669E7F-E53A-47BB-B56E-B9FDEEAA38CB}" srcOrd="3" destOrd="0" presId="urn:microsoft.com/office/officeart/2005/8/layout/lProcess2"/>
    <dgm:cxn modelId="{D018D4E0-0701-43D1-978E-E9BD8C8A8CA5}" type="presParOf" srcId="{7C971BD3-8A5F-4C5B-B6F0-81D8D98846C7}" destId="{F72C9C19-3CBE-4A46-AF91-3D8C7653C729}" srcOrd="4" destOrd="0" presId="urn:microsoft.com/office/officeart/2005/8/layout/lProcess2"/>
    <dgm:cxn modelId="{F8CDA61E-5317-4E64-B712-F8F30BF3D71B}" type="presParOf" srcId="{35074031-9CDD-4671-BA34-7016FEF46D52}" destId="{7F08F409-7C61-4B85-A2BD-343354F5376E}" srcOrd="5" destOrd="0" presId="urn:microsoft.com/office/officeart/2005/8/layout/lProcess2"/>
    <dgm:cxn modelId="{DC37AB75-8E83-4FF7-AFBE-19897D3AB8B4}" type="presParOf" srcId="{35074031-9CDD-4671-BA34-7016FEF46D52}" destId="{0E4F4AA3-33F7-4F74-9955-815E2305A49A}" srcOrd="6" destOrd="0" presId="urn:microsoft.com/office/officeart/2005/8/layout/lProcess2"/>
    <dgm:cxn modelId="{38B109C1-B701-404A-AE30-11FFE65A3983}" type="presParOf" srcId="{0E4F4AA3-33F7-4F74-9955-815E2305A49A}" destId="{A6D6C440-73BD-4F2C-8A30-5DB5900CAB01}" srcOrd="0" destOrd="0" presId="urn:microsoft.com/office/officeart/2005/8/layout/lProcess2"/>
    <dgm:cxn modelId="{AB8C3C37-A0FD-4762-B163-AA296CBD5756}" type="presParOf" srcId="{0E4F4AA3-33F7-4F74-9955-815E2305A49A}" destId="{06BA70F5-7048-4A04-A0AB-9319C3ED6FE7}" srcOrd="1" destOrd="0" presId="urn:microsoft.com/office/officeart/2005/8/layout/lProcess2"/>
    <dgm:cxn modelId="{4E1059EE-8A38-479A-AFDF-8E031C463CBC}" type="presParOf" srcId="{0E4F4AA3-33F7-4F74-9955-815E2305A49A}" destId="{9267FBF3-1B08-4B32-A53F-3BF2E2337753}" srcOrd="2" destOrd="0" presId="urn:microsoft.com/office/officeart/2005/8/layout/lProcess2"/>
    <dgm:cxn modelId="{C720ECB2-8089-409A-AD45-41F0D84CAF41}" type="presParOf" srcId="{9267FBF3-1B08-4B32-A53F-3BF2E2337753}" destId="{8CF9BB63-DAF8-49CF-A7AC-8E0D1B5EA12D}" srcOrd="0" destOrd="0" presId="urn:microsoft.com/office/officeart/2005/8/layout/lProcess2"/>
    <dgm:cxn modelId="{F12B6A6F-30AE-4948-9791-9791919E1871}" type="presParOf" srcId="{8CF9BB63-DAF8-49CF-A7AC-8E0D1B5EA12D}" destId="{427F4FBA-4607-489D-9E26-7DC9219CC50C}" srcOrd="0" destOrd="0" presId="urn:microsoft.com/office/officeart/2005/8/layout/lProcess2"/>
    <dgm:cxn modelId="{360F3EA0-C7C2-4C09-AB78-30483BC38BBF}" type="presParOf" srcId="{8CF9BB63-DAF8-49CF-A7AC-8E0D1B5EA12D}" destId="{CA9828BB-99A7-48D1-B564-352D934696A8}" srcOrd="1" destOrd="0" presId="urn:microsoft.com/office/officeart/2005/8/layout/lProcess2"/>
    <dgm:cxn modelId="{48CAE3EC-4AE6-4F83-8105-75C23062E183}" type="presParOf" srcId="{8CF9BB63-DAF8-49CF-A7AC-8E0D1B5EA12D}" destId="{FA7C8F1F-D6CA-4954-A84A-F9B74F2571CC}" srcOrd="2" destOrd="0" presId="urn:microsoft.com/office/officeart/2005/8/layout/lProcess2"/>
    <dgm:cxn modelId="{66A81974-C9F9-4B1A-BF64-8A9AA52B45A2}" type="presParOf" srcId="{8CF9BB63-DAF8-49CF-A7AC-8E0D1B5EA12D}" destId="{A2029C01-7CE2-45F4-9839-C5137440331E}" srcOrd="3" destOrd="0" presId="urn:microsoft.com/office/officeart/2005/8/layout/lProcess2"/>
    <dgm:cxn modelId="{17660012-650A-45A1-A189-1DB18F504C25}" type="presParOf" srcId="{8CF9BB63-DAF8-49CF-A7AC-8E0D1B5EA12D}" destId="{F09A3F03-CB6B-440D-B03A-A83E74BB647C}" srcOrd="4" destOrd="0" presId="urn:microsoft.com/office/officeart/2005/8/layout/lProcess2"/>
  </dgm:cxnLst>
  <dgm:bg/>
  <dgm:whole/>
  <dgm:extLst>
    <a:ext uri="http://schemas.microsoft.com/office/drawing/2008/diagram">
      <dsp:dataModelExt xmlns="" xmlns:dsp="http://schemas.microsoft.com/office/drawing/2008/diagram" relId="rId89"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5CC719C2-DDF5-4EF8-8A34-493CEA0F6D4C}">
      <dsp:nvSpPr>
        <dsp:cNvPr id="0" name=""/>
        <dsp:cNvSpPr/>
      </dsp:nvSpPr>
      <dsp:spPr>
        <a:xfrm>
          <a:off x="1315" y="0"/>
          <a:ext cx="1291170" cy="3419474"/>
        </a:xfrm>
        <a:prstGeom prst="roundRect">
          <a:avLst>
            <a:gd name="adj" fmla="val 10000"/>
          </a:avLst>
        </a:prstGeom>
        <a:solidFill>
          <a:schemeClr val="accent1">
            <a:tint val="40000"/>
            <a:hueOff val="0"/>
            <a:satOff val="0"/>
            <a:lumOff val="0"/>
            <a:alphaOff val="0"/>
          </a:schemeClr>
        </a:solidFill>
        <a:ln>
          <a:noFill/>
        </a:ln>
        <a:effectLst/>
      </dsp:spPr>
      <dsp:style>
        <a:lnRef idx="0">
          <a:scrgbClr r="0" g="0" b="0"/>
        </a:lnRef>
        <a:fillRef idx="1">
          <a:scrgbClr r="0" g="0" b="0"/>
        </a:fillRef>
        <a:effectRef idx="0">
          <a:scrgbClr r="0" g="0" b="0"/>
        </a:effectRef>
        <a:fontRef idx="minor"/>
      </dsp:style>
      <dsp:txBody>
        <a:bodyPr spcFirstLastPara="0" vert="horz" wrap="square" lIns="129540" tIns="129540" rIns="129540" bIns="129540" numCol="1" spcCol="1270" anchor="ctr" anchorCtr="0">
          <a:noAutofit/>
        </a:bodyPr>
        <a:lstStyle/>
        <a:p>
          <a:pPr lvl="0" algn="ctr" defTabSz="1511300">
            <a:lnSpc>
              <a:spcPct val="90000"/>
            </a:lnSpc>
            <a:spcBef>
              <a:spcPct val="0"/>
            </a:spcBef>
            <a:spcAft>
              <a:spcPct val="35000"/>
            </a:spcAft>
          </a:pPr>
          <a:r>
            <a:rPr lang="es-ES" sz="3400" kern="1200"/>
            <a:t>fase 1</a:t>
          </a:r>
        </a:p>
      </dsp:txBody>
      <dsp:txXfrm>
        <a:off x="1315" y="0"/>
        <a:ext cx="1291170" cy="1025842"/>
      </dsp:txXfrm>
    </dsp:sp>
    <dsp:sp modelId="{ED184CA5-7F2E-4D7A-B89D-B7CBD98C9826}">
      <dsp:nvSpPr>
        <dsp:cNvPr id="0" name=""/>
        <dsp:cNvSpPr/>
      </dsp:nvSpPr>
      <dsp:spPr>
        <a:xfrm>
          <a:off x="130432" y="1026134"/>
          <a:ext cx="1032936" cy="671789"/>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20320" tIns="15240" rIns="20320" bIns="15240" numCol="1" spcCol="1270" anchor="ctr" anchorCtr="0">
          <a:noAutofit/>
        </a:bodyPr>
        <a:lstStyle/>
        <a:p>
          <a:pPr lvl="0" algn="ctr" defTabSz="355600">
            <a:lnSpc>
              <a:spcPct val="90000"/>
            </a:lnSpc>
            <a:spcBef>
              <a:spcPct val="0"/>
            </a:spcBef>
            <a:spcAft>
              <a:spcPct val="35000"/>
            </a:spcAft>
          </a:pPr>
          <a:r>
            <a:rPr lang="es-ES" sz="800" kern="1200"/>
            <a:t>acumulación para la transición y profundización de la redistribución</a:t>
          </a:r>
        </a:p>
      </dsp:txBody>
      <dsp:txXfrm>
        <a:off x="150108" y="1045810"/>
        <a:ext cx="993584" cy="632437"/>
      </dsp:txXfrm>
    </dsp:sp>
    <dsp:sp modelId="{FCB4752E-1A01-477A-BC7F-6B9D46F6BB95}">
      <dsp:nvSpPr>
        <dsp:cNvPr id="0" name=""/>
        <dsp:cNvSpPr/>
      </dsp:nvSpPr>
      <dsp:spPr>
        <a:xfrm>
          <a:off x="130432" y="1801276"/>
          <a:ext cx="1032936" cy="671789"/>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20320" tIns="15240" rIns="20320" bIns="15240" numCol="1" spcCol="1270" anchor="ctr" anchorCtr="0">
          <a:noAutofit/>
        </a:bodyPr>
        <a:lstStyle/>
        <a:p>
          <a:pPr lvl="0" algn="ctr" defTabSz="355600">
            <a:lnSpc>
              <a:spcPct val="90000"/>
            </a:lnSpc>
            <a:spcBef>
              <a:spcPct val="0"/>
            </a:spcBef>
            <a:spcAft>
              <a:spcPct val="35000"/>
            </a:spcAft>
          </a:pPr>
          <a:r>
            <a:rPr lang="es-ES" sz="800" kern="1200"/>
            <a:t>sustitución selectiva de importaciones</a:t>
          </a:r>
        </a:p>
      </dsp:txBody>
      <dsp:txXfrm>
        <a:off x="150108" y="1820952"/>
        <a:ext cx="993584" cy="632437"/>
      </dsp:txXfrm>
    </dsp:sp>
    <dsp:sp modelId="{6B87EC02-61FF-42E5-BDE1-34E73F904BD2}">
      <dsp:nvSpPr>
        <dsp:cNvPr id="0" name=""/>
        <dsp:cNvSpPr/>
      </dsp:nvSpPr>
      <dsp:spPr>
        <a:xfrm>
          <a:off x="130432" y="2576419"/>
          <a:ext cx="1032936" cy="671789"/>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20320" tIns="15240" rIns="20320" bIns="15240" numCol="1" spcCol="1270" anchor="ctr" anchorCtr="0">
          <a:noAutofit/>
        </a:bodyPr>
        <a:lstStyle/>
        <a:p>
          <a:pPr lvl="0" algn="ctr" defTabSz="355600">
            <a:lnSpc>
              <a:spcPct val="90000"/>
            </a:lnSpc>
            <a:spcBef>
              <a:spcPct val="0"/>
            </a:spcBef>
            <a:spcAft>
              <a:spcPct val="35000"/>
            </a:spcAft>
          </a:pPr>
          <a:r>
            <a:rPr lang="es-ES" sz="800" kern="1200"/>
            <a:t>transferencia de tecnología aplicada</a:t>
          </a:r>
        </a:p>
      </dsp:txBody>
      <dsp:txXfrm>
        <a:off x="150108" y="2596095"/>
        <a:ext cx="993584" cy="632437"/>
      </dsp:txXfrm>
    </dsp:sp>
    <dsp:sp modelId="{E7C24935-28CF-4F00-9D90-3B670FE2CEC2}">
      <dsp:nvSpPr>
        <dsp:cNvPr id="0" name=""/>
        <dsp:cNvSpPr/>
      </dsp:nvSpPr>
      <dsp:spPr>
        <a:xfrm>
          <a:off x="1389323" y="0"/>
          <a:ext cx="1291170" cy="3419474"/>
        </a:xfrm>
        <a:prstGeom prst="roundRect">
          <a:avLst>
            <a:gd name="adj" fmla="val 10000"/>
          </a:avLst>
        </a:prstGeom>
        <a:solidFill>
          <a:schemeClr val="accent1">
            <a:tint val="40000"/>
            <a:hueOff val="0"/>
            <a:satOff val="0"/>
            <a:lumOff val="0"/>
            <a:alphaOff val="0"/>
          </a:schemeClr>
        </a:solidFill>
        <a:ln>
          <a:noFill/>
        </a:ln>
        <a:effectLst/>
      </dsp:spPr>
      <dsp:style>
        <a:lnRef idx="0">
          <a:scrgbClr r="0" g="0" b="0"/>
        </a:lnRef>
        <a:fillRef idx="1">
          <a:scrgbClr r="0" g="0" b="0"/>
        </a:fillRef>
        <a:effectRef idx="0">
          <a:scrgbClr r="0" g="0" b="0"/>
        </a:effectRef>
        <a:fontRef idx="minor"/>
      </dsp:style>
      <dsp:txBody>
        <a:bodyPr spcFirstLastPara="0" vert="horz" wrap="square" lIns="129540" tIns="129540" rIns="129540" bIns="129540" numCol="1" spcCol="1270" anchor="ctr" anchorCtr="0">
          <a:noAutofit/>
        </a:bodyPr>
        <a:lstStyle/>
        <a:p>
          <a:pPr lvl="0" algn="ctr" defTabSz="1511300">
            <a:lnSpc>
              <a:spcPct val="90000"/>
            </a:lnSpc>
            <a:spcBef>
              <a:spcPct val="0"/>
            </a:spcBef>
            <a:spcAft>
              <a:spcPct val="35000"/>
            </a:spcAft>
          </a:pPr>
          <a:r>
            <a:rPr lang="es-ES" sz="3400" kern="1200"/>
            <a:t>fase 2</a:t>
          </a:r>
        </a:p>
      </dsp:txBody>
      <dsp:txXfrm>
        <a:off x="1389323" y="0"/>
        <a:ext cx="1291170" cy="1025842"/>
      </dsp:txXfrm>
    </dsp:sp>
    <dsp:sp modelId="{B84ADEE7-BF31-4FDC-9DFD-BB129B05B0E5}">
      <dsp:nvSpPr>
        <dsp:cNvPr id="0" name=""/>
        <dsp:cNvSpPr/>
      </dsp:nvSpPr>
      <dsp:spPr>
        <a:xfrm>
          <a:off x="1518440" y="1026846"/>
          <a:ext cx="1032936" cy="601246"/>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20320" tIns="15240" rIns="20320" bIns="15240" numCol="1" spcCol="1270" anchor="ctr" anchorCtr="0">
          <a:noAutofit/>
        </a:bodyPr>
        <a:lstStyle/>
        <a:p>
          <a:pPr lvl="0" algn="ctr" defTabSz="355600">
            <a:lnSpc>
              <a:spcPct val="90000"/>
            </a:lnSpc>
            <a:spcBef>
              <a:spcPct val="0"/>
            </a:spcBef>
            <a:spcAft>
              <a:spcPct val="35000"/>
            </a:spcAft>
          </a:pPr>
          <a:r>
            <a:rPr lang="es-ES" sz="800" kern="1200"/>
            <a:t>distribución en la acumulación y consolidación de la SSI</a:t>
          </a:r>
        </a:p>
      </dsp:txBody>
      <dsp:txXfrm>
        <a:off x="1536050" y="1044456"/>
        <a:ext cx="997716" cy="566026"/>
      </dsp:txXfrm>
    </dsp:sp>
    <dsp:sp modelId="{7C5DDBBD-B3E0-41E0-9B99-13C9B0AC000D}">
      <dsp:nvSpPr>
        <dsp:cNvPr id="0" name=""/>
        <dsp:cNvSpPr/>
      </dsp:nvSpPr>
      <dsp:spPr>
        <a:xfrm>
          <a:off x="1521053" y="1720592"/>
          <a:ext cx="1027709" cy="833159"/>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20320" tIns="15240" rIns="20320" bIns="15240" numCol="1" spcCol="1270" anchor="ctr" anchorCtr="0">
          <a:noAutofit/>
        </a:bodyPr>
        <a:lstStyle/>
        <a:p>
          <a:pPr lvl="0" algn="ctr" defTabSz="355600">
            <a:lnSpc>
              <a:spcPct val="90000"/>
            </a:lnSpc>
            <a:spcBef>
              <a:spcPct val="0"/>
            </a:spcBef>
            <a:spcAft>
              <a:spcPct val="35000"/>
            </a:spcAft>
          </a:pPr>
          <a:r>
            <a:rPr lang="es-ES" sz="800" kern="1200"/>
            <a:t>superávit energético y limpio.</a:t>
          </a:r>
        </a:p>
        <a:p>
          <a:pPr lvl="0" algn="ctr" defTabSz="355600">
            <a:lnSpc>
              <a:spcPct val="90000"/>
            </a:lnSpc>
            <a:spcBef>
              <a:spcPct val="0"/>
            </a:spcBef>
            <a:spcAft>
              <a:spcPct val="35000"/>
            </a:spcAft>
          </a:pPr>
          <a:r>
            <a:rPr lang="es-ES" sz="800" kern="1200"/>
            <a:t>Consolidación de la industria nacional y sectores turísticos </a:t>
          </a:r>
        </a:p>
      </dsp:txBody>
      <dsp:txXfrm>
        <a:off x="1545455" y="1744994"/>
        <a:ext cx="978905" cy="784355"/>
      </dsp:txXfrm>
    </dsp:sp>
    <dsp:sp modelId="{88139DC2-C4EB-419D-91DE-34F2CB0D0056}">
      <dsp:nvSpPr>
        <dsp:cNvPr id="0" name=""/>
        <dsp:cNvSpPr/>
      </dsp:nvSpPr>
      <dsp:spPr>
        <a:xfrm>
          <a:off x="1518440" y="2646251"/>
          <a:ext cx="1032936" cy="601246"/>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20320" tIns="15240" rIns="20320" bIns="15240" numCol="1" spcCol="1270" anchor="ctr" anchorCtr="0">
          <a:noAutofit/>
        </a:bodyPr>
        <a:lstStyle/>
        <a:p>
          <a:pPr lvl="0" algn="ctr" defTabSz="355600">
            <a:lnSpc>
              <a:spcPct val="90000"/>
            </a:lnSpc>
            <a:spcBef>
              <a:spcPct val="0"/>
            </a:spcBef>
            <a:spcAft>
              <a:spcPct val="35000"/>
            </a:spcAft>
          </a:pPr>
          <a:r>
            <a:rPr lang="es-ES" sz="800" kern="1200"/>
            <a:t>Innovación + desarrollo tecnológico</a:t>
          </a:r>
        </a:p>
      </dsp:txBody>
      <dsp:txXfrm>
        <a:off x="1536050" y="2663861"/>
        <a:ext cx="997716" cy="566026"/>
      </dsp:txXfrm>
    </dsp:sp>
    <dsp:sp modelId="{1277D0DC-49F7-477E-80CC-2576FFBE97E6}">
      <dsp:nvSpPr>
        <dsp:cNvPr id="0" name=""/>
        <dsp:cNvSpPr/>
      </dsp:nvSpPr>
      <dsp:spPr>
        <a:xfrm>
          <a:off x="2780210" y="0"/>
          <a:ext cx="1291170" cy="3419474"/>
        </a:xfrm>
        <a:prstGeom prst="roundRect">
          <a:avLst>
            <a:gd name="adj" fmla="val 10000"/>
          </a:avLst>
        </a:prstGeom>
        <a:solidFill>
          <a:schemeClr val="accent1">
            <a:tint val="40000"/>
            <a:hueOff val="0"/>
            <a:satOff val="0"/>
            <a:lumOff val="0"/>
            <a:alphaOff val="0"/>
          </a:schemeClr>
        </a:solidFill>
        <a:ln>
          <a:noFill/>
        </a:ln>
        <a:effectLst/>
      </dsp:spPr>
      <dsp:style>
        <a:lnRef idx="0">
          <a:scrgbClr r="0" g="0" b="0"/>
        </a:lnRef>
        <a:fillRef idx="1">
          <a:scrgbClr r="0" g="0" b="0"/>
        </a:fillRef>
        <a:effectRef idx="0">
          <a:scrgbClr r="0" g="0" b="0"/>
        </a:effectRef>
        <a:fontRef idx="minor"/>
      </dsp:style>
      <dsp:txBody>
        <a:bodyPr spcFirstLastPara="0" vert="horz" wrap="square" lIns="129540" tIns="129540" rIns="129540" bIns="129540" numCol="1" spcCol="1270" anchor="ctr" anchorCtr="0">
          <a:noAutofit/>
        </a:bodyPr>
        <a:lstStyle/>
        <a:p>
          <a:pPr lvl="0" algn="ctr" defTabSz="1511300">
            <a:lnSpc>
              <a:spcPct val="90000"/>
            </a:lnSpc>
            <a:spcBef>
              <a:spcPct val="0"/>
            </a:spcBef>
            <a:spcAft>
              <a:spcPct val="35000"/>
            </a:spcAft>
          </a:pPr>
          <a:r>
            <a:rPr lang="es-ES" sz="3400" kern="1200"/>
            <a:t>fase 3 </a:t>
          </a:r>
        </a:p>
      </dsp:txBody>
      <dsp:txXfrm>
        <a:off x="2780210" y="0"/>
        <a:ext cx="1291170" cy="1025842"/>
      </dsp:txXfrm>
    </dsp:sp>
    <dsp:sp modelId="{12683A2B-69C6-4D4B-A836-C4591AB0D000}">
      <dsp:nvSpPr>
        <dsp:cNvPr id="0" name=""/>
        <dsp:cNvSpPr/>
      </dsp:nvSpPr>
      <dsp:spPr>
        <a:xfrm>
          <a:off x="2907331" y="1026614"/>
          <a:ext cx="1031169" cy="741537"/>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20320" tIns="15240" rIns="20320" bIns="15240" numCol="1" spcCol="1270" anchor="ctr" anchorCtr="0">
          <a:noAutofit/>
        </a:bodyPr>
        <a:lstStyle/>
        <a:p>
          <a:pPr lvl="0" algn="ctr" defTabSz="355600">
            <a:lnSpc>
              <a:spcPct val="90000"/>
            </a:lnSpc>
            <a:spcBef>
              <a:spcPct val="0"/>
            </a:spcBef>
            <a:spcAft>
              <a:spcPct val="35000"/>
            </a:spcAft>
          </a:pPr>
          <a:r>
            <a:rPr lang="es-ES" sz="800" kern="1200"/>
            <a:t>consolidación de la sustitución de exportaciones y distribución de la acumulación</a:t>
          </a:r>
        </a:p>
      </dsp:txBody>
      <dsp:txXfrm>
        <a:off x="2929050" y="1048333"/>
        <a:ext cx="987731" cy="698099"/>
      </dsp:txXfrm>
    </dsp:sp>
    <dsp:sp modelId="{44425F40-E248-4546-9C59-046221AC3033}">
      <dsp:nvSpPr>
        <dsp:cNvPr id="0" name=""/>
        <dsp:cNvSpPr/>
      </dsp:nvSpPr>
      <dsp:spPr>
        <a:xfrm>
          <a:off x="2868823" y="1838861"/>
          <a:ext cx="1108185" cy="878539"/>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20320" tIns="15240" rIns="20320" bIns="15240" numCol="1" spcCol="1270" anchor="ctr" anchorCtr="0">
          <a:noAutofit/>
        </a:bodyPr>
        <a:lstStyle/>
        <a:p>
          <a:pPr lvl="0" algn="ctr" defTabSz="355600">
            <a:lnSpc>
              <a:spcPct val="90000"/>
            </a:lnSpc>
            <a:spcBef>
              <a:spcPct val="0"/>
            </a:spcBef>
            <a:spcAft>
              <a:spcPct val="35000"/>
            </a:spcAft>
          </a:pPr>
          <a:r>
            <a:rPr lang="es-ES" sz="800" kern="1200"/>
            <a:t>diversificación y sustitución de la esportaciones: investigación, innovación, ciencia y tecnología  </a:t>
          </a:r>
        </a:p>
      </dsp:txBody>
      <dsp:txXfrm>
        <a:off x="2894555" y="1864593"/>
        <a:ext cx="1056721" cy="827075"/>
      </dsp:txXfrm>
    </dsp:sp>
    <dsp:sp modelId="{F72C9C19-3CBE-4A46-AF91-3D8C7653C729}">
      <dsp:nvSpPr>
        <dsp:cNvPr id="0" name=""/>
        <dsp:cNvSpPr/>
      </dsp:nvSpPr>
      <dsp:spPr>
        <a:xfrm>
          <a:off x="2906448" y="2788112"/>
          <a:ext cx="1032936" cy="459617"/>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22860" tIns="17145" rIns="22860" bIns="17145" numCol="1" spcCol="1270" anchor="ctr" anchorCtr="0">
          <a:noAutofit/>
        </a:bodyPr>
        <a:lstStyle/>
        <a:p>
          <a:pPr lvl="0" algn="ctr" defTabSz="400050">
            <a:lnSpc>
              <a:spcPct val="90000"/>
            </a:lnSpc>
            <a:spcBef>
              <a:spcPct val="0"/>
            </a:spcBef>
            <a:spcAft>
              <a:spcPct val="35000"/>
            </a:spcAft>
          </a:pPr>
          <a:r>
            <a:rPr lang="es-ES" sz="900" kern="1200"/>
            <a:t>innovación tecnológica</a:t>
          </a:r>
        </a:p>
      </dsp:txBody>
      <dsp:txXfrm>
        <a:off x="2919910" y="2801574"/>
        <a:ext cx="1006012" cy="432693"/>
      </dsp:txXfrm>
    </dsp:sp>
    <dsp:sp modelId="{A6D6C440-73BD-4F2C-8A30-5DB5900CAB01}">
      <dsp:nvSpPr>
        <dsp:cNvPr id="0" name=""/>
        <dsp:cNvSpPr/>
      </dsp:nvSpPr>
      <dsp:spPr>
        <a:xfrm>
          <a:off x="4165339" y="0"/>
          <a:ext cx="1291170" cy="3419474"/>
        </a:xfrm>
        <a:prstGeom prst="roundRect">
          <a:avLst>
            <a:gd name="adj" fmla="val 10000"/>
          </a:avLst>
        </a:prstGeom>
        <a:solidFill>
          <a:schemeClr val="accent1">
            <a:tint val="40000"/>
            <a:hueOff val="0"/>
            <a:satOff val="0"/>
            <a:lumOff val="0"/>
            <a:alphaOff val="0"/>
          </a:schemeClr>
        </a:solidFill>
        <a:ln>
          <a:noFill/>
        </a:ln>
        <a:effectLst/>
      </dsp:spPr>
      <dsp:style>
        <a:lnRef idx="0">
          <a:scrgbClr r="0" g="0" b="0"/>
        </a:lnRef>
        <a:fillRef idx="1">
          <a:scrgbClr r="0" g="0" b="0"/>
        </a:fillRef>
        <a:effectRef idx="0">
          <a:scrgbClr r="0" g="0" b="0"/>
        </a:effectRef>
        <a:fontRef idx="minor"/>
      </dsp:style>
      <dsp:txBody>
        <a:bodyPr spcFirstLastPara="0" vert="horz" wrap="square" lIns="129540" tIns="129540" rIns="129540" bIns="129540" numCol="1" spcCol="1270" anchor="ctr" anchorCtr="0">
          <a:noAutofit/>
        </a:bodyPr>
        <a:lstStyle/>
        <a:p>
          <a:pPr lvl="0" algn="ctr" defTabSz="1511300">
            <a:lnSpc>
              <a:spcPct val="90000"/>
            </a:lnSpc>
            <a:spcBef>
              <a:spcPct val="0"/>
            </a:spcBef>
            <a:spcAft>
              <a:spcPct val="35000"/>
            </a:spcAft>
          </a:pPr>
          <a:r>
            <a:rPr lang="es-ES" sz="3400" kern="1200"/>
            <a:t>fase 4</a:t>
          </a:r>
        </a:p>
      </dsp:txBody>
      <dsp:txXfrm>
        <a:off x="4165339" y="0"/>
        <a:ext cx="1291170" cy="1025842"/>
      </dsp:txXfrm>
    </dsp:sp>
    <dsp:sp modelId="{427F4FBA-4607-489D-9E26-7DC9219CC50C}">
      <dsp:nvSpPr>
        <dsp:cNvPr id="0" name=""/>
        <dsp:cNvSpPr/>
      </dsp:nvSpPr>
      <dsp:spPr>
        <a:xfrm>
          <a:off x="4294456" y="1026134"/>
          <a:ext cx="1032936" cy="671789"/>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22860" tIns="17145" rIns="22860" bIns="17145" numCol="1" spcCol="1270" anchor="ctr" anchorCtr="0">
          <a:noAutofit/>
        </a:bodyPr>
        <a:lstStyle/>
        <a:p>
          <a:pPr lvl="0" algn="ctr" defTabSz="400050">
            <a:lnSpc>
              <a:spcPct val="90000"/>
            </a:lnSpc>
            <a:spcBef>
              <a:spcPct val="0"/>
            </a:spcBef>
            <a:spcAft>
              <a:spcPct val="35000"/>
            </a:spcAft>
          </a:pPr>
          <a:r>
            <a:rPr lang="es-ES" sz="900" kern="1200"/>
            <a:t>renovación productiva</a:t>
          </a:r>
        </a:p>
      </dsp:txBody>
      <dsp:txXfrm>
        <a:off x="4314132" y="1045810"/>
        <a:ext cx="993584" cy="632437"/>
      </dsp:txXfrm>
    </dsp:sp>
    <dsp:sp modelId="{FA7C8F1F-D6CA-4954-A84A-F9B74F2571CC}">
      <dsp:nvSpPr>
        <dsp:cNvPr id="0" name=""/>
        <dsp:cNvSpPr/>
      </dsp:nvSpPr>
      <dsp:spPr>
        <a:xfrm>
          <a:off x="4294456" y="1801276"/>
          <a:ext cx="1032936" cy="671789"/>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22860" tIns="17145" rIns="22860" bIns="17145" numCol="1" spcCol="1270" anchor="ctr" anchorCtr="0">
          <a:noAutofit/>
        </a:bodyPr>
        <a:lstStyle/>
        <a:p>
          <a:pPr lvl="0" algn="ctr" defTabSz="400050">
            <a:lnSpc>
              <a:spcPct val="90000"/>
            </a:lnSpc>
            <a:spcBef>
              <a:spcPct val="0"/>
            </a:spcBef>
            <a:spcAft>
              <a:spcPct val="35000"/>
            </a:spcAft>
          </a:pPr>
          <a:r>
            <a:rPr lang="es-ES" sz="900" kern="1200"/>
            <a:t>sector terciario (exportador)  de bio-conocimiento y servicios turiíticos</a:t>
          </a:r>
        </a:p>
      </dsp:txBody>
      <dsp:txXfrm>
        <a:off x="4314132" y="1820952"/>
        <a:ext cx="993584" cy="632437"/>
      </dsp:txXfrm>
    </dsp:sp>
    <dsp:sp modelId="{F09A3F03-CB6B-440D-B03A-A83E74BB647C}">
      <dsp:nvSpPr>
        <dsp:cNvPr id="0" name=""/>
        <dsp:cNvSpPr/>
      </dsp:nvSpPr>
      <dsp:spPr>
        <a:xfrm>
          <a:off x="4294456" y="2576419"/>
          <a:ext cx="1032936" cy="671789"/>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22860" tIns="17145" rIns="22860" bIns="17145" numCol="1" spcCol="1270" anchor="ctr" anchorCtr="0">
          <a:noAutofit/>
        </a:bodyPr>
        <a:lstStyle/>
        <a:p>
          <a:pPr lvl="0" algn="ctr" defTabSz="400050">
            <a:lnSpc>
              <a:spcPct val="90000"/>
            </a:lnSpc>
            <a:spcBef>
              <a:spcPct val="0"/>
            </a:spcBef>
            <a:spcAft>
              <a:spcPct val="35000"/>
            </a:spcAft>
          </a:pPr>
          <a:r>
            <a:rPr lang="es-ES" sz="900" kern="1200"/>
            <a:t>biotecnologia</a:t>
          </a:r>
        </a:p>
      </dsp:txBody>
      <dsp:txXfrm>
        <a:off x="4314132" y="2596095"/>
        <a:ext cx="993584" cy="632437"/>
      </dsp:txXfrm>
    </dsp:sp>
  </dsp:spTree>
</dsp:drawing>
</file>

<file path=word/diagrams/layout1.xml><?xml version="1.0" encoding="utf-8"?>
<dgm:layoutDef xmlns:dgm="http://schemas.openxmlformats.org/drawingml/2006/diagram" xmlns:a="http://schemas.openxmlformats.org/drawingml/2006/main" uniqueId="urn:microsoft.com/office/officeart/2005/8/layout/lProcess2">
  <dgm:title val=""/>
  <dgm:desc val=""/>
  <dgm:catLst>
    <dgm:cat type="list" pri="10000"/>
    <dgm:cat type="relationship" pri="13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13" srcId="1" destId="11" srcOrd="0" destOrd="0"/>
        <dgm:cxn modelId="14" srcId="1" destId="12" srcOrd="0" destOrd="0"/>
        <dgm:cxn modelId="23" srcId="2" destId="21" srcOrd="0" destOrd="0"/>
        <dgm:cxn modelId="24" srcId="2" destId="22" srcOrd="0" destOrd="0"/>
        <dgm:cxn modelId="33" srcId="3" destId="31" srcOrd="0" destOrd="0"/>
        <dgm:cxn modelId="34" srcId="3" destId="32" srcOrd="0" destOrd="0"/>
      </dgm:cxnLst>
      <dgm:bg/>
      <dgm:whole/>
    </dgm:dataModel>
  </dgm:sampData>
  <dgm:styleData useDef="1">
    <dgm:dataModel>
      <dgm:ptLst/>
      <dgm:bg/>
      <dgm:whole/>
    </dgm:dataModel>
  </dgm:styleData>
  <dgm:clrData useDef="1">
    <dgm:dataModel>
      <dgm:ptLst/>
      <dgm:bg/>
      <dgm:whole/>
    </dgm:dataModel>
  </dgm:clrData>
  <dgm:layoutNode name="theList">
    <dgm:varLst>
      <dgm:dir/>
      <dgm:animLvl val="lvl"/>
      <dgm:resizeHandles val="exact"/>
    </dgm:varLst>
    <dgm:choose name="Name0">
      <dgm:if name="Name1" func="var" arg="dir" op="equ" val="norm">
        <dgm:alg type="lin"/>
      </dgm:if>
      <dgm:else name="Name2">
        <dgm:alg type="lin">
          <dgm:param type="linDir" val="fromR"/>
        </dgm:alg>
      </dgm:else>
    </dgm:choose>
    <dgm:shape xmlns:r="http://schemas.openxmlformats.org/officeDocument/2006/relationships" r:blip="">
      <dgm:adjLst/>
    </dgm:shape>
    <dgm:presOf/>
    <dgm:constrLst>
      <dgm:constr type="w" for="ch" forName="compNode" refType="w"/>
      <dgm:constr type="h" for="ch" forName="compNode" refType="h"/>
      <dgm:constr type="w" for="ch" forName="aSpace" refType="w" fact="0.075"/>
      <dgm:constr type="h" for="des" forName="aSpace2" refType="h" fact="0.1"/>
      <dgm:constr type="primFontSz" for="des" forName="textNode" op="equ"/>
      <dgm:constr type="primFontSz" for="des" forName="childNode" op="equ"/>
    </dgm:constrLst>
    <dgm:ruleLst/>
    <dgm:forEach name="aNodeForEach" axis="ch" ptType="node">
      <dgm:layoutNode name="compNode">
        <dgm:alg type="composite"/>
        <dgm:shape xmlns:r="http://schemas.openxmlformats.org/officeDocument/2006/relationships" r:blip="">
          <dgm:adjLst/>
        </dgm:shape>
        <dgm:presOf/>
        <dgm:constrLst>
          <dgm:constr type="w" for="ch" forName="aNode" refType="w"/>
          <dgm:constr type="h" for="ch" forName="aNode" refType="h"/>
          <dgm:constr type="w" for="ch" forName="textNode" refType="w"/>
          <dgm:constr type="h" for="ch" forName="textNode" refType="h" fact="0.3"/>
          <dgm:constr type="ctrX" for="ch" forName="textNode" refType="w" fact="0.5"/>
          <dgm:constr type="w" for="ch" forName="compChildNode" refType="w" fact="0.8"/>
          <dgm:constr type="h" for="ch" forName="compChildNode" refType="h" fact="0.65"/>
          <dgm:constr type="t" for="ch" forName="compChildNode" refType="h" fact="0.3"/>
          <dgm:constr type="ctrX" for="ch" forName="compChildNode" refType="w" fact="0.5"/>
        </dgm:constrLst>
        <dgm:ruleLst/>
        <dgm:layoutNode name="aNode" styleLbl="bgShp">
          <dgm:alg type="sp"/>
          <dgm:shape xmlns:r="http://schemas.openxmlformats.org/officeDocument/2006/relationships" type="roundRect" r:blip="">
            <dgm:adjLst>
              <dgm:adj idx="1" val="0.1"/>
            </dgm:adjLst>
          </dgm:shape>
          <dgm:presOf axis="self"/>
          <dgm:constrLst/>
          <dgm:ruleLst/>
        </dgm:layoutNode>
        <dgm:layoutNode name="textNode" styleLbl="bgShp">
          <dgm:alg type="tx"/>
          <dgm:shape xmlns:r="http://schemas.openxmlformats.org/officeDocument/2006/relationships" type="rect" r:blip="" hideGeom="1">
            <dgm:adjLst>
              <dgm:adj idx="1" val="0.1"/>
            </dgm:adjLst>
          </dgm:shape>
          <dgm:presOf axis="self"/>
          <dgm:constrLst>
            <dgm:constr type="primFontSz" val="65"/>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compChildNode">
          <dgm:alg type="composite"/>
          <dgm:shape xmlns:r="http://schemas.openxmlformats.org/officeDocument/2006/relationships" r:blip="">
            <dgm:adjLst/>
          </dgm:shape>
          <dgm:presOf/>
          <dgm:constrLst>
            <dgm:constr type="w" for="des" forName="childNode" refType="w"/>
            <dgm:constr type="h" for="des" forName="childNode" refType="h"/>
          </dgm:constrLst>
          <dgm:ruleLst/>
          <dgm:layoutNode name="theInnerList">
            <dgm:alg type="lin">
              <dgm:param type="linDir" val="fromT"/>
            </dgm:alg>
            <dgm:shape xmlns:r="http://schemas.openxmlformats.org/officeDocument/2006/relationships" r:blip="">
              <dgm:adjLst/>
            </dgm:shape>
            <dgm:presOf/>
            <dgm:constrLst/>
            <dgm:ruleLst/>
            <dgm:forEach name="childNodeForEach" axis="ch" ptType="node">
              <dgm:layoutNode name="childNode" styleLbl="node1">
                <dgm:varLst>
                  <dgm:bulletEnabled val="1"/>
                </dgm:varLst>
                <dgm:alg type="tx"/>
                <dgm:shape xmlns:r="http://schemas.openxmlformats.org/officeDocument/2006/relationships" type="roundRect" r:blip="">
                  <dgm:adjLst>
                    <dgm:adj idx="1" val="0.1"/>
                  </dgm:adjLst>
                </dgm:shape>
                <dgm:presOf axis="desOrSelf" ptType="node"/>
                <dgm:constrLst>
                  <dgm:constr type="primFontSz" val="65"/>
                  <dgm:constr type="tMarg" refType="primFontSz" fact="0.15"/>
                  <dgm:constr type="bMarg" refType="primFontSz" fact="0.15"/>
                  <dgm:constr type="lMarg" refType="primFontSz" fact="0.2"/>
                  <dgm:constr type="rMarg" refType="primFontSz" fact="0.2"/>
                </dgm:constrLst>
                <dgm:ruleLst>
                  <dgm:rule type="primFontSz" val="5" fact="NaN" max="NaN"/>
                </dgm:ruleLst>
              </dgm:layoutNode>
              <dgm:choose name="Name3">
                <dgm:if name="Name4" axis="self" ptType="node" func="revPos" op="equ" val="1"/>
                <dgm:else name="Name5">
                  <dgm:layoutNode name="aSpace2">
                    <dgm:alg type="sp"/>
                    <dgm:shape xmlns:r="http://schemas.openxmlformats.org/officeDocument/2006/relationships" r:blip="">
                      <dgm:adjLst/>
                    </dgm:shape>
                    <dgm:presOf/>
                    <dgm:constrLst/>
                    <dgm:ruleLst/>
                  </dgm:layoutNode>
                </dgm:else>
              </dgm:choose>
            </dgm:forEach>
          </dgm:layoutNode>
        </dgm:layoutNode>
      </dgm:layoutNode>
      <dgm:choose name="Name6">
        <dgm:if name="Name7" axis="self" ptType="node" func="revPos" op="equ" val="1"/>
        <dgm:else name="Name8">
          <dgm:layoutNode name="aSpace">
            <dgm:alg type="sp"/>
            <dgm:shape xmlns:r="http://schemas.openxmlformats.org/officeDocument/2006/relationships" r:blip="">
              <dgm:adjLst/>
            </dgm:shape>
            <dgm:presOf/>
            <dgm:constrLst/>
            <dgm:ruleLst/>
          </dgm:layoutNode>
        </dgm:else>
      </dgm:choose>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rawings/drawing1.xml><?xml version="1.0" encoding="utf-8"?>
<c:userShapes xmlns:c="http://schemas.openxmlformats.org/drawingml/2006/chart">
  <cdr:relSizeAnchor xmlns:cdr="http://schemas.openxmlformats.org/drawingml/2006/chartDrawing">
    <cdr:from>
      <cdr:x>0.2451</cdr:x>
      <cdr:y>0.03416</cdr:y>
    </cdr:from>
    <cdr:to>
      <cdr:x>0.79092</cdr:x>
      <cdr:y>0.17252</cdr:y>
    </cdr:to>
    <cdr:sp macro="" textlink="">
      <cdr:nvSpPr>
        <cdr:cNvPr id="2" name="1 CuadroTexto"/>
        <cdr:cNvSpPr txBox="1"/>
      </cdr:nvSpPr>
      <cdr:spPr>
        <a:xfrm xmlns:a="http://schemas.openxmlformats.org/drawingml/2006/main">
          <a:off x="1239673" y="120051"/>
          <a:ext cx="2760618" cy="486314"/>
        </a:xfrm>
        <a:prstGeom xmlns:a="http://schemas.openxmlformats.org/drawingml/2006/main" prst="rect">
          <a:avLst/>
        </a:prstGeom>
      </cdr:spPr>
      <cdr:txBody>
        <a:bodyPr xmlns:a="http://schemas.openxmlformats.org/drawingml/2006/main" wrap="square" rtlCol="0" anchor="ctr"/>
        <a:lstStyle xmlns:a="http://schemas.openxmlformats.org/drawingml/2006/main"/>
        <a:p xmlns:a="http://schemas.openxmlformats.org/drawingml/2006/main">
          <a:pPr algn="ctr"/>
          <a:r>
            <a:rPr lang="es-ES" sz="1100" b="1"/>
            <a:t>BALANZA</a:t>
          </a:r>
          <a:r>
            <a:rPr lang="es-ES" sz="1100" b="1" baseline="0"/>
            <a:t> COMERCIAL EN MILLONES DE DOLARES POR AÑO</a:t>
          </a:r>
          <a:endParaRPr lang="es-ES" sz="1100" b="1"/>
        </a:p>
      </cdr:txBody>
    </cdr:sp>
  </cdr:relSizeAnchor>
</c:userShape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TURABIAN.XSL" StyleName="Turabian"/>
</file>

<file path=customXml/itemProps1.xml><?xml version="1.0" encoding="utf-8"?>
<ds:datastoreItem xmlns:ds="http://schemas.openxmlformats.org/officeDocument/2006/customXml" ds:itemID="{21D23FE4-E280-4CC7-9161-EF7D6C2FE12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11236</TotalTime>
  <Pages>145</Pages>
  <Words>39146</Words>
  <Characters>215306</Characters>
  <Application>Microsoft Office Word</Application>
  <DocSecurity>0</DocSecurity>
  <Lines>1794</Lines>
  <Paragraphs>507</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253945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Usuario</dc:creator>
  <cp:lastModifiedBy>Usuario</cp:lastModifiedBy>
  <cp:revision>14</cp:revision>
  <dcterms:created xsi:type="dcterms:W3CDTF">2013-05-14T21:25:00Z</dcterms:created>
  <dcterms:modified xsi:type="dcterms:W3CDTF">2013-06-05T23:01:00Z</dcterms:modified>
</cp:coreProperties>
</file>