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E35" w:rsidRPr="00B07754" w:rsidRDefault="00782E35" w:rsidP="002B5E62">
      <w:pPr>
        <w:spacing w:line="360" w:lineRule="auto"/>
        <w:rPr>
          <w:rFonts w:ascii="Times New Roman" w:hAnsi="Times New Roman"/>
          <w:sz w:val="24"/>
          <w:szCs w:val="24"/>
        </w:rPr>
      </w:pPr>
      <w:bookmarkStart w:id="0" w:name="_Toc353057306"/>
    </w:p>
    <w:p w:rsidR="00E271A9" w:rsidRPr="00784862" w:rsidRDefault="009315D2" w:rsidP="002B5E62">
      <w:pPr>
        <w:autoSpaceDE w:val="0"/>
        <w:autoSpaceDN w:val="0"/>
        <w:adjustRightInd w:val="0"/>
        <w:spacing w:line="360" w:lineRule="auto"/>
        <w:jc w:val="center"/>
        <w:rPr>
          <w:rFonts w:ascii="Times New Roman" w:hAnsi="Times New Roman"/>
          <w:sz w:val="24"/>
          <w:szCs w:val="24"/>
        </w:rPr>
      </w:pPr>
      <w:r w:rsidRPr="00784862">
        <w:rPr>
          <w:rFonts w:ascii="Times New Roman" w:hAnsi="Times New Roman"/>
          <w:sz w:val="24"/>
          <w:szCs w:val="24"/>
        </w:rPr>
        <w:t>UNIVERSIDAD DE LOS HEMISFERIOS</w:t>
      </w:r>
    </w:p>
    <w:p w:rsidR="00A80565" w:rsidRDefault="00A80565" w:rsidP="002B5E62">
      <w:pPr>
        <w:autoSpaceDE w:val="0"/>
        <w:autoSpaceDN w:val="0"/>
        <w:adjustRightInd w:val="0"/>
        <w:spacing w:line="360" w:lineRule="auto"/>
        <w:jc w:val="center"/>
        <w:rPr>
          <w:rFonts w:ascii="Times New Roman" w:hAnsi="Times New Roman"/>
          <w:sz w:val="24"/>
          <w:szCs w:val="24"/>
        </w:rPr>
      </w:pPr>
    </w:p>
    <w:p w:rsidR="00E271A9" w:rsidRPr="00784862" w:rsidRDefault="009315D2" w:rsidP="002B5E62">
      <w:pPr>
        <w:autoSpaceDE w:val="0"/>
        <w:autoSpaceDN w:val="0"/>
        <w:adjustRightInd w:val="0"/>
        <w:spacing w:line="360" w:lineRule="auto"/>
        <w:jc w:val="center"/>
        <w:rPr>
          <w:rFonts w:ascii="Times New Roman" w:hAnsi="Times New Roman"/>
          <w:sz w:val="24"/>
          <w:szCs w:val="24"/>
        </w:rPr>
      </w:pPr>
      <w:r w:rsidRPr="00784862">
        <w:rPr>
          <w:rFonts w:ascii="Times New Roman" w:hAnsi="Times New Roman"/>
          <w:sz w:val="24"/>
          <w:szCs w:val="24"/>
        </w:rPr>
        <w:t>FACULTAD DE CIENCIAS EMPRESARIALES Y ECONOMÍA</w:t>
      </w:r>
    </w:p>
    <w:p w:rsidR="00A80565" w:rsidRDefault="00A80565" w:rsidP="002B5E62">
      <w:pPr>
        <w:autoSpaceDE w:val="0"/>
        <w:autoSpaceDN w:val="0"/>
        <w:adjustRightInd w:val="0"/>
        <w:spacing w:line="360" w:lineRule="auto"/>
        <w:jc w:val="center"/>
        <w:rPr>
          <w:rFonts w:ascii="Times New Roman" w:hAnsi="Times New Roman"/>
          <w:sz w:val="24"/>
          <w:szCs w:val="24"/>
        </w:rPr>
      </w:pPr>
    </w:p>
    <w:p w:rsidR="009315D2" w:rsidRPr="00784862" w:rsidRDefault="009315D2" w:rsidP="002B5E62">
      <w:pPr>
        <w:autoSpaceDE w:val="0"/>
        <w:autoSpaceDN w:val="0"/>
        <w:adjustRightInd w:val="0"/>
        <w:spacing w:line="360" w:lineRule="auto"/>
        <w:jc w:val="center"/>
        <w:rPr>
          <w:rFonts w:ascii="Times New Roman" w:hAnsi="Times New Roman"/>
          <w:sz w:val="24"/>
          <w:szCs w:val="24"/>
        </w:rPr>
      </w:pPr>
    </w:p>
    <w:p w:rsidR="00E271A9" w:rsidRPr="00784862" w:rsidRDefault="009315D2" w:rsidP="002B5E62">
      <w:pPr>
        <w:autoSpaceDE w:val="0"/>
        <w:autoSpaceDN w:val="0"/>
        <w:adjustRightInd w:val="0"/>
        <w:spacing w:line="360" w:lineRule="auto"/>
        <w:jc w:val="center"/>
        <w:rPr>
          <w:rFonts w:ascii="Times New Roman" w:hAnsi="Times New Roman"/>
          <w:sz w:val="24"/>
          <w:szCs w:val="24"/>
        </w:rPr>
      </w:pPr>
      <w:bookmarkStart w:id="1" w:name="_GoBack"/>
      <w:r w:rsidRPr="00784862">
        <w:rPr>
          <w:rFonts w:ascii="Times New Roman" w:hAnsi="Times New Roman"/>
          <w:sz w:val="24"/>
          <w:szCs w:val="24"/>
        </w:rPr>
        <w:t>ANÁLISIS DE LA RELACIÓN EXISTENTE ENTRE EL NIVEL DE COMPETENCIA Y LA ESTABILIDAD EN EL SISTEMA BANCARIO EN EL ECUADOR PARA EL PERIODO 2002-2012</w:t>
      </w:r>
    </w:p>
    <w:bookmarkEnd w:id="1"/>
    <w:p w:rsidR="00A80565" w:rsidRPr="00784862" w:rsidRDefault="00A80565" w:rsidP="002B5E62">
      <w:pPr>
        <w:autoSpaceDE w:val="0"/>
        <w:autoSpaceDN w:val="0"/>
        <w:adjustRightInd w:val="0"/>
        <w:spacing w:line="360" w:lineRule="auto"/>
        <w:jc w:val="center"/>
        <w:rPr>
          <w:rFonts w:ascii="Times New Roman" w:hAnsi="Times New Roman"/>
          <w:sz w:val="24"/>
          <w:szCs w:val="24"/>
        </w:rPr>
      </w:pPr>
    </w:p>
    <w:p w:rsidR="00A80565" w:rsidRPr="00784862" w:rsidRDefault="00A80565" w:rsidP="002B5E62">
      <w:pPr>
        <w:autoSpaceDE w:val="0"/>
        <w:autoSpaceDN w:val="0"/>
        <w:adjustRightInd w:val="0"/>
        <w:spacing w:line="360" w:lineRule="auto"/>
        <w:jc w:val="center"/>
        <w:rPr>
          <w:rFonts w:ascii="Times New Roman" w:hAnsi="Times New Roman"/>
          <w:sz w:val="24"/>
          <w:szCs w:val="24"/>
        </w:rPr>
      </w:pPr>
    </w:p>
    <w:p w:rsidR="00E271A9" w:rsidRPr="00784862" w:rsidRDefault="00910B91" w:rsidP="002B5E62">
      <w:pPr>
        <w:autoSpaceDE w:val="0"/>
        <w:autoSpaceDN w:val="0"/>
        <w:adjustRightInd w:val="0"/>
        <w:spacing w:line="360" w:lineRule="auto"/>
        <w:jc w:val="center"/>
        <w:rPr>
          <w:rFonts w:ascii="Times New Roman" w:hAnsi="Times New Roman"/>
          <w:sz w:val="24"/>
          <w:szCs w:val="24"/>
        </w:rPr>
      </w:pPr>
      <w:r>
        <w:rPr>
          <w:rFonts w:ascii="Times New Roman" w:hAnsi="Times New Roman"/>
          <w:sz w:val="24"/>
          <w:szCs w:val="24"/>
        </w:rPr>
        <w:t>PROYECTO DE FIN DE CARRERA</w:t>
      </w:r>
      <w:r w:rsidR="009315D2" w:rsidRPr="00784862">
        <w:rPr>
          <w:rFonts w:ascii="Times New Roman" w:hAnsi="Times New Roman"/>
          <w:sz w:val="24"/>
          <w:szCs w:val="24"/>
        </w:rPr>
        <w:t xml:space="preserve"> PREVIO A LA OBTENCIÓN DEL TÍTULO DE ECONOMISTA</w:t>
      </w:r>
    </w:p>
    <w:p w:rsidR="00E271A9" w:rsidRPr="00784862" w:rsidRDefault="00E271A9" w:rsidP="002B5E62">
      <w:pPr>
        <w:autoSpaceDE w:val="0"/>
        <w:autoSpaceDN w:val="0"/>
        <w:adjustRightInd w:val="0"/>
        <w:spacing w:line="360" w:lineRule="auto"/>
        <w:jc w:val="center"/>
        <w:rPr>
          <w:rFonts w:ascii="Times New Roman" w:hAnsi="Times New Roman"/>
          <w:sz w:val="24"/>
          <w:szCs w:val="24"/>
        </w:rPr>
      </w:pPr>
    </w:p>
    <w:p w:rsidR="00E271A9" w:rsidRPr="00784862" w:rsidRDefault="00E271A9" w:rsidP="002B5E62">
      <w:pPr>
        <w:autoSpaceDE w:val="0"/>
        <w:autoSpaceDN w:val="0"/>
        <w:adjustRightInd w:val="0"/>
        <w:spacing w:line="360" w:lineRule="auto"/>
        <w:jc w:val="center"/>
        <w:rPr>
          <w:rFonts w:ascii="Times New Roman" w:hAnsi="Times New Roman"/>
          <w:sz w:val="24"/>
          <w:szCs w:val="24"/>
        </w:rPr>
      </w:pPr>
    </w:p>
    <w:p w:rsidR="00E271A9" w:rsidRPr="00784862" w:rsidRDefault="009315D2" w:rsidP="002B5E62">
      <w:pPr>
        <w:autoSpaceDE w:val="0"/>
        <w:autoSpaceDN w:val="0"/>
        <w:adjustRightInd w:val="0"/>
        <w:spacing w:line="360" w:lineRule="auto"/>
        <w:jc w:val="center"/>
        <w:rPr>
          <w:rFonts w:ascii="Times New Roman" w:hAnsi="Times New Roman"/>
          <w:sz w:val="24"/>
          <w:szCs w:val="24"/>
        </w:rPr>
      </w:pPr>
      <w:r w:rsidRPr="00784862">
        <w:rPr>
          <w:rFonts w:ascii="Times New Roman" w:hAnsi="Times New Roman"/>
          <w:sz w:val="24"/>
          <w:szCs w:val="24"/>
        </w:rPr>
        <w:t>VANESSA CECILIA TOBAR ARMAS</w:t>
      </w:r>
    </w:p>
    <w:p w:rsidR="00E271A9" w:rsidRPr="00784862" w:rsidRDefault="00E271A9" w:rsidP="002B5E62">
      <w:pPr>
        <w:autoSpaceDE w:val="0"/>
        <w:autoSpaceDN w:val="0"/>
        <w:adjustRightInd w:val="0"/>
        <w:spacing w:line="360" w:lineRule="auto"/>
        <w:jc w:val="center"/>
        <w:rPr>
          <w:rFonts w:ascii="Times New Roman" w:hAnsi="Times New Roman"/>
          <w:sz w:val="24"/>
          <w:szCs w:val="24"/>
        </w:rPr>
      </w:pPr>
    </w:p>
    <w:p w:rsidR="004D5B07" w:rsidRPr="00784862" w:rsidRDefault="004D5B07" w:rsidP="002B5E62">
      <w:pPr>
        <w:autoSpaceDE w:val="0"/>
        <w:autoSpaceDN w:val="0"/>
        <w:adjustRightInd w:val="0"/>
        <w:spacing w:line="360" w:lineRule="auto"/>
        <w:jc w:val="center"/>
        <w:rPr>
          <w:rFonts w:ascii="Times New Roman" w:hAnsi="Times New Roman"/>
          <w:sz w:val="24"/>
          <w:szCs w:val="24"/>
        </w:rPr>
      </w:pPr>
    </w:p>
    <w:p w:rsidR="00E271A9" w:rsidRPr="00784862" w:rsidRDefault="009315D2" w:rsidP="002B5E62">
      <w:pPr>
        <w:autoSpaceDE w:val="0"/>
        <w:autoSpaceDN w:val="0"/>
        <w:adjustRightInd w:val="0"/>
        <w:spacing w:line="360" w:lineRule="auto"/>
        <w:jc w:val="center"/>
        <w:rPr>
          <w:rFonts w:ascii="Times New Roman" w:hAnsi="Times New Roman"/>
          <w:sz w:val="24"/>
          <w:szCs w:val="24"/>
        </w:rPr>
      </w:pPr>
      <w:r w:rsidRPr="00784862">
        <w:rPr>
          <w:rFonts w:ascii="Times New Roman" w:hAnsi="Times New Roman"/>
          <w:sz w:val="24"/>
          <w:szCs w:val="24"/>
        </w:rPr>
        <w:t>DIRECTOR: ECONOMISTA MIGUEL DÁVILA</w:t>
      </w:r>
    </w:p>
    <w:p w:rsidR="00E271A9" w:rsidRPr="00784862" w:rsidRDefault="00E271A9" w:rsidP="002B5E62">
      <w:pPr>
        <w:autoSpaceDE w:val="0"/>
        <w:autoSpaceDN w:val="0"/>
        <w:adjustRightInd w:val="0"/>
        <w:spacing w:line="360" w:lineRule="auto"/>
        <w:jc w:val="center"/>
        <w:rPr>
          <w:rFonts w:ascii="Times New Roman" w:hAnsi="Times New Roman"/>
          <w:sz w:val="24"/>
          <w:szCs w:val="24"/>
        </w:rPr>
      </w:pPr>
    </w:p>
    <w:p w:rsidR="004D5B07" w:rsidRPr="00784862" w:rsidRDefault="004D5B07" w:rsidP="002B5E62">
      <w:pPr>
        <w:autoSpaceDE w:val="0"/>
        <w:autoSpaceDN w:val="0"/>
        <w:adjustRightInd w:val="0"/>
        <w:spacing w:line="360" w:lineRule="auto"/>
        <w:jc w:val="center"/>
        <w:rPr>
          <w:rFonts w:ascii="Times New Roman" w:hAnsi="Times New Roman"/>
          <w:sz w:val="24"/>
          <w:szCs w:val="24"/>
        </w:rPr>
      </w:pPr>
    </w:p>
    <w:p w:rsidR="009315D2" w:rsidRDefault="009315D2" w:rsidP="002B5E62">
      <w:pPr>
        <w:autoSpaceDE w:val="0"/>
        <w:autoSpaceDN w:val="0"/>
        <w:adjustRightInd w:val="0"/>
        <w:spacing w:line="360" w:lineRule="auto"/>
        <w:jc w:val="center"/>
        <w:rPr>
          <w:rFonts w:ascii="Times New Roman" w:hAnsi="Times New Roman"/>
          <w:sz w:val="24"/>
          <w:szCs w:val="24"/>
        </w:rPr>
      </w:pPr>
      <w:r>
        <w:rPr>
          <w:rFonts w:ascii="Times New Roman" w:hAnsi="Times New Roman"/>
          <w:sz w:val="24"/>
          <w:szCs w:val="24"/>
        </w:rPr>
        <w:t>QUITO</w:t>
      </w:r>
    </w:p>
    <w:p w:rsidR="009315D2" w:rsidRDefault="009315D2" w:rsidP="002B5E62">
      <w:pPr>
        <w:autoSpaceDE w:val="0"/>
        <w:autoSpaceDN w:val="0"/>
        <w:adjustRightInd w:val="0"/>
        <w:spacing w:line="360" w:lineRule="auto"/>
        <w:jc w:val="center"/>
        <w:rPr>
          <w:rFonts w:ascii="Times New Roman" w:hAnsi="Times New Roman"/>
          <w:sz w:val="24"/>
          <w:szCs w:val="24"/>
        </w:rPr>
      </w:pPr>
    </w:p>
    <w:p w:rsidR="00E271A9" w:rsidRPr="00784862" w:rsidRDefault="009315D2" w:rsidP="002B5E62">
      <w:pPr>
        <w:autoSpaceDE w:val="0"/>
        <w:autoSpaceDN w:val="0"/>
        <w:adjustRightInd w:val="0"/>
        <w:spacing w:line="360" w:lineRule="auto"/>
        <w:jc w:val="center"/>
        <w:rPr>
          <w:rFonts w:ascii="Times New Roman" w:hAnsi="Times New Roman"/>
          <w:sz w:val="24"/>
          <w:szCs w:val="24"/>
        </w:rPr>
      </w:pPr>
      <w:r w:rsidRPr="00784862">
        <w:rPr>
          <w:rFonts w:ascii="Times New Roman" w:hAnsi="Times New Roman"/>
          <w:sz w:val="24"/>
          <w:szCs w:val="24"/>
        </w:rPr>
        <w:t xml:space="preserve"> NOVIEMBRE DE 2013</w:t>
      </w:r>
    </w:p>
    <w:p w:rsidR="00536C4E" w:rsidRDefault="00536C4E" w:rsidP="002B5E62">
      <w:pPr>
        <w:spacing w:line="360" w:lineRule="auto"/>
        <w:rPr>
          <w:rFonts w:ascii="Times New Roman" w:hAnsi="Times New Roman"/>
          <w:b/>
          <w:sz w:val="24"/>
          <w:szCs w:val="24"/>
          <w:lang w:val="es-MX"/>
        </w:rPr>
      </w:pPr>
    </w:p>
    <w:p w:rsidR="007477CA" w:rsidRPr="00B07754" w:rsidRDefault="007477CA" w:rsidP="002B5E62">
      <w:pPr>
        <w:spacing w:line="360" w:lineRule="auto"/>
        <w:rPr>
          <w:rFonts w:ascii="Times New Roman" w:hAnsi="Times New Roman"/>
          <w:b/>
          <w:sz w:val="24"/>
          <w:szCs w:val="24"/>
          <w:lang w:val="es-MX"/>
        </w:rPr>
      </w:pPr>
    </w:p>
    <w:p w:rsidR="00312574" w:rsidRPr="00B07754" w:rsidRDefault="00312574" w:rsidP="002B5E62">
      <w:pPr>
        <w:autoSpaceDE w:val="0"/>
        <w:autoSpaceDN w:val="0"/>
        <w:adjustRightInd w:val="0"/>
        <w:spacing w:line="360" w:lineRule="auto"/>
        <w:jc w:val="both"/>
        <w:rPr>
          <w:rFonts w:ascii="Times New Roman" w:eastAsiaTheme="minorHAnsi" w:hAnsi="Times New Roman"/>
          <w:i/>
          <w:iCs/>
          <w:sz w:val="24"/>
          <w:szCs w:val="24"/>
          <w:lang w:val="es-MX"/>
        </w:rPr>
      </w:pPr>
    </w:p>
    <w:p w:rsidR="0028684C" w:rsidRPr="007477CA" w:rsidRDefault="007477CA" w:rsidP="007477CA">
      <w:pPr>
        <w:autoSpaceDE w:val="0"/>
        <w:autoSpaceDN w:val="0"/>
        <w:adjustRightInd w:val="0"/>
        <w:spacing w:line="360" w:lineRule="auto"/>
        <w:jc w:val="center"/>
        <w:rPr>
          <w:rFonts w:ascii="Times New Roman" w:eastAsiaTheme="minorHAnsi" w:hAnsi="Times New Roman"/>
          <w:b/>
          <w:iCs/>
          <w:sz w:val="24"/>
          <w:szCs w:val="24"/>
          <w:lang w:val="es-MX"/>
        </w:rPr>
      </w:pPr>
      <w:r w:rsidRPr="007477CA">
        <w:rPr>
          <w:rFonts w:ascii="Times New Roman" w:eastAsiaTheme="minorHAnsi" w:hAnsi="Times New Roman"/>
          <w:b/>
          <w:iCs/>
          <w:sz w:val="24"/>
          <w:szCs w:val="24"/>
          <w:lang w:val="es-MX"/>
        </w:rPr>
        <w:t>DECLARACIÓN DE ACEPTACIÓN DE NORMA ÉTICA Y DERECHOS</w:t>
      </w:r>
    </w:p>
    <w:p w:rsidR="00312574" w:rsidRPr="00B07754" w:rsidRDefault="00312574" w:rsidP="002B5E62">
      <w:pPr>
        <w:autoSpaceDE w:val="0"/>
        <w:autoSpaceDN w:val="0"/>
        <w:adjustRightInd w:val="0"/>
        <w:spacing w:line="360" w:lineRule="auto"/>
        <w:jc w:val="both"/>
        <w:rPr>
          <w:rFonts w:ascii="Times New Roman" w:eastAsiaTheme="minorHAnsi" w:hAnsi="Times New Roman"/>
          <w:i/>
          <w:iCs/>
          <w:sz w:val="24"/>
          <w:szCs w:val="24"/>
          <w:lang w:val="es-MX"/>
        </w:rPr>
      </w:pPr>
    </w:p>
    <w:p w:rsidR="00312574" w:rsidRPr="00B07754" w:rsidRDefault="00312574" w:rsidP="002B5E62">
      <w:pPr>
        <w:autoSpaceDE w:val="0"/>
        <w:autoSpaceDN w:val="0"/>
        <w:adjustRightInd w:val="0"/>
        <w:spacing w:line="360" w:lineRule="auto"/>
        <w:jc w:val="both"/>
        <w:rPr>
          <w:rFonts w:ascii="Times New Roman" w:eastAsiaTheme="minorHAnsi" w:hAnsi="Times New Roman"/>
          <w:i/>
          <w:iCs/>
          <w:sz w:val="24"/>
          <w:szCs w:val="24"/>
          <w:lang w:val="es-MX"/>
        </w:rPr>
      </w:pPr>
      <w:r w:rsidRPr="00B07754">
        <w:rPr>
          <w:rFonts w:ascii="Times New Roman" w:eastAsiaTheme="minorHAnsi" w:hAnsi="Times New Roman"/>
          <w:i/>
          <w:iCs/>
          <w:sz w:val="24"/>
          <w:szCs w:val="24"/>
          <w:lang w:val="es-MX"/>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312574" w:rsidRPr="00B07754" w:rsidRDefault="00312574" w:rsidP="002B5E62">
      <w:pPr>
        <w:autoSpaceDE w:val="0"/>
        <w:autoSpaceDN w:val="0"/>
        <w:adjustRightInd w:val="0"/>
        <w:spacing w:line="360" w:lineRule="auto"/>
        <w:jc w:val="both"/>
        <w:rPr>
          <w:rFonts w:ascii="Times New Roman" w:eastAsiaTheme="minorHAnsi" w:hAnsi="Times New Roman"/>
          <w:i/>
          <w:iCs/>
          <w:sz w:val="24"/>
          <w:szCs w:val="24"/>
          <w:lang w:val="es-MX"/>
        </w:rPr>
      </w:pPr>
    </w:p>
    <w:p w:rsidR="00312574" w:rsidRPr="00B07754" w:rsidRDefault="00312574" w:rsidP="002B5E62">
      <w:pPr>
        <w:autoSpaceDE w:val="0"/>
        <w:autoSpaceDN w:val="0"/>
        <w:adjustRightInd w:val="0"/>
        <w:spacing w:line="360" w:lineRule="auto"/>
        <w:jc w:val="both"/>
        <w:rPr>
          <w:rFonts w:ascii="Times New Roman" w:eastAsiaTheme="minorHAnsi" w:hAnsi="Times New Roman"/>
          <w:i/>
          <w:iCs/>
          <w:sz w:val="24"/>
          <w:szCs w:val="24"/>
          <w:lang w:val="es-MX"/>
        </w:rPr>
      </w:pPr>
      <w:r w:rsidRPr="00B07754">
        <w:rPr>
          <w:rFonts w:ascii="Times New Roman" w:eastAsiaTheme="minorHAnsi" w:hAnsi="Times New Roman"/>
          <w:i/>
          <w:iCs/>
          <w:sz w:val="24"/>
          <w:szCs w:val="24"/>
          <w:lang w:val="es-MX"/>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w:t>
      </w:r>
      <w:r w:rsidR="00AE65CD" w:rsidRPr="00B07754">
        <w:rPr>
          <w:rFonts w:ascii="Times New Roman" w:eastAsiaTheme="minorHAnsi" w:hAnsi="Times New Roman"/>
          <w:i/>
          <w:iCs/>
          <w:sz w:val="24"/>
          <w:szCs w:val="24"/>
          <w:lang w:val="es-MX"/>
        </w:rPr>
        <w:t xml:space="preserve"> </w:t>
      </w:r>
      <w:r w:rsidRPr="00B07754">
        <w:rPr>
          <w:rFonts w:ascii="Times New Roman" w:eastAsiaTheme="minorHAnsi" w:hAnsi="Times New Roman"/>
          <w:i/>
          <w:iCs/>
          <w:sz w:val="24"/>
          <w:szCs w:val="24"/>
          <w:lang w:val="es-MX"/>
        </w:rPr>
        <w:t>Universidad de Los Hemisferios</w:t>
      </w:r>
    </w:p>
    <w:p w:rsidR="00312574" w:rsidRPr="00B07754" w:rsidRDefault="00312574" w:rsidP="002B5E62">
      <w:pPr>
        <w:spacing w:line="360" w:lineRule="auto"/>
        <w:jc w:val="both"/>
        <w:rPr>
          <w:rFonts w:ascii="Times New Roman" w:eastAsiaTheme="minorHAnsi" w:hAnsi="Times New Roman"/>
          <w:i/>
          <w:iCs/>
          <w:sz w:val="24"/>
          <w:szCs w:val="24"/>
          <w:lang w:val="es-MX"/>
        </w:rPr>
      </w:pPr>
    </w:p>
    <w:p w:rsidR="00312574" w:rsidRPr="00B07754" w:rsidRDefault="00312574" w:rsidP="002B5E62">
      <w:pPr>
        <w:spacing w:line="360" w:lineRule="auto"/>
        <w:jc w:val="both"/>
        <w:rPr>
          <w:rFonts w:ascii="Times New Roman" w:eastAsiaTheme="minorHAnsi" w:hAnsi="Times New Roman"/>
          <w:i/>
          <w:iCs/>
          <w:sz w:val="24"/>
          <w:szCs w:val="24"/>
          <w:lang w:val="es-MX"/>
        </w:rPr>
      </w:pPr>
    </w:p>
    <w:p w:rsidR="00312574" w:rsidRPr="00B07754" w:rsidRDefault="00312574" w:rsidP="002B5E62">
      <w:pPr>
        <w:spacing w:line="360" w:lineRule="auto"/>
        <w:jc w:val="both"/>
        <w:rPr>
          <w:rFonts w:ascii="Times New Roman" w:eastAsiaTheme="minorHAnsi" w:hAnsi="Times New Roman"/>
          <w:i/>
          <w:iCs/>
          <w:sz w:val="24"/>
          <w:szCs w:val="24"/>
          <w:lang w:val="es-MX"/>
        </w:rPr>
      </w:pPr>
    </w:p>
    <w:p w:rsidR="00312574" w:rsidRPr="00B07754" w:rsidRDefault="00312574" w:rsidP="002B5E62">
      <w:pPr>
        <w:spacing w:line="360" w:lineRule="auto"/>
        <w:jc w:val="both"/>
        <w:rPr>
          <w:rFonts w:ascii="Times New Roman" w:eastAsiaTheme="minorHAnsi" w:hAnsi="Times New Roman"/>
          <w:i/>
          <w:iCs/>
          <w:sz w:val="24"/>
          <w:szCs w:val="24"/>
          <w:lang w:val="es-MX"/>
        </w:rPr>
      </w:pPr>
    </w:p>
    <w:p w:rsidR="00312574" w:rsidRPr="00B07754" w:rsidRDefault="00312574" w:rsidP="002B5E62">
      <w:pPr>
        <w:spacing w:line="360" w:lineRule="auto"/>
        <w:jc w:val="both"/>
        <w:rPr>
          <w:rFonts w:ascii="Times New Roman" w:eastAsiaTheme="minorHAnsi" w:hAnsi="Times New Roman"/>
          <w:iCs/>
          <w:sz w:val="24"/>
          <w:szCs w:val="24"/>
          <w:lang w:val="es-MX"/>
        </w:rPr>
      </w:pPr>
      <w:r w:rsidRPr="00B07754">
        <w:rPr>
          <w:rFonts w:ascii="Times New Roman" w:eastAsiaTheme="minorHAnsi" w:hAnsi="Times New Roman"/>
          <w:iCs/>
          <w:sz w:val="24"/>
          <w:szCs w:val="24"/>
          <w:lang w:val="es-MX"/>
        </w:rPr>
        <w:t>Vanessa Tobar Armas</w:t>
      </w:r>
    </w:p>
    <w:p w:rsidR="00312574" w:rsidRPr="008540AB" w:rsidRDefault="008540AB" w:rsidP="002B5E62">
      <w:pPr>
        <w:spacing w:line="360" w:lineRule="auto"/>
        <w:jc w:val="both"/>
        <w:rPr>
          <w:rFonts w:ascii="Times New Roman" w:eastAsiaTheme="minorHAnsi" w:hAnsi="Times New Roman"/>
          <w:iCs/>
          <w:sz w:val="24"/>
          <w:szCs w:val="24"/>
          <w:lang w:val="es-MX"/>
        </w:rPr>
      </w:pPr>
      <w:r>
        <w:rPr>
          <w:rFonts w:ascii="Times New Roman" w:eastAsiaTheme="minorHAnsi" w:hAnsi="Times New Roman"/>
          <w:iCs/>
          <w:sz w:val="24"/>
          <w:szCs w:val="24"/>
          <w:lang w:val="es-MX"/>
        </w:rPr>
        <w:t>C.I. 171908559-7</w:t>
      </w: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Pr="00B07754" w:rsidRDefault="00E95771" w:rsidP="002B5E62">
      <w:pPr>
        <w:spacing w:line="360" w:lineRule="auto"/>
        <w:jc w:val="both"/>
        <w:rPr>
          <w:rFonts w:ascii="Times New Roman" w:eastAsiaTheme="minorHAnsi" w:hAnsi="Times New Roman"/>
          <w:i/>
          <w:iCs/>
          <w:sz w:val="24"/>
          <w:szCs w:val="24"/>
          <w:lang w:val="es-MX"/>
        </w:rPr>
      </w:pPr>
    </w:p>
    <w:p w:rsidR="0035567A" w:rsidRPr="00B07754" w:rsidRDefault="0035567A" w:rsidP="002B5E62">
      <w:pPr>
        <w:spacing w:line="360" w:lineRule="auto"/>
        <w:jc w:val="both"/>
        <w:rPr>
          <w:rFonts w:ascii="Times New Roman" w:eastAsiaTheme="minorHAnsi" w:hAnsi="Times New Roman"/>
          <w:i/>
          <w:iCs/>
          <w:sz w:val="24"/>
          <w:szCs w:val="24"/>
          <w:lang w:val="es-MX"/>
        </w:rPr>
      </w:pPr>
    </w:p>
    <w:p w:rsidR="00312574" w:rsidRPr="00B07754" w:rsidRDefault="00312574" w:rsidP="002B5E62">
      <w:pPr>
        <w:spacing w:line="360" w:lineRule="auto"/>
        <w:jc w:val="both"/>
        <w:rPr>
          <w:rFonts w:ascii="Times New Roman" w:eastAsiaTheme="minorHAnsi" w:hAnsi="Times New Roman"/>
          <w:i/>
          <w:iCs/>
          <w:sz w:val="24"/>
          <w:szCs w:val="24"/>
          <w:lang w:val="es-MX"/>
        </w:rPr>
      </w:pPr>
    </w:p>
    <w:p w:rsidR="00312574" w:rsidRDefault="00312574"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314AB0" w:rsidRDefault="00314AB0" w:rsidP="002B5E62">
      <w:pPr>
        <w:spacing w:line="360" w:lineRule="auto"/>
        <w:jc w:val="both"/>
        <w:rPr>
          <w:rFonts w:ascii="Times New Roman" w:eastAsiaTheme="minorHAnsi" w:hAnsi="Times New Roman"/>
          <w:i/>
          <w:iCs/>
          <w:sz w:val="24"/>
          <w:szCs w:val="24"/>
          <w:lang w:val="es-MX"/>
        </w:rPr>
      </w:pPr>
    </w:p>
    <w:p w:rsidR="00E95771" w:rsidRDefault="00E95771" w:rsidP="002B5E62">
      <w:pPr>
        <w:tabs>
          <w:tab w:val="right" w:pos="5954"/>
        </w:tabs>
        <w:spacing w:line="360" w:lineRule="auto"/>
        <w:jc w:val="both"/>
        <w:rPr>
          <w:rFonts w:ascii="Times New Roman" w:eastAsiaTheme="minorHAnsi" w:hAnsi="Times New Roman"/>
          <w:b/>
          <w:iCs/>
          <w:sz w:val="24"/>
          <w:szCs w:val="24"/>
          <w:lang w:val="es-MX"/>
        </w:rPr>
      </w:pPr>
    </w:p>
    <w:p w:rsidR="00314AB0" w:rsidRDefault="00314AB0" w:rsidP="002B5E62">
      <w:pPr>
        <w:tabs>
          <w:tab w:val="right" w:pos="5954"/>
        </w:tabs>
        <w:spacing w:line="360" w:lineRule="auto"/>
        <w:jc w:val="both"/>
        <w:rPr>
          <w:rFonts w:ascii="Times New Roman" w:eastAsiaTheme="minorHAnsi" w:hAnsi="Times New Roman"/>
          <w:b/>
          <w:iCs/>
          <w:sz w:val="24"/>
          <w:szCs w:val="24"/>
          <w:lang w:val="es-MX"/>
        </w:rPr>
      </w:pPr>
    </w:p>
    <w:p w:rsidR="00314AB0" w:rsidRPr="00314AB0" w:rsidRDefault="00314AB0" w:rsidP="002B5E62">
      <w:pPr>
        <w:tabs>
          <w:tab w:val="left" w:pos="5954"/>
        </w:tabs>
        <w:spacing w:line="360" w:lineRule="auto"/>
        <w:ind w:left="5954"/>
        <w:rPr>
          <w:rFonts w:ascii="Times New Roman" w:eastAsiaTheme="minorHAnsi" w:hAnsi="Times New Roman"/>
          <w:b/>
          <w:iCs/>
          <w:sz w:val="24"/>
          <w:szCs w:val="24"/>
          <w:lang w:val="es-MX"/>
        </w:rPr>
      </w:pPr>
      <w:r w:rsidRPr="00314AB0">
        <w:rPr>
          <w:rFonts w:ascii="Times New Roman" w:eastAsiaTheme="minorHAnsi" w:hAnsi="Times New Roman"/>
          <w:b/>
          <w:iCs/>
          <w:sz w:val="24"/>
          <w:szCs w:val="24"/>
          <w:lang w:val="es-MX"/>
        </w:rPr>
        <w:t>DEDICATORIA</w:t>
      </w:r>
    </w:p>
    <w:p w:rsidR="00E95771" w:rsidRPr="00E95771" w:rsidRDefault="00E95771" w:rsidP="002B5E62">
      <w:pPr>
        <w:tabs>
          <w:tab w:val="left" w:pos="5954"/>
        </w:tabs>
        <w:spacing w:line="360" w:lineRule="auto"/>
        <w:ind w:left="5954"/>
        <w:jc w:val="both"/>
        <w:rPr>
          <w:rFonts w:ascii="Times New Roman" w:eastAsiaTheme="minorHAnsi" w:hAnsi="Times New Roman"/>
          <w:iCs/>
          <w:sz w:val="24"/>
          <w:szCs w:val="24"/>
          <w:lang w:val="es-MX"/>
        </w:rPr>
      </w:pPr>
      <w:r>
        <w:rPr>
          <w:rFonts w:ascii="Times New Roman" w:eastAsiaTheme="minorHAnsi" w:hAnsi="Times New Roman"/>
          <w:iCs/>
          <w:sz w:val="24"/>
          <w:szCs w:val="24"/>
          <w:lang w:val="es-MX"/>
        </w:rPr>
        <w:t>A mi madre y hermana</w:t>
      </w:r>
      <w:r w:rsidR="00314AB0">
        <w:rPr>
          <w:rFonts w:ascii="Times New Roman" w:eastAsiaTheme="minorHAnsi" w:hAnsi="Times New Roman"/>
          <w:iCs/>
          <w:sz w:val="24"/>
          <w:szCs w:val="24"/>
          <w:lang w:val="es-MX"/>
        </w:rPr>
        <w:t>,</w:t>
      </w:r>
      <w:r>
        <w:rPr>
          <w:rFonts w:ascii="Times New Roman" w:eastAsiaTheme="minorHAnsi" w:hAnsi="Times New Roman"/>
          <w:iCs/>
          <w:sz w:val="24"/>
          <w:szCs w:val="24"/>
          <w:lang w:val="es-MX"/>
        </w:rPr>
        <w:t xml:space="preserve"> por su apoyo y amor</w:t>
      </w:r>
      <w:r w:rsidR="00314AB0">
        <w:rPr>
          <w:rFonts w:ascii="Times New Roman" w:eastAsiaTheme="minorHAnsi" w:hAnsi="Times New Roman"/>
          <w:iCs/>
          <w:sz w:val="24"/>
          <w:szCs w:val="24"/>
          <w:lang w:val="es-MX"/>
        </w:rPr>
        <w:t xml:space="preserve"> incondicional</w:t>
      </w:r>
      <w:r>
        <w:rPr>
          <w:rFonts w:ascii="Times New Roman" w:eastAsiaTheme="minorHAnsi" w:hAnsi="Times New Roman"/>
          <w:iCs/>
          <w:sz w:val="24"/>
          <w:szCs w:val="24"/>
          <w:lang w:val="es-MX"/>
        </w:rPr>
        <w:t xml:space="preserve">. </w:t>
      </w:r>
    </w:p>
    <w:p w:rsidR="00E95771" w:rsidRPr="00E95771" w:rsidRDefault="00E95771" w:rsidP="002B5E62">
      <w:pPr>
        <w:spacing w:line="360" w:lineRule="auto"/>
        <w:rPr>
          <w:rFonts w:ascii="Times New Roman" w:eastAsiaTheme="minorHAnsi" w:hAnsi="Times New Roman"/>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Default="00E95771" w:rsidP="002B5E62">
      <w:pPr>
        <w:spacing w:line="360" w:lineRule="auto"/>
        <w:jc w:val="both"/>
        <w:rPr>
          <w:rFonts w:ascii="Times New Roman" w:eastAsiaTheme="minorHAnsi" w:hAnsi="Times New Roman"/>
          <w:i/>
          <w:iCs/>
          <w:sz w:val="24"/>
          <w:szCs w:val="24"/>
          <w:lang w:val="es-MX"/>
        </w:rPr>
      </w:pPr>
    </w:p>
    <w:p w:rsidR="00E95771" w:rsidRPr="00B07754" w:rsidRDefault="00E95771" w:rsidP="002B5E62">
      <w:pPr>
        <w:spacing w:line="360" w:lineRule="auto"/>
        <w:jc w:val="both"/>
        <w:rPr>
          <w:rFonts w:ascii="Times New Roman" w:eastAsiaTheme="minorHAnsi" w:hAnsi="Times New Roman"/>
          <w:i/>
          <w:iCs/>
          <w:sz w:val="24"/>
          <w:szCs w:val="24"/>
          <w:lang w:val="es-MX"/>
        </w:rPr>
      </w:pPr>
    </w:p>
    <w:sdt>
      <w:sdtPr>
        <w:rPr>
          <w:rFonts w:ascii="Times New Roman" w:eastAsia="Calibri" w:hAnsi="Times New Roman" w:cs="Times New Roman"/>
          <w:b w:val="0"/>
          <w:bCs w:val="0"/>
          <w:color w:val="auto"/>
          <w:sz w:val="24"/>
          <w:szCs w:val="24"/>
          <w:lang w:val="es-ES" w:eastAsia="en-US"/>
        </w:rPr>
        <w:id w:val="176083693"/>
        <w:docPartObj>
          <w:docPartGallery w:val="Table of Contents"/>
          <w:docPartUnique/>
        </w:docPartObj>
      </w:sdtPr>
      <w:sdtEndPr/>
      <w:sdtContent>
        <w:p w:rsidR="005C1954" w:rsidRPr="00B07754" w:rsidRDefault="005C1954" w:rsidP="002B5E62">
          <w:pPr>
            <w:pStyle w:val="TtulodeTDC"/>
            <w:spacing w:before="0" w:after="200" w:line="360" w:lineRule="auto"/>
            <w:jc w:val="center"/>
            <w:rPr>
              <w:rFonts w:ascii="Times New Roman" w:eastAsia="Calibri" w:hAnsi="Times New Roman" w:cs="Times New Roman"/>
              <w:b w:val="0"/>
              <w:bCs w:val="0"/>
              <w:color w:val="auto"/>
              <w:sz w:val="24"/>
              <w:szCs w:val="24"/>
              <w:lang w:val="es-ES" w:eastAsia="en-US"/>
            </w:rPr>
          </w:pPr>
        </w:p>
        <w:p w:rsidR="005C1954" w:rsidRPr="00B07754" w:rsidRDefault="005C1954" w:rsidP="002B5E62">
          <w:pPr>
            <w:pStyle w:val="TtulodeTDC"/>
            <w:spacing w:before="0" w:after="200" w:line="360" w:lineRule="auto"/>
            <w:jc w:val="center"/>
            <w:rPr>
              <w:rFonts w:ascii="Times New Roman" w:eastAsia="Calibri" w:hAnsi="Times New Roman" w:cs="Times New Roman"/>
              <w:b w:val="0"/>
              <w:bCs w:val="0"/>
              <w:color w:val="auto"/>
              <w:sz w:val="24"/>
              <w:szCs w:val="24"/>
              <w:lang w:val="es-ES" w:eastAsia="en-US"/>
            </w:rPr>
          </w:pPr>
        </w:p>
        <w:p w:rsidR="005C1954" w:rsidRPr="00B07754" w:rsidRDefault="005C1954" w:rsidP="002B5E62">
          <w:pPr>
            <w:pStyle w:val="TtulodeTDC"/>
            <w:spacing w:before="0" w:after="200" w:line="360" w:lineRule="auto"/>
            <w:jc w:val="center"/>
            <w:rPr>
              <w:rFonts w:ascii="Times New Roman" w:eastAsia="Calibri" w:hAnsi="Times New Roman" w:cs="Times New Roman"/>
              <w:b w:val="0"/>
              <w:bCs w:val="0"/>
              <w:color w:val="auto"/>
              <w:sz w:val="24"/>
              <w:szCs w:val="24"/>
              <w:lang w:val="es-ES" w:eastAsia="en-US"/>
            </w:rPr>
          </w:pPr>
        </w:p>
        <w:p w:rsidR="005C1954" w:rsidRPr="00B07754" w:rsidRDefault="007830BC" w:rsidP="002B5E62">
          <w:pPr>
            <w:pStyle w:val="TtulodeTDC"/>
            <w:spacing w:before="0" w:after="200" w:line="360" w:lineRule="auto"/>
            <w:jc w:val="center"/>
            <w:rPr>
              <w:rFonts w:ascii="Times New Roman" w:hAnsi="Times New Roman" w:cs="Times New Roman"/>
              <w:color w:val="auto"/>
              <w:sz w:val="24"/>
              <w:szCs w:val="24"/>
              <w:lang w:val="es-ES"/>
            </w:rPr>
          </w:pPr>
          <w:r w:rsidRPr="00B07754">
            <w:rPr>
              <w:rFonts w:ascii="Times New Roman" w:eastAsia="Calibri" w:hAnsi="Times New Roman" w:cs="Times New Roman"/>
              <w:bCs w:val="0"/>
              <w:color w:val="auto"/>
              <w:sz w:val="24"/>
              <w:szCs w:val="24"/>
              <w:lang w:val="es-ES" w:eastAsia="en-US"/>
            </w:rPr>
            <w:t>Í</w:t>
          </w:r>
          <w:r w:rsidR="00DA5568" w:rsidRPr="00B07754">
            <w:rPr>
              <w:rFonts w:ascii="Times New Roman" w:hAnsi="Times New Roman" w:cs="Times New Roman"/>
              <w:color w:val="auto"/>
              <w:sz w:val="24"/>
              <w:szCs w:val="24"/>
              <w:lang w:val="es-ES"/>
            </w:rPr>
            <w:t>NDICE</w:t>
          </w:r>
        </w:p>
        <w:p w:rsidR="005C1954" w:rsidRPr="00B07754" w:rsidRDefault="00DA5568" w:rsidP="002B5E62">
          <w:pPr>
            <w:pStyle w:val="TtulodeTDC"/>
            <w:spacing w:before="0" w:after="200" w:line="360" w:lineRule="auto"/>
            <w:jc w:val="center"/>
            <w:rPr>
              <w:rFonts w:ascii="Times New Roman" w:hAnsi="Times New Roman" w:cs="Times New Roman"/>
              <w:noProof/>
              <w:sz w:val="24"/>
              <w:szCs w:val="24"/>
            </w:rPr>
          </w:pPr>
          <w:r w:rsidRPr="00B07754">
            <w:rPr>
              <w:rFonts w:ascii="Times New Roman" w:hAnsi="Times New Roman" w:cs="Times New Roman"/>
              <w:sz w:val="24"/>
              <w:szCs w:val="24"/>
            </w:rPr>
            <w:fldChar w:fldCharType="begin"/>
          </w:r>
          <w:r w:rsidRPr="00B07754">
            <w:rPr>
              <w:rFonts w:ascii="Times New Roman" w:hAnsi="Times New Roman" w:cs="Times New Roman"/>
              <w:sz w:val="24"/>
              <w:szCs w:val="24"/>
            </w:rPr>
            <w:instrText xml:space="preserve"> TOC \o "1-3" \h \z \u </w:instrText>
          </w:r>
          <w:r w:rsidRPr="00B07754">
            <w:rPr>
              <w:rFonts w:ascii="Times New Roman" w:hAnsi="Times New Roman" w:cs="Times New Roman"/>
              <w:sz w:val="24"/>
              <w:szCs w:val="24"/>
            </w:rPr>
            <w:fldChar w:fldCharType="separate"/>
          </w:r>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53" w:history="1">
            <w:r w:rsidR="005C1954" w:rsidRPr="00B07754">
              <w:rPr>
                <w:rStyle w:val="Hipervnculo"/>
                <w:rFonts w:ascii="Times New Roman" w:hAnsi="Times New Roman"/>
                <w:noProof/>
                <w:sz w:val="24"/>
                <w:szCs w:val="24"/>
                <w:lang w:val="es-MX"/>
              </w:rPr>
              <w:t>INTRODUCCIÓN</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_Toc372589953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54" w:history="1">
            <w:r w:rsidR="005C1954" w:rsidRPr="00B07754">
              <w:rPr>
                <w:rStyle w:val="Hipervnculo"/>
                <w:rFonts w:ascii="Times New Roman" w:hAnsi="Times New Roman"/>
                <w:noProof/>
                <w:sz w:val="24"/>
                <w:szCs w:val="24"/>
              </w:rPr>
              <w:t>MARCO TEÓRICO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_Toc372589954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10</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55" w:history="1">
            <w:r w:rsidR="005C1954" w:rsidRPr="00B07754">
              <w:rPr>
                <w:rStyle w:val="Hipervnculo"/>
                <w:rFonts w:ascii="Times New Roman" w:eastAsiaTheme="minorHAnsi" w:hAnsi="Times New Roman"/>
                <w:noProof/>
                <w:sz w:val="24"/>
                <w:szCs w:val="24"/>
                <w:lang w:val="es-MX"/>
              </w:rPr>
              <w:t>1.1.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eastAsiaTheme="minorHAnsi" w:hAnsi="Times New Roman"/>
                <w:noProof/>
                <w:sz w:val="24"/>
                <w:szCs w:val="24"/>
                <w:lang w:val="es-MX"/>
              </w:rPr>
              <w:t>Importancia de las políticas de competencia en el sistema bancario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_Toc372589955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12</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56" w:history="1">
            <w:r w:rsidR="005C1954" w:rsidRPr="00B07754">
              <w:rPr>
                <w:rStyle w:val="Hipervnculo"/>
                <w:rFonts w:ascii="Times New Roman" w:eastAsiaTheme="minorHAnsi" w:hAnsi="Times New Roman"/>
                <w:noProof/>
                <w:sz w:val="24"/>
                <w:szCs w:val="24"/>
                <w:lang w:val="es-ES"/>
              </w:rPr>
              <w:t>1.2.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eastAsiaTheme="minorHAnsi" w:hAnsi="Times New Roman"/>
                <w:noProof/>
                <w:sz w:val="24"/>
                <w:szCs w:val="24"/>
                <w:lang w:val="es-ES"/>
              </w:rPr>
              <w:t>Literatura académica para competencia y estabilidad en el sistema financiero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_Toc372589956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14</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57" w:history="1">
            <w:r w:rsidR="005C1954" w:rsidRPr="00B07754">
              <w:rPr>
                <w:rStyle w:val="Hipervnculo"/>
                <w:rFonts w:ascii="Times New Roman" w:eastAsiaTheme="minorHAnsi" w:hAnsi="Times New Roman"/>
                <w:noProof/>
                <w:sz w:val="24"/>
                <w:szCs w:val="24"/>
                <w:lang w:val="es-ES"/>
              </w:rPr>
              <w:t>1.2.1.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eastAsiaTheme="minorHAnsi" w:hAnsi="Times New Roman"/>
                <w:noProof/>
                <w:sz w:val="24"/>
                <w:szCs w:val="24"/>
                <w:lang w:val="es-ES"/>
              </w:rPr>
              <w:t>Teorías en torno a la relación entre competencia y estabilidad bancaria.</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_Toc372589957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15</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58" w:history="1">
            <w:r w:rsidR="005C1954" w:rsidRPr="00B07754">
              <w:rPr>
                <w:rStyle w:val="Hipervnculo"/>
                <w:rFonts w:ascii="Times New Roman" w:hAnsi="Times New Roman"/>
                <w:noProof/>
                <w:sz w:val="24"/>
                <w:szCs w:val="24"/>
                <w:lang w:eastAsia="es-MX"/>
              </w:rPr>
              <w:t>COMPETENCIA, CONCENTRACIÓN Y ESTABILIDAD EN EL MERCADO BANCARIO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_Toc372589958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24</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59" w:history="1">
            <w:r w:rsidR="005C1954" w:rsidRPr="00B07754">
              <w:rPr>
                <w:rStyle w:val="Hipervnculo"/>
                <w:rFonts w:ascii="Times New Roman" w:hAnsi="Times New Roman"/>
                <w:noProof/>
                <w:sz w:val="24"/>
                <w:szCs w:val="24"/>
                <w:lang w:val="es-MX"/>
              </w:rPr>
              <w:t>2.1.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Competencia en el sector bancario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_Toc372589959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24</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0" w:history="1">
            <w:r w:rsidR="005C1954" w:rsidRPr="00B07754">
              <w:rPr>
                <w:rStyle w:val="Hipervnculo"/>
                <w:rFonts w:ascii="Times New Roman" w:hAnsi="Times New Roman"/>
                <w:noProof/>
                <w:sz w:val="24"/>
                <w:szCs w:val="24"/>
                <w:lang w:val="es-MX"/>
              </w:rPr>
              <w:t>2.2.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Concentración</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_Toc372589960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25</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1" w:history="1">
            <w:r w:rsidR="005C1954" w:rsidRPr="00B07754">
              <w:rPr>
                <w:rStyle w:val="Hipervnculo"/>
                <w:rFonts w:ascii="Times New Roman" w:hAnsi="Times New Roman"/>
                <w:noProof/>
                <w:sz w:val="24"/>
                <w:szCs w:val="24"/>
                <w:lang w:val="es-MX"/>
              </w:rPr>
              <w:t>2.3.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Descripción de un mercado bancario competitivo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_Toc372589961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29</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2" w:history="1">
            <w:r w:rsidR="005C1954" w:rsidRPr="00B07754">
              <w:rPr>
                <w:rStyle w:val="Hipervnculo"/>
                <w:rFonts w:ascii="Times New Roman" w:hAnsi="Times New Roman"/>
                <w:noProof/>
                <w:sz w:val="24"/>
                <w:szCs w:val="24"/>
                <w:lang w:val="es-MX"/>
              </w:rPr>
              <w:t>2.4.</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rPr>
              <w:t>Estabilidad financiera</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_Toc372589962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33</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3" w:history="1">
            <w:r w:rsidR="005C1954" w:rsidRPr="00B07754">
              <w:rPr>
                <w:rStyle w:val="Hipervnculo"/>
                <w:rFonts w:ascii="Times New Roman" w:hAnsi="Times New Roman"/>
                <w:noProof/>
                <w:sz w:val="24"/>
                <w:szCs w:val="24"/>
              </w:rPr>
              <w:t>2.5.</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rPr>
              <w:t>Importancia de la regulación en la banca</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_Toc372589963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37</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64" w:history="1">
            <w:r w:rsidR="005C1954" w:rsidRPr="00B07754">
              <w:rPr>
                <w:rStyle w:val="Hipervnculo"/>
                <w:rFonts w:ascii="Times New Roman" w:hAnsi="Times New Roman"/>
                <w:noProof/>
                <w:sz w:val="24"/>
                <w:szCs w:val="24"/>
              </w:rPr>
              <w:t>CRISIS BANCARIA: CAUSAS Y CONSECUENCIAS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_Toc372589964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43</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65" w:history="1">
            <w:r w:rsidR="005C1954" w:rsidRPr="00B07754">
              <w:rPr>
                <w:rStyle w:val="Hipervnculo"/>
                <w:rFonts w:ascii="Times New Roman" w:hAnsi="Times New Roman"/>
                <w:noProof/>
                <w:sz w:val="24"/>
                <w:szCs w:val="24"/>
                <w:lang w:val="es-MX"/>
              </w:rPr>
              <w:t>3.1.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Evolución de la frecuencia e incidencia de las crisis financieras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_Toc372589965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43</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6" w:history="1">
            <w:r w:rsidR="005C1954" w:rsidRPr="00B07754">
              <w:rPr>
                <w:rStyle w:val="Hipervnculo"/>
                <w:rFonts w:ascii="Times New Roman" w:hAnsi="Times New Roman"/>
                <w:noProof/>
                <w:sz w:val="24"/>
                <w:szCs w:val="24"/>
                <w:lang w:val="es-MX"/>
              </w:rPr>
              <w:t>3.1.1.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Incidencia de crisis bancarias recientes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_Toc372589966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43</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7" w:history="1">
            <w:r w:rsidR="005C1954" w:rsidRPr="00B07754">
              <w:rPr>
                <w:rStyle w:val="Hipervnculo"/>
                <w:rFonts w:ascii="Times New Roman" w:hAnsi="Times New Roman"/>
                <w:noProof/>
                <w:sz w:val="24"/>
                <w:szCs w:val="24"/>
                <w:lang w:val="es-MX"/>
              </w:rPr>
              <w:t>3.1.2.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Gestación de las crisis bancarias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_Toc372589967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44</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68" w:history="1">
            <w:r w:rsidR="005C1954" w:rsidRPr="00B07754">
              <w:rPr>
                <w:rStyle w:val="Hipervnculo"/>
                <w:rFonts w:ascii="Times New Roman" w:hAnsi="Times New Roman"/>
                <w:noProof/>
                <w:sz w:val="24"/>
                <w:szCs w:val="24"/>
                <w:lang w:val="es-MX"/>
              </w:rPr>
              <w:t>3.1.3.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Costos de las crisis bancarias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_Toc372589968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46</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69" w:history="1">
            <w:r w:rsidR="005C1954" w:rsidRPr="00B07754">
              <w:rPr>
                <w:rStyle w:val="Hipervnculo"/>
                <w:rFonts w:ascii="Times New Roman" w:hAnsi="Times New Roman"/>
                <w:noProof/>
                <w:sz w:val="24"/>
                <w:szCs w:val="24"/>
                <w:lang w:val="es-MX"/>
              </w:rPr>
              <w:t>3.2.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Efectos de las últimas crisis financieras sufridas en el Ecuador</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_Toc372589969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46</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70" w:history="1">
            <w:r w:rsidR="005C1954" w:rsidRPr="00B07754">
              <w:rPr>
                <w:rStyle w:val="Hipervnculo"/>
                <w:rFonts w:ascii="Times New Roman" w:hAnsi="Times New Roman"/>
                <w:noProof/>
                <w:sz w:val="24"/>
                <w:szCs w:val="24"/>
                <w:lang w:val="es-MX"/>
              </w:rPr>
              <w:t>3.2.1.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Análisis histórico de las condiciones económicas previas a la crisis predolarización</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_Toc372589970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47</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71" w:history="1">
            <w:r w:rsidR="005C1954" w:rsidRPr="00B07754">
              <w:rPr>
                <w:rStyle w:val="Hipervnculo"/>
                <w:rFonts w:ascii="Times New Roman" w:hAnsi="Times New Roman"/>
                <w:noProof/>
                <w:sz w:val="24"/>
                <w:szCs w:val="24"/>
                <w:lang w:val="es-MX"/>
              </w:rPr>
              <w:t>3.2.2.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Estructura económica del Ecuador antes de la crisis predolarización</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_Toc372589971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51</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72" w:history="1">
            <w:r w:rsidR="005C1954" w:rsidRPr="00B07754">
              <w:rPr>
                <w:rStyle w:val="Hipervnculo"/>
                <w:rFonts w:ascii="Times New Roman" w:hAnsi="Times New Roman"/>
                <w:noProof/>
                <w:sz w:val="24"/>
                <w:szCs w:val="24"/>
                <w:lang w:val="es-MX"/>
              </w:rPr>
              <w:t>3.2.3.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La crisis económica de 1995 y las raíces del descalabro del sistema financiero (1995-1997)</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_Toc372589972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54</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73" w:history="1">
            <w:r w:rsidR="005C1954" w:rsidRPr="00B07754">
              <w:rPr>
                <w:rStyle w:val="Hipervnculo"/>
                <w:rFonts w:ascii="Times New Roman" w:hAnsi="Times New Roman"/>
                <w:noProof/>
                <w:sz w:val="24"/>
                <w:szCs w:val="24"/>
                <w:lang w:val="es-MX"/>
              </w:rPr>
              <w:t>3.3.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Crisis predolarización</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_Toc372589973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59</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74" w:history="1">
            <w:r w:rsidR="005C1954" w:rsidRPr="00B07754">
              <w:rPr>
                <w:rStyle w:val="Hipervnculo"/>
                <w:rFonts w:ascii="Times New Roman" w:hAnsi="Times New Roman"/>
                <w:noProof/>
                <w:sz w:val="24"/>
                <w:szCs w:val="24"/>
                <w:lang w:val="es-MX"/>
              </w:rPr>
              <w:t>3.3.1.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Profundización de la crisis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_Toc372589974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61</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75" w:history="1">
            <w:r w:rsidR="005C1954" w:rsidRPr="00B07754">
              <w:rPr>
                <w:rStyle w:val="Hipervnculo"/>
                <w:rFonts w:ascii="Times New Roman" w:hAnsi="Times New Roman"/>
                <w:noProof/>
                <w:sz w:val="24"/>
                <w:szCs w:val="24"/>
                <w:lang w:val="es-MX"/>
              </w:rPr>
              <w:t>ESTABLECIMIENTO DE LA RELACIÓN ENTRE COMPETENCIA Y ESTABILIDAD DEL SISTEMA BANCARIO EN EL ECUADOR EN EL PERIODO 2002-2012</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_Toc372589975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68</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76" w:history="1">
            <w:r w:rsidR="005C1954" w:rsidRPr="00B07754">
              <w:rPr>
                <w:rStyle w:val="Hipervnculo"/>
                <w:rFonts w:ascii="Times New Roman" w:hAnsi="Times New Roman"/>
                <w:noProof/>
                <w:sz w:val="24"/>
                <w:szCs w:val="24"/>
                <w:lang w:val="es-MX"/>
              </w:rPr>
              <w:t>4.1.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Modelo Econométrico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_Toc372589976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68</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77" w:history="1">
            <w:r w:rsidR="005C1954" w:rsidRPr="00B07754">
              <w:rPr>
                <w:rStyle w:val="Hipervnculo"/>
                <w:rFonts w:ascii="Times New Roman" w:hAnsi="Times New Roman"/>
                <w:noProof/>
                <w:sz w:val="24"/>
                <w:szCs w:val="24"/>
                <w:lang w:val="es-MX"/>
              </w:rPr>
              <w:t>4.2.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Descripción de Datos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_Toc372589977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70</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78" w:history="1">
            <w:r w:rsidR="005C1954" w:rsidRPr="00B07754">
              <w:rPr>
                <w:rStyle w:val="Hipervnculo"/>
                <w:rFonts w:ascii="Times New Roman" w:hAnsi="Times New Roman"/>
                <w:noProof/>
                <w:sz w:val="24"/>
                <w:szCs w:val="24"/>
                <w:lang w:val="es-MX"/>
              </w:rPr>
              <w:t>4.3.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Indicadores de Concentración</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_Toc372589978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71</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79" w:history="1">
            <w:r w:rsidR="005C1954" w:rsidRPr="00B07754">
              <w:rPr>
                <w:rStyle w:val="Hipervnculo"/>
                <w:rFonts w:ascii="Times New Roman" w:hAnsi="Times New Roman"/>
                <w:noProof/>
                <w:sz w:val="24"/>
                <w:szCs w:val="24"/>
                <w:lang w:val="es-MX"/>
              </w:rPr>
              <w:t>4.3.1.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Índice de Concentración CR</w:t>
            </w:r>
            <w:r w:rsidR="005C1954" w:rsidRPr="00B07754">
              <w:rPr>
                <w:rStyle w:val="Hipervnculo"/>
                <w:rFonts w:ascii="Times New Roman" w:hAnsi="Times New Roman"/>
                <w:noProof/>
                <w:sz w:val="24"/>
                <w:szCs w:val="24"/>
                <w:vertAlign w:val="subscript"/>
                <w:lang w:val="es-MX"/>
              </w:rPr>
              <w:t>k</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_Toc372589979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71</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80" w:history="1">
            <w:r w:rsidR="005C1954" w:rsidRPr="00B07754">
              <w:rPr>
                <w:rStyle w:val="Hipervnculo"/>
                <w:rFonts w:ascii="Times New Roman" w:hAnsi="Times New Roman"/>
                <w:noProof/>
                <w:sz w:val="24"/>
                <w:szCs w:val="24"/>
                <w:lang w:val="es-MX"/>
              </w:rPr>
              <w:t>4.3.2.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Índice Herfindahl – Hirschman (IHH)</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_Toc372589980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71</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81" w:history="1">
            <w:r w:rsidR="005C1954" w:rsidRPr="00B07754">
              <w:rPr>
                <w:rStyle w:val="Hipervnculo"/>
                <w:rFonts w:ascii="Times New Roman" w:hAnsi="Times New Roman"/>
                <w:noProof/>
                <w:sz w:val="24"/>
                <w:szCs w:val="24"/>
                <w:lang w:val="es-MX"/>
              </w:rPr>
              <w:t>4.3.3.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Resultados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_Toc372589981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72</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82" w:history="1">
            <w:r w:rsidR="005C1954" w:rsidRPr="00B07754">
              <w:rPr>
                <w:rStyle w:val="Hipervnculo"/>
                <w:rFonts w:ascii="Times New Roman" w:hAnsi="Times New Roman"/>
                <w:noProof/>
                <w:sz w:val="24"/>
                <w:szCs w:val="24"/>
                <w:lang w:val="es-MX"/>
              </w:rPr>
              <w:t>4.4.</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Competencia</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_Toc372589982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74</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3"/>
            <w:spacing w:after="200" w:line="360" w:lineRule="auto"/>
            <w:rPr>
              <w:rFonts w:ascii="Times New Roman" w:eastAsiaTheme="minorEastAsia" w:hAnsi="Times New Roman"/>
              <w:noProof/>
              <w:sz w:val="24"/>
              <w:szCs w:val="24"/>
              <w:lang w:val="es-MX" w:eastAsia="es-MX"/>
            </w:rPr>
          </w:pPr>
          <w:hyperlink w:anchor="_Toc372589983" w:history="1">
            <w:r w:rsidR="005C1954" w:rsidRPr="00B07754">
              <w:rPr>
                <w:rStyle w:val="Hipervnculo"/>
                <w:rFonts w:ascii="Times New Roman" w:eastAsiaTheme="minorHAnsi" w:hAnsi="Times New Roman"/>
                <w:noProof/>
                <w:sz w:val="24"/>
                <w:szCs w:val="24"/>
                <w:lang w:val="es-MX"/>
              </w:rPr>
              <w:t>4.4.1.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Resultados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_Toc372589983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76</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84" w:history="1">
            <w:r w:rsidR="005C1954" w:rsidRPr="00B07754">
              <w:rPr>
                <w:rStyle w:val="Hipervnculo"/>
                <w:rFonts w:ascii="Times New Roman" w:hAnsi="Times New Roman"/>
                <w:noProof/>
                <w:sz w:val="24"/>
                <w:szCs w:val="24"/>
                <w:lang w:val="es-MX"/>
              </w:rPr>
              <w:t>4.5.</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Indicador de Estabilidad</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_Toc372589984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82</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85" w:history="1">
            <w:r w:rsidR="005C1954" w:rsidRPr="00B07754">
              <w:rPr>
                <w:rStyle w:val="Hipervnculo"/>
                <w:rFonts w:ascii="Times New Roman" w:hAnsi="Times New Roman"/>
                <w:noProof/>
                <w:sz w:val="24"/>
                <w:szCs w:val="24"/>
                <w:lang w:val="es-MX"/>
              </w:rPr>
              <w:t>CONCLUSIONES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_Toc372589985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86</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86" w:history="1">
            <w:r w:rsidR="005C1954" w:rsidRPr="00B07754">
              <w:rPr>
                <w:rStyle w:val="Hipervnculo"/>
                <w:rFonts w:ascii="Times New Roman" w:hAnsi="Times New Roman"/>
                <w:noProof/>
                <w:sz w:val="24"/>
                <w:szCs w:val="24"/>
                <w:lang w:val="es-ES"/>
              </w:rPr>
              <w:t>BIBLIOGRAFÍA</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_Toc372589986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90</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1"/>
            <w:rPr>
              <w:rFonts w:ascii="Times New Roman" w:eastAsiaTheme="minorEastAsia" w:hAnsi="Times New Roman"/>
              <w:noProof/>
              <w:sz w:val="24"/>
              <w:szCs w:val="24"/>
              <w:lang w:val="es-MX" w:eastAsia="es-MX"/>
            </w:rPr>
          </w:pPr>
          <w:hyperlink w:anchor="_Toc372589987" w:history="1">
            <w:r w:rsidR="005C1954" w:rsidRPr="00B07754">
              <w:rPr>
                <w:rStyle w:val="Hipervnculo"/>
                <w:rFonts w:ascii="Times New Roman" w:hAnsi="Times New Roman"/>
                <w:noProof/>
                <w:sz w:val="24"/>
                <w:szCs w:val="24"/>
                <w:lang w:val="es-MX"/>
              </w:rPr>
              <w:t>ANEXOS</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_Toc372589987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96</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88" w:history="1">
            <w:r w:rsidR="005C1954" w:rsidRPr="00B07754">
              <w:rPr>
                <w:rStyle w:val="Hipervnculo"/>
                <w:rFonts w:ascii="Times New Roman" w:hAnsi="Times New Roman"/>
                <w:noProof/>
                <w:sz w:val="24"/>
                <w:szCs w:val="24"/>
                <w:lang w:val="es-MX"/>
              </w:rPr>
              <w:t>1.</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Definiciones de las Variables Empleadas en Cada Modelo</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_Toc372589988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96</w:t>
            </w:r>
            <w:r w:rsidR="005C1954" w:rsidRPr="00B07754">
              <w:rPr>
                <w:rFonts w:ascii="Times New Roman" w:hAnsi="Times New Roman"/>
                <w:noProof/>
                <w:webHidden/>
                <w:sz w:val="24"/>
                <w:szCs w:val="24"/>
              </w:rPr>
              <w:fldChar w:fldCharType="end"/>
            </w:r>
          </w:hyperlink>
        </w:p>
        <w:p w:rsidR="005C1954" w:rsidRPr="00B07754" w:rsidRDefault="00643B1A" w:rsidP="002B5E62">
          <w:pPr>
            <w:pStyle w:val="TDC2"/>
            <w:spacing w:after="200"/>
            <w:rPr>
              <w:rFonts w:ascii="Times New Roman" w:eastAsiaTheme="minorEastAsia" w:hAnsi="Times New Roman"/>
              <w:noProof/>
              <w:sz w:val="24"/>
              <w:szCs w:val="24"/>
              <w:lang w:val="es-MX" w:eastAsia="es-MX"/>
            </w:rPr>
          </w:pPr>
          <w:hyperlink w:anchor="_Toc372589989" w:history="1">
            <w:r w:rsidR="005C1954" w:rsidRPr="00B07754">
              <w:rPr>
                <w:rStyle w:val="Hipervnculo"/>
                <w:rFonts w:ascii="Times New Roman" w:hAnsi="Times New Roman"/>
                <w:noProof/>
                <w:sz w:val="24"/>
                <w:szCs w:val="24"/>
                <w:lang w:val="es-MX"/>
              </w:rPr>
              <w:t>2.</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Resultados de la Estimación del Estadístico H</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_Toc372589989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97</w:t>
            </w:r>
            <w:r w:rsidR="005C1954" w:rsidRPr="00B07754">
              <w:rPr>
                <w:rFonts w:ascii="Times New Roman" w:hAnsi="Times New Roman"/>
                <w:noProof/>
                <w:webHidden/>
                <w:sz w:val="24"/>
                <w:szCs w:val="24"/>
              </w:rPr>
              <w:fldChar w:fldCharType="end"/>
            </w:r>
          </w:hyperlink>
        </w:p>
        <w:p w:rsidR="00DA5568" w:rsidRPr="00B07754" w:rsidRDefault="00643B1A" w:rsidP="002B5E62">
          <w:pPr>
            <w:pStyle w:val="TDC2"/>
            <w:spacing w:after="200"/>
            <w:rPr>
              <w:rFonts w:ascii="Times New Roman" w:hAnsi="Times New Roman"/>
              <w:sz w:val="24"/>
              <w:szCs w:val="24"/>
            </w:rPr>
          </w:pPr>
          <w:hyperlink w:anchor="_Toc372589990" w:history="1">
            <w:r w:rsidR="005C1954" w:rsidRPr="00B07754">
              <w:rPr>
                <w:rStyle w:val="Hipervnculo"/>
                <w:rFonts w:ascii="Times New Roman" w:hAnsi="Times New Roman"/>
                <w:noProof/>
                <w:sz w:val="24"/>
                <w:szCs w:val="24"/>
                <w:lang w:val="es-MX"/>
              </w:rPr>
              <w:t>3.</w:t>
            </w:r>
            <w:r w:rsidR="005C1954" w:rsidRPr="00B07754">
              <w:rPr>
                <w:rFonts w:ascii="Times New Roman" w:eastAsiaTheme="minorEastAsia" w:hAnsi="Times New Roman"/>
                <w:noProof/>
                <w:sz w:val="24"/>
                <w:szCs w:val="24"/>
                <w:lang w:val="es-MX" w:eastAsia="es-MX"/>
              </w:rPr>
              <w:tab/>
            </w:r>
            <w:r w:rsidR="005C1954" w:rsidRPr="00B07754">
              <w:rPr>
                <w:rStyle w:val="Hipervnculo"/>
                <w:rFonts w:ascii="Times New Roman" w:hAnsi="Times New Roman"/>
                <w:noProof/>
                <w:sz w:val="24"/>
                <w:szCs w:val="24"/>
                <w:lang w:val="es-MX"/>
              </w:rPr>
              <w:t>Resultados de la Estimación de la Relación Competencia – Estabilidad</w:t>
            </w:r>
            <w:r w:rsidR="005C1954" w:rsidRPr="00B07754">
              <w:rPr>
                <w:rFonts w:ascii="Times New Roman" w:hAnsi="Times New Roman"/>
                <w:noProof/>
                <w:webHidden/>
                <w:sz w:val="24"/>
                <w:szCs w:val="24"/>
              </w:rPr>
              <w:tab/>
            </w:r>
            <w:r w:rsidR="005C1954" w:rsidRPr="00B07754">
              <w:rPr>
                <w:rFonts w:ascii="Times New Roman" w:hAnsi="Times New Roman"/>
                <w:noProof/>
                <w:webHidden/>
                <w:sz w:val="24"/>
                <w:szCs w:val="24"/>
              </w:rPr>
              <w:fldChar w:fldCharType="begin"/>
            </w:r>
            <w:r w:rsidR="005C1954" w:rsidRPr="00B07754">
              <w:rPr>
                <w:rFonts w:ascii="Times New Roman" w:hAnsi="Times New Roman"/>
                <w:noProof/>
                <w:webHidden/>
                <w:sz w:val="24"/>
                <w:szCs w:val="24"/>
              </w:rPr>
              <w:instrText xml:space="preserve"> PAGEREF _Toc372589990 \h </w:instrText>
            </w:r>
            <w:r w:rsidR="005C1954" w:rsidRPr="00B07754">
              <w:rPr>
                <w:rFonts w:ascii="Times New Roman" w:hAnsi="Times New Roman"/>
                <w:noProof/>
                <w:webHidden/>
                <w:sz w:val="24"/>
                <w:szCs w:val="24"/>
              </w:rPr>
            </w:r>
            <w:r w:rsidR="005C1954" w:rsidRPr="00B07754">
              <w:rPr>
                <w:rFonts w:ascii="Times New Roman" w:hAnsi="Times New Roman"/>
                <w:noProof/>
                <w:webHidden/>
                <w:sz w:val="24"/>
                <w:szCs w:val="24"/>
              </w:rPr>
              <w:fldChar w:fldCharType="separate"/>
            </w:r>
            <w:r w:rsidR="00624F47">
              <w:rPr>
                <w:rFonts w:ascii="Times New Roman" w:hAnsi="Times New Roman"/>
                <w:noProof/>
                <w:webHidden/>
                <w:sz w:val="24"/>
                <w:szCs w:val="24"/>
              </w:rPr>
              <w:t>99</w:t>
            </w:r>
            <w:r w:rsidR="005C1954" w:rsidRPr="00B07754">
              <w:rPr>
                <w:rFonts w:ascii="Times New Roman" w:hAnsi="Times New Roman"/>
                <w:noProof/>
                <w:webHidden/>
                <w:sz w:val="24"/>
                <w:szCs w:val="24"/>
              </w:rPr>
              <w:fldChar w:fldCharType="end"/>
            </w:r>
          </w:hyperlink>
          <w:r w:rsidR="00DA5568" w:rsidRPr="00B07754">
            <w:rPr>
              <w:rFonts w:ascii="Times New Roman" w:hAnsi="Times New Roman"/>
              <w:sz w:val="24"/>
              <w:szCs w:val="24"/>
              <w:lang w:val="es-ES"/>
            </w:rPr>
            <w:fldChar w:fldCharType="end"/>
          </w:r>
        </w:p>
      </w:sdtContent>
    </w:sdt>
    <w:p w:rsidR="005C1954" w:rsidRPr="00B07754" w:rsidRDefault="005C1954" w:rsidP="002B5E62">
      <w:pPr>
        <w:pStyle w:val="Ttulo1"/>
        <w:spacing w:before="0" w:after="200" w:line="360" w:lineRule="auto"/>
        <w:ind w:left="432" w:hanging="432"/>
        <w:jc w:val="center"/>
        <w:rPr>
          <w:rFonts w:ascii="Times New Roman" w:hAnsi="Times New Roman"/>
          <w:color w:val="auto"/>
          <w:sz w:val="24"/>
          <w:szCs w:val="24"/>
          <w:lang w:val="es-MX"/>
        </w:rPr>
      </w:pPr>
      <w:bookmarkStart w:id="2" w:name="_Toc369546114"/>
      <w:bookmarkStart w:id="3" w:name="_Toc369546874"/>
      <w:bookmarkStart w:id="4" w:name="_Toc369637378"/>
      <w:bookmarkStart w:id="5" w:name="_Toc372589952"/>
    </w:p>
    <w:p w:rsidR="005C1954" w:rsidRPr="00B07754" w:rsidRDefault="005C1954" w:rsidP="002B5E62">
      <w:pPr>
        <w:pStyle w:val="Ttulo1"/>
        <w:spacing w:before="0" w:after="200" w:line="360" w:lineRule="auto"/>
        <w:ind w:left="432" w:hanging="432"/>
        <w:jc w:val="center"/>
        <w:rPr>
          <w:rFonts w:ascii="Times New Roman" w:hAnsi="Times New Roman"/>
          <w:color w:val="auto"/>
          <w:sz w:val="24"/>
          <w:szCs w:val="24"/>
          <w:lang w:val="es-MX"/>
        </w:rPr>
      </w:pPr>
    </w:p>
    <w:p w:rsidR="005C1954" w:rsidRPr="00B07754" w:rsidRDefault="005C1954" w:rsidP="002B5E62">
      <w:pPr>
        <w:pStyle w:val="Ttulo1"/>
        <w:spacing w:before="0" w:after="200" w:line="360" w:lineRule="auto"/>
        <w:ind w:left="432" w:hanging="432"/>
        <w:jc w:val="center"/>
        <w:rPr>
          <w:rFonts w:ascii="Times New Roman" w:hAnsi="Times New Roman"/>
          <w:color w:val="auto"/>
          <w:sz w:val="24"/>
          <w:szCs w:val="24"/>
          <w:lang w:val="es-MX"/>
        </w:rPr>
      </w:pPr>
    </w:p>
    <w:p w:rsidR="005D5E80" w:rsidRPr="00B07754" w:rsidRDefault="005D5E80" w:rsidP="002B5E62">
      <w:pPr>
        <w:pStyle w:val="Ttulo1"/>
        <w:spacing w:before="0" w:after="200" w:line="360" w:lineRule="auto"/>
        <w:ind w:left="432" w:hanging="432"/>
        <w:jc w:val="center"/>
        <w:rPr>
          <w:rFonts w:ascii="Times New Roman" w:hAnsi="Times New Roman"/>
          <w:color w:val="auto"/>
          <w:sz w:val="24"/>
          <w:szCs w:val="24"/>
          <w:lang w:val="es-MX"/>
        </w:rPr>
      </w:pPr>
      <w:r w:rsidRPr="00B07754">
        <w:rPr>
          <w:rFonts w:ascii="Times New Roman" w:hAnsi="Times New Roman"/>
          <w:color w:val="auto"/>
          <w:sz w:val="24"/>
          <w:szCs w:val="24"/>
          <w:lang w:val="es-MX"/>
        </w:rPr>
        <w:t>ÍNDICE DE TABLAS</w:t>
      </w:r>
      <w:bookmarkEnd w:id="2"/>
      <w:bookmarkEnd w:id="3"/>
      <w:bookmarkEnd w:id="4"/>
      <w:bookmarkEnd w:id="5"/>
    </w:p>
    <w:p w:rsidR="005C1954" w:rsidRPr="00B07754" w:rsidRDefault="005C1954" w:rsidP="002B5E62">
      <w:pPr>
        <w:spacing w:line="360" w:lineRule="auto"/>
        <w:rPr>
          <w:rFonts w:ascii="Times New Roman" w:hAnsi="Times New Roman"/>
          <w:sz w:val="24"/>
          <w:szCs w:val="24"/>
          <w:lang w:val="es-MX"/>
        </w:rPr>
      </w:pPr>
    </w:p>
    <w:p w:rsidR="006E0F60" w:rsidRPr="00B07754" w:rsidRDefault="00CE4F4D"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5C1954" w:rsidRPr="00B07754">
        <w:rPr>
          <w:rFonts w:ascii="Times New Roman" w:hAnsi="Times New Roman"/>
          <w:sz w:val="24"/>
          <w:szCs w:val="24"/>
          <w:lang w:val="es-MX"/>
        </w:rPr>
        <w:t>1</w:t>
      </w:r>
      <w:r w:rsidR="00746251" w:rsidRPr="00B07754">
        <w:rPr>
          <w:rFonts w:ascii="Times New Roman" w:hAnsi="Times New Roman"/>
          <w:sz w:val="24"/>
          <w:szCs w:val="24"/>
          <w:lang w:val="es-MX"/>
        </w:rPr>
        <w:t xml:space="preserve"> Deuda externa en millones de dólares al final del periodo, PIB real y consumo privado real en miles de dólares de 2000 desde 1970 hasta 1990</w:t>
      </w:r>
      <w:r w:rsidRPr="00B07754">
        <w:rPr>
          <w:rFonts w:ascii="Times New Roman" w:hAnsi="Times New Roman"/>
          <w:sz w:val="24"/>
          <w:szCs w:val="24"/>
          <w:lang w:val="es-MX"/>
        </w:rPr>
        <w:tab/>
      </w:r>
      <w:r w:rsidR="00624F47">
        <w:rPr>
          <w:rFonts w:ascii="Times New Roman" w:hAnsi="Times New Roman"/>
          <w:sz w:val="24"/>
          <w:szCs w:val="24"/>
          <w:lang w:val="es-MX"/>
        </w:rPr>
        <w:t>51</w:t>
      </w:r>
    </w:p>
    <w:p w:rsidR="000D716D" w:rsidRPr="00B07754" w:rsidRDefault="005C1954"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CE4F4D" w:rsidRPr="00B07754">
        <w:rPr>
          <w:rFonts w:ascii="Times New Roman" w:hAnsi="Times New Roman"/>
          <w:sz w:val="24"/>
          <w:szCs w:val="24"/>
          <w:lang w:val="es-MX"/>
        </w:rPr>
        <w:t>2</w:t>
      </w:r>
      <w:r w:rsidR="00746251" w:rsidRPr="00B07754">
        <w:rPr>
          <w:rFonts w:ascii="Times New Roman" w:hAnsi="Times New Roman"/>
          <w:sz w:val="24"/>
          <w:szCs w:val="24"/>
          <w:lang w:val="es-MX"/>
        </w:rPr>
        <w:t xml:space="preserve"> Depósitos  Monetarios y Preferencia de Liquidez 1994 - 1997</w:t>
      </w:r>
      <w:r w:rsidR="00624F47">
        <w:rPr>
          <w:rFonts w:ascii="Times New Roman" w:hAnsi="Times New Roman"/>
          <w:sz w:val="24"/>
          <w:szCs w:val="24"/>
          <w:lang w:val="es-MX"/>
        </w:rPr>
        <w:tab/>
        <w:t>56</w:t>
      </w:r>
    </w:p>
    <w:p w:rsidR="000D716D" w:rsidRPr="00B07754" w:rsidRDefault="000D716D"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Tabla</w:t>
      </w:r>
      <w:r w:rsidR="005C1954" w:rsidRPr="00B07754">
        <w:rPr>
          <w:rFonts w:ascii="Times New Roman" w:hAnsi="Times New Roman"/>
          <w:sz w:val="24"/>
          <w:szCs w:val="24"/>
          <w:lang w:val="es-MX"/>
        </w:rPr>
        <w:t xml:space="preserve"> </w:t>
      </w:r>
      <w:r w:rsidR="00CE4F4D" w:rsidRPr="00B07754">
        <w:rPr>
          <w:rFonts w:ascii="Times New Roman" w:hAnsi="Times New Roman"/>
          <w:sz w:val="24"/>
          <w:szCs w:val="24"/>
          <w:lang w:val="es-MX"/>
        </w:rPr>
        <w:t>3</w:t>
      </w:r>
      <w:r w:rsidR="00746251" w:rsidRPr="00B07754">
        <w:rPr>
          <w:rFonts w:ascii="Times New Roman" w:hAnsi="Times New Roman"/>
          <w:sz w:val="24"/>
          <w:szCs w:val="24"/>
          <w:lang w:val="es-MX"/>
        </w:rPr>
        <w:t xml:space="preserve"> Indicadores de Dolarización en el Ecuador. </w:t>
      </w:r>
      <w:r w:rsidR="00624F47">
        <w:rPr>
          <w:rFonts w:ascii="Times New Roman" w:hAnsi="Times New Roman"/>
          <w:sz w:val="24"/>
          <w:szCs w:val="24"/>
          <w:lang w:val="es-MX"/>
        </w:rPr>
        <w:tab/>
        <w:t>57</w:t>
      </w:r>
    </w:p>
    <w:p w:rsidR="000D716D" w:rsidRPr="00B07754" w:rsidRDefault="00CE4F4D"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Tabla 4</w:t>
      </w:r>
      <w:r w:rsidR="00746251" w:rsidRPr="00B07754">
        <w:rPr>
          <w:rFonts w:ascii="Times New Roman" w:hAnsi="Times New Roman"/>
          <w:sz w:val="24"/>
          <w:szCs w:val="24"/>
          <w:lang w:val="es-MX"/>
        </w:rPr>
        <w:t xml:space="preserve"> Cambios Absolutos de la Emisión Monetaria y Tasa de Variación Anual </w:t>
      </w:r>
      <w:r w:rsidR="00624F47">
        <w:rPr>
          <w:rFonts w:ascii="Times New Roman" w:hAnsi="Times New Roman"/>
          <w:sz w:val="24"/>
          <w:szCs w:val="24"/>
          <w:lang w:val="es-MX"/>
        </w:rPr>
        <w:tab/>
        <w:t>62</w:t>
      </w:r>
    </w:p>
    <w:p w:rsidR="000D716D" w:rsidRPr="00B07754" w:rsidRDefault="005C1954"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CE4F4D" w:rsidRPr="00B07754">
        <w:rPr>
          <w:rFonts w:ascii="Times New Roman" w:hAnsi="Times New Roman"/>
          <w:sz w:val="24"/>
          <w:szCs w:val="24"/>
          <w:lang w:val="es-MX"/>
        </w:rPr>
        <w:t>5</w:t>
      </w:r>
      <w:r w:rsidR="00746251" w:rsidRPr="00B07754">
        <w:rPr>
          <w:rFonts w:ascii="Times New Roman" w:hAnsi="Times New Roman"/>
          <w:sz w:val="24"/>
          <w:szCs w:val="24"/>
          <w:lang w:val="es-MX"/>
        </w:rPr>
        <w:t xml:space="preserve"> Depósitos Monetarios y Preferencia de Liquidez 1997 - 1999</w:t>
      </w:r>
      <w:r w:rsidR="00624F47">
        <w:rPr>
          <w:rFonts w:ascii="Times New Roman" w:hAnsi="Times New Roman"/>
          <w:sz w:val="24"/>
          <w:szCs w:val="24"/>
          <w:lang w:val="es-MX"/>
        </w:rPr>
        <w:tab/>
        <w:t>63</w:t>
      </w:r>
    </w:p>
    <w:p w:rsidR="000D716D" w:rsidRPr="00B07754" w:rsidRDefault="005C1954"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CE4F4D" w:rsidRPr="00B07754">
        <w:rPr>
          <w:rFonts w:ascii="Times New Roman" w:hAnsi="Times New Roman"/>
          <w:sz w:val="24"/>
          <w:szCs w:val="24"/>
          <w:lang w:val="es-MX"/>
        </w:rPr>
        <w:t>6</w:t>
      </w:r>
      <w:r w:rsidR="00746251" w:rsidRPr="00B07754">
        <w:rPr>
          <w:rFonts w:ascii="Times New Roman" w:hAnsi="Times New Roman"/>
          <w:sz w:val="24"/>
          <w:szCs w:val="24"/>
          <w:lang w:val="es-MX"/>
        </w:rPr>
        <w:t xml:space="preserve"> Índice de Precios al Consumidor 1995 - 2001</w:t>
      </w:r>
      <w:r w:rsidR="00624F47">
        <w:rPr>
          <w:rFonts w:ascii="Times New Roman" w:hAnsi="Times New Roman"/>
          <w:sz w:val="24"/>
          <w:szCs w:val="24"/>
          <w:lang w:val="es-MX"/>
        </w:rPr>
        <w:tab/>
        <w:t>66</w:t>
      </w:r>
    </w:p>
    <w:p w:rsidR="002E55C5" w:rsidRPr="00B07754" w:rsidRDefault="005C1954"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2E55C5" w:rsidRPr="00B07754">
        <w:rPr>
          <w:rFonts w:ascii="Times New Roman" w:hAnsi="Times New Roman"/>
          <w:sz w:val="24"/>
          <w:szCs w:val="24"/>
          <w:lang w:val="es-MX"/>
        </w:rPr>
        <w:t>7 Tipo de Cambio en Sucres y s</w:t>
      </w:r>
      <w:r w:rsidR="00624F47">
        <w:rPr>
          <w:rFonts w:ascii="Times New Roman" w:hAnsi="Times New Roman"/>
          <w:sz w:val="24"/>
          <w:szCs w:val="24"/>
          <w:lang w:val="es-MX"/>
        </w:rPr>
        <w:t>u tasa de variación 1980-2000</w:t>
      </w:r>
      <w:r w:rsidR="00624F47">
        <w:rPr>
          <w:rFonts w:ascii="Times New Roman" w:hAnsi="Times New Roman"/>
          <w:sz w:val="24"/>
          <w:szCs w:val="24"/>
          <w:lang w:val="es-MX"/>
        </w:rPr>
        <w:tab/>
        <w:t>67</w:t>
      </w:r>
    </w:p>
    <w:p w:rsidR="000D716D" w:rsidRPr="00B07754" w:rsidRDefault="00E92DEB"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5C1954" w:rsidRPr="00B07754">
        <w:rPr>
          <w:rFonts w:ascii="Times New Roman" w:hAnsi="Times New Roman"/>
          <w:sz w:val="24"/>
          <w:szCs w:val="24"/>
          <w:lang w:val="es-MX"/>
        </w:rPr>
        <w:t>8</w:t>
      </w:r>
      <w:r w:rsidR="00AA59B7" w:rsidRPr="00B07754">
        <w:rPr>
          <w:rFonts w:ascii="Times New Roman" w:hAnsi="Times New Roman"/>
          <w:sz w:val="24"/>
          <w:szCs w:val="24"/>
          <w:lang w:val="es-MX"/>
        </w:rPr>
        <w:t xml:space="preserve"> Indicadores Concentración para Captaciones y Colocaciones 2002 - 2012</w:t>
      </w:r>
      <w:r w:rsidR="00624F47">
        <w:rPr>
          <w:rFonts w:ascii="Times New Roman" w:hAnsi="Times New Roman"/>
          <w:sz w:val="24"/>
          <w:szCs w:val="24"/>
          <w:lang w:val="es-MX"/>
        </w:rPr>
        <w:tab/>
        <w:t>74</w:t>
      </w:r>
    </w:p>
    <w:p w:rsidR="000D716D" w:rsidRPr="00B07754" w:rsidRDefault="00CE4F4D"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Tabla</w:t>
      </w:r>
      <w:r w:rsidR="005C1954" w:rsidRPr="00B07754">
        <w:rPr>
          <w:rFonts w:ascii="Times New Roman" w:hAnsi="Times New Roman"/>
          <w:sz w:val="24"/>
          <w:szCs w:val="24"/>
          <w:lang w:val="es-MX"/>
        </w:rPr>
        <w:t xml:space="preserve"> 9</w:t>
      </w:r>
      <w:r w:rsidR="00E42858" w:rsidRPr="00B07754">
        <w:rPr>
          <w:rFonts w:ascii="Times New Roman" w:hAnsi="Times New Roman"/>
          <w:sz w:val="24"/>
          <w:szCs w:val="24"/>
          <w:lang w:val="es-MX"/>
        </w:rPr>
        <w:t xml:space="preserve"> Resultados de la Estimación Estadístico H</w:t>
      </w:r>
      <w:r w:rsidR="00624F47">
        <w:rPr>
          <w:rFonts w:ascii="Times New Roman" w:hAnsi="Times New Roman"/>
          <w:sz w:val="24"/>
          <w:szCs w:val="24"/>
          <w:lang w:val="es-MX"/>
        </w:rPr>
        <w:tab/>
        <w:t>79</w:t>
      </w:r>
    </w:p>
    <w:p w:rsidR="000D716D" w:rsidRPr="00B07754" w:rsidRDefault="00CE4F4D"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5C1954" w:rsidRPr="00B07754">
        <w:rPr>
          <w:rFonts w:ascii="Times New Roman" w:hAnsi="Times New Roman"/>
          <w:sz w:val="24"/>
          <w:szCs w:val="24"/>
          <w:lang w:val="es-MX"/>
        </w:rPr>
        <w:t>10</w:t>
      </w:r>
      <w:r w:rsidR="00E42858" w:rsidRPr="00B07754">
        <w:rPr>
          <w:rFonts w:ascii="Times New Roman" w:hAnsi="Times New Roman"/>
          <w:sz w:val="24"/>
          <w:szCs w:val="24"/>
          <w:lang w:val="es-MX"/>
        </w:rPr>
        <w:t xml:space="preserve"> Prueba de Equilibrio Estadístico H, ROE</w:t>
      </w:r>
      <w:r w:rsidR="00624F47">
        <w:rPr>
          <w:rFonts w:ascii="Times New Roman" w:hAnsi="Times New Roman"/>
          <w:sz w:val="24"/>
          <w:szCs w:val="24"/>
          <w:lang w:val="es-MX"/>
        </w:rPr>
        <w:tab/>
        <w:t>80</w:t>
      </w:r>
    </w:p>
    <w:p w:rsidR="000D716D" w:rsidRPr="00B07754" w:rsidRDefault="005C1954"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Tabla 11</w:t>
      </w:r>
      <w:r w:rsidR="00E42858" w:rsidRPr="00B07754">
        <w:rPr>
          <w:rFonts w:ascii="Times New Roman" w:hAnsi="Times New Roman"/>
          <w:sz w:val="24"/>
          <w:szCs w:val="24"/>
          <w:lang w:val="es-MX"/>
        </w:rPr>
        <w:t xml:space="preserve"> Prueba de Equilibrio Estadístico H, ROA</w:t>
      </w:r>
      <w:r w:rsidR="00624F47">
        <w:rPr>
          <w:rFonts w:ascii="Times New Roman" w:hAnsi="Times New Roman"/>
          <w:sz w:val="24"/>
          <w:szCs w:val="24"/>
          <w:lang w:val="es-MX"/>
        </w:rPr>
        <w:tab/>
        <w:t>80</w:t>
      </w:r>
    </w:p>
    <w:p w:rsidR="000D716D" w:rsidRPr="00B07754" w:rsidRDefault="005C1954"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Tabla 12</w:t>
      </w:r>
      <w:r w:rsidR="00E42858" w:rsidRPr="00B07754">
        <w:rPr>
          <w:rFonts w:ascii="Times New Roman" w:hAnsi="Times New Roman"/>
          <w:sz w:val="24"/>
          <w:szCs w:val="24"/>
          <w:lang w:val="es-MX"/>
        </w:rPr>
        <w:t xml:space="preserve"> Correlaciones entre indicadores de Competencia y Concentración</w:t>
      </w:r>
      <w:r w:rsidR="00624F47">
        <w:rPr>
          <w:rFonts w:ascii="Times New Roman" w:hAnsi="Times New Roman"/>
          <w:sz w:val="24"/>
          <w:szCs w:val="24"/>
          <w:lang w:val="es-MX"/>
        </w:rPr>
        <w:tab/>
        <w:t>83</w:t>
      </w:r>
    </w:p>
    <w:p w:rsidR="000D716D" w:rsidRPr="00B07754" w:rsidRDefault="00CE4F4D" w:rsidP="002B5E62">
      <w:pPr>
        <w:tabs>
          <w:tab w:val="right" w:leader="dot" w:pos="9112"/>
        </w:tabs>
        <w:spacing w:line="360" w:lineRule="auto"/>
        <w:rPr>
          <w:rFonts w:ascii="Times New Roman" w:hAnsi="Times New Roman"/>
          <w:sz w:val="24"/>
          <w:szCs w:val="24"/>
          <w:lang w:val="es-MX"/>
        </w:rPr>
      </w:pPr>
      <w:r w:rsidRPr="00B07754">
        <w:rPr>
          <w:rFonts w:ascii="Times New Roman" w:hAnsi="Times New Roman"/>
          <w:sz w:val="24"/>
          <w:szCs w:val="24"/>
          <w:lang w:val="es-MX"/>
        </w:rPr>
        <w:t xml:space="preserve">Tabla </w:t>
      </w:r>
      <w:r w:rsidR="005C1954" w:rsidRPr="00B07754">
        <w:rPr>
          <w:rFonts w:ascii="Times New Roman" w:hAnsi="Times New Roman"/>
          <w:sz w:val="24"/>
          <w:szCs w:val="24"/>
          <w:lang w:val="es-MX"/>
        </w:rPr>
        <w:t>13</w:t>
      </w:r>
      <w:r w:rsidR="00E42858" w:rsidRPr="00B07754">
        <w:rPr>
          <w:rFonts w:ascii="Times New Roman" w:hAnsi="Times New Roman"/>
          <w:sz w:val="24"/>
          <w:szCs w:val="24"/>
          <w:lang w:val="es-MX"/>
        </w:rPr>
        <w:t xml:space="preserve"> Relación Competencia - Estabilidad. </w:t>
      </w:r>
      <w:r w:rsidR="00624F47">
        <w:rPr>
          <w:rFonts w:ascii="Times New Roman" w:hAnsi="Times New Roman"/>
          <w:sz w:val="24"/>
          <w:szCs w:val="24"/>
          <w:lang w:val="es-MX"/>
        </w:rPr>
        <w:tab/>
        <w:t>85</w:t>
      </w:r>
    </w:p>
    <w:p w:rsidR="005D5E80" w:rsidRPr="00B07754" w:rsidRDefault="005D5E80" w:rsidP="002B5E62">
      <w:pPr>
        <w:spacing w:line="360" w:lineRule="auto"/>
        <w:rPr>
          <w:rFonts w:ascii="Times New Roman" w:hAnsi="Times New Roman"/>
          <w:sz w:val="24"/>
          <w:szCs w:val="24"/>
          <w:lang w:val="es-MX"/>
        </w:rPr>
      </w:pPr>
    </w:p>
    <w:p w:rsidR="005D5E80" w:rsidRPr="00B07754" w:rsidRDefault="005D5E80" w:rsidP="002B5E62">
      <w:pPr>
        <w:spacing w:line="360" w:lineRule="auto"/>
        <w:rPr>
          <w:rFonts w:ascii="Times New Roman" w:eastAsia="Times New Roman" w:hAnsi="Times New Roman"/>
          <w:b/>
          <w:bCs/>
          <w:sz w:val="24"/>
          <w:szCs w:val="24"/>
          <w:lang w:val="es-MX"/>
        </w:rPr>
      </w:pPr>
      <w:r w:rsidRPr="00B07754">
        <w:rPr>
          <w:rFonts w:ascii="Times New Roman" w:hAnsi="Times New Roman"/>
          <w:sz w:val="24"/>
          <w:szCs w:val="24"/>
          <w:lang w:val="es-MX"/>
        </w:rPr>
        <w:br w:type="page"/>
      </w:r>
    </w:p>
    <w:p w:rsidR="00F529F6" w:rsidRPr="00B07754" w:rsidRDefault="00F529F6" w:rsidP="002B5E62">
      <w:pPr>
        <w:spacing w:line="360" w:lineRule="auto"/>
        <w:rPr>
          <w:rFonts w:ascii="Times New Roman" w:hAnsi="Times New Roman"/>
          <w:sz w:val="24"/>
          <w:szCs w:val="24"/>
          <w:lang w:val="es-MX"/>
        </w:rPr>
      </w:pPr>
    </w:p>
    <w:p w:rsidR="00F529F6" w:rsidRPr="00B07754" w:rsidRDefault="00F529F6" w:rsidP="002B5E62">
      <w:pPr>
        <w:spacing w:line="360" w:lineRule="auto"/>
        <w:rPr>
          <w:rFonts w:ascii="Times New Roman" w:hAnsi="Times New Roman"/>
          <w:sz w:val="24"/>
          <w:szCs w:val="24"/>
          <w:lang w:val="es-MX"/>
        </w:rPr>
      </w:pPr>
    </w:p>
    <w:p w:rsidR="00F529F6" w:rsidRPr="00B07754" w:rsidRDefault="00F529F6" w:rsidP="002B5E62">
      <w:pPr>
        <w:spacing w:line="360" w:lineRule="auto"/>
        <w:rPr>
          <w:rFonts w:ascii="Times New Roman" w:hAnsi="Times New Roman"/>
          <w:sz w:val="24"/>
          <w:szCs w:val="24"/>
          <w:lang w:val="es-MX"/>
        </w:rPr>
      </w:pPr>
    </w:p>
    <w:p w:rsidR="00536C4E" w:rsidRPr="00B07754" w:rsidRDefault="00536C4E" w:rsidP="002B5E62">
      <w:pPr>
        <w:pStyle w:val="Ttulo1"/>
        <w:spacing w:before="0" w:after="200" w:line="360" w:lineRule="auto"/>
        <w:ind w:left="432" w:hanging="432"/>
        <w:jc w:val="center"/>
        <w:rPr>
          <w:rFonts w:ascii="Times New Roman" w:hAnsi="Times New Roman"/>
          <w:color w:val="auto"/>
          <w:sz w:val="24"/>
          <w:szCs w:val="24"/>
          <w:lang w:val="es-MX"/>
        </w:rPr>
      </w:pPr>
      <w:bookmarkStart w:id="6" w:name="_Toc372589953"/>
      <w:r w:rsidRPr="00B07754">
        <w:rPr>
          <w:rFonts w:ascii="Times New Roman" w:hAnsi="Times New Roman"/>
          <w:color w:val="auto"/>
          <w:sz w:val="24"/>
          <w:szCs w:val="24"/>
          <w:lang w:val="es-MX"/>
        </w:rPr>
        <w:t>INTRODUCCIÓN</w:t>
      </w:r>
      <w:bookmarkEnd w:id="6"/>
    </w:p>
    <w:p w:rsidR="00206715" w:rsidRPr="00B07754" w:rsidRDefault="00206715" w:rsidP="002B5E62">
      <w:pPr>
        <w:spacing w:line="360" w:lineRule="auto"/>
        <w:rPr>
          <w:rFonts w:ascii="Times New Roman" w:hAnsi="Times New Roman"/>
          <w:sz w:val="24"/>
          <w:szCs w:val="24"/>
          <w:lang w:val="es-MX"/>
        </w:rPr>
      </w:pP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La estabilidad dentro del sistema bancario es, sin duda, un elemento indispensable para lograr un entorno saludable en la economía y, por lo tanto, para lograr crecimiento. Ello se debe a que la banca, al canalizar recursos hacia actividades principalmente productivas (sea otorgándoles crédito directamente o financiando a sus compradores), incentiva a las empresas a invertir en activos que generen ingresos y como consecuencia,  incrementen las fuentes de empleo, disminuyendo la pobreza. Por esta razón es que existe un profundo debate en torno a las políticas adecuadas para garantizar dicha estabilidad, debate que, por cierto,  poco ha considerado la relación existente entre el nivel de competencia del sistema bancario con la estabilidad del mismo.</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el Ecuador es muy difundido el criterio de que en el sistema bancario no existe suficiente competencia y que si los precios no son fijados por la autoridad correspondiente, éstos serían determinados por acuerdos entre los banqueros. El criterio relacionado al nivel de concentración bancaria puede ser corroborado por lo expresado en documentos como: </w:t>
      </w:r>
    </w:p>
    <w:p w:rsidR="00536C4E" w:rsidRPr="00B07754" w:rsidRDefault="00536C4E" w:rsidP="002B5E62">
      <w:pPr>
        <w:pStyle w:val="Prrafodelista"/>
        <w:numPr>
          <w:ilvl w:val="0"/>
          <w:numId w:val="26"/>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Gestión de la Liquidez, Crédito y Sistema Financiero en Ecuador, publicado por el Banco Central del Ecuador, en el que se concluye “el sistema bancario se caracteriza por ser altamente concentrado” y que para finales del año 2005 alrededor del 70% de la cartera neta y los depósitos a la vista y plazo se encontraban en los 6 bancos más grandes del Ecuador. </w:t>
      </w:r>
      <w:sdt>
        <w:sdtPr>
          <w:rPr>
            <w:rFonts w:ascii="Times New Roman" w:hAnsi="Times New Roman"/>
            <w:sz w:val="24"/>
            <w:szCs w:val="24"/>
            <w:lang w:val="es-MX"/>
          </w:rPr>
          <w:id w:val="-204527738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Fer06 \p 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(Uzcátegui, 2006, pág. 7)</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536C4E" w:rsidRPr="00B07754" w:rsidRDefault="00536C4E" w:rsidP="002B5E62">
      <w:pPr>
        <w:pStyle w:val="Prrafodelista"/>
        <w:numPr>
          <w:ilvl w:val="0"/>
          <w:numId w:val="26"/>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De acuerdo a la revista EKOS en su artículo </w:t>
      </w:r>
      <w:r w:rsidR="00D41EEF" w:rsidRPr="00B07754">
        <w:rPr>
          <w:rFonts w:ascii="Times New Roman" w:hAnsi="Times New Roman"/>
          <w:sz w:val="24"/>
          <w:szCs w:val="24"/>
          <w:lang w:val="es-MX"/>
        </w:rPr>
        <w:t>“Análisis del Sistema Financiero</w:t>
      </w:r>
      <w:r w:rsidRPr="00B07754">
        <w:rPr>
          <w:rFonts w:ascii="Times New Roman" w:hAnsi="Times New Roman"/>
          <w:sz w:val="24"/>
          <w:szCs w:val="24"/>
          <w:lang w:val="es-MX"/>
        </w:rPr>
        <w:t xml:space="preserve"> en Ecuador, para el año 2011 el análisis de la concentración de las utilidades del sistema financiero indica que cerca del 70% corresponde a los siete bancos más grandes. Además, el análisis señala que solo Banco de Guayaquil y Banco Pichincha registraban para dicho año el 40% del total del sistema financiero. </w:t>
      </w:r>
      <w:sdt>
        <w:sdtPr>
          <w:rPr>
            <w:rFonts w:ascii="Times New Roman" w:hAnsi="Times New Roman"/>
            <w:sz w:val="24"/>
            <w:szCs w:val="24"/>
            <w:lang w:val="es-MX"/>
          </w:rPr>
          <w:id w:val="1226728676"/>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 CITATION Red12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(Redacción EKOS, 2012)</w:t>
          </w:r>
          <w:r w:rsidRPr="00B07754">
            <w:rPr>
              <w:rFonts w:ascii="Times New Roman" w:hAnsi="Times New Roman"/>
              <w:sz w:val="24"/>
              <w:szCs w:val="24"/>
              <w:lang w:val="es-MX"/>
            </w:rPr>
            <w:fldChar w:fldCharType="end"/>
          </w:r>
        </w:sdtContent>
      </w:sdt>
    </w:p>
    <w:p w:rsidR="00536C4E" w:rsidRPr="00B07754" w:rsidRDefault="00536C4E" w:rsidP="002B5E62">
      <w:pPr>
        <w:pStyle w:val="Prrafodelista"/>
        <w:numPr>
          <w:ilvl w:val="0"/>
          <w:numId w:val="26"/>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El porcentaje de concentración presentado por el documento del Banco Central del Ecuador antes citado, se mantuvo para el año 2012 según el Boletín Económico de la Cámara de Comercio de Guayaquil. </w:t>
      </w:r>
      <w:sdt>
        <w:sdtPr>
          <w:rPr>
            <w:rFonts w:ascii="Times New Roman" w:hAnsi="Times New Roman"/>
            <w:sz w:val="24"/>
            <w:szCs w:val="24"/>
            <w:lang w:val="es-MX"/>
          </w:rPr>
          <w:id w:val="-116956654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Cám12 \p 1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(Cámara de Comercio de Guayaquil, 2012, pág. 1)</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Por su parte, el pensamiento oficial vigente en estos días, parece encontrarse alineado con esta visión conforme se deduce de varios criterios vertidos por las autoridades correspondientes. Tal es el caso de lo expresado por el Presidente de la República del Ecuador, Rafael Correa, cuando anunció la ley para regular los monopolios del país hizo referencia al poder de mercado que posee la banca, utilizando como ejemplo que las instituciones que la conforman ofrecen créditos a los usuarios para la compra de vehículos pero que a su vez les obligan a contratar el seguro respectivo con empresas vinculadas a esas entidades</w:t>
      </w:r>
      <w:sdt>
        <w:sdtPr>
          <w:rPr>
            <w:rFonts w:ascii="Times New Roman" w:hAnsi="Times New Roman"/>
            <w:sz w:val="24"/>
            <w:szCs w:val="24"/>
            <w:lang w:val="es-MX"/>
          </w:rPr>
          <w:id w:val="85138828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Red11 \p 1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(Redacción Diario El Universo, 2011, pág. 1)</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De la misma manera, las autoridades de planificación consideran que el mercado ecuatoriano se comporta según un modelo de </w:t>
      </w:r>
      <w:proofErr w:type="spellStart"/>
      <w:r w:rsidRPr="00B07754">
        <w:rPr>
          <w:rFonts w:ascii="Times New Roman" w:hAnsi="Times New Roman"/>
          <w:sz w:val="24"/>
          <w:szCs w:val="24"/>
          <w:lang w:val="es-MX"/>
        </w:rPr>
        <w:t>Stackelberg</w:t>
      </w:r>
      <w:proofErr w:type="spellEnd"/>
      <w:r w:rsidRPr="00B07754">
        <w:rPr>
          <w:rFonts w:ascii="Times New Roman" w:hAnsi="Times New Roman"/>
          <w:sz w:val="24"/>
          <w:szCs w:val="24"/>
          <w:lang w:val="es-MX"/>
        </w:rPr>
        <w:t xml:space="preserve"> de competencia imperfecta, en el cual el líder de mercado impone las condiciones y los demás le siguen. </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Ahora bien, se puede decir que luego de la crisis financiera de 1999 y gracias a la dolarización la economía ecuatoriana pudo estabilizarse a partir de la disminución de la inflación. Sin embargo, si bien existen estudios que analizan el comportamiento del crédito o el nivel de concentración de mercado del sistema bancario, no existen estudios que busquen identificar la relación existente entre el nivel de competencia y la estabilidad bancaria –clave para el funcionamiento de la economía y prevención de una crisis-. </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Con esta investigación se pretende precisamente incursionar dentro del campo mencionado y determinar qué tipo de relación ha existido entre las dos variables durante el periodo 2002 – 2012 en el Ecuador, de manera que los hallazgos apoyen en el diseño de las políticas más efectivas para apuntar a una situación de estabilidad bancaria. Para ello se contrasta la literatura existente acerca de la relación entre estabilidad bancaria y nivel de competencia, se analiza  lo que señala la teoría en lo referente a competencia, concentración y estabilidad en el sistema bancario. Además se hace una revisión a la supervisión y regulación bancaria, no solo en términos de competencia, que se ha establecido a través de los años para precautelar la estabilidad financiera. Posteriormente, se analizan las causas de las crisis financieras y su repercusión en la economía para su aplicación en el entendimiento de los fenómenos que originaron la crisis financiera en el </w:t>
      </w:r>
      <w:r w:rsidRPr="00B07754">
        <w:rPr>
          <w:rFonts w:ascii="Times New Roman" w:hAnsi="Times New Roman"/>
          <w:sz w:val="24"/>
          <w:szCs w:val="24"/>
          <w:lang w:val="es-MX"/>
        </w:rPr>
        <w:lastRenderedPageBreak/>
        <w:t>Ecuador de 1998 y 1999. Por último, y a través de la implementación de modelos econométricos</w:t>
      </w:r>
      <w:r w:rsidR="00B90D55" w:rsidRPr="00B07754">
        <w:rPr>
          <w:rFonts w:ascii="Times New Roman" w:hAnsi="Times New Roman"/>
          <w:sz w:val="24"/>
          <w:szCs w:val="24"/>
          <w:lang w:val="es-MX"/>
        </w:rPr>
        <w:t>,</w:t>
      </w:r>
      <w:r w:rsidRPr="00B07754">
        <w:rPr>
          <w:rFonts w:ascii="Times New Roman" w:hAnsi="Times New Roman"/>
          <w:sz w:val="24"/>
          <w:szCs w:val="24"/>
          <w:lang w:val="es-MX"/>
        </w:rPr>
        <w:t xml:space="preserve"> se determina la naturaleza de la relación entre nivel de competencia y estabilidad para el Ecuador durante el periodo de estudio. </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Conforme se mencionó anteriormente, los resultados de esta investigación son importantes porque permitir</w:t>
      </w:r>
      <w:r w:rsidR="00B90D55" w:rsidRPr="00B07754">
        <w:rPr>
          <w:rFonts w:ascii="Times New Roman" w:hAnsi="Times New Roman"/>
          <w:sz w:val="24"/>
          <w:szCs w:val="24"/>
          <w:lang w:val="es-MX"/>
        </w:rPr>
        <w:t>á</w:t>
      </w:r>
      <w:r w:rsidRPr="00B07754">
        <w:rPr>
          <w:rFonts w:ascii="Times New Roman" w:hAnsi="Times New Roman"/>
          <w:sz w:val="24"/>
          <w:szCs w:val="24"/>
          <w:lang w:val="es-MX"/>
        </w:rPr>
        <w:t>n contar con un elemento de referencia para desarrollar políticas que de manera efectiva se orienten a lograr la estabilidad económica del propio sistema bancario y, por lo tanto, de toda la economía.</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En suma, garantizar la estabilidad financiera debe ser quizás el más importante objetivo de política para todas aquellas personas que tengan el poder de diseñarlas, pues las  repercusiones de las crisis financieras son inmensas en toda la economía</w:t>
      </w:r>
      <w:r w:rsidR="00B90D55" w:rsidRPr="00B07754">
        <w:rPr>
          <w:rFonts w:ascii="Times New Roman" w:hAnsi="Times New Roman"/>
          <w:sz w:val="24"/>
          <w:szCs w:val="24"/>
          <w:lang w:val="es-MX"/>
        </w:rPr>
        <w:t>.</w:t>
      </w:r>
      <w:r w:rsidRPr="00B07754">
        <w:rPr>
          <w:rFonts w:ascii="Times New Roman" w:hAnsi="Times New Roman"/>
          <w:sz w:val="24"/>
          <w:szCs w:val="24"/>
          <w:lang w:val="es-MX"/>
        </w:rPr>
        <w:t xml:space="preserve"> </w:t>
      </w:r>
      <w:r w:rsidR="00B90D55" w:rsidRPr="00B07754">
        <w:rPr>
          <w:rFonts w:ascii="Times New Roman" w:hAnsi="Times New Roman"/>
          <w:sz w:val="24"/>
          <w:szCs w:val="24"/>
          <w:lang w:val="es-MX"/>
        </w:rPr>
        <w:t>Entre estas repercusiones</w:t>
      </w:r>
      <w:r w:rsidRPr="00B07754">
        <w:rPr>
          <w:rFonts w:ascii="Times New Roman" w:hAnsi="Times New Roman"/>
          <w:sz w:val="24"/>
          <w:szCs w:val="24"/>
          <w:lang w:val="es-MX"/>
        </w:rPr>
        <w:t xml:space="preserve"> la inevitable redistribución de la riqueza en detrimento de los más pobres y la reducción global del ingreso y del patrimonio, son a no dudarlo, fenómenos que la autoridad pública tiene necesariamente que tratar de evitar. El costo agregado inmediato y mediato de las crisis financieras se mide por la pérdida del producto, mayores gastos fiscales y más deuda pública. </w:t>
      </w:r>
      <w:r w:rsidRPr="00B07754">
        <w:rPr>
          <w:rFonts w:ascii="Times New Roman" w:hAnsi="Times New Roman"/>
          <w:noProof/>
          <w:sz w:val="24"/>
          <w:szCs w:val="24"/>
          <w:lang w:val="es-MX"/>
        </w:rPr>
        <w:t>(Montas, pág. 1), pero hay graves lesiones sobre la credibilidad, la confianza pública y en general el bienestar de la población, que siendo obvios, son mucho más difíciles de medir</w:t>
      </w:r>
      <w:r w:rsidRPr="00B07754">
        <w:rPr>
          <w:rFonts w:ascii="Times New Roman" w:hAnsi="Times New Roman"/>
          <w:sz w:val="24"/>
          <w:szCs w:val="24"/>
          <w:lang w:val="es-MX"/>
        </w:rPr>
        <w:t>. Así también, la pérdida de puestos de trabajo</w:t>
      </w:r>
      <w:r w:rsidR="00B90D55" w:rsidRPr="00B07754">
        <w:rPr>
          <w:rFonts w:ascii="Times New Roman" w:hAnsi="Times New Roman"/>
          <w:sz w:val="24"/>
          <w:szCs w:val="24"/>
          <w:lang w:val="es-MX"/>
        </w:rPr>
        <w:t>,</w:t>
      </w:r>
      <w:r w:rsidRPr="00B07754">
        <w:rPr>
          <w:rFonts w:ascii="Times New Roman" w:hAnsi="Times New Roman"/>
          <w:sz w:val="24"/>
          <w:szCs w:val="24"/>
          <w:lang w:val="es-MX"/>
        </w:rPr>
        <w:t xml:space="preserve"> que deviene de las crisis financieras, que influye en el incremento de las tasas de pobreza y genera un costo económico relacionado con lo que se deja de producir y que no se podrá recuperar -no solo son bienes materiales sino también la pérdida de destrezas y habilidades-. </w:t>
      </w:r>
      <w:r w:rsidRPr="00B07754">
        <w:rPr>
          <w:rFonts w:ascii="Times New Roman" w:hAnsi="Times New Roman"/>
          <w:noProof/>
          <w:sz w:val="24"/>
          <w:szCs w:val="24"/>
          <w:lang w:val="es-MX"/>
        </w:rPr>
        <w:t>(Leandro, pág. 1)</w:t>
      </w:r>
      <w:r w:rsidRPr="00B07754">
        <w:rPr>
          <w:rFonts w:ascii="Times New Roman" w:hAnsi="Times New Roman"/>
          <w:sz w:val="24"/>
          <w:szCs w:val="24"/>
          <w:lang w:val="es-MX"/>
        </w:rPr>
        <w:t xml:space="preserve">. </w:t>
      </w:r>
    </w:p>
    <w:p w:rsidR="00536C4E" w:rsidRPr="00B07754" w:rsidRDefault="00536C4E"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ab/>
      </w:r>
    </w:p>
    <w:p w:rsidR="00782E35" w:rsidRPr="00B07754" w:rsidRDefault="00782E35" w:rsidP="002B5E62">
      <w:pPr>
        <w:spacing w:line="360" w:lineRule="auto"/>
        <w:rPr>
          <w:rFonts w:ascii="Times New Roman" w:hAnsi="Times New Roman"/>
          <w:sz w:val="24"/>
          <w:szCs w:val="24"/>
        </w:rPr>
      </w:pPr>
    </w:p>
    <w:p w:rsidR="00782E35" w:rsidRPr="00B07754" w:rsidRDefault="00782E35" w:rsidP="002B5E62">
      <w:pPr>
        <w:spacing w:line="360" w:lineRule="auto"/>
        <w:rPr>
          <w:rFonts w:ascii="Times New Roman" w:hAnsi="Times New Roman"/>
          <w:sz w:val="24"/>
          <w:szCs w:val="24"/>
        </w:rPr>
      </w:pPr>
    </w:p>
    <w:p w:rsidR="00536C4E" w:rsidRPr="00B07754" w:rsidRDefault="00536C4E" w:rsidP="002B5E62">
      <w:pPr>
        <w:spacing w:line="360" w:lineRule="auto"/>
        <w:rPr>
          <w:rFonts w:ascii="Times New Roman" w:hAnsi="Times New Roman"/>
          <w:sz w:val="24"/>
          <w:szCs w:val="24"/>
        </w:rPr>
      </w:pPr>
    </w:p>
    <w:p w:rsidR="00536C4E" w:rsidRPr="00B07754" w:rsidRDefault="00536C4E" w:rsidP="002B5E62">
      <w:pPr>
        <w:spacing w:line="360" w:lineRule="auto"/>
        <w:rPr>
          <w:rFonts w:ascii="Times New Roman" w:hAnsi="Times New Roman"/>
          <w:sz w:val="24"/>
          <w:szCs w:val="24"/>
        </w:rPr>
      </w:pPr>
    </w:p>
    <w:p w:rsidR="00CF7D2E" w:rsidRPr="00B07754" w:rsidRDefault="00CF7D2E" w:rsidP="002B5E62">
      <w:pPr>
        <w:spacing w:line="360" w:lineRule="auto"/>
        <w:rPr>
          <w:rFonts w:ascii="Times New Roman" w:hAnsi="Times New Roman"/>
          <w:sz w:val="24"/>
          <w:szCs w:val="24"/>
        </w:rPr>
      </w:pPr>
    </w:p>
    <w:p w:rsidR="00CF7D2E" w:rsidRPr="00B07754" w:rsidRDefault="00CF7D2E" w:rsidP="002B5E62">
      <w:pPr>
        <w:spacing w:line="360" w:lineRule="auto"/>
        <w:rPr>
          <w:rFonts w:ascii="Times New Roman" w:hAnsi="Times New Roman"/>
          <w:sz w:val="24"/>
          <w:szCs w:val="24"/>
        </w:rPr>
      </w:pPr>
    </w:p>
    <w:p w:rsidR="00F529F6" w:rsidRPr="00B07754" w:rsidRDefault="00F529F6" w:rsidP="002B5E62">
      <w:pPr>
        <w:spacing w:line="360" w:lineRule="auto"/>
        <w:rPr>
          <w:rFonts w:ascii="Times New Roman" w:hAnsi="Times New Roman"/>
          <w:sz w:val="24"/>
          <w:szCs w:val="24"/>
        </w:rPr>
      </w:pPr>
    </w:p>
    <w:p w:rsidR="00ED4CA5" w:rsidRDefault="00ED4CA5" w:rsidP="002B5E62">
      <w:pPr>
        <w:spacing w:line="360" w:lineRule="auto"/>
        <w:rPr>
          <w:rFonts w:ascii="Times New Roman" w:hAnsi="Times New Roman"/>
          <w:sz w:val="24"/>
          <w:szCs w:val="24"/>
        </w:rPr>
      </w:pPr>
    </w:p>
    <w:p w:rsidR="002B5E62" w:rsidRPr="00B07754" w:rsidRDefault="002B5E62" w:rsidP="002B5E62">
      <w:pPr>
        <w:spacing w:line="360" w:lineRule="auto"/>
        <w:rPr>
          <w:rFonts w:ascii="Times New Roman" w:hAnsi="Times New Roman"/>
          <w:sz w:val="24"/>
          <w:szCs w:val="24"/>
        </w:rPr>
      </w:pPr>
    </w:p>
    <w:p w:rsidR="00F529F6" w:rsidRPr="00B07754" w:rsidRDefault="00F529F6" w:rsidP="002B5E62">
      <w:pPr>
        <w:spacing w:line="360" w:lineRule="auto"/>
        <w:rPr>
          <w:rFonts w:ascii="Times New Roman" w:hAnsi="Times New Roman"/>
          <w:sz w:val="24"/>
          <w:szCs w:val="24"/>
        </w:rPr>
      </w:pPr>
    </w:p>
    <w:p w:rsidR="00782E35" w:rsidRPr="00B07754" w:rsidRDefault="00206715" w:rsidP="002B5E62">
      <w:pPr>
        <w:pStyle w:val="Ttulo1"/>
        <w:spacing w:before="0" w:after="200" w:line="360" w:lineRule="auto"/>
        <w:jc w:val="center"/>
        <w:rPr>
          <w:rFonts w:ascii="Times New Roman" w:hAnsi="Times New Roman"/>
          <w:color w:val="auto"/>
          <w:sz w:val="24"/>
          <w:szCs w:val="24"/>
        </w:rPr>
      </w:pPr>
      <w:bookmarkStart w:id="7" w:name="_Toc369637381"/>
      <w:bookmarkStart w:id="8" w:name="_Toc372589954"/>
      <w:r w:rsidRPr="00B07754">
        <w:rPr>
          <w:rFonts w:ascii="Times New Roman" w:hAnsi="Times New Roman"/>
          <w:color w:val="auto"/>
          <w:sz w:val="24"/>
          <w:szCs w:val="24"/>
        </w:rPr>
        <w:t>MARCO TEÓRICO</w:t>
      </w:r>
      <w:bookmarkEnd w:id="0"/>
      <w:bookmarkEnd w:id="7"/>
      <w:bookmarkEnd w:id="8"/>
    </w:p>
    <w:p w:rsidR="00206715" w:rsidRPr="00B07754" w:rsidRDefault="00206715" w:rsidP="002B5E62">
      <w:pPr>
        <w:spacing w:line="360" w:lineRule="auto"/>
        <w:rPr>
          <w:rFonts w:ascii="Times New Roman" w:hAnsi="Times New Roman"/>
          <w:sz w:val="24"/>
          <w:szCs w:val="24"/>
        </w:rPr>
      </w:pPr>
    </w:p>
    <w:p w:rsidR="00782E35" w:rsidRPr="00B07754" w:rsidRDefault="001449AC" w:rsidP="002B5E62">
      <w:pPr>
        <w:spacing w:line="360" w:lineRule="auto"/>
        <w:jc w:val="both"/>
        <w:rPr>
          <w:rFonts w:ascii="Times New Roman" w:eastAsiaTheme="minorHAnsi" w:hAnsi="Times New Roman"/>
          <w:sz w:val="24"/>
          <w:szCs w:val="24"/>
          <w:lang w:val="es-MX"/>
        </w:rPr>
      </w:pPr>
      <w:r>
        <w:rPr>
          <w:rFonts w:ascii="Times New Roman" w:hAnsi="Times New Roman"/>
          <w:sz w:val="24"/>
          <w:szCs w:val="24"/>
          <w:lang w:val="es-MX"/>
        </w:rPr>
        <w:t>Como se menciona en la introducción de esta investigación</w:t>
      </w:r>
      <w:r w:rsidR="00884047">
        <w:rPr>
          <w:rFonts w:ascii="Times New Roman" w:hAnsi="Times New Roman"/>
          <w:sz w:val="24"/>
          <w:szCs w:val="24"/>
          <w:lang w:val="es-MX"/>
        </w:rPr>
        <w:t>,</w:t>
      </w:r>
      <w:r>
        <w:rPr>
          <w:rFonts w:ascii="Times New Roman" w:hAnsi="Times New Roman"/>
          <w:sz w:val="24"/>
          <w:szCs w:val="24"/>
          <w:lang w:val="es-MX"/>
        </w:rPr>
        <w:t xml:space="preserve"> e</w:t>
      </w:r>
      <w:r w:rsidR="00782E35" w:rsidRPr="00B07754">
        <w:rPr>
          <w:rFonts w:ascii="Times New Roman" w:hAnsi="Times New Roman"/>
          <w:sz w:val="24"/>
          <w:szCs w:val="24"/>
          <w:lang w:val="es-MX"/>
        </w:rPr>
        <w:t>l sistema financiero, en el que se incluye al sistema bancario, es considerado uno de los elementos más imp</w:t>
      </w:r>
      <w:r w:rsidR="003A56F2" w:rsidRPr="00B07754">
        <w:rPr>
          <w:rFonts w:ascii="Times New Roman" w:hAnsi="Times New Roman"/>
          <w:sz w:val="24"/>
          <w:szCs w:val="24"/>
          <w:lang w:val="es-MX"/>
        </w:rPr>
        <w:t>ortantes dentro de una economía</w:t>
      </w:r>
      <w:r w:rsidR="00782E35" w:rsidRPr="00B07754">
        <w:rPr>
          <w:rFonts w:ascii="Times New Roman" w:hAnsi="Times New Roman"/>
          <w:sz w:val="24"/>
          <w:szCs w:val="24"/>
          <w:lang w:val="es-MX"/>
        </w:rPr>
        <w:t xml:space="preserve"> debido a que su principal función, la intermediación financiera permite canalizar el ahorro hacia la inversión al trasladar los recursos de aquellos agentes que poseen exceso de liquidez hacia actividades principalmente productivas (sea otorgándoles crédito directamente o financiando a sus compradores). Al canalizar recursos hacia actividades principalmente productivas,</w:t>
      </w:r>
      <w:r w:rsidR="009C5327">
        <w:rPr>
          <w:rFonts w:ascii="Times New Roman" w:hAnsi="Times New Roman"/>
          <w:sz w:val="24"/>
          <w:szCs w:val="24"/>
          <w:lang w:val="es-MX"/>
        </w:rPr>
        <w:t xml:space="preserve"> el sistema financiero</w:t>
      </w:r>
      <w:r w:rsidR="00782E35" w:rsidRPr="00B07754">
        <w:rPr>
          <w:rFonts w:ascii="Times New Roman" w:hAnsi="Times New Roman"/>
          <w:sz w:val="24"/>
          <w:szCs w:val="24"/>
          <w:lang w:val="es-MX"/>
        </w:rPr>
        <w:t xml:space="preserve"> incentiva a las empresas a invertir en activos que generan ingresos y, como consecuencia,  incrementa las fuentes de empleo y disminuye la pobreza. </w:t>
      </w:r>
    </w:p>
    <w:p w:rsidR="00782E35" w:rsidRPr="00B07754" w:rsidRDefault="00782E3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Ante la trascendencia de la estabilidad bancaria, los países dentro de sus políticas económicas, toman decisiones buscando precautelarla y, con ello, procuran evitar o minimizar los efectos de una posible crisis. Dichas decisiones están relacionadas especialmente con regulación y supervisión prudencial</w:t>
      </w:r>
      <w:r w:rsidRPr="00B07754">
        <w:rPr>
          <w:rStyle w:val="Refdenotaalpie"/>
          <w:rFonts w:ascii="Times New Roman" w:hAnsi="Times New Roman"/>
          <w:sz w:val="24"/>
          <w:szCs w:val="24"/>
          <w:lang w:val="es-MX"/>
        </w:rPr>
        <w:footnoteReference w:id="1"/>
      </w:r>
      <w:r w:rsidRPr="00B07754">
        <w:rPr>
          <w:rFonts w:ascii="Times New Roman" w:hAnsi="Times New Roman"/>
          <w:sz w:val="24"/>
          <w:szCs w:val="24"/>
          <w:lang w:val="es-MX"/>
        </w:rPr>
        <w:t xml:space="preserve">. </w:t>
      </w:r>
    </w:p>
    <w:p w:rsidR="00782E35" w:rsidRPr="00B07754" w:rsidRDefault="00782E35" w:rsidP="002B5E62">
      <w:pPr>
        <w:spacing w:line="360" w:lineRule="auto"/>
        <w:jc w:val="both"/>
        <w:rPr>
          <w:rFonts w:ascii="Times New Roman" w:hAnsi="Times New Roman"/>
          <w:sz w:val="24"/>
          <w:szCs w:val="24"/>
          <w:lang w:val="es-MX"/>
        </w:rPr>
      </w:pPr>
      <w:r w:rsidRPr="00B07754">
        <w:rPr>
          <w:rFonts w:ascii="Times New Roman" w:eastAsiaTheme="minorHAnsi" w:hAnsi="Times New Roman"/>
          <w:sz w:val="24"/>
          <w:szCs w:val="24"/>
          <w:lang w:val="es-MX"/>
        </w:rPr>
        <w:t>En el sector bancario, a diferencia de otros sectores de la economía, la política de competencia debe tomar en consideración la interacción entre competencia y estabilidad financiera. Esto se debe a que una mayor competencia puede impulsar la eficiencia estática</w:t>
      </w:r>
      <w:r w:rsidRPr="00B07754">
        <w:rPr>
          <w:rStyle w:val="Refdenotaalpie"/>
          <w:rFonts w:ascii="Times New Roman" w:eastAsiaTheme="minorHAnsi" w:hAnsi="Times New Roman"/>
          <w:sz w:val="24"/>
          <w:szCs w:val="24"/>
          <w:lang w:val="es-MX"/>
        </w:rPr>
        <w:footnoteReference w:id="2"/>
      </w:r>
      <w:r w:rsidRPr="00B07754">
        <w:rPr>
          <w:rFonts w:ascii="Times New Roman" w:eastAsiaTheme="minorHAnsi" w:hAnsi="Times New Roman"/>
          <w:sz w:val="24"/>
          <w:szCs w:val="24"/>
          <w:lang w:val="es-MX"/>
        </w:rPr>
        <w:t xml:space="preserve"> pero puede ser perjudicial para la estabilidad financiera</w:t>
      </w:r>
      <w:r w:rsidR="008D0EDE" w:rsidRPr="00B07754">
        <w:rPr>
          <w:rStyle w:val="Refdenotaalpie"/>
          <w:rFonts w:ascii="Times New Roman" w:eastAsiaTheme="minorHAnsi" w:hAnsi="Times New Roman"/>
          <w:sz w:val="24"/>
          <w:szCs w:val="24"/>
          <w:lang w:val="es-MX"/>
        </w:rPr>
        <w:footnoteReference w:id="3"/>
      </w:r>
      <w:sdt>
        <w:sdtPr>
          <w:rPr>
            <w:rFonts w:ascii="Times New Roman" w:eastAsiaTheme="minorHAnsi" w:hAnsi="Times New Roman"/>
            <w:sz w:val="24"/>
            <w:szCs w:val="24"/>
            <w:lang w:val="es-MX"/>
          </w:rPr>
          <w:id w:val="275844694"/>
          <w:citation/>
        </w:sdtPr>
        <w:sdtEndPr/>
        <w:sdtContent>
          <w:r w:rsidRPr="00B07754">
            <w:rPr>
              <w:rFonts w:ascii="Times New Roman" w:eastAsiaTheme="minorHAnsi" w:hAnsi="Times New Roman"/>
              <w:sz w:val="24"/>
              <w:szCs w:val="24"/>
              <w:lang w:val="es-MX"/>
            </w:rPr>
            <w:fldChar w:fldCharType="begin"/>
          </w:r>
          <w:r w:rsidRPr="00B07754">
            <w:rPr>
              <w:rFonts w:ascii="Times New Roman" w:eastAsiaTheme="minorHAnsi" w:hAnsi="Times New Roman"/>
              <w:sz w:val="24"/>
              <w:szCs w:val="24"/>
              <w:lang w:val="es-MX"/>
            </w:rPr>
            <w:instrText xml:space="preserve">CITATION All03 \p 1 \l 2058 </w:instrText>
          </w:r>
          <w:r w:rsidRPr="00B07754">
            <w:rPr>
              <w:rFonts w:ascii="Times New Roman" w:eastAsiaTheme="minorHAnsi" w:hAnsi="Times New Roman"/>
              <w:sz w:val="24"/>
              <w:szCs w:val="24"/>
              <w:lang w:val="es-MX"/>
            </w:rPr>
            <w:fldChar w:fldCharType="separate"/>
          </w:r>
          <w:r w:rsidR="008A6D1D" w:rsidRPr="00B07754">
            <w:rPr>
              <w:rFonts w:ascii="Times New Roman" w:eastAsiaTheme="minorHAnsi" w:hAnsi="Times New Roman"/>
              <w:noProof/>
              <w:sz w:val="24"/>
              <w:szCs w:val="24"/>
              <w:lang w:val="es-MX"/>
            </w:rPr>
            <w:t xml:space="preserve"> (Allen &amp; Gale, 2003, pág. 1)</w:t>
          </w:r>
          <w:r w:rsidRPr="00B07754">
            <w:rPr>
              <w:rFonts w:ascii="Times New Roman" w:eastAsiaTheme="minorHAnsi" w:hAnsi="Times New Roman"/>
              <w:sz w:val="24"/>
              <w:szCs w:val="24"/>
              <w:lang w:val="es-MX"/>
            </w:rPr>
            <w:fldChar w:fldCharType="end"/>
          </w:r>
        </w:sdtContent>
      </w:sdt>
      <w:r w:rsidRPr="00B07754">
        <w:rPr>
          <w:rFonts w:ascii="Times New Roman" w:eastAsiaTheme="minorHAnsi" w:hAnsi="Times New Roman"/>
          <w:sz w:val="24"/>
          <w:szCs w:val="24"/>
          <w:lang w:val="es-MX"/>
        </w:rPr>
        <w:t xml:space="preserve">. </w:t>
      </w:r>
      <w:r w:rsidRPr="00B07754">
        <w:rPr>
          <w:rFonts w:ascii="Times New Roman" w:hAnsi="Times New Roman"/>
          <w:sz w:val="24"/>
          <w:szCs w:val="24"/>
          <w:lang w:val="es-MX"/>
        </w:rPr>
        <w:t>En este sentido, existe un profundo debate en torno a las políticas adecuadas para garantizar la estabilidad d</w:t>
      </w:r>
      <w:r w:rsidR="00296758">
        <w:rPr>
          <w:rFonts w:ascii="Times New Roman" w:hAnsi="Times New Roman"/>
          <w:sz w:val="24"/>
          <w:szCs w:val="24"/>
          <w:lang w:val="es-MX"/>
        </w:rPr>
        <w:t>el sistema bancario, debate que como se mencionó</w:t>
      </w:r>
      <w:r w:rsidRPr="00B07754">
        <w:rPr>
          <w:rFonts w:ascii="Times New Roman" w:hAnsi="Times New Roman"/>
          <w:sz w:val="24"/>
          <w:szCs w:val="24"/>
          <w:lang w:val="es-MX"/>
        </w:rPr>
        <w:t xml:space="preserve">, </w:t>
      </w:r>
      <w:r w:rsidR="00296758">
        <w:rPr>
          <w:rFonts w:ascii="Times New Roman" w:hAnsi="Times New Roman"/>
          <w:sz w:val="24"/>
          <w:szCs w:val="24"/>
          <w:lang w:val="es-MX"/>
        </w:rPr>
        <w:t>no ha</w:t>
      </w:r>
      <w:r w:rsidRPr="00B07754">
        <w:rPr>
          <w:rFonts w:ascii="Times New Roman" w:hAnsi="Times New Roman"/>
          <w:sz w:val="24"/>
          <w:szCs w:val="24"/>
          <w:lang w:val="es-MX"/>
        </w:rPr>
        <w:t xml:space="preserve"> considerado la relación existente entre el nivel de competencia del sistema bancario con la </w:t>
      </w:r>
      <w:r w:rsidRPr="00B07754">
        <w:rPr>
          <w:rFonts w:ascii="Times New Roman" w:hAnsi="Times New Roman"/>
          <w:sz w:val="24"/>
          <w:szCs w:val="24"/>
          <w:lang w:val="es-MX"/>
        </w:rPr>
        <w:lastRenderedPageBreak/>
        <w:t>estabilidad del mismo. Por esta razón, las entidades reguladoras se hallan ante una aparente disyuntiva de elegir si deben impulsar la eficiencia proveniente de una mayor competencia en el mercado bancario; o, si se requiere restringir el grado de competencia para que el sistema sea estable. Bajo esta situación, si bien se reconoce que existe una relación entre el nivel de competencia y la estabilidad bancaria, la evidencia al respecto no es concluyente.</w:t>
      </w:r>
      <w:r w:rsidRPr="00B07754">
        <w:rPr>
          <w:rFonts w:ascii="Times New Roman" w:hAnsi="Times New Roman"/>
          <w:noProof/>
          <w:sz w:val="24"/>
          <w:szCs w:val="24"/>
          <w:lang w:val="es-MX"/>
        </w:rPr>
        <w:t xml:space="preserve"> (Pérez, 2009, pág. 5)</w:t>
      </w:r>
      <w:r w:rsidRPr="00B07754">
        <w:rPr>
          <w:rFonts w:ascii="Times New Roman" w:hAnsi="Times New Roman"/>
          <w:sz w:val="24"/>
          <w:szCs w:val="24"/>
          <w:lang w:val="es-MX"/>
        </w:rPr>
        <w:t xml:space="preserve">.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La literatura existente no ha podido determinar la relación entre competencia y estabilidad ya que muchas de las teorías de inestabilidad del sistema bancario desconocen las implicaciones de las distintas estructuras del mercado respectivo y su incidencia en la estabilidad del mismo, razón por la que las investigaciones pueden arrojar resultados contradictorios</w:t>
      </w:r>
      <w:sdt>
        <w:sdtPr>
          <w:rPr>
            <w:rFonts w:ascii="Times New Roman" w:eastAsiaTheme="minorHAnsi" w:hAnsi="Times New Roman"/>
            <w:sz w:val="24"/>
            <w:szCs w:val="24"/>
            <w:lang w:val="es-MX"/>
          </w:rPr>
          <w:id w:val="837503988"/>
          <w:citation/>
        </w:sdtPr>
        <w:sdtEndPr/>
        <w:sdtContent>
          <w:r w:rsidRPr="00B07754">
            <w:rPr>
              <w:rFonts w:ascii="Times New Roman" w:eastAsiaTheme="minorHAnsi" w:hAnsi="Times New Roman"/>
              <w:sz w:val="24"/>
              <w:szCs w:val="24"/>
              <w:lang w:val="es-MX"/>
            </w:rPr>
            <w:fldChar w:fldCharType="begin"/>
          </w:r>
          <w:r w:rsidRPr="00B07754">
            <w:rPr>
              <w:rFonts w:ascii="Times New Roman" w:eastAsiaTheme="minorHAnsi" w:hAnsi="Times New Roman"/>
              <w:sz w:val="24"/>
              <w:szCs w:val="24"/>
              <w:lang w:val="es-MX"/>
            </w:rPr>
            <w:instrText xml:space="preserve">CITATION Car02 \p 6 \l 2058 </w:instrText>
          </w:r>
          <w:r w:rsidRPr="00B07754">
            <w:rPr>
              <w:rFonts w:ascii="Times New Roman" w:eastAsiaTheme="minorHAnsi" w:hAnsi="Times New Roman"/>
              <w:sz w:val="24"/>
              <w:szCs w:val="24"/>
              <w:lang w:val="es-MX"/>
            </w:rPr>
            <w:fldChar w:fldCharType="separate"/>
          </w:r>
          <w:r w:rsidR="008A6D1D" w:rsidRPr="00B07754">
            <w:rPr>
              <w:rFonts w:ascii="Times New Roman" w:eastAsiaTheme="minorHAnsi" w:hAnsi="Times New Roman"/>
              <w:noProof/>
              <w:sz w:val="24"/>
              <w:szCs w:val="24"/>
              <w:lang w:val="es-MX"/>
            </w:rPr>
            <w:t xml:space="preserve"> (Carletti &amp; Hartmann, 2002, pág. 6)</w:t>
          </w:r>
          <w:r w:rsidRPr="00B07754">
            <w:rPr>
              <w:rFonts w:ascii="Times New Roman" w:eastAsiaTheme="minorHAnsi" w:hAnsi="Times New Roman"/>
              <w:sz w:val="24"/>
              <w:szCs w:val="24"/>
              <w:lang w:val="es-MX"/>
            </w:rPr>
            <w:fldChar w:fldCharType="end"/>
          </w:r>
        </w:sdtContent>
      </w:sdt>
      <w:r w:rsidRPr="00B07754">
        <w:rPr>
          <w:rFonts w:ascii="Times New Roman" w:eastAsiaTheme="minorHAnsi" w:hAnsi="Times New Roman"/>
          <w:sz w:val="24"/>
          <w:szCs w:val="24"/>
          <w:lang w:val="es-MX"/>
        </w:rPr>
        <w:t xml:space="preserve">. Un ejemplo de ello son las teorías basadas en la idea de las rentas monopólicas que argumentan que el poder de mercado mitiga la toma de riesgos, ya que los beneficios futuros no percibidos en caso de quiebra son más altos. Sin embargo, literatura reciente señala que la competencia en el sector bancario no necesariamente afecta su estabilidad. Asimismo, estudios enfocados en el riesgo en el pasivo, establecen que los problemas de coordinación entre depositantes que provocan fragilidad en el sistema pueden surgir independientemente de la competencia. Situación similar ocurre en el riesgo en el activo, en el cual las investigaciones han arrojado como resultado que pueden darse casos en los que un mercado concentrado sería más riesgoso que uno competitivo. Por último, hay estudios que permiten aseverar que políticas adecuadas pueden reducir el </w:t>
      </w:r>
      <w:proofErr w:type="spellStart"/>
      <w:r w:rsidRPr="00B07754">
        <w:rPr>
          <w:rFonts w:ascii="Times New Roman" w:eastAsiaTheme="minorHAnsi" w:hAnsi="Times New Roman"/>
          <w:i/>
          <w:sz w:val="24"/>
          <w:szCs w:val="24"/>
          <w:lang w:val="es-MX"/>
        </w:rPr>
        <w:t>trade</w:t>
      </w:r>
      <w:proofErr w:type="spellEnd"/>
      <w:r w:rsidRPr="00B07754">
        <w:rPr>
          <w:rFonts w:ascii="Times New Roman" w:eastAsiaTheme="minorHAnsi" w:hAnsi="Times New Roman"/>
          <w:i/>
          <w:sz w:val="24"/>
          <w:szCs w:val="24"/>
          <w:lang w:val="es-MX"/>
        </w:rPr>
        <w:t>-off</w:t>
      </w:r>
      <w:r w:rsidR="007B08E3" w:rsidRPr="00B07754">
        <w:rPr>
          <w:rStyle w:val="Refdenotaalpie"/>
          <w:rFonts w:ascii="Times New Roman" w:eastAsiaTheme="minorHAnsi" w:hAnsi="Times New Roman"/>
          <w:i/>
          <w:sz w:val="24"/>
          <w:szCs w:val="24"/>
          <w:lang w:val="es-MX"/>
        </w:rPr>
        <w:footnoteReference w:id="4"/>
      </w:r>
      <w:r w:rsidRPr="00B07754">
        <w:rPr>
          <w:rFonts w:ascii="Times New Roman" w:eastAsiaTheme="minorHAnsi" w:hAnsi="Times New Roman"/>
          <w:i/>
          <w:sz w:val="24"/>
          <w:szCs w:val="24"/>
          <w:lang w:val="es-MX"/>
        </w:rPr>
        <w:t xml:space="preserve"> </w:t>
      </w:r>
      <w:r w:rsidRPr="00B07754">
        <w:rPr>
          <w:rFonts w:ascii="Times New Roman" w:eastAsiaTheme="minorHAnsi" w:hAnsi="Times New Roman"/>
          <w:sz w:val="24"/>
          <w:szCs w:val="24"/>
          <w:lang w:val="es-MX"/>
        </w:rPr>
        <w:t xml:space="preserve">entre competencia y estabilidad. </w:t>
      </w:r>
    </w:p>
    <w:p w:rsidR="00782E35" w:rsidRPr="00B07754" w:rsidRDefault="00782E3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En los primeros estudios en los que se analizó la relación entre nivel de concentración y estabilidad del sistema bancario se había establecido que un alto grado de concentración de mercado, en conjunto con una menor competitividad afectan negativamente  la conducta de los bancos y su desempeño, lo que implica un menor volumen de servicios –incluida la oferta de crédito y su asignación eficiente-; ello incide negativamente en la acumulación del capital y, consecuentemente, en el crecimiento económico. Por otra parte, es evidente que el desempeño de una empresa se relaciona directamente con su nivel de eficiencia, pues si esta eficiencia depende del logro de economías de escala que, a su vez</w:t>
      </w:r>
      <w:r w:rsidR="00653E96" w:rsidRPr="00B07754">
        <w:rPr>
          <w:rFonts w:ascii="Times New Roman" w:hAnsi="Times New Roman"/>
          <w:sz w:val="24"/>
          <w:szCs w:val="24"/>
          <w:lang w:val="es-MX"/>
        </w:rPr>
        <w:t>,</w:t>
      </w:r>
      <w:r w:rsidRPr="00B07754">
        <w:rPr>
          <w:rFonts w:ascii="Times New Roman" w:hAnsi="Times New Roman"/>
          <w:sz w:val="24"/>
          <w:szCs w:val="24"/>
          <w:lang w:val="es-MX"/>
        </w:rPr>
        <w:t xml:space="preserve"> se encuentran directamente relacionadas con el grado de concentración de mercado, es lógico suponer que en un entorno de competencia las firmas con estructuras de costos bajos </w:t>
      </w:r>
      <w:r w:rsidRPr="00B07754">
        <w:rPr>
          <w:rFonts w:ascii="Times New Roman" w:hAnsi="Times New Roman"/>
          <w:sz w:val="24"/>
          <w:szCs w:val="24"/>
          <w:lang w:val="es-MX"/>
        </w:rPr>
        <w:lastRenderedPageBreak/>
        <w:t xml:space="preserve">aumentan sus beneficios a través de la reducción de precios y expandiendo su participación </w:t>
      </w:r>
      <w:r w:rsidR="00653E96" w:rsidRPr="00B07754">
        <w:rPr>
          <w:rFonts w:ascii="Times New Roman" w:hAnsi="Times New Roman"/>
          <w:sz w:val="24"/>
          <w:szCs w:val="24"/>
          <w:lang w:val="es-MX"/>
        </w:rPr>
        <w:t>d</w:t>
      </w:r>
      <w:r w:rsidRPr="00B07754">
        <w:rPr>
          <w:rFonts w:ascii="Times New Roman" w:hAnsi="Times New Roman"/>
          <w:sz w:val="24"/>
          <w:szCs w:val="24"/>
          <w:lang w:val="es-MX"/>
        </w:rPr>
        <w:t xml:space="preserve">e mercado </w:t>
      </w:r>
      <w:r w:rsidRPr="00B07754">
        <w:rPr>
          <w:rFonts w:ascii="Times New Roman" w:hAnsi="Times New Roman"/>
          <w:noProof/>
          <w:sz w:val="24"/>
          <w:szCs w:val="24"/>
          <w:lang w:val="es-MX"/>
        </w:rPr>
        <w:t>(Pérez, 2009, pág. 8)</w:t>
      </w:r>
      <w:r w:rsidRPr="00B07754">
        <w:rPr>
          <w:rFonts w:ascii="Times New Roman" w:hAnsi="Times New Roman"/>
          <w:sz w:val="24"/>
          <w:szCs w:val="24"/>
          <w:lang w:val="es-MX"/>
        </w:rPr>
        <w:t>. Consecuentemente, una alta concentración puede reflejar empresas más eficientes y no necesariamente mayor poder de mercado (</w:t>
      </w:r>
      <w:proofErr w:type="spellStart"/>
      <w:r w:rsidRPr="00B07754">
        <w:rPr>
          <w:rFonts w:ascii="Times New Roman" w:hAnsi="Times New Roman"/>
          <w:sz w:val="24"/>
          <w:szCs w:val="24"/>
          <w:lang w:val="es-MX"/>
        </w:rPr>
        <w:t>Shaik</w:t>
      </w:r>
      <w:proofErr w:type="spellEnd"/>
      <w:r w:rsidRPr="00B07754">
        <w:rPr>
          <w:rFonts w:ascii="Times New Roman" w:hAnsi="Times New Roman"/>
          <w:sz w:val="24"/>
          <w:szCs w:val="24"/>
          <w:lang w:val="es-MX"/>
        </w:rPr>
        <w:t xml:space="preserve"> cit. por Pérez; 2009, pág. 8).</w:t>
      </w:r>
    </w:p>
    <w:p w:rsidR="00782E35" w:rsidRPr="00B07754" w:rsidRDefault="00782E35" w:rsidP="002B5E62">
      <w:pPr>
        <w:pStyle w:val="Ttulo2"/>
        <w:numPr>
          <w:ilvl w:val="1"/>
          <w:numId w:val="2"/>
        </w:numPr>
        <w:spacing w:before="0" w:after="200" w:line="360" w:lineRule="auto"/>
        <w:ind w:left="0" w:firstLine="0"/>
        <w:rPr>
          <w:rFonts w:ascii="Times New Roman" w:eastAsiaTheme="minorHAnsi" w:hAnsi="Times New Roman"/>
          <w:color w:val="auto"/>
          <w:sz w:val="24"/>
          <w:szCs w:val="24"/>
          <w:lang w:val="es-MX"/>
        </w:rPr>
      </w:pPr>
      <w:bookmarkStart w:id="9" w:name="_Toc372589955"/>
      <w:r w:rsidRPr="00B07754">
        <w:rPr>
          <w:rFonts w:ascii="Times New Roman" w:eastAsiaTheme="minorHAnsi" w:hAnsi="Times New Roman"/>
          <w:color w:val="auto"/>
          <w:sz w:val="24"/>
          <w:szCs w:val="24"/>
          <w:lang w:val="es-MX"/>
        </w:rPr>
        <w:t>Importancia de las políticas de competencia en el sistema bancario</w:t>
      </w:r>
      <w:bookmarkEnd w:id="9"/>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ES"/>
        </w:rPr>
      </w:pPr>
      <w:bookmarkStart w:id="10" w:name="_Toc353057307"/>
      <w:r w:rsidRPr="00B07754">
        <w:rPr>
          <w:rFonts w:ascii="Times New Roman" w:eastAsiaTheme="minorHAnsi" w:hAnsi="Times New Roman"/>
          <w:sz w:val="24"/>
          <w:szCs w:val="24"/>
          <w:lang w:val="es-ES"/>
        </w:rPr>
        <w:t>El sistema bancario y todas las instituciones que lo conforman son más vulnerables a la inestabilidad que otras empresas o sectores, además que las personas con menos riqueza pueden poseer gran parte de ella en forma de depósitos bancarios. Por el lado del activo, los bancos se especializan en analizar la viabilidad y la generación de ganancias de proyectos para decidir si les proporcionan capital en forma de crédito para ponerlos en marcha. Por el lado del pasivo, los bancos dependen de depósitos de corto plazo que son invertidos en operaciones de largo plazo. Esta diferencia entre los plazos a los que las personas y familias están dispuestas a colocar sus excesos de liquidez y los plazos de financiamiento que requieren los proyectos para generar producción, hace que los bancos cumplan con el rol adicional de ser proveedores de liquidez de los depositantes, pero en ausencia de seguros de depósitos, pueden estar expuestos a una corrida de fondos</w:t>
      </w:r>
      <w:sdt>
        <w:sdtPr>
          <w:rPr>
            <w:rFonts w:ascii="Times New Roman" w:eastAsiaTheme="minorHAnsi" w:hAnsi="Times New Roman"/>
            <w:sz w:val="24"/>
            <w:szCs w:val="24"/>
            <w:lang w:val="es-ES"/>
          </w:rPr>
          <w:id w:val="-1026859271"/>
          <w:citation/>
        </w:sdtPr>
        <w:sdtEndPr/>
        <w:sdtContent>
          <w:r w:rsidRPr="00B07754">
            <w:rPr>
              <w:rFonts w:ascii="Times New Roman" w:eastAsiaTheme="minorHAnsi" w:hAnsi="Times New Roman"/>
              <w:sz w:val="24"/>
              <w:szCs w:val="24"/>
              <w:lang w:val="es-ES"/>
            </w:rPr>
            <w:fldChar w:fldCharType="begin"/>
          </w:r>
          <w:r w:rsidRPr="00B07754">
            <w:rPr>
              <w:rFonts w:ascii="Times New Roman" w:eastAsiaTheme="minorHAnsi" w:hAnsi="Times New Roman"/>
              <w:sz w:val="24"/>
              <w:szCs w:val="24"/>
              <w:lang w:val="es-MX"/>
            </w:rPr>
            <w:instrText xml:space="preserve">CITATION Car02 \p 8 \l 2058 </w:instrText>
          </w:r>
          <w:r w:rsidRPr="00B07754">
            <w:rPr>
              <w:rFonts w:ascii="Times New Roman" w:eastAsiaTheme="minorHAnsi" w:hAnsi="Times New Roman"/>
              <w:sz w:val="24"/>
              <w:szCs w:val="24"/>
              <w:lang w:val="es-ES"/>
            </w:rPr>
            <w:fldChar w:fldCharType="separate"/>
          </w:r>
          <w:r w:rsidR="008A6D1D" w:rsidRPr="00B07754">
            <w:rPr>
              <w:rFonts w:ascii="Times New Roman" w:eastAsiaTheme="minorHAnsi" w:hAnsi="Times New Roman"/>
              <w:noProof/>
              <w:sz w:val="24"/>
              <w:szCs w:val="24"/>
              <w:lang w:val="es-MX"/>
            </w:rPr>
            <w:t xml:space="preserve"> (Carletti &amp; Hartmann, 2002, pág. 8)</w:t>
          </w:r>
          <w:r w:rsidRPr="00B07754">
            <w:rPr>
              <w:rFonts w:ascii="Times New Roman" w:eastAsiaTheme="minorHAnsi" w:hAnsi="Times New Roman"/>
              <w:sz w:val="24"/>
              <w:szCs w:val="24"/>
              <w:lang w:val="es-ES"/>
            </w:rPr>
            <w:fldChar w:fldCharType="end"/>
          </w:r>
        </w:sdtContent>
      </w:sdt>
      <w:r w:rsidRPr="00B07754">
        <w:rPr>
          <w:rFonts w:ascii="Times New Roman" w:eastAsiaTheme="minorHAnsi" w:hAnsi="Times New Roman"/>
          <w:sz w:val="24"/>
          <w:szCs w:val="24"/>
          <w:lang w:val="es-ES"/>
        </w:rPr>
        <w:t xml:space="preserve">. </w:t>
      </w:r>
    </w:p>
    <w:p w:rsidR="00782E35" w:rsidRPr="00B07754" w:rsidRDefault="00F76C9D"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ES"/>
        </w:rPr>
        <w:t xml:space="preserve">También se advierte que </w:t>
      </w:r>
      <w:r w:rsidR="00782E35" w:rsidRPr="00B07754">
        <w:rPr>
          <w:rFonts w:ascii="Times New Roman" w:eastAsiaTheme="minorHAnsi" w:hAnsi="Times New Roman"/>
          <w:sz w:val="24"/>
          <w:szCs w:val="24"/>
          <w:lang w:val="es-ES"/>
        </w:rPr>
        <w:t xml:space="preserve">los bancos participan en el mercado de crédito interbancario; es decir, captan y colocan recursos en grandes cantidades para amortiguar las fluctuaciones de liquidez diarias, además que están involucrados en la realización de pagos de grandes sumas de dinero que resultan de sus propias transacciones y las de sus clientes. Consecuentemente, la interrelación entre las instituciones bancarias es alta. Debido a la exposición a riesgos de varios tipos que enfrentan los bancos y a la asimetría de información acerca de su relativa salud,  puede darse la posibilidad de que si un  banco presenta una falencia, ésta se propague a los demás, creando una de las formas de riesgo sistémico (contagio). Otra forma de riesgo sistémico puede presentarse a través de los shocks de una economía que pueden deteriorar la viabilidad de un gran número de proyectos correlacionados al mismo tiempo; y, por lo tanto, provocar que un gran número de instituciones presenten problemas simultáneamente.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MX"/>
        </w:rPr>
        <w:t xml:space="preserve">La </w:t>
      </w:r>
      <w:r w:rsidRPr="00B07754">
        <w:rPr>
          <w:rFonts w:ascii="Times New Roman" w:eastAsiaTheme="minorHAnsi" w:hAnsi="Times New Roman"/>
          <w:sz w:val="24"/>
          <w:szCs w:val="24"/>
          <w:lang w:val="es-ES"/>
        </w:rPr>
        <w:t>vulnerabilidad a la fuga de depósitos</w:t>
      </w:r>
      <w:r w:rsidR="0066220E" w:rsidRPr="00B07754">
        <w:rPr>
          <w:rFonts w:ascii="Times New Roman" w:eastAsiaTheme="minorHAnsi" w:hAnsi="Times New Roman"/>
          <w:sz w:val="24"/>
          <w:szCs w:val="24"/>
          <w:lang w:val="es-ES"/>
        </w:rPr>
        <w:t xml:space="preserve">, </w:t>
      </w:r>
      <w:r w:rsidR="00F76C9D" w:rsidRPr="00B07754">
        <w:rPr>
          <w:rFonts w:ascii="Times New Roman" w:eastAsiaTheme="minorHAnsi" w:hAnsi="Times New Roman"/>
          <w:sz w:val="24"/>
          <w:szCs w:val="24"/>
          <w:lang w:val="es-ES"/>
        </w:rPr>
        <w:t>cuya principal causa es la pérdida de confianza por parte de los depositantes</w:t>
      </w:r>
      <w:r w:rsidR="0066220E" w:rsidRPr="00B07754">
        <w:rPr>
          <w:rFonts w:ascii="Times New Roman" w:eastAsiaTheme="minorHAnsi" w:hAnsi="Times New Roman"/>
          <w:sz w:val="24"/>
          <w:szCs w:val="24"/>
          <w:lang w:val="es-ES"/>
        </w:rPr>
        <w:t>,</w:t>
      </w:r>
      <w:r w:rsidRPr="00B07754">
        <w:rPr>
          <w:rFonts w:ascii="Times New Roman" w:eastAsiaTheme="minorHAnsi" w:hAnsi="Times New Roman"/>
          <w:sz w:val="24"/>
          <w:szCs w:val="24"/>
          <w:lang w:val="es-ES"/>
        </w:rPr>
        <w:t xml:space="preserve"> y </w:t>
      </w:r>
      <w:r w:rsidR="0066220E" w:rsidRPr="00B07754">
        <w:rPr>
          <w:rFonts w:ascii="Times New Roman" w:eastAsiaTheme="minorHAnsi" w:hAnsi="Times New Roman"/>
          <w:sz w:val="24"/>
          <w:szCs w:val="24"/>
          <w:lang w:val="es-ES"/>
        </w:rPr>
        <w:t>los</w:t>
      </w:r>
      <w:r w:rsidRPr="00B07754">
        <w:rPr>
          <w:rFonts w:ascii="Times New Roman" w:eastAsiaTheme="minorHAnsi" w:hAnsi="Times New Roman"/>
          <w:sz w:val="24"/>
          <w:szCs w:val="24"/>
          <w:lang w:val="es-ES"/>
        </w:rPr>
        <w:t xml:space="preserve"> problemas en el mercado interbancario representan fuentes de inestabilidad que se originan en el pasivo</w:t>
      </w:r>
      <w:r w:rsidR="0066220E" w:rsidRPr="00B07754">
        <w:rPr>
          <w:rFonts w:ascii="Times New Roman" w:eastAsiaTheme="minorHAnsi" w:hAnsi="Times New Roman"/>
          <w:sz w:val="24"/>
          <w:szCs w:val="24"/>
          <w:lang w:val="es-ES"/>
        </w:rPr>
        <w:t>. E</w:t>
      </w:r>
      <w:r w:rsidRPr="00B07754">
        <w:rPr>
          <w:rFonts w:ascii="Times New Roman" w:eastAsiaTheme="minorHAnsi" w:hAnsi="Times New Roman"/>
          <w:sz w:val="24"/>
          <w:szCs w:val="24"/>
          <w:lang w:val="es-ES"/>
        </w:rPr>
        <w:t xml:space="preserve">n tanto que la toma de riesgos en la </w:t>
      </w:r>
      <w:r w:rsidRPr="00B07754">
        <w:rPr>
          <w:rFonts w:ascii="Times New Roman" w:eastAsiaTheme="minorHAnsi" w:hAnsi="Times New Roman"/>
          <w:sz w:val="24"/>
          <w:szCs w:val="24"/>
          <w:lang w:val="es-ES"/>
        </w:rPr>
        <w:lastRenderedPageBreak/>
        <w:t xml:space="preserve">colocación de los recursos constituye causa de inestabilidad por el lado de los activos; esta última se presenta regularmente cuando las tasas de interés prevalecientes en una economía son muy bajas, lo que lleva a que, para obtener la rentabilidad requerida para cubrir sus costos, los banqueros se sientan  tentados a tomar riesgos excesivos al momento de elegir los proyectos que serán financiados. También la inestabilidad por el lado del activo se presenta ante problemas externos a la actividad bancaria, como fenómenos naturales (inundaciones, terremotos, etc.), conflictos bélicos, </w:t>
      </w:r>
      <w:r w:rsidR="0066220E" w:rsidRPr="00B07754">
        <w:rPr>
          <w:rFonts w:ascii="Times New Roman" w:eastAsiaTheme="minorHAnsi" w:hAnsi="Times New Roman"/>
          <w:sz w:val="24"/>
          <w:szCs w:val="24"/>
          <w:lang w:val="es-ES"/>
        </w:rPr>
        <w:t>volatilidad</w:t>
      </w:r>
      <w:r w:rsidRPr="00B07754">
        <w:rPr>
          <w:rFonts w:ascii="Times New Roman" w:eastAsiaTheme="minorHAnsi" w:hAnsi="Times New Roman"/>
          <w:sz w:val="24"/>
          <w:szCs w:val="24"/>
          <w:lang w:val="es-ES"/>
        </w:rPr>
        <w:t xml:space="preserve"> </w:t>
      </w:r>
      <w:r w:rsidR="0066220E" w:rsidRPr="00B07754">
        <w:rPr>
          <w:rFonts w:ascii="Times New Roman" w:eastAsiaTheme="minorHAnsi" w:hAnsi="Times New Roman"/>
          <w:sz w:val="24"/>
          <w:szCs w:val="24"/>
          <w:lang w:val="es-ES"/>
        </w:rPr>
        <w:t>de los</w:t>
      </w:r>
      <w:r w:rsidRPr="00B07754">
        <w:rPr>
          <w:rFonts w:ascii="Times New Roman" w:eastAsiaTheme="minorHAnsi" w:hAnsi="Times New Roman"/>
          <w:sz w:val="24"/>
          <w:szCs w:val="24"/>
          <w:lang w:val="es-ES"/>
        </w:rPr>
        <w:t xml:space="preserve"> precio</w:t>
      </w:r>
      <w:r w:rsidR="0066220E" w:rsidRPr="00B07754">
        <w:rPr>
          <w:rFonts w:ascii="Times New Roman" w:eastAsiaTheme="minorHAnsi" w:hAnsi="Times New Roman"/>
          <w:sz w:val="24"/>
          <w:szCs w:val="24"/>
          <w:lang w:val="es-ES"/>
        </w:rPr>
        <w:t>s</w:t>
      </w:r>
      <w:r w:rsidRPr="00B07754">
        <w:rPr>
          <w:rFonts w:ascii="Times New Roman" w:eastAsiaTheme="minorHAnsi" w:hAnsi="Times New Roman"/>
          <w:sz w:val="24"/>
          <w:szCs w:val="24"/>
          <w:lang w:val="es-ES"/>
        </w:rPr>
        <w:t xml:space="preserve"> de </w:t>
      </w:r>
      <w:proofErr w:type="spellStart"/>
      <w:r w:rsidRPr="00B07754">
        <w:rPr>
          <w:rFonts w:ascii="Times New Roman" w:eastAsiaTheme="minorHAnsi" w:hAnsi="Times New Roman"/>
          <w:i/>
          <w:sz w:val="24"/>
          <w:szCs w:val="24"/>
          <w:lang w:val="es-ES"/>
        </w:rPr>
        <w:t>commodities</w:t>
      </w:r>
      <w:proofErr w:type="spellEnd"/>
      <w:r w:rsidRPr="00B07754">
        <w:rPr>
          <w:rFonts w:ascii="Times New Roman" w:eastAsiaTheme="minorHAnsi" w:hAnsi="Times New Roman"/>
          <w:sz w:val="24"/>
          <w:szCs w:val="24"/>
          <w:lang w:val="es-ES"/>
        </w:rPr>
        <w:t>, etc.</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ES"/>
        </w:rPr>
        <w:t>La preocupación por la estabilidad, así como también la búsqueda de protección para  clientes y depositantes</w:t>
      </w:r>
      <w:r w:rsidR="008210D1" w:rsidRPr="00B07754">
        <w:rPr>
          <w:rFonts w:ascii="Times New Roman" w:eastAsiaTheme="minorHAnsi" w:hAnsi="Times New Roman"/>
          <w:sz w:val="24"/>
          <w:szCs w:val="24"/>
          <w:lang w:val="es-ES"/>
        </w:rPr>
        <w:t xml:space="preserve">, </w:t>
      </w:r>
      <w:r w:rsidRPr="00B07754">
        <w:rPr>
          <w:rFonts w:ascii="Times New Roman" w:eastAsiaTheme="minorHAnsi" w:hAnsi="Times New Roman"/>
          <w:sz w:val="24"/>
          <w:szCs w:val="24"/>
          <w:lang w:val="es-ES"/>
        </w:rPr>
        <w:t xml:space="preserve"> motivan</w:t>
      </w:r>
      <w:r w:rsidR="00F820BD" w:rsidRPr="00B07754">
        <w:rPr>
          <w:rFonts w:ascii="Times New Roman" w:eastAsiaTheme="minorHAnsi" w:hAnsi="Times New Roman"/>
          <w:sz w:val="24"/>
          <w:szCs w:val="24"/>
          <w:lang w:val="es-ES"/>
        </w:rPr>
        <w:t xml:space="preserve"> al Estado</w:t>
      </w:r>
      <w:r w:rsidRPr="00B07754">
        <w:rPr>
          <w:rFonts w:ascii="Times New Roman" w:eastAsiaTheme="minorHAnsi" w:hAnsi="Times New Roman"/>
          <w:sz w:val="24"/>
          <w:szCs w:val="24"/>
          <w:lang w:val="es-ES"/>
        </w:rPr>
        <w:t xml:space="preserve"> la instauración de regulaciones y actividades de supervisión en el sector</w:t>
      </w:r>
      <w:r w:rsidR="00E4372F" w:rsidRPr="00B07754">
        <w:rPr>
          <w:rFonts w:ascii="Times New Roman" w:eastAsiaTheme="minorHAnsi" w:hAnsi="Times New Roman"/>
          <w:sz w:val="24"/>
          <w:szCs w:val="24"/>
          <w:lang w:val="es-ES"/>
        </w:rPr>
        <w:t xml:space="preserve"> </w:t>
      </w:r>
      <w:r w:rsidRPr="00B07754">
        <w:rPr>
          <w:rFonts w:ascii="Times New Roman" w:eastAsiaTheme="minorHAnsi" w:hAnsi="Times New Roman"/>
          <w:sz w:val="24"/>
          <w:szCs w:val="24"/>
          <w:lang w:val="es-ES"/>
        </w:rPr>
        <w:t>como son</w:t>
      </w:r>
      <w:r w:rsidR="008210D1" w:rsidRPr="00B07754">
        <w:rPr>
          <w:rFonts w:ascii="Times New Roman" w:eastAsiaTheme="minorHAnsi" w:hAnsi="Times New Roman"/>
          <w:sz w:val="24"/>
          <w:szCs w:val="24"/>
          <w:lang w:val="es-ES"/>
        </w:rPr>
        <w:t>:</w:t>
      </w:r>
      <w:r w:rsidRPr="00B07754">
        <w:rPr>
          <w:rFonts w:ascii="Times New Roman" w:eastAsiaTheme="minorHAnsi" w:hAnsi="Times New Roman"/>
          <w:sz w:val="24"/>
          <w:szCs w:val="24"/>
          <w:lang w:val="es-ES"/>
        </w:rPr>
        <w:t xml:space="preserve"> licencias bancarias especiales, pruebas para gerentes, requerimientos de capital, provisiones, y un prestamista de última instancia</w:t>
      </w:r>
      <w:sdt>
        <w:sdtPr>
          <w:rPr>
            <w:rFonts w:ascii="Times New Roman" w:eastAsiaTheme="minorHAnsi" w:hAnsi="Times New Roman"/>
            <w:sz w:val="24"/>
            <w:szCs w:val="24"/>
            <w:lang w:val="es-ES"/>
          </w:rPr>
          <w:id w:val="-1118836302"/>
          <w:citation/>
        </w:sdtPr>
        <w:sdtEndPr/>
        <w:sdtContent>
          <w:r w:rsidRPr="00B07754">
            <w:rPr>
              <w:rFonts w:ascii="Times New Roman" w:eastAsiaTheme="minorHAnsi" w:hAnsi="Times New Roman"/>
              <w:sz w:val="24"/>
              <w:szCs w:val="24"/>
              <w:lang w:val="es-ES"/>
            </w:rPr>
            <w:fldChar w:fldCharType="begin"/>
          </w:r>
          <w:r w:rsidRPr="00B07754">
            <w:rPr>
              <w:rFonts w:ascii="Times New Roman" w:eastAsiaTheme="minorHAnsi" w:hAnsi="Times New Roman"/>
              <w:sz w:val="24"/>
              <w:szCs w:val="24"/>
              <w:lang w:val="es-MX"/>
            </w:rPr>
            <w:instrText xml:space="preserve">CITATION Car02 \p 9 \l 2058 </w:instrText>
          </w:r>
          <w:r w:rsidRPr="00B07754">
            <w:rPr>
              <w:rFonts w:ascii="Times New Roman" w:eastAsiaTheme="minorHAnsi" w:hAnsi="Times New Roman"/>
              <w:sz w:val="24"/>
              <w:szCs w:val="24"/>
              <w:lang w:val="es-ES"/>
            </w:rPr>
            <w:fldChar w:fldCharType="separate"/>
          </w:r>
          <w:r w:rsidR="008A6D1D" w:rsidRPr="00B07754">
            <w:rPr>
              <w:rFonts w:ascii="Times New Roman" w:eastAsiaTheme="minorHAnsi" w:hAnsi="Times New Roman"/>
              <w:noProof/>
              <w:sz w:val="24"/>
              <w:szCs w:val="24"/>
              <w:lang w:val="es-MX"/>
            </w:rPr>
            <w:t xml:space="preserve"> (Carletti &amp; Hartmann, 2002, pág. 9)</w:t>
          </w:r>
          <w:r w:rsidRPr="00B07754">
            <w:rPr>
              <w:rFonts w:ascii="Times New Roman" w:eastAsiaTheme="minorHAnsi" w:hAnsi="Times New Roman"/>
              <w:sz w:val="24"/>
              <w:szCs w:val="24"/>
              <w:lang w:val="es-ES"/>
            </w:rPr>
            <w:fldChar w:fldCharType="end"/>
          </w:r>
        </w:sdtContent>
      </w:sdt>
      <w:r w:rsidR="00E4372F" w:rsidRPr="00B07754">
        <w:rPr>
          <w:rFonts w:ascii="Times New Roman" w:eastAsiaTheme="minorHAnsi" w:hAnsi="Times New Roman"/>
          <w:sz w:val="24"/>
          <w:szCs w:val="24"/>
          <w:lang w:val="es-ES"/>
        </w:rPr>
        <w:t>.</w:t>
      </w:r>
      <w:r w:rsidRPr="00B07754">
        <w:rPr>
          <w:rFonts w:ascii="Times New Roman" w:eastAsiaTheme="minorHAnsi" w:hAnsi="Times New Roman"/>
          <w:sz w:val="24"/>
          <w:szCs w:val="24"/>
          <w:lang w:val="es-ES"/>
        </w:rPr>
        <w:t xml:space="preserve"> </w:t>
      </w:r>
      <w:r w:rsidR="00E4372F" w:rsidRPr="00B07754">
        <w:rPr>
          <w:rFonts w:ascii="Times New Roman" w:eastAsiaTheme="minorHAnsi" w:hAnsi="Times New Roman"/>
          <w:sz w:val="24"/>
          <w:szCs w:val="24"/>
          <w:lang w:val="es-ES"/>
        </w:rPr>
        <w:t>N</w:t>
      </w:r>
      <w:r w:rsidRPr="00B07754">
        <w:rPr>
          <w:rFonts w:ascii="Times New Roman" w:eastAsiaTheme="minorHAnsi" w:hAnsi="Times New Roman"/>
          <w:sz w:val="24"/>
          <w:szCs w:val="24"/>
          <w:lang w:val="es-ES"/>
        </w:rPr>
        <w:t xml:space="preserve">o menos importantes son </w:t>
      </w:r>
      <w:r w:rsidRPr="00B07754">
        <w:rPr>
          <w:rFonts w:ascii="Times New Roman" w:eastAsiaTheme="minorHAnsi" w:hAnsi="Times New Roman"/>
          <w:sz w:val="24"/>
          <w:szCs w:val="24"/>
          <w:lang w:val="es-MX"/>
        </w:rPr>
        <w:t xml:space="preserve"> las políticas de competencia relacionadas con prácticas de negocio que pretenden eliminar del mercado prácticas que afectan la libre concurrencia de oferentes y demandantes, con información amplia y similar. Dentro de estas prácticas que afectan la competencia tenemos: </w:t>
      </w:r>
    </w:p>
    <w:p w:rsidR="00782E35" w:rsidRPr="00B07754" w:rsidRDefault="00782E35" w:rsidP="002B5E62">
      <w:pPr>
        <w:pStyle w:val="Prrafodelista"/>
        <w:numPr>
          <w:ilvl w:val="0"/>
          <w:numId w:val="1"/>
        </w:numPr>
        <w:autoSpaceDE w:val="0"/>
        <w:autoSpaceDN w:val="0"/>
        <w:adjustRightInd w:val="0"/>
        <w:spacing w:line="360" w:lineRule="auto"/>
        <w:ind w:firstLine="0"/>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Carteles: Hace referencia a cualquier acuerdo y/o coordinación de prácticas en el mercado entre firmas, los cuales tienen como objetivo la prevención, restricción o distorsión de la competencia. Un ejemplo de este tipo de carteles anti competencia son acuerdos en los que directa o indirectamente se fijan los precios de compra, venta o cualquier condición comercial que pueda limitar la producción, el mercado, el desarrollo tecnológico o la inversión. </w:t>
      </w:r>
    </w:p>
    <w:p w:rsidR="00782E35" w:rsidRPr="00B07754" w:rsidRDefault="00782E35" w:rsidP="002B5E62">
      <w:pPr>
        <w:pStyle w:val="Prrafodelista"/>
        <w:numPr>
          <w:ilvl w:val="0"/>
          <w:numId w:val="1"/>
        </w:numPr>
        <w:autoSpaceDE w:val="0"/>
        <w:autoSpaceDN w:val="0"/>
        <w:adjustRightInd w:val="0"/>
        <w:spacing w:line="360" w:lineRule="auto"/>
        <w:ind w:firstLine="0"/>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Abuso de posición dominante: Se refiere a cualquier comportamiento anti competitivo ejecutado por una o más firmas que poseen una posición dominante en el mercado. Una compañía es dominante cuando puede actuar independientemente de los competidores y consumidores, quienes tienen pocas posibilidades de reacción. </w:t>
      </w:r>
      <w:r w:rsidR="006A7E8B" w:rsidRPr="00B07754">
        <w:rPr>
          <w:rFonts w:ascii="Times New Roman" w:eastAsiaTheme="minorHAnsi" w:hAnsi="Times New Roman"/>
          <w:sz w:val="24"/>
          <w:szCs w:val="24"/>
          <w:lang w:val="es-MX"/>
        </w:rPr>
        <w:t xml:space="preserve">Una posición dominante está permitida siempre y cuando no se abuse de ella. </w:t>
      </w:r>
      <w:r w:rsidRPr="00B07754">
        <w:rPr>
          <w:rFonts w:ascii="Times New Roman" w:eastAsiaTheme="minorHAnsi" w:hAnsi="Times New Roman"/>
          <w:sz w:val="24"/>
          <w:szCs w:val="24"/>
          <w:lang w:val="es-MX"/>
        </w:rPr>
        <w:t xml:space="preserve">Ejemplos en estos casos son la imposición de precios o condiciones con la finalidad de impedir el acceso al mercado de otras firmas o para que éstas dejen de operar.  </w:t>
      </w:r>
    </w:p>
    <w:p w:rsidR="00782E35" w:rsidRPr="00B07754" w:rsidRDefault="00782E35" w:rsidP="002B5E62">
      <w:pPr>
        <w:pStyle w:val="Prrafodelista"/>
        <w:numPr>
          <w:ilvl w:val="0"/>
          <w:numId w:val="1"/>
        </w:numPr>
        <w:autoSpaceDE w:val="0"/>
        <w:autoSpaceDN w:val="0"/>
        <w:adjustRightInd w:val="0"/>
        <w:spacing w:line="360" w:lineRule="auto"/>
        <w:ind w:firstLine="0"/>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Fusión: Ocurre cuando dos o más firmas independientes se unen para actuar como una o cuando una compañía adquiere el control sobre otra o más, de manera que pueda ejercer mayor influencia en el comportamiento del mercado. Por una </w:t>
      </w:r>
      <w:r w:rsidRPr="00B07754">
        <w:rPr>
          <w:rFonts w:ascii="Times New Roman" w:eastAsiaTheme="minorHAnsi" w:hAnsi="Times New Roman"/>
          <w:sz w:val="24"/>
          <w:szCs w:val="24"/>
          <w:lang w:val="es-MX"/>
        </w:rPr>
        <w:lastRenderedPageBreak/>
        <w:t>parte, una fusión está prohibida si crea o afianza una posición dominante que pueda impedir significativamente la existencia o desarrollo de la competencia. Por otra, una fusión podría ser autorizada si el objetivo es el de corregir o remover cualquier efecto adverso en la competencia</w:t>
      </w:r>
      <w:sdt>
        <w:sdtPr>
          <w:rPr>
            <w:rFonts w:ascii="Times New Roman" w:eastAsiaTheme="minorHAnsi" w:hAnsi="Times New Roman"/>
            <w:sz w:val="24"/>
            <w:szCs w:val="24"/>
            <w:lang w:val="es-MX"/>
          </w:rPr>
          <w:id w:val="462239851"/>
          <w:citation/>
        </w:sdtPr>
        <w:sdtEndPr/>
        <w:sdtContent>
          <w:r w:rsidRPr="00B07754">
            <w:rPr>
              <w:rFonts w:ascii="Times New Roman" w:eastAsiaTheme="minorHAnsi" w:hAnsi="Times New Roman"/>
              <w:sz w:val="24"/>
              <w:szCs w:val="24"/>
              <w:lang w:val="es-MX"/>
            </w:rPr>
            <w:fldChar w:fldCharType="begin"/>
          </w:r>
          <w:r w:rsidRPr="00B07754">
            <w:rPr>
              <w:rFonts w:ascii="Times New Roman" w:eastAsiaTheme="minorHAnsi" w:hAnsi="Times New Roman"/>
              <w:sz w:val="24"/>
              <w:szCs w:val="24"/>
              <w:lang w:val="es-MX"/>
            </w:rPr>
            <w:instrText xml:space="preserve">CITATION Car02 \p 9-11 \l 2058 </w:instrText>
          </w:r>
          <w:r w:rsidRPr="00B07754">
            <w:rPr>
              <w:rFonts w:ascii="Times New Roman" w:eastAsiaTheme="minorHAnsi" w:hAnsi="Times New Roman"/>
              <w:sz w:val="24"/>
              <w:szCs w:val="24"/>
              <w:lang w:val="es-MX"/>
            </w:rPr>
            <w:fldChar w:fldCharType="separate"/>
          </w:r>
          <w:r w:rsidR="008A6D1D" w:rsidRPr="00B07754">
            <w:rPr>
              <w:rFonts w:ascii="Times New Roman" w:eastAsiaTheme="minorHAnsi" w:hAnsi="Times New Roman"/>
              <w:noProof/>
              <w:sz w:val="24"/>
              <w:szCs w:val="24"/>
              <w:lang w:val="es-MX"/>
            </w:rPr>
            <w:t xml:space="preserve"> (Carletti &amp; Hartmann, 2002, págs. 9-11)</w:t>
          </w:r>
          <w:r w:rsidRPr="00B07754">
            <w:rPr>
              <w:rFonts w:ascii="Times New Roman" w:eastAsiaTheme="minorHAnsi" w:hAnsi="Times New Roman"/>
              <w:sz w:val="24"/>
              <w:szCs w:val="24"/>
              <w:lang w:val="es-MX"/>
            </w:rPr>
            <w:fldChar w:fldCharType="end"/>
          </w:r>
        </w:sdtContent>
      </w:sdt>
      <w:r w:rsidRPr="00B07754">
        <w:rPr>
          <w:rFonts w:ascii="Times New Roman" w:eastAsiaTheme="minorHAnsi" w:hAnsi="Times New Roman"/>
          <w:sz w:val="24"/>
          <w:szCs w:val="24"/>
          <w:lang w:val="es-MX"/>
        </w:rPr>
        <w:t xml:space="preserve">. </w:t>
      </w:r>
      <w:r w:rsidR="006771BD" w:rsidRPr="00B07754">
        <w:rPr>
          <w:rFonts w:ascii="Times New Roman" w:eastAsiaTheme="minorHAnsi" w:hAnsi="Times New Roman"/>
          <w:sz w:val="24"/>
          <w:szCs w:val="24"/>
          <w:lang w:val="es-MX"/>
        </w:rPr>
        <w:t xml:space="preserve"> En el Ecuador las fusiones son permitidas; </w:t>
      </w:r>
      <w:r w:rsidR="00F91CDC" w:rsidRPr="00B07754">
        <w:rPr>
          <w:rFonts w:ascii="Times New Roman" w:eastAsiaTheme="minorHAnsi" w:hAnsi="Times New Roman"/>
          <w:sz w:val="24"/>
          <w:szCs w:val="24"/>
          <w:lang w:val="es-MX"/>
        </w:rPr>
        <w:t>empero</w:t>
      </w:r>
      <w:r w:rsidR="006771BD" w:rsidRPr="00B07754">
        <w:rPr>
          <w:rFonts w:ascii="Times New Roman" w:eastAsiaTheme="minorHAnsi" w:hAnsi="Times New Roman"/>
          <w:sz w:val="24"/>
          <w:szCs w:val="24"/>
          <w:lang w:val="es-MX"/>
        </w:rPr>
        <w:t xml:space="preserve">, </w:t>
      </w:r>
      <w:r w:rsidR="007A23C1" w:rsidRPr="00B07754">
        <w:rPr>
          <w:rFonts w:ascii="Times New Roman" w:eastAsiaTheme="minorHAnsi" w:hAnsi="Times New Roman"/>
          <w:sz w:val="24"/>
          <w:szCs w:val="24"/>
          <w:lang w:val="es-MX"/>
        </w:rPr>
        <w:t xml:space="preserve">de acuerdo al Art. 16 de la Ley Orgánica de Regulación y Control del Poder de Mercado, </w:t>
      </w:r>
      <w:r w:rsidR="006771BD" w:rsidRPr="00B07754">
        <w:rPr>
          <w:rFonts w:ascii="Times New Roman" w:eastAsiaTheme="minorHAnsi" w:hAnsi="Times New Roman"/>
          <w:sz w:val="24"/>
          <w:szCs w:val="24"/>
          <w:lang w:val="es-MX"/>
        </w:rPr>
        <w:t>si la concentración de mercado producto de ella “involucra a operadores económicos que se dediquen a la misma actividad económica, y que como consecuencia de la concentración se adquiera o incremente una cuota igual o superior al 30 por ciento del mercado relevante del producto o servicio en el ámbito nacional o en un mercado geográfico definido dentro del mismo”</w:t>
      </w:r>
      <w:sdt>
        <w:sdtPr>
          <w:rPr>
            <w:rFonts w:ascii="Times New Roman" w:eastAsiaTheme="minorHAnsi" w:hAnsi="Times New Roman"/>
            <w:sz w:val="24"/>
            <w:szCs w:val="24"/>
            <w:lang w:val="es-MX"/>
          </w:rPr>
          <w:id w:val="441184832"/>
          <w:citation/>
        </w:sdtPr>
        <w:sdtEndPr/>
        <w:sdtContent>
          <w:r w:rsidR="007A23C1" w:rsidRPr="00B07754">
            <w:rPr>
              <w:rFonts w:ascii="Times New Roman" w:eastAsiaTheme="minorHAnsi" w:hAnsi="Times New Roman"/>
              <w:sz w:val="24"/>
              <w:szCs w:val="24"/>
              <w:lang w:val="es-MX"/>
            </w:rPr>
            <w:fldChar w:fldCharType="begin"/>
          </w:r>
          <w:r w:rsidR="007A23C1" w:rsidRPr="00B07754">
            <w:rPr>
              <w:rFonts w:ascii="Times New Roman" w:eastAsiaTheme="minorHAnsi" w:hAnsi="Times New Roman"/>
              <w:sz w:val="24"/>
              <w:szCs w:val="24"/>
              <w:lang w:val="es-MX"/>
            </w:rPr>
            <w:instrText xml:space="preserve"> CITATION Ley11 \l 2058 </w:instrText>
          </w:r>
          <w:r w:rsidR="007A23C1" w:rsidRPr="00B07754">
            <w:rPr>
              <w:rFonts w:ascii="Times New Roman" w:eastAsiaTheme="minorHAnsi" w:hAnsi="Times New Roman"/>
              <w:sz w:val="24"/>
              <w:szCs w:val="24"/>
              <w:lang w:val="es-MX"/>
            </w:rPr>
            <w:fldChar w:fldCharType="separate"/>
          </w:r>
          <w:r w:rsidR="008A6D1D" w:rsidRPr="00B07754">
            <w:rPr>
              <w:rFonts w:ascii="Times New Roman" w:eastAsiaTheme="minorHAnsi" w:hAnsi="Times New Roman"/>
              <w:noProof/>
              <w:sz w:val="24"/>
              <w:szCs w:val="24"/>
              <w:lang w:val="es-MX"/>
            </w:rPr>
            <w:t xml:space="preserve"> (Ley Orgánica de Regulación y Control del Poder de Mercado, 2011)</w:t>
          </w:r>
          <w:r w:rsidR="007A23C1" w:rsidRPr="00B07754">
            <w:rPr>
              <w:rFonts w:ascii="Times New Roman" w:eastAsiaTheme="minorHAnsi" w:hAnsi="Times New Roman"/>
              <w:sz w:val="24"/>
              <w:szCs w:val="24"/>
              <w:lang w:val="es-MX"/>
            </w:rPr>
            <w:fldChar w:fldCharType="end"/>
          </w:r>
        </w:sdtContent>
      </w:sdt>
      <w:r w:rsidR="006771BD" w:rsidRPr="00B07754">
        <w:rPr>
          <w:rFonts w:ascii="Times New Roman" w:eastAsiaTheme="minorHAnsi" w:hAnsi="Times New Roman"/>
          <w:sz w:val="24"/>
          <w:szCs w:val="24"/>
          <w:lang w:val="es-MX"/>
        </w:rPr>
        <w:t xml:space="preserve"> </w:t>
      </w:r>
      <w:r w:rsidR="007A23C1" w:rsidRPr="00B07754">
        <w:rPr>
          <w:rFonts w:ascii="Times New Roman" w:eastAsiaTheme="minorHAnsi" w:hAnsi="Times New Roman"/>
          <w:sz w:val="24"/>
          <w:szCs w:val="24"/>
          <w:lang w:val="es-MX"/>
        </w:rPr>
        <w:t>“</w:t>
      </w:r>
      <w:r w:rsidR="006771BD" w:rsidRPr="00B07754">
        <w:rPr>
          <w:rFonts w:ascii="Times New Roman" w:eastAsiaTheme="minorHAnsi" w:hAnsi="Times New Roman"/>
          <w:sz w:val="24"/>
          <w:szCs w:val="24"/>
          <w:lang w:val="es-MX"/>
        </w:rPr>
        <w:t>están obligadas a cumplir con el procedimiento de notificación para ser examinadas, reguladas, controladas y, de ser el caso, intervenidas o sancionadas por la Superintendencia de Control de Poder de Mercado</w:t>
      </w:r>
      <w:r w:rsidR="007A23C1" w:rsidRPr="00B07754">
        <w:rPr>
          <w:rFonts w:ascii="Times New Roman" w:eastAsiaTheme="minorHAnsi" w:hAnsi="Times New Roman"/>
          <w:sz w:val="24"/>
          <w:szCs w:val="24"/>
          <w:lang w:val="es-MX"/>
        </w:rPr>
        <w:t>”(Art.15, ibídem)</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Las estructuras arriba nombradas pueden ser  aplicadas al sector bancario; sin embargo, dadas las características de este mercado, los carteles y las fusiones poseen un rol más importante que los abusos de posiciones dominantes.  Por su parte, los carteles en el sector bancario incluyen principalmente acuerdos en el mercado para servicios en el sistema de pagos y de licencia de productos</w:t>
      </w:r>
      <w:sdt>
        <w:sdtPr>
          <w:rPr>
            <w:rFonts w:ascii="Times New Roman" w:eastAsiaTheme="minorHAnsi" w:hAnsi="Times New Roman"/>
            <w:sz w:val="24"/>
            <w:szCs w:val="24"/>
            <w:lang w:val="es-MX"/>
          </w:rPr>
          <w:id w:val="-1327975278"/>
          <w:citation/>
        </w:sdtPr>
        <w:sdtEndPr/>
        <w:sdtContent>
          <w:r w:rsidRPr="00B07754">
            <w:rPr>
              <w:rFonts w:ascii="Times New Roman" w:eastAsiaTheme="minorHAnsi" w:hAnsi="Times New Roman"/>
              <w:sz w:val="24"/>
              <w:szCs w:val="24"/>
              <w:lang w:val="es-MX"/>
            </w:rPr>
            <w:fldChar w:fldCharType="begin"/>
          </w:r>
          <w:r w:rsidRPr="00B07754">
            <w:rPr>
              <w:rFonts w:ascii="Times New Roman" w:eastAsiaTheme="minorHAnsi" w:hAnsi="Times New Roman"/>
              <w:sz w:val="24"/>
              <w:szCs w:val="24"/>
              <w:lang w:val="es-MX"/>
            </w:rPr>
            <w:instrText xml:space="preserve">CITATION Car02 \p 11 \l 2058 </w:instrText>
          </w:r>
          <w:r w:rsidRPr="00B07754">
            <w:rPr>
              <w:rFonts w:ascii="Times New Roman" w:eastAsiaTheme="minorHAnsi" w:hAnsi="Times New Roman"/>
              <w:sz w:val="24"/>
              <w:szCs w:val="24"/>
              <w:lang w:val="es-MX"/>
            </w:rPr>
            <w:fldChar w:fldCharType="separate"/>
          </w:r>
          <w:r w:rsidR="008A6D1D" w:rsidRPr="00B07754">
            <w:rPr>
              <w:rFonts w:ascii="Times New Roman" w:eastAsiaTheme="minorHAnsi" w:hAnsi="Times New Roman"/>
              <w:noProof/>
              <w:sz w:val="24"/>
              <w:szCs w:val="24"/>
              <w:lang w:val="es-MX"/>
            </w:rPr>
            <w:t xml:space="preserve"> (Carletti &amp; Hartmann, 2002, pág. 11)</w:t>
          </w:r>
          <w:r w:rsidRPr="00B07754">
            <w:rPr>
              <w:rFonts w:ascii="Times New Roman" w:eastAsiaTheme="minorHAnsi" w:hAnsi="Times New Roman"/>
              <w:sz w:val="24"/>
              <w:szCs w:val="24"/>
              <w:lang w:val="es-MX"/>
            </w:rPr>
            <w:fldChar w:fldCharType="end"/>
          </w:r>
        </w:sdtContent>
      </w:sdt>
      <w:r w:rsidRPr="00B07754">
        <w:rPr>
          <w:rFonts w:ascii="Times New Roman" w:eastAsiaTheme="minorHAnsi" w:hAnsi="Times New Roman"/>
          <w:sz w:val="24"/>
          <w:szCs w:val="24"/>
          <w:lang w:val="es-MX"/>
        </w:rPr>
        <w:t xml:space="preserve">. </w:t>
      </w:r>
    </w:p>
    <w:p w:rsidR="00782E35" w:rsidRPr="00B07754" w:rsidRDefault="00782E35" w:rsidP="002B5E62">
      <w:pPr>
        <w:pStyle w:val="Ttulo2"/>
        <w:numPr>
          <w:ilvl w:val="1"/>
          <w:numId w:val="2"/>
        </w:numPr>
        <w:spacing w:before="0" w:after="200" w:line="360" w:lineRule="auto"/>
        <w:ind w:left="0" w:firstLine="0"/>
        <w:rPr>
          <w:rFonts w:ascii="Times New Roman" w:eastAsiaTheme="minorHAnsi" w:hAnsi="Times New Roman"/>
          <w:color w:val="auto"/>
          <w:sz w:val="24"/>
          <w:szCs w:val="24"/>
          <w:lang w:val="es-ES"/>
        </w:rPr>
      </w:pPr>
      <w:bookmarkStart w:id="11" w:name="_Toc372589956"/>
      <w:r w:rsidRPr="00B07754">
        <w:rPr>
          <w:rFonts w:ascii="Times New Roman" w:eastAsiaTheme="minorHAnsi" w:hAnsi="Times New Roman"/>
          <w:color w:val="auto"/>
          <w:sz w:val="24"/>
          <w:szCs w:val="24"/>
          <w:lang w:val="es-ES"/>
        </w:rPr>
        <w:t>Literatura académica para competencia y estabilidad en el sistema financiero</w:t>
      </w:r>
      <w:bookmarkEnd w:id="11"/>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ES"/>
        </w:rPr>
        <w:t xml:space="preserve">En esta sección se revisará el aporte de distintas investigaciones acerca de la relación existente entre competencia y estabilidad. El interés en este tema surgió por el artículo escrito por Michael </w:t>
      </w:r>
      <w:proofErr w:type="spellStart"/>
      <w:r w:rsidRPr="00B07754">
        <w:rPr>
          <w:rFonts w:ascii="Times New Roman" w:eastAsiaTheme="minorHAnsi" w:hAnsi="Times New Roman"/>
          <w:sz w:val="24"/>
          <w:szCs w:val="24"/>
          <w:lang w:val="es-ES"/>
        </w:rPr>
        <w:t>Keeley</w:t>
      </w:r>
      <w:proofErr w:type="spellEnd"/>
      <w:r w:rsidRPr="00B07754">
        <w:rPr>
          <w:rFonts w:ascii="Times New Roman" w:eastAsiaTheme="minorHAnsi" w:hAnsi="Times New Roman"/>
          <w:sz w:val="24"/>
          <w:szCs w:val="24"/>
          <w:lang w:val="es-ES"/>
        </w:rPr>
        <w:t xml:space="preserve"> (cit. por </w:t>
      </w:r>
      <w:proofErr w:type="spellStart"/>
      <w:r w:rsidRPr="00B07754">
        <w:rPr>
          <w:rFonts w:ascii="Times New Roman" w:eastAsiaTheme="minorHAnsi" w:hAnsi="Times New Roman"/>
          <w:sz w:val="24"/>
          <w:szCs w:val="24"/>
          <w:lang w:val="es-ES"/>
        </w:rPr>
        <w:t>Carletti</w:t>
      </w:r>
      <w:proofErr w:type="spellEnd"/>
      <w:r w:rsidRPr="00B07754">
        <w:rPr>
          <w:rFonts w:ascii="Times New Roman" w:eastAsiaTheme="minorHAnsi" w:hAnsi="Times New Roman"/>
          <w:sz w:val="24"/>
          <w:szCs w:val="24"/>
          <w:lang w:val="es-ES"/>
        </w:rPr>
        <w:t xml:space="preserve"> &amp; Hartmann, 2002; 19) quien encontró que la quiebra bancaria en los Estados Unidos en la década de 1980, habría sido causada parcialmente por medidas desreguladoras y factores del mercado que mediante e</w:t>
      </w:r>
      <w:r w:rsidR="00294EE8" w:rsidRPr="00B07754">
        <w:rPr>
          <w:rFonts w:ascii="Times New Roman" w:eastAsiaTheme="minorHAnsi" w:hAnsi="Times New Roman"/>
          <w:sz w:val="24"/>
          <w:szCs w:val="24"/>
          <w:lang w:val="es-ES"/>
        </w:rPr>
        <w:t xml:space="preserve">l incremento de la competencia </w:t>
      </w:r>
      <w:r w:rsidRPr="00B07754">
        <w:rPr>
          <w:rFonts w:ascii="Times New Roman" w:eastAsiaTheme="minorHAnsi" w:hAnsi="Times New Roman"/>
          <w:sz w:val="24"/>
          <w:szCs w:val="24"/>
          <w:lang w:val="es-ES"/>
        </w:rPr>
        <w:t xml:space="preserve">habrían reducido las rentas monopólicas; y por tanto, incrementado el valor de las opciones </w:t>
      </w:r>
      <w:proofErr w:type="spellStart"/>
      <w:r w:rsidRPr="00B07754">
        <w:rPr>
          <w:rFonts w:ascii="Times New Roman" w:eastAsiaTheme="minorHAnsi" w:hAnsi="Times New Roman"/>
          <w:sz w:val="24"/>
          <w:szCs w:val="24"/>
          <w:lang w:val="es-ES"/>
        </w:rPr>
        <w:t>put</w:t>
      </w:r>
      <w:proofErr w:type="spellEnd"/>
      <w:r w:rsidRPr="00B07754">
        <w:rPr>
          <w:rStyle w:val="Refdenotaalpie"/>
          <w:rFonts w:ascii="Times New Roman" w:eastAsiaTheme="minorHAnsi" w:hAnsi="Times New Roman"/>
          <w:sz w:val="24"/>
          <w:szCs w:val="24"/>
          <w:lang w:val="es-ES"/>
        </w:rPr>
        <w:footnoteReference w:id="5"/>
      </w:r>
      <w:r w:rsidRPr="00B07754">
        <w:rPr>
          <w:rFonts w:ascii="Times New Roman" w:eastAsiaTheme="minorHAnsi" w:hAnsi="Times New Roman"/>
          <w:sz w:val="24"/>
          <w:szCs w:val="24"/>
          <w:lang w:val="es-ES"/>
        </w:rPr>
        <w:t xml:space="preserve"> de los gerentes de los bancos en los fondos de garantía de depósitos. Además, la disminución de las ganancias incrementó el problema de </w:t>
      </w:r>
      <w:r w:rsidRPr="00B07754">
        <w:rPr>
          <w:rFonts w:ascii="Times New Roman" w:eastAsiaTheme="minorHAnsi" w:hAnsi="Times New Roman"/>
          <w:sz w:val="24"/>
          <w:szCs w:val="24"/>
          <w:lang w:val="es-ES"/>
        </w:rPr>
        <w:lastRenderedPageBreak/>
        <w:t xml:space="preserve">agencia entre los dueños de los bancos y el fondo de garantía de depósitos gubernamental. El problema de agencia al que se hace referencia se evidencia en que los dueños o directivos de los bancos tuvieron un incentivo para tomar más riesgo debido a la libre disposición de los depósitos asegurados. Así pues, igual que en el problema de agencia identificado por Jensen y </w:t>
      </w:r>
      <w:proofErr w:type="spellStart"/>
      <w:r w:rsidRPr="00B07754">
        <w:rPr>
          <w:rFonts w:ascii="Times New Roman" w:eastAsiaTheme="minorHAnsi" w:hAnsi="Times New Roman"/>
          <w:sz w:val="24"/>
          <w:szCs w:val="24"/>
          <w:lang w:val="es-ES"/>
        </w:rPr>
        <w:t>Meckling</w:t>
      </w:r>
      <w:proofErr w:type="spellEnd"/>
      <w:r w:rsidRPr="00B07754">
        <w:rPr>
          <w:rFonts w:ascii="Times New Roman" w:eastAsiaTheme="minorHAnsi" w:hAnsi="Times New Roman"/>
          <w:sz w:val="24"/>
          <w:szCs w:val="24"/>
          <w:lang w:val="es-ES"/>
        </w:rPr>
        <w:t xml:space="preserve"> (1976), si la apuesta era exitosa los accionistas obtendrían mayores beneficios; y por el contrario, si no lo era, el costo sería asumido por el fondo de garantía de depósitos. En consecuencia, el riesgo adoptado por los bancos como resultado del problema de agencia incrementó drásticamente las quiebras bancarias en la década de los 80</w:t>
      </w:r>
      <w:sdt>
        <w:sdtPr>
          <w:rPr>
            <w:rFonts w:ascii="Times New Roman" w:eastAsiaTheme="minorHAnsi" w:hAnsi="Times New Roman"/>
            <w:sz w:val="24"/>
            <w:szCs w:val="24"/>
            <w:lang w:val="es-ES"/>
          </w:rPr>
          <w:id w:val="-894346847"/>
          <w:citation/>
        </w:sdtPr>
        <w:sdtEndPr/>
        <w:sdtContent>
          <w:r w:rsidRPr="00B07754">
            <w:rPr>
              <w:rFonts w:ascii="Times New Roman" w:eastAsiaTheme="minorHAnsi" w:hAnsi="Times New Roman"/>
              <w:sz w:val="24"/>
              <w:szCs w:val="24"/>
              <w:lang w:val="es-ES"/>
            </w:rPr>
            <w:fldChar w:fldCharType="begin"/>
          </w:r>
          <w:r w:rsidRPr="00B07754">
            <w:rPr>
              <w:rFonts w:ascii="Times New Roman" w:eastAsiaTheme="minorHAnsi" w:hAnsi="Times New Roman"/>
              <w:sz w:val="24"/>
              <w:szCs w:val="24"/>
              <w:lang w:val="es-MX"/>
            </w:rPr>
            <w:instrText xml:space="preserve">CITATION All03 \p 1 \l 2058 </w:instrText>
          </w:r>
          <w:r w:rsidRPr="00B07754">
            <w:rPr>
              <w:rFonts w:ascii="Times New Roman" w:eastAsiaTheme="minorHAnsi" w:hAnsi="Times New Roman"/>
              <w:sz w:val="24"/>
              <w:szCs w:val="24"/>
              <w:lang w:val="es-ES"/>
            </w:rPr>
            <w:fldChar w:fldCharType="separate"/>
          </w:r>
          <w:r w:rsidR="008A6D1D" w:rsidRPr="00B07754">
            <w:rPr>
              <w:rFonts w:ascii="Times New Roman" w:eastAsiaTheme="minorHAnsi" w:hAnsi="Times New Roman"/>
              <w:noProof/>
              <w:sz w:val="24"/>
              <w:szCs w:val="24"/>
              <w:lang w:val="es-MX"/>
            </w:rPr>
            <w:t xml:space="preserve"> (Allen &amp; Gale, 2003, pág. 1)</w:t>
          </w:r>
          <w:r w:rsidRPr="00B07754">
            <w:rPr>
              <w:rFonts w:ascii="Times New Roman" w:eastAsiaTheme="minorHAnsi" w:hAnsi="Times New Roman"/>
              <w:sz w:val="24"/>
              <w:szCs w:val="24"/>
              <w:lang w:val="es-ES"/>
            </w:rPr>
            <w:fldChar w:fldCharType="end"/>
          </w:r>
        </w:sdtContent>
      </w:sdt>
      <w:r w:rsidRPr="00B07754">
        <w:rPr>
          <w:rFonts w:ascii="Times New Roman" w:eastAsiaTheme="minorHAnsi" w:hAnsi="Times New Roman"/>
          <w:sz w:val="24"/>
          <w:szCs w:val="24"/>
          <w:lang w:val="es-ES"/>
        </w:rPr>
        <w:t xml:space="preserve">.  Lo señalado fue corroborado por  Edwards y </w:t>
      </w:r>
      <w:proofErr w:type="spellStart"/>
      <w:r w:rsidRPr="00B07754">
        <w:rPr>
          <w:rFonts w:ascii="Times New Roman" w:eastAsiaTheme="minorHAnsi" w:hAnsi="Times New Roman"/>
          <w:sz w:val="24"/>
          <w:szCs w:val="24"/>
          <w:lang w:val="es-ES"/>
        </w:rPr>
        <w:t>Mishkin</w:t>
      </w:r>
      <w:proofErr w:type="spellEnd"/>
      <w:r w:rsidRPr="00B07754">
        <w:rPr>
          <w:rFonts w:ascii="Times New Roman" w:eastAsiaTheme="minorHAnsi" w:hAnsi="Times New Roman"/>
          <w:sz w:val="24"/>
          <w:szCs w:val="24"/>
          <w:lang w:val="es-ES"/>
        </w:rPr>
        <w:t xml:space="preserve"> quienes argumentaron que la toma de riesgo excesivo de 1980 en los Estados Unidos fue la respuesta de los bancos a la caída en las utilidades debido al ingreso de competencia en el mercado financiero (cit. por </w:t>
      </w:r>
      <w:proofErr w:type="spellStart"/>
      <w:r w:rsidRPr="00B07754">
        <w:rPr>
          <w:rFonts w:ascii="Times New Roman" w:eastAsiaTheme="minorHAnsi" w:hAnsi="Times New Roman"/>
          <w:sz w:val="24"/>
          <w:szCs w:val="24"/>
          <w:lang w:val="es-ES"/>
        </w:rPr>
        <w:t>Carletti</w:t>
      </w:r>
      <w:proofErr w:type="spellEnd"/>
      <w:r w:rsidRPr="00B07754">
        <w:rPr>
          <w:rFonts w:ascii="Times New Roman" w:eastAsiaTheme="minorHAnsi" w:hAnsi="Times New Roman"/>
          <w:sz w:val="24"/>
          <w:szCs w:val="24"/>
          <w:lang w:val="es-ES"/>
        </w:rPr>
        <w:t xml:space="preserve"> &amp; Hartmann, 2002: 19). Según estos autores la competencia disminuyó la ventaja en costos que poseían en la compra de fondos y redujo su posición en el mercado de créditos.</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De igual manera, los resultados encontrados de la relación entre competencia y estabilidad financiera por Beck, </w:t>
      </w:r>
      <w:proofErr w:type="spellStart"/>
      <w:r w:rsidRPr="00B07754">
        <w:rPr>
          <w:rFonts w:ascii="Times New Roman" w:eastAsiaTheme="minorHAnsi" w:hAnsi="Times New Roman"/>
          <w:sz w:val="24"/>
          <w:szCs w:val="24"/>
          <w:lang w:val="es-MX"/>
        </w:rPr>
        <w:t>Demirguc-Kunt</w:t>
      </w:r>
      <w:proofErr w:type="spellEnd"/>
      <w:r w:rsidRPr="00B07754">
        <w:rPr>
          <w:rFonts w:ascii="Times New Roman" w:eastAsiaTheme="minorHAnsi" w:hAnsi="Times New Roman"/>
          <w:sz w:val="24"/>
          <w:szCs w:val="24"/>
          <w:lang w:val="es-MX"/>
        </w:rPr>
        <w:t xml:space="preserve"> and </w:t>
      </w:r>
      <w:proofErr w:type="spellStart"/>
      <w:r w:rsidRPr="00B07754">
        <w:rPr>
          <w:rFonts w:ascii="Times New Roman" w:eastAsiaTheme="minorHAnsi" w:hAnsi="Times New Roman"/>
          <w:sz w:val="24"/>
          <w:szCs w:val="24"/>
          <w:lang w:val="es-MX"/>
        </w:rPr>
        <w:t>Levine</w:t>
      </w:r>
      <w:proofErr w:type="spellEnd"/>
      <w:r w:rsidRPr="00B07754">
        <w:rPr>
          <w:rFonts w:ascii="Times New Roman" w:eastAsiaTheme="minorHAnsi" w:hAnsi="Times New Roman"/>
          <w:sz w:val="24"/>
          <w:szCs w:val="24"/>
          <w:lang w:val="es-MX"/>
        </w:rPr>
        <w:t xml:space="preserve"> (cit. por Allen &amp; Gale; 2003, pág. 1) utilizando información de 79 países, indican que la probabilidad de ocurrencia de crisis es menor en sistemas bancarios más concentrados. Además que estudios como el de </w:t>
      </w:r>
      <w:proofErr w:type="spellStart"/>
      <w:r w:rsidRPr="00B07754">
        <w:rPr>
          <w:rFonts w:ascii="Times New Roman" w:eastAsiaTheme="minorHAnsi" w:hAnsi="Times New Roman"/>
          <w:sz w:val="24"/>
          <w:szCs w:val="24"/>
          <w:lang w:val="es-MX"/>
        </w:rPr>
        <w:t>Hoggarth</w:t>
      </w:r>
      <w:proofErr w:type="spellEnd"/>
      <w:r w:rsidRPr="00B07754">
        <w:rPr>
          <w:rFonts w:ascii="Times New Roman" w:eastAsiaTheme="minorHAnsi" w:hAnsi="Times New Roman"/>
          <w:sz w:val="24"/>
          <w:szCs w:val="24"/>
          <w:lang w:val="es-MX"/>
        </w:rPr>
        <w:t xml:space="preserve"> y </w:t>
      </w:r>
      <w:proofErr w:type="spellStart"/>
      <w:r w:rsidRPr="00B07754">
        <w:rPr>
          <w:rFonts w:ascii="Times New Roman" w:eastAsiaTheme="minorHAnsi" w:hAnsi="Times New Roman"/>
          <w:sz w:val="24"/>
          <w:szCs w:val="24"/>
          <w:lang w:val="es-MX"/>
        </w:rPr>
        <w:t>Saporta</w:t>
      </w:r>
      <w:proofErr w:type="spellEnd"/>
      <w:r w:rsidRPr="00B07754">
        <w:rPr>
          <w:rFonts w:ascii="Times New Roman" w:eastAsiaTheme="minorHAnsi" w:hAnsi="Times New Roman"/>
          <w:sz w:val="24"/>
          <w:szCs w:val="24"/>
          <w:lang w:val="es-MX"/>
        </w:rPr>
        <w:t xml:space="preserve"> (2001) indican que el costo de la inestabilidad financiera es alto. En su investigación demuestran que los costos fiscales promedios de una falla en el sistema bancario es del 16% del PIB, en países emergentes el costo asciende a 17.5% y para países desarrollados</w:t>
      </w:r>
      <w:r w:rsidR="00294EE8" w:rsidRPr="00B07754">
        <w:rPr>
          <w:rFonts w:ascii="Times New Roman" w:eastAsiaTheme="minorHAnsi" w:hAnsi="Times New Roman"/>
          <w:sz w:val="24"/>
          <w:szCs w:val="24"/>
          <w:lang w:val="es-MX"/>
        </w:rPr>
        <w:t xml:space="preserve"> es de</w:t>
      </w:r>
      <w:r w:rsidRPr="00B07754">
        <w:rPr>
          <w:rFonts w:ascii="Times New Roman" w:eastAsiaTheme="minorHAnsi" w:hAnsi="Times New Roman"/>
          <w:sz w:val="24"/>
          <w:szCs w:val="24"/>
          <w:lang w:val="es-MX"/>
        </w:rPr>
        <w:t xml:space="preserve"> 12%. Cabe señalar que si las crisis bancarias vienen acompañadas por una crisis monetaria la pérdida en el PIB puede ascender al 23%. </w:t>
      </w:r>
    </w:p>
    <w:p w:rsidR="00782E35" w:rsidRPr="00B07754" w:rsidRDefault="00782E35" w:rsidP="002B5E62">
      <w:pPr>
        <w:pStyle w:val="Ttulo3"/>
        <w:numPr>
          <w:ilvl w:val="2"/>
          <w:numId w:val="2"/>
        </w:numPr>
        <w:spacing w:before="0" w:after="200" w:line="360" w:lineRule="auto"/>
        <w:ind w:left="0" w:firstLine="0"/>
        <w:rPr>
          <w:rFonts w:ascii="Times New Roman" w:eastAsiaTheme="minorHAnsi" w:hAnsi="Times New Roman"/>
          <w:b w:val="0"/>
          <w:i/>
          <w:color w:val="auto"/>
          <w:sz w:val="24"/>
          <w:szCs w:val="24"/>
          <w:lang w:val="es-ES"/>
        </w:rPr>
      </w:pPr>
      <w:bookmarkStart w:id="12" w:name="_Toc372589957"/>
      <w:r w:rsidRPr="00B07754">
        <w:rPr>
          <w:rFonts w:ascii="Times New Roman" w:eastAsiaTheme="minorHAnsi" w:hAnsi="Times New Roman"/>
          <w:b w:val="0"/>
          <w:i/>
          <w:color w:val="auto"/>
          <w:sz w:val="24"/>
          <w:szCs w:val="24"/>
          <w:lang w:val="es-ES"/>
        </w:rPr>
        <w:t>Teorías en torno a la relación entre competencia y estabilidad bancaria.</w:t>
      </w:r>
      <w:bookmarkEnd w:id="12"/>
      <w:r w:rsidRPr="00B07754">
        <w:rPr>
          <w:rFonts w:ascii="Times New Roman" w:eastAsiaTheme="minorHAnsi" w:hAnsi="Times New Roman"/>
          <w:b w:val="0"/>
          <w:i/>
          <w:color w:val="auto"/>
          <w:sz w:val="24"/>
          <w:szCs w:val="24"/>
          <w:lang w:val="es-ES"/>
        </w:rPr>
        <w:t xml:space="preserve">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ES"/>
        </w:rPr>
        <w:t>A continuación se explica la teoría existente de acuerdo a los efectos que la competencia tiene en las dos fuentes de inestabilidad, dentro del mercado de depósitos o créditos. Primero</w:t>
      </w:r>
      <w:r w:rsidR="00887528" w:rsidRPr="00B07754">
        <w:rPr>
          <w:rFonts w:ascii="Times New Roman" w:eastAsiaTheme="minorHAnsi" w:hAnsi="Times New Roman"/>
          <w:sz w:val="24"/>
          <w:szCs w:val="24"/>
          <w:lang w:val="es-ES"/>
        </w:rPr>
        <w:t>,</w:t>
      </w:r>
      <w:r w:rsidRPr="00B07754">
        <w:rPr>
          <w:rFonts w:ascii="Times New Roman" w:eastAsiaTheme="minorHAnsi" w:hAnsi="Times New Roman"/>
          <w:sz w:val="24"/>
          <w:szCs w:val="24"/>
          <w:lang w:val="es-ES"/>
        </w:rPr>
        <w:t xml:space="preserve"> se revisan los efectos de la competencia en la vulnerabilidad de los bancos ante una fuga de depósitos y el riesgo sistemático en el pasivo. Segundo, se resumen las contribuciones de los efectos de la competencia en el comportamiento del nivel de riesgo que asumen los bancos en el activo; y, se revisan aspectos normativos concernientes a los roles de las políticas de regulación, supervisión, cierre y de garantía de depósitos, en la relación de competencia y estabilidad. </w:t>
      </w:r>
    </w:p>
    <w:p w:rsidR="00782E35" w:rsidRPr="00B07754" w:rsidRDefault="00782E35" w:rsidP="002B5E62">
      <w:pPr>
        <w:pStyle w:val="Ttulo4"/>
        <w:numPr>
          <w:ilvl w:val="3"/>
          <w:numId w:val="2"/>
        </w:numPr>
        <w:spacing w:before="0" w:after="200" w:line="360" w:lineRule="auto"/>
        <w:ind w:left="0" w:firstLine="0"/>
        <w:rPr>
          <w:rFonts w:ascii="Times New Roman" w:eastAsiaTheme="minorHAnsi" w:hAnsi="Times New Roman"/>
          <w:b w:val="0"/>
          <w:color w:val="auto"/>
          <w:sz w:val="24"/>
          <w:szCs w:val="24"/>
          <w:lang w:val="es-MX"/>
        </w:rPr>
      </w:pPr>
      <w:r w:rsidRPr="00B07754">
        <w:rPr>
          <w:rFonts w:ascii="Times New Roman" w:eastAsiaTheme="minorHAnsi" w:hAnsi="Times New Roman"/>
          <w:b w:val="0"/>
          <w:color w:val="auto"/>
          <w:sz w:val="24"/>
          <w:szCs w:val="24"/>
          <w:lang w:val="es-MX"/>
        </w:rPr>
        <w:lastRenderedPageBreak/>
        <w:t xml:space="preserve">Estructura de Mercado y riesgo en el pasivo. </w:t>
      </w:r>
    </w:p>
    <w:p w:rsidR="00782E35" w:rsidRPr="00B07754" w:rsidRDefault="00887528" w:rsidP="002B5E62">
      <w:pPr>
        <w:autoSpaceDE w:val="0"/>
        <w:autoSpaceDN w:val="0"/>
        <w:adjustRightInd w:val="0"/>
        <w:spacing w:line="360" w:lineRule="auto"/>
        <w:jc w:val="both"/>
        <w:rPr>
          <w:rFonts w:ascii="Times New Roman" w:eastAsiaTheme="minorHAnsi" w:hAnsi="Times New Roman"/>
          <w:iCs/>
          <w:sz w:val="24"/>
          <w:szCs w:val="24"/>
          <w:lang w:val="es-MX"/>
        </w:rPr>
      </w:pPr>
      <w:r w:rsidRPr="00B07754">
        <w:rPr>
          <w:rFonts w:ascii="Times New Roman" w:eastAsiaTheme="minorHAnsi" w:hAnsi="Times New Roman"/>
          <w:iCs/>
          <w:sz w:val="24"/>
          <w:szCs w:val="24"/>
          <w:lang w:val="es-MX"/>
        </w:rPr>
        <w:t>L</w:t>
      </w:r>
      <w:r w:rsidR="00782E35" w:rsidRPr="00B07754">
        <w:rPr>
          <w:rFonts w:ascii="Times New Roman" w:eastAsiaTheme="minorHAnsi" w:hAnsi="Times New Roman"/>
          <w:iCs/>
          <w:sz w:val="24"/>
          <w:szCs w:val="24"/>
          <w:lang w:val="es-MX"/>
        </w:rPr>
        <w:t>a relación entre competencia, riesgo del pasivo y regulación óptima ha sido ignorada por la literatura bancaria. La mayoría de los estudios relacionados con fuga de</w:t>
      </w:r>
      <w:r w:rsidRPr="00B07754">
        <w:rPr>
          <w:rFonts w:ascii="Times New Roman" w:eastAsiaTheme="minorHAnsi" w:hAnsi="Times New Roman"/>
          <w:iCs/>
          <w:sz w:val="24"/>
          <w:szCs w:val="24"/>
          <w:lang w:val="es-MX"/>
        </w:rPr>
        <w:t xml:space="preserve"> capitales y riesgo sistemático</w:t>
      </w:r>
      <w:r w:rsidR="00782E35" w:rsidRPr="00B07754">
        <w:rPr>
          <w:rFonts w:ascii="Times New Roman" w:eastAsiaTheme="minorHAnsi" w:hAnsi="Times New Roman"/>
          <w:iCs/>
          <w:sz w:val="24"/>
          <w:szCs w:val="24"/>
          <w:lang w:val="es-MX"/>
        </w:rPr>
        <w:t xml:space="preserve"> dan poca atención a la interacción estratégica entre los bancos, ignoran los efectos de las distintas estructuras de mercado en la estabilidad bancaria y en la eficiencia y efectividad de las políticas prudenciales</w:t>
      </w:r>
      <w:sdt>
        <w:sdtPr>
          <w:rPr>
            <w:rFonts w:ascii="Times New Roman" w:eastAsiaTheme="minorHAnsi" w:hAnsi="Times New Roman"/>
            <w:iCs/>
            <w:sz w:val="24"/>
            <w:szCs w:val="24"/>
            <w:lang w:val="es-MX"/>
          </w:rPr>
          <w:id w:val="-1971661881"/>
          <w:citation/>
        </w:sdtPr>
        <w:sdtEndPr/>
        <w:sdtContent>
          <w:r w:rsidR="00782E35" w:rsidRPr="00B07754">
            <w:rPr>
              <w:rFonts w:ascii="Times New Roman" w:eastAsiaTheme="minorHAnsi" w:hAnsi="Times New Roman"/>
              <w:iCs/>
              <w:sz w:val="24"/>
              <w:szCs w:val="24"/>
              <w:lang w:val="es-MX"/>
            </w:rPr>
            <w:fldChar w:fldCharType="begin"/>
          </w:r>
          <w:r w:rsidR="00782E35" w:rsidRPr="00B07754">
            <w:rPr>
              <w:rFonts w:ascii="Times New Roman" w:eastAsiaTheme="minorHAnsi" w:hAnsi="Times New Roman"/>
              <w:iCs/>
              <w:sz w:val="24"/>
              <w:szCs w:val="24"/>
              <w:lang w:val="es-MX"/>
            </w:rPr>
            <w:instrText xml:space="preserve">CITATION Car02 \p 20 \l 2058 </w:instrText>
          </w:r>
          <w:r w:rsidR="00782E35" w:rsidRPr="00B07754">
            <w:rPr>
              <w:rFonts w:ascii="Times New Roman" w:eastAsiaTheme="minorHAnsi" w:hAnsi="Times New Roman"/>
              <w:iCs/>
              <w:sz w:val="24"/>
              <w:szCs w:val="24"/>
              <w:lang w:val="es-MX"/>
            </w:rPr>
            <w:fldChar w:fldCharType="separate"/>
          </w:r>
          <w:r w:rsidR="008A6D1D" w:rsidRPr="00B07754">
            <w:rPr>
              <w:rFonts w:ascii="Times New Roman" w:eastAsiaTheme="minorHAnsi" w:hAnsi="Times New Roman"/>
              <w:iCs/>
              <w:noProof/>
              <w:sz w:val="24"/>
              <w:szCs w:val="24"/>
              <w:lang w:val="es-MX"/>
            </w:rPr>
            <w:t xml:space="preserve"> </w:t>
          </w:r>
          <w:r w:rsidR="008A6D1D" w:rsidRPr="00B07754">
            <w:rPr>
              <w:rFonts w:ascii="Times New Roman" w:eastAsiaTheme="minorHAnsi" w:hAnsi="Times New Roman"/>
              <w:noProof/>
              <w:sz w:val="24"/>
              <w:szCs w:val="24"/>
              <w:lang w:val="es-MX"/>
            </w:rPr>
            <w:t>(Carletti &amp; Hartmann, 2002, pág. 20)</w:t>
          </w:r>
          <w:r w:rsidR="00782E35" w:rsidRPr="00B07754">
            <w:rPr>
              <w:rFonts w:ascii="Times New Roman" w:eastAsiaTheme="minorHAnsi" w:hAnsi="Times New Roman"/>
              <w:iCs/>
              <w:sz w:val="24"/>
              <w:szCs w:val="24"/>
              <w:lang w:val="es-MX"/>
            </w:rPr>
            <w:fldChar w:fldCharType="end"/>
          </w:r>
        </w:sdtContent>
      </w:sdt>
      <w:r w:rsidR="00782E35" w:rsidRPr="00B07754">
        <w:rPr>
          <w:rFonts w:ascii="Times New Roman" w:eastAsiaTheme="minorHAnsi" w:hAnsi="Times New Roman"/>
          <w:iCs/>
          <w:sz w:val="24"/>
          <w:szCs w:val="24"/>
          <w:lang w:val="es-MX"/>
        </w:rPr>
        <w:t xml:space="preserve">.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ES"/>
        </w:rPr>
        <w:t xml:space="preserve">La mayoría de los modelos tradicionales asume que los bancos operan en un ambiente de competencia perfecta o de monopolio. En ambos casos la fuga de capitales o las crisis sistemáticas surgen ya sea como consecuencia de una descoordinación entre los depositantes ante información negativa respecto a la solvencia futura de las instituciones bancarias. Estos modelos no proveen información acerca de la estructura de mercado en la cual el sistema bancario es más propenso a la inestabilidad, así como tampoco exploran la efectividad de las políticas de protección y otras medidas regulatorias para diferentes entornos de mercado. Una de las pocas investigaciones realizadas al respecto es la de Allen y Gale (2003). </w:t>
      </w:r>
    </w:p>
    <w:p w:rsidR="00782E35" w:rsidRPr="00B07754" w:rsidRDefault="00782E35" w:rsidP="002B5E62">
      <w:pPr>
        <w:autoSpaceDE w:val="0"/>
        <w:autoSpaceDN w:val="0"/>
        <w:adjustRightInd w:val="0"/>
        <w:spacing w:line="360" w:lineRule="auto"/>
        <w:jc w:val="both"/>
        <w:rPr>
          <w:rFonts w:ascii="Times New Roman" w:hAnsi="Times New Roman"/>
          <w:sz w:val="24"/>
          <w:szCs w:val="24"/>
          <w:lang w:val="es-ES"/>
        </w:rPr>
      </w:pPr>
      <w:r w:rsidRPr="00B07754">
        <w:rPr>
          <w:rFonts w:ascii="Times New Roman" w:eastAsiaTheme="minorHAnsi" w:hAnsi="Times New Roman"/>
          <w:sz w:val="24"/>
          <w:szCs w:val="24"/>
          <w:lang w:val="es-MX"/>
        </w:rPr>
        <w:t xml:space="preserve">Allen y Gale (2003) en su trabajo de investigación sostienen que la relación entre competencia y estabilidad financiera es mucho más compleja que un simple </w:t>
      </w:r>
      <w:proofErr w:type="spellStart"/>
      <w:r w:rsidRPr="00B07754">
        <w:rPr>
          <w:rFonts w:ascii="Times New Roman" w:eastAsiaTheme="minorHAnsi" w:hAnsi="Times New Roman"/>
          <w:i/>
          <w:sz w:val="24"/>
          <w:szCs w:val="24"/>
          <w:lang w:val="es-MX"/>
        </w:rPr>
        <w:t>trade</w:t>
      </w:r>
      <w:proofErr w:type="spellEnd"/>
      <w:r w:rsidRPr="00B07754">
        <w:rPr>
          <w:rFonts w:ascii="Times New Roman" w:eastAsiaTheme="minorHAnsi" w:hAnsi="Times New Roman"/>
          <w:i/>
          <w:sz w:val="24"/>
          <w:szCs w:val="24"/>
          <w:lang w:val="es-MX"/>
        </w:rPr>
        <w:t xml:space="preserve"> off </w:t>
      </w:r>
      <w:r w:rsidRPr="00B07754">
        <w:rPr>
          <w:rFonts w:ascii="Times New Roman" w:eastAsiaTheme="minorHAnsi" w:hAnsi="Times New Roman"/>
          <w:sz w:val="24"/>
          <w:szCs w:val="24"/>
          <w:lang w:val="es-MX"/>
        </w:rPr>
        <w:t xml:space="preserve">entre ambas variables. </w:t>
      </w:r>
      <w:r w:rsidRPr="00B07754">
        <w:rPr>
          <w:rFonts w:ascii="Times New Roman" w:hAnsi="Times New Roman"/>
          <w:sz w:val="24"/>
          <w:szCs w:val="24"/>
          <w:lang w:val="es-ES"/>
        </w:rPr>
        <w:t xml:space="preserve">Dados los costos de una inestabilidad financiera, los hacedores de política establecen como prioridad aquellas acciones que permitan evitar eventuales crisis y, considerando la dificultad para medir los costos de eficiencia de la concentración en el sector las políticas de competencia adquieren una prioridad menor. Así pues, la incertidumbre acerca de los costos de concentración sumada al </w:t>
      </w:r>
      <w:proofErr w:type="spellStart"/>
      <w:r w:rsidRPr="00B07754">
        <w:rPr>
          <w:rFonts w:ascii="Times New Roman" w:hAnsi="Times New Roman"/>
          <w:i/>
          <w:sz w:val="24"/>
          <w:szCs w:val="24"/>
          <w:lang w:val="es-ES"/>
        </w:rPr>
        <w:t>trade</w:t>
      </w:r>
      <w:proofErr w:type="spellEnd"/>
      <w:r w:rsidRPr="00B07754">
        <w:rPr>
          <w:rFonts w:ascii="Times New Roman" w:hAnsi="Times New Roman"/>
          <w:i/>
          <w:sz w:val="24"/>
          <w:szCs w:val="24"/>
          <w:lang w:val="es-ES"/>
        </w:rPr>
        <w:t xml:space="preserve"> off </w:t>
      </w:r>
      <w:r w:rsidRPr="00B07754">
        <w:rPr>
          <w:rFonts w:ascii="Times New Roman" w:hAnsi="Times New Roman"/>
          <w:sz w:val="24"/>
          <w:szCs w:val="24"/>
          <w:lang w:val="es-ES"/>
        </w:rPr>
        <w:t>entre estabilidad bancaria y competencia, pueden impulsar a los hacedores de política a favorecer la concentración en el mercado a expensas de las políticas que incentiven la competencia</w:t>
      </w:r>
      <w:sdt>
        <w:sdtPr>
          <w:rPr>
            <w:rFonts w:ascii="Times New Roman" w:hAnsi="Times New Roman"/>
            <w:sz w:val="24"/>
            <w:szCs w:val="24"/>
            <w:lang w:val="es-ES"/>
          </w:rPr>
          <w:id w:val="741605343"/>
          <w:citation/>
        </w:sdtPr>
        <w:sdtEndPr/>
        <w:sdtContent>
          <w:r w:rsidRPr="00B07754">
            <w:rPr>
              <w:rFonts w:ascii="Times New Roman" w:hAnsi="Times New Roman"/>
              <w:sz w:val="24"/>
              <w:szCs w:val="24"/>
              <w:lang w:val="es-ES"/>
            </w:rPr>
            <w:fldChar w:fldCharType="begin"/>
          </w:r>
          <w:r w:rsidRPr="00B07754">
            <w:rPr>
              <w:rFonts w:ascii="Times New Roman" w:hAnsi="Times New Roman"/>
              <w:sz w:val="24"/>
              <w:szCs w:val="24"/>
              <w:lang w:val="es-MX"/>
            </w:rPr>
            <w:instrText xml:space="preserve">CITATION All03 \p 2 \l 2058 </w:instrText>
          </w:r>
          <w:r w:rsidRPr="00B07754">
            <w:rPr>
              <w:rFonts w:ascii="Times New Roman" w:hAnsi="Times New Roman"/>
              <w:sz w:val="24"/>
              <w:szCs w:val="24"/>
              <w:lang w:val="es-ES"/>
            </w:rPr>
            <w:fldChar w:fldCharType="separate"/>
          </w:r>
          <w:r w:rsidR="008A6D1D" w:rsidRPr="00B07754">
            <w:rPr>
              <w:rFonts w:ascii="Times New Roman" w:hAnsi="Times New Roman"/>
              <w:noProof/>
              <w:sz w:val="24"/>
              <w:szCs w:val="24"/>
              <w:lang w:val="es-MX"/>
            </w:rPr>
            <w:t xml:space="preserve"> (Allen &amp; Gale, 2003, pág. 2)</w:t>
          </w:r>
          <w:r w:rsidRPr="00B07754">
            <w:rPr>
              <w:rFonts w:ascii="Times New Roman" w:hAnsi="Times New Roman"/>
              <w:sz w:val="24"/>
              <w:szCs w:val="24"/>
              <w:lang w:val="es-ES"/>
            </w:rPr>
            <w:fldChar w:fldCharType="end"/>
          </w:r>
        </w:sdtContent>
      </w:sdt>
      <w:r w:rsidRPr="00B07754">
        <w:rPr>
          <w:rFonts w:ascii="Times New Roman" w:hAnsi="Times New Roman"/>
          <w:sz w:val="24"/>
          <w:szCs w:val="24"/>
          <w:lang w:val="es-ES"/>
        </w:rPr>
        <w:t xml:space="preserve">. </w:t>
      </w:r>
    </w:p>
    <w:p w:rsidR="00782E35" w:rsidRPr="00B07754" w:rsidRDefault="00782E35" w:rsidP="002B5E62">
      <w:pPr>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ES"/>
        </w:rPr>
        <w:t xml:space="preserve">Desde el punto de vista del desarrollo ordenado de una economía surge el interrogante de conocer cuáles son los niveles eficientes de competencia y estabilidad financiera. Para ello Allen &amp; Gale (2003) utilizan una variedad de modelos que arrojan diferentes respuestas. Hay ocasiones en las que la competencia disminuye la estabilidad del sistema y otras en las que un mercado de competencia perfecta es compatible con un nivel óptimo de estabilidad. A continuación se explica en síntesis los resultados para cada modelo desarrollado por estos autores: </w:t>
      </w:r>
    </w:p>
    <w:p w:rsidR="00782E35" w:rsidRPr="00B07754" w:rsidRDefault="00782E35" w:rsidP="002B5E62">
      <w:pPr>
        <w:pStyle w:val="Ttulo5"/>
        <w:numPr>
          <w:ilvl w:val="4"/>
          <w:numId w:val="2"/>
        </w:numPr>
        <w:spacing w:before="0" w:after="200" w:line="360" w:lineRule="auto"/>
        <w:ind w:left="0" w:firstLine="0"/>
        <w:rPr>
          <w:rFonts w:ascii="Times New Roman" w:eastAsiaTheme="minorHAnsi" w:hAnsi="Times New Roman"/>
          <w:i/>
          <w:color w:val="auto"/>
          <w:sz w:val="24"/>
          <w:szCs w:val="24"/>
          <w:lang w:val="es-ES"/>
        </w:rPr>
      </w:pPr>
      <w:r w:rsidRPr="00B07754">
        <w:rPr>
          <w:rFonts w:ascii="Times New Roman" w:eastAsiaTheme="minorHAnsi" w:hAnsi="Times New Roman"/>
          <w:i/>
          <w:color w:val="auto"/>
          <w:sz w:val="24"/>
          <w:szCs w:val="24"/>
          <w:lang w:val="es-ES"/>
        </w:rPr>
        <w:lastRenderedPageBreak/>
        <w:t>Modelo de equilibrio general de intermediarios y mercados financieros</w:t>
      </w:r>
    </w:p>
    <w:p w:rsidR="00782E35" w:rsidRPr="00B07754" w:rsidRDefault="00782E35" w:rsidP="002B5E62">
      <w:pPr>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ES"/>
        </w:rPr>
        <w:t>En este modelo Allen y Gale (2003), utilizando los clásicos teoremas de la economía del bienestar</w:t>
      </w:r>
      <w:r w:rsidRPr="00B07754">
        <w:rPr>
          <w:rStyle w:val="Refdenotaalpie"/>
          <w:rFonts w:ascii="Times New Roman" w:eastAsiaTheme="minorHAnsi" w:hAnsi="Times New Roman"/>
          <w:sz w:val="24"/>
          <w:szCs w:val="24"/>
          <w:lang w:val="es-ES"/>
        </w:rPr>
        <w:footnoteReference w:id="6"/>
      </w:r>
      <w:r w:rsidRPr="00B07754">
        <w:rPr>
          <w:rFonts w:ascii="Times New Roman" w:eastAsiaTheme="minorHAnsi" w:hAnsi="Times New Roman"/>
          <w:sz w:val="24"/>
          <w:szCs w:val="24"/>
          <w:lang w:val="es-ES"/>
        </w:rPr>
        <w:t xml:space="preserve"> para un modelo de intermediación con información asimétrica, logran demostrar que si los mercados financieros son completos</w:t>
      </w:r>
      <w:r w:rsidRPr="00B07754">
        <w:rPr>
          <w:rStyle w:val="Refdenotaalpie"/>
          <w:rFonts w:ascii="Times New Roman" w:eastAsiaTheme="minorHAnsi" w:hAnsi="Times New Roman"/>
          <w:sz w:val="24"/>
          <w:szCs w:val="24"/>
          <w:lang w:val="es-ES"/>
        </w:rPr>
        <w:footnoteReference w:id="7"/>
      </w:r>
      <w:r w:rsidRPr="00B07754">
        <w:rPr>
          <w:rFonts w:ascii="Times New Roman" w:eastAsiaTheme="minorHAnsi" w:hAnsi="Times New Roman"/>
          <w:sz w:val="24"/>
          <w:szCs w:val="24"/>
          <w:lang w:val="es-ES"/>
        </w:rPr>
        <w:t xml:space="preserve"> y los contratos entre intermediarios y clientes también lo son, la asignación del equilibrio perfectamente competitivo es incentivo-eficiente. Esto significa que  la competencia perfecta es socialmente óptima. Por tanto, no existe inestabilidad financiera porque los contratos son completamente contingentes y no hay riesgo que las instituciones puedan incumplir sus acreencias. Por el contrario, si los contratos son incompletos, el equilibrio perfectamente competitivo es restringido-deficiente por lo que para alcanzar la eficiencia se requiere de inestabilidad financiera. Si los bancos no pueden cumplir con sus obligaciones (pagos) adquiridas se presenta una crisis financiera. Consecuentemente,  menor competencia podría incrementar la estabilidad financiera pero no podría aumentar, y es probable que reduzca, el bienestar. Este resultado refleja que no se debe asumir que la reducción de la competencia para aumentar la estabilidad financiera es socialmente deseable</w:t>
      </w:r>
      <w:r w:rsidR="00EC3E89" w:rsidRPr="00B07754">
        <w:rPr>
          <w:rFonts w:ascii="Times New Roman" w:eastAsiaTheme="minorHAnsi" w:hAnsi="Times New Roman"/>
          <w:sz w:val="24"/>
          <w:szCs w:val="24"/>
          <w:lang w:val="es-ES"/>
        </w:rPr>
        <w:t>.</w:t>
      </w:r>
    </w:p>
    <w:p w:rsidR="00782E35" w:rsidRPr="00B07754" w:rsidRDefault="00782E35" w:rsidP="002B5E62">
      <w:pPr>
        <w:pStyle w:val="Ttulo5"/>
        <w:numPr>
          <w:ilvl w:val="4"/>
          <w:numId w:val="2"/>
        </w:numPr>
        <w:spacing w:before="0" w:after="200" w:line="360" w:lineRule="auto"/>
        <w:ind w:left="0" w:firstLine="0"/>
        <w:rPr>
          <w:rFonts w:ascii="Times New Roman" w:eastAsiaTheme="minorHAnsi" w:hAnsi="Times New Roman"/>
          <w:i/>
          <w:color w:val="auto"/>
          <w:sz w:val="24"/>
          <w:szCs w:val="24"/>
          <w:lang w:val="es-ES"/>
        </w:rPr>
      </w:pPr>
      <w:r w:rsidRPr="00B07754">
        <w:rPr>
          <w:rFonts w:ascii="Times New Roman" w:eastAsiaTheme="minorHAnsi" w:hAnsi="Times New Roman"/>
          <w:i/>
          <w:color w:val="auto"/>
          <w:sz w:val="24"/>
          <w:szCs w:val="24"/>
          <w:lang w:val="es-ES"/>
        </w:rPr>
        <w:t>Efectos de un incremento de la competencia en la estabilidad financiera</w:t>
      </w:r>
    </w:p>
    <w:p w:rsidR="00782E35" w:rsidRPr="00B07754" w:rsidRDefault="00782E35" w:rsidP="002B5E62">
      <w:pPr>
        <w:spacing w:line="360" w:lineRule="auto"/>
        <w:jc w:val="both"/>
        <w:rPr>
          <w:rFonts w:ascii="Times New Roman" w:hAnsi="Times New Roman"/>
          <w:sz w:val="24"/>
          <w:szCs w:val="24"/>
          <w:lang w:val="es-ES"/>
        </w:rPr>
      </w:pPr>
      <w:r w:rsidRPr="00B07754">
        <w:rPr>
          <w:rFonts w:ascii="Times New Roman" w:hAnsi="Times New Roman"/>
          <w:sz w:val="24"/>
          <w:szCs w:val="24"/>
          <w:lang w:val="es-ES"/>
        </w:rPr>
        <w:t xml:space="preserve">En los modelos de equilibrio parcial es posible que se genere un </w:t>
      </w:r>
      <w:proofErr w:type="spellStart"/>
      <w:r w:rsidRPr="00B07754">
        <w:rPr>
          <w:rFonts w:ascii="Times New Roman" w:hAnsi="Times New Roman"/>
          <w:i/>
          <w:sz w:val="24"/>
          <w:szCs w:val="24"/>
          <w:lang w:val="es-ES"/>
        </w:rPr>
        <w:t>trade</w:t>
      </w:r>
      <w:proofErr w:type="spellEnd"/>
      <w:r w:rsidRPr="00B07754">
        <w:rPr>
          <w:rFonts w:ascii="Times New Roman" w:hAnsi="Times New Roman"/>
          <w:i/>
          <w:sz w:val="24"/>
          <w:szCs w:val="24"/>
          <w:lang w:val="es-ES"/>
        </w:rPr>
        <w:t xml:space="preserve"> off </w:t>
      </w:r>
      <w:r w:rsidRPr="00B07754">
        <w:rPr>
          <w:rFonts w:ascii="Times New Roman" w:hAnsi="Times New Roman"/>
          <w:sz w:val="24"/>
          <w:szCs w:val="24"/>
          <w:lang w:val="es-ES"/>
        </w:rPr>
        <w:t xml:space="preserve">negativo entre competencia y estabilidad financiera, </w:t>
      </w:r>
      <w:r w:rsidRPr="00B07754">
        <w:rPr>
          <w:rFonts w:ascii="Times New Roman" w:hAnsi="Times New Roman"/>
          <w:sz w:val="24"/>
          <w:szCs w:val="24"/>
        </w:rPr>
        <w:t xml:space="preserve"> </w:t>
      </w:r>
      <w:r w:rsidRPr="00B07754">
        <w:rPr>
          <w:rFonts w:ascii="Times New Roman" w:hAnsi="Times New Roman"/>
          <w:sz w:val="24"/>
          <w:szCs w:val="24"/>
          <w:lang w:val="es-ES"/>
        </w:rPr>
        <w:t xml:space="preserve">Allen y Gale (2003), </w:t>
      </w:r>
      <w:proofErr w:type="spellStart"/>
      <w:r w:rsidRPr="00B07754">
        <w:rPr>
          <w:rFonts w:ascii="Times New Roman" w:hAnsi="Times New Roman"/>
          <w:sz w:val="24"/>
          <w:szCs w:val="24"/>
          <w:lang w:val="es-ES"/>
        </w:rPr>
        <w:t>Boyd</w:t>
      </w:r>
      <w:proofErr w:type="spellEnd"/>
      <w:r w:rsidRPr="00B07754">
        <w:rPr>
          <w:rFonts w:ascii="Times New Roman" w:hAnsi="Times New Roman"/>
          <w:sz w:val="24"/>
          <w:szCs w:val="24"/>
          <w:lang w:val="es-ES"/>
        </w:rPr>
        <w:t xml:space="preserve"> y de </w:t>
      </w:r>
      <w:proofErr w:type="spellStart"/>
      <w:r w:rsidRPr="00B07754">
        <w:rPr>
          <w:rFonts w:ascii="Times New Roman" w:hAnsi="Times New Roman"/>
          <w:sz w:val="24"/>
          <w:szCs w:val="24"/>
          <w:lang w:val="es-ES"/>
        </w:rPr>
        <w:t>Nicolo</w:t>
      </w:r>
      <w:proofErr w:type="spellEnd"/>
      <w:r w:rsidRPr="00B07754">
        <w:rPr>
          <w:rFonts w:ascii="Times New Roman" w:hAnsi="Times New Roman"/>
          <w:sz w:val="24"/>
          <w:szCs w:val="24"/>
          <w:lang w:val="es-ES"/>
        </w:rPr>
        <w:t xml:space="preserve"> (2002), y </w:t>
      </w:r>
      <w:proofErr w:type="spellStart"/>
      <w:r w:rsidRPr="00B07754">
        <w:rPr>
          <w:rFonts w:ascii="Times New Roman" w:hAnsi="Times New Roman"/>
          <w:sz w:val="24"/>
          <w:szCs w:val="24"/>
          <w:lang w:val="es-ES"/>
        </w:rPr>
        <w:t>Perotti</w:t>
      </w:r>
      <w:proofErr w:type="spellEnd"/>
      <w:r w:rsidRPr="00B07754">
        <w:rPr>
          <w:rFonts w:ascii="Times New Roman" w:hAnsi="Times New Roman"/>
          <w:sz w:val="24"/>
          <w:szCs w:val="24"/>
          <w:lang w:val="es-ES"/>
        </w:rPr>
        <w:t xml:space="preserve"> y Suárez (2003) han identificado diferentes efectos que puede tener el incremento de la competencia en la estabilidad financiera. En algunas ocasiones el aumento de la competencia puede incrementar la estabilidad financiera. Por un lado, Allen y Gale (2000) muestran que si se introducen costos de búsqueda</w:t>
      </w:r>
      <w:r w:rsidRPr="00B07754">
        <w:rPr>
          <w:rStyle w:val="Refdenotaalpie"/>
          <w:rFonts w:ascii="Times New Roman" w:eastAsiaTheme="minorHAnsi" w:hAnsi="Times New Roman"/>
          <w:sz w:val="24"/>
          <w:szCs w:val="24"/>
          <w:lang w:val="es-ES"/>
        </w:rPr>
        <w:footnoteReference w:id="8"/>
      </w:r>
      <w:r w:rsidRPr="00B07754">
        <w:rPr>
          <w:rFonts w:ascii="Times New Roman" w:hAnsi="Times New Roman"/>
          <w:sz w:val="24"/>
          <w:szCs w:val="24"/>
          <w:lang w:val="es-ES"/>
        </w:rPr>
        <w:t xml:space="preserve">, la competencia entre un gran número de bancos puede resultar en el monopolio del precio en sus productos. Por otro, un sistema con dos bancos con sucursales puede resultar en un precio perfectamente competitivo. </w:t>
      </w:r>
      <w:r w:rsidRPr="00B07754">
        <w:rPr>
          <w:rFonts w:ascii="Times New Roman" w:hAnsi="Times New Roman"/>
          <w:sz w:val="24"/>
          <w:szCs w:val="24"/>
          <w:lang w:val="es-ES"/>
        </w:rPr>
        <w:lastRenderedPageBreak/>
        <w:t xml:space="preserve">Utilizando un modelo de competencia espacial de </w:t>
      </w:r>
      <w:proofErr w:type="spellStart"/>
      <w:r w:rsidRPr="00B07754">
        <w:rPr>
          <w:rFonts w:ascii="Times New Roman" w:hAnsi="Times New Roman"/>
          <w:sz w:val="24"/>
          <w:szCs w:val="24"/>
          <w:lang w:val="es-ES"/>
        </w:rPr>
        <w:t>Hotelling</w:t>
      </w:r>
      <w:proofErr w:type="spellEnd"/>
      <w:r w:rsidRPr="00B07754">
        <w:rPr>
          <w:rStyle w:val="Refdenotaalpie"/>
          <w:rFonts w:ascii="Times New Roman" w:eastAsiaTheme="minorHAnsi" w:hAnsi="Times New Roman"/>
          <w:sz w:val="24"/>
          <w:szCs w:val="24"/>
          <w:lang w:val="es-ES"/>
        </w:rPr>
        <w:footnoteReference w:id="9"/>
      </w:r>
      <w:r w:rsidRPr="00B07754">
        <w:rPr>
          <w:rFonts w:ascii="Times New Roman" w:hAnsi="Times New Roman"/>
          <w:sz w:val="24"/>
          <w:szCs w:val="24"/>
          <w:lang w:val="es-ES"/>
        </w:rPr>
        <w:t>, Allen y Gale (2003) introducen una variedad de efectos relacionados a la diversificación regional y el riesgo compartido. En estos casos la ganancia de los bancos es extremadamente sensible a la forma de interacción local</w:t>
      </w:r>
      <w:r w:rsidR="009463EC" w:rsidRPr="00B07754">
        <w:rPr>
          <w:rFonts w:ascii="Times New Roman" w:hAnsi="Times New Roman"/>
          <w:sz w:val="24"/>
          <w:szCs w:val="24"/>
          <w:lang w:val="es-ES"/>
        </w:rPr>
        <w:t>.</w:t>
      </w:r>
      <w:r w:rsidRPr="00B07754">
        <w:rPr>
          <w:rFonts w:ascii="Times New Roman" w:hAnsi="Times New Roman"/>
          <w:sz w:val="24"/>
          <w:szCs w:val="24"/>
          <w:lang w:val="es-ES"/>
        </w:rPr>
        <w:t xml:space="preserve"> Esto se debe a que los bancos, dependiendo de su localización, ofrecen diferentes tipos de servicios entre los que se encuentran varios tipos de cuenta</w:t>
      </w:r>
      <w:r w:rsidR="009463EC" w:rsidRPr="00B07754">
        <w:rPr>
          <w:rFonts w:ascii="Times New Roman" w:hAnsi="Times New Roman"/>
          <w:sz w:val="24"/>
          <w:szCs w:val="24"/>
          <w:lang w:val="es-ES"/>
        </w:rPr>
        <w:t>s</w:t>
      </w:r>
      <w:r w:rsidRPr="00B07754">
        <w:rPr>
          <w:rFonts w:ascii="Times New Roman" w:hAnsi="Times New Roman"/>
          <w:sz w:val="24"/>
          <w:szCs w:val="24"/>
          <w:lang w:val="es-ES"/>
        </w:rPr>
        <w:t xml:space="preserve"> o la concentración en diferentes tipos de negocio que atraen a di</w:t>
      </w:r>
      <w:r w:rsidR="009463EC" w:rsidRPr="00B07754">
        <w:rPr>
          <w:rFonts w:ascii="Times New Roman" w:hAnsi="Times New Roman"/>
          <w:sz w:val="24"/>
          <w:szCs w:val="24"/>
          <w:lang w:val="es-ES"/>
        </w:rPr>
        <w:t>stintos</w:t>
      </w:r>
      <w:r w:rsidRPr="00B07754">
        <w:rPr>
          <w:rFonts w:ascii="Times New Roman" w:hAnsi="Times New Roman"/>
          <w:sz w:val="24"/>
          <w:szCs w:val="24"/>
          <w:lang w:val="es-ES"/>
        </w:rPr>
        <w:t xml:space="preserve"> tipos de fondos que pueden diversificarse en productos no bancarios como fondos mutuales o de seguros. </w:t>
      </w:r>
      <w:sdt>
        <w:sdtPr>
          <w:rPr>
            <w:rFonts w:ascii="Times New Roman" w:hAnsi="Times New Roman"/>
            <w:sz w:val="24"/>
            <w:szCs w:val="24"/>
            <w:lang w:val="es-ES"/>
          </w:rPr>
          <w:id w:val="-1713805270"/>
          <w:citation/>
        </w:sdtPr>
        <w:sdtEndPr/>
        <w:sdtContent>
          <w:r w:rsidRPr="00B07754">
            <w:rPr>
              <w:rFonts w:ascii="Times New Roman" w:hAnsi="Times New Roman"/>
              <w:sz w:val="24"/>
              <w:szCs w:val="24"/>
              <w:lang w:val="es-ES"/>
            </w:rPr>
            <w:fldChar w:fldCharType="begin"/>
          </w:r>
          <w:r w:rsidRPr="00B07754">
            <w:rPr>
              <w:rFonts w:ascii="Times New Roman" w:hAnsi="Times New Roman"/>
              <w:sz w:val="24"/>
              <w:szCs w:val="24"/>
              <w:lang w:val="es-MX"/>
            </w:rPr>
            <w:instrText xml:space="preserve">CITATION All03 \p "4, 21-23" \l 2058 </w:instrText>
          </w:r>
          <w:r w:rsidRPr="00B07754">
            <w:rPr>
              <w:rFonts w:ascii="Times New Roman" w:hAnsi="Times New Roman"/>
              <w:sz w:val="24"/>
              <w:szCs w:val="24"/>
              <w:lang w:val="es-ES"/>
            </w:rPr>
            <w:fldChar w:fldCharType="separate"/>
          </w:r>
          <w:r w:rsidR="008A6D1D" w:rsidRPr="00B07754">
            <w:rPr>
              <w:rFonts w:ascii="Times New Roman" w:hAnsi="Times New Roman"/>
              <w:noProof/>
              <w:sz w:val="24"/>
              <w:szCs w:val="24"/>
              <w:lang w:val="es-MX"/>
            </w:rPr>
            <w:t>(Allen &amp; Gale, 2003, págs. 4, 21-23)</w:t>
          </w:r>
          <w:r w:rsidRPr="00B07754">
            <w:rPr>
              <w:rFonts w:ascii="Times New Roman" w:hAnsi="Times New Roman"/>
              <w:sz w:val="24"/>
              <w:szCs w:val="24"/>
              <w:lang w:val="es-ES"/>
            </w:rPr>
            <w:fldChar w:fldCharType="end"/>
          </w:r>
        </w:sdtContent>
      </w:sdt>
      <w:r w:rsidRPr="00B07754">
        <w:rPr>
          <w:rFonts w:ascii="Times New Roman" w:hAnsi="Times New Roman"/>
          <w:sz w:val="24"/>
          <w:szCs w:val="24"/>
          <w:lang w:val="es-ES"/>
        </w:rPr>
        <w:t xml:space="preserve">. </w:t>
      </w:r>
    </w:p>
    <w:p w:rsidR="00782E35" w:rsidRPr="00B07754" w:rsidRDefault="00782E35" w:rsidP="002B5E62">
      <w:pPr>
        <w:pStyle w:val="Ttulo5"/>
        <w:numPr>
          <w:ilvl w:val="4"/>
          <w:numId w:val="2"/>
        </w:numPr>
        <w:spacing w:before="0" w:after="200" w:line="360" w:lineRule="auto"/>
        <w:ind w:left="0" w:firstLine="0"/>
        <w:rPr>
          <w:rFonts w:ascii="Times New Roman" w:eastAsiaTheme="minorHAnsi" w:hAnsi="Times New Roman"/>
          <w:i/>
          <w:color w:val="auto"/>
          <w:sz w:val="24"/>
          <w:szCs w:val="24"/>
          <w:lang w:val="es-ES"/>
        </w:rPr>
      </w:pPr>
      <w:r w:rsidRPr="00B07754">
        <w:rPr>
          <w:rFonts w:ascii="Times New Roman" w:eastAsiaTheme="minorHAnsi" w:hAnsi="Times New Roman"/>
          <w:i/>
          <w:color w:val="auto"/>
          <w:sz w:val="24"/>
          <w:szCs w:val="24"/>
          <w:lang w:val="es-ES"/>
        </w:rPr>
        <w:t xml:space="preserve">Competencia de </w:t>
      </w:r>
      <w:proofErr w:type="spellStart"/>
      <w:r w:rsidRPr="00B07754">
        <w:rPr>
          <w:rFonts w:ascii="Times New Roman" w:eastAsiaTheme="minorHAnsi" w:hAnsi="Times New Roman"/>
          <w:i/>
          <w:color w:val="auto"/>
          <w:sz w:val="24"/>
          <w:szCs w:val="24"/>
          <w:lang w:val="es-ES"/>
        </w:rPr>
        <w:t>Schumpeter</w:t>
      </w:r>
      <w:proofErr w:type="spellEnd"/>
      <w:r w:rsidRPr="00B07754">
        <w:rPr>
          <w:rFonts w:ascii="Times New Roman" w:eastAsiaTheme="minorHAnsi" w:hAnsi="Times New Roman"/>
          <w:i/>
          <w:color w:val="auto"/>
          <w:sz w:val="24"/>
          <w:szCs w:val="24"/>
          <w:lang w:val="es-ES"/>
        </w:rPr>
        <w:t xml:space="preserve">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En este modelo las firmas compiten en el desarrollo de nuevos productos. La firma que mejor innovación desarrolla logra capturar a todo el mercado. El precio de equilibrio es igual a la diferencia entre el valor del producto de la firma exitosa y el valor del segundo mejor producto. Entonces, la ganancia de la firma con el mejor producto es igual al valor social de su innovación, lo que otorga a las firmas los correctos incentivos para innovar eficientemente. En este contexto, la competencia perfecta es deseable y puede llevar a la eficiencia. Claramente este tipo de proceso de innovación no es consistente con la estabilidad financiera. El innovador exitoso sobrevivirá mientras que los demás fracasarán. De nuevo, la eficiencia requiere una combinación de competencia perfecta e inestabilidad financiera. Si la preocupación de los gobiernos está en mantener la estabilidad financiera sus acciones deben ir encaminadas a asegurar que los bancos sobrevivan mediante regulaciones de entrada en los </w:t>
      </w:r>
      <w:proofErr w:type="spellStart"/>
      <w:r w:rsidRPr="00B07754">
        <w:rPr>
          <w:rFonts w:ascii="Times New Roman" w:eastAsiaTheme="minorHAnsi" w:hAnsi="Times New Roman"/>
          <w:sz w:val="24"/>
          <w:szCs w:val="24"/>
          <w:lang w:val="es-MX"/>
        </w:rPr>
        <w:t>submercados</w:t>
      </w:r>
      <w:proofErr w:type="spellEnd"/>
      <w:r w:rsidRPr="00B07754">
        <w:rPr>
          <w:rStyle w:val="Refdenotaalpie"/>
          <w:rFonts w:ascii="Times New Roman" w:eastAsiaTheme="minorHAnsi" w:hAnsi="Times New Roman"/>
          <w:sz w:val="24"/>
          <w:szCs w:val="24"/>
          <w:lang w:val="es-MX"/>
        </w:rPr>
        <w:footnoteReference w:id="10"/>
      </w:r>
      <w:r w:rsidRPr="00B07754">
        <w:rPr>
          <w:rFonts w:ascii="Times New Roman" w:eastAsiaTheme="minorHAnsi" w:hAnsi="Times New Roman"/>
          <w:sz w:val="24"/>
          <w:szCs w:val="24"/>
          <w:lang w:val="es-MX"/>
        </w:rPr>
        <w:t>. En este caso, se considera un escenario en el cual a los bancos se les garantiza un monopolio en su región</w:t>
      </w:r>
      <w:r w:rsidR="00287975">
        <w:rPr>
          <w:rFonts w:ascii="Times New Roman" w:eastAsiaTheme="minorHAnsi" w:hAnsi="Times New Roman"/>
          <w:sz w:val="24"/>
          <w:szCs w:val="24"/>
          <w:lang w:val="es-MX"/>
        </w:rPr>
        <w:t xml:space="preserve"> y los </w:t>
      </w:r>
      <w:r w:rsidR="005E6C01" w:rsidRPr="00B07754">
        <w:rPr>
          <w:rFonts w:ascii="Times New Roman" w:eastAsiaTheme="minorHAnsi" w:hAnsi="Times New Roman"/>
          <w:sz w:val="24"/>
          <w:szCs w:val="24"/>
          <w:lang w:val="es-MX"/>
        </w:rPr>
        <w:t xml:space="preserve">incentivos existentes </w:t>
      </w:r>
      <w:r w:rsidRPr="00B07754">
        <w:rPr>
          <w:rFonts w:ascii="Times New Roman" w:eastAsiaTheme="minorHAnsi" w:hAnsi="Times New Roman"/>
          <w:sz w:val="24"/>
          <w:szCs w:val="24"/>
          <w:lang w:val="es-MX"/>
        </w:rPr>
        <w:t>para innovar.  Esta estabilidad forzada lleva ya sea a una pérdida en el bienestar, a menor inversión en innovación –los bancos solo pueden obtener ganancias de su región - o en excesiva inversión – el banco asegura un retorno sin importar lo que pase-</w:t>
      </w:r>
      <w:r w:rsidR="00C30B62" w:rsidRPr="00B07754">
        <w:rPr>
          <w:rFonts w:ascii="Times New Roman" w:eastAsiaTheme="minorHAnsi" w:hAnsi="Times New Roman"/>
          <w:sz w:val="24"/>
          <w:szCs w:val="24"/>
          <w:lang w:val="es-MX"/>
        </w:rPr>
        <w:t>.</w:t>
      </w:r>
      <w:sdt>
        <w:sdtPr>
          <w:rPr>
            <w:rFonts w:ascii="Times New Roman" w:eastAsiaTheme="minorHAnsi" w:hAnsi="Times New Roman"/>
            <w:sz w:val="24"/>
            <w:szCs w:val="24"/>
            <w:lang w:val="es-MX"/>
          </w:rPr>
          <w:id w:val="-1874525427"/>
          <w:citation/>
        </w:sdtPr>
        <w:sdtEndPr/>
        <w:sdtContent>
          <w:r w:rsidRPr="00B07754">
            <w:rPr>
              <w:rFonts w:ascii="Times New Roman" w:eastAsiaTheme="minorHAnsi" w:hAnsi="Times New Roman"/>
              <w:sz w:val="24"/>
              <w:szCs w:val="24"/>
              <w:lang w:val="es-MX"/>
            </w:rPr>
            <w:fldChar w:fldCharType="begin"/>
          </w:r>
          <w:r w:rsidRPr="00B07754">
            <w:rPr>
              <w:rFonts w:ascii="Times New Roman" w:eastAsiaTheme="minorHAnsi" w:hAnsi="Times New Roman"/>
              <w:sz w:val="24"/>
              <w:szCs w:val="24"/>
              <w:lang w:val="es-MX"/>
            </w:rPr>
            <w:instrText xml:space="preserve">CITATION All03 \p 4 \l 2058 </w:instrText>
          </w:r>
          <w:r w:rsidRPr="00B07754">
            <w:rPr>
              <w:rFonts w:ascii="Times New Roman" w:eastAsiaTheme="minorHAnsi" w:hAnsi="Times New Roman"/>
              <w:sz w:val="24"/>
              <w:szCs w:val="24"/>
              <w:lang w:val="es-MX"/>
            </w:rPr>
            <w:fldChar w:fldCharType="separate"/>
          </w:r>
          <w:r w:rsidR="008A6D1D" w:rsidRPr="00B07754">
            <w:rPr>
              <w:rFonts w:ascii="Times New Roman" w:eastAsiaTheme="minorHAnsi" w:hAnsi="Times New Roman"/>
              <w:noProof/>
              <w:sz w:val="24"/>
              <w:szCs w:val="24"/>
              <w:lang w:val="es-MX"/>
            </w:rPr>
            <w:t xml:space="preserve"> (Allen &amp; Gale, 2003, pág. 4)</w:t>
          </w:r>
          <w:r w:rsidRPr="00B07754">
            <w:rPr>
              <w:rFonts w:ascii="Times New Roman" w:eastAsiaTheme="minorHAnsi" w:hAnsi="Times New Roman"/>
              <w:sz w:val="24"/>
              <w:szCs w:val="24"/>
              <w:lang w:val="es-MX"/>
            </w:rPr>
            <w:fldChar w:fldCharType="end"/>
          </w:r>
        </w:sdtContent>
      </w:sdt>
      <w:r w:rsidRPr="00B07754">
        <w:rPr>
          <w:rFonts w:ascii="Times New Roman" w:eastAsiaTheme="minorHAnsi" w:hAnsi="Times New Roman"/>
          <w:sz w:val="24"/>
          <w:szCs w:val="24"/>
          <w:lang w:val="es-MX"/>
        </w:rPr>
        <w:t xml:space="preserve">. </w:t>
      </w:r>
    </w:p>
    <w:p w:rsidR="00CD2BE3" w:rsidRPr="00B07754" w:rsidRDefault="00CD2BE3" w:rsidP="002B5E62">
      <w:pPr>
        <w:pStyle w:val="Ttulo5"/>
        <w:numPr>
          <w:ilvl w:val="4"/>
          <w:numId w:val="29"/>
        </w:numPr>
        <w:spacing w:before="0" w:after="200" w:line="360" w:lineRule="auto"/>
        <w:ind w:left="0" w:firstLine="0"/>
        <w:rPr>
          <w:rFonts w:ascii="Times New Roman" w:eastAsiaTheme="minorHAnsi" w:hAnsi="Times New Roman"/>
          <w:i/>
          <w:color w:val="auto"/>
          <w:sz w:val="24"/>
          <w:szCs w:val="24"/>
          <w:lang w:val="es-MX"/>
        </w:rPr>
      </w:pPr>
      <w:r w:rsidRPr="00B07754">
        <w:rPr>
          <w:rFonts w:ascii="Times New Roman" w:eastAsiaTheme="minorHAnsi" w:hAnsi="Times New Roman"/>
          <w:i/>
          <w:color w:val="auto"/>
          <w:sz w:val="24"/>
          <w:szCs w:val="24"/>
          <w:lang w:val="es-MX"/>
        </w:rPr>
        <w:lastRenderedPageBreak/>
        <w:t>Relación entre competencia y riesgo en el pasivo</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MX"/>
        </w:rPr>
        <w:t xml:space="preserve">En lo que respecta a la relación entre competencia </w:t>
      </w:r>
      <w:r w:rsidRPr="00B07754">
        <w:rPr>
          <w:rFonts w:ascii="Times New Roman" w:eastAsiaTheme="minorHAnsi" w:hAnsi="Times New Roman"/>
          <w:sz w:val="24"/>
          <w:szCs w:val="24"/>
          <w:lang w:val="es-ES"/>
        </w:rPr>
        <w:t xml:space="preserve">y riesgo en el pasivo se puede mencionar el estudio elaborado por Smith (cit. por </w:t>
      </w:r>
      <w:proofErr w:type="spellStart"/>
      <w:r w:rsidRPr="00B07754">
        <w:rPr>
          <w:rFonts w:ascii="Times New Roman" w:eastAsiaTheme="minorHAnsi" w:hAnsi="Times New Roman"/>
          <w:sz w:val="24"/>
          <w:szCs w:val="24"/>
          <w:lang w:val="es-ES"/>
        </w:rPr>
        <w:t>Carletti</w:t>
      </w:r>
      <w:proofErr w:type="spellEnd"/>
      <w:r w:rsidRPr="00B07754">
        <w:rPr>
          <w:rFonts w:ascii="Times New Roman" w:eastAsiaTheme="minorHAnsi" w:hAnsi="Times New Roman"/>
          <w:sz w:val="24"/>
          <w:szCs w:val="24"/>
          <w:lang w:val="es-ES"/>
        </w:rPr>
        <w:t xml:space="preserve"> &amp; Hartmann; 2002, pág. 20) quien aborda este tema bajo el supuesto que los bancos compiten para atraer depositantes que poseen diferentes distribuciones de probabilidad para las fechas de retiro. En este caso ante un problema de selección adversa</w:t>
      </w:r>
      <w:r w:rsidR="006474BE" w:rsidRPr="00B07754">
        <w:rPr>
          <w:rStyle w:val="Refdenotaalpie"/>
          <w:rFonts w:ascii="Times New Roman" w:eastAsiaTheme="minorHAnsi" w:hAnsi="Times New Roman"/>
          <w:sz w:val="24"/>
          <w:szCs w:val="24"/>
          <w:lang w:val="es-ES"/>
        </w:rPr>
        <w:footnoteReference w:id="11"/>
      </w:r>
      <w:r w:rsidRPr="00B07754">
        <w:rPr>
          <w:rFonts w:ascii="Times New Roman" w:eastAsiaTheme="minorHAnsi" w:hAnsi="Times New Roman"/>
          <w:sz w:val="24"/>
          <w:szCs w:val="24"/>
          <w:lang w:val="es-ES"/>
        </w:rPr>
        <w:t>, que se presenta cuando los depositantes solo conocen su propia probabilidad de retiros, es posible que no exista un equilibrio de Nash</w:t>
      </w:r>
      <w:r w:rsidRPr="00B07754">
        <w:rPr>
          <w:rStyle w:val="Refdenotaalpie"/>
          <w:rFonts w:ascii="Times New Roman" w:eastAsiaTheme="minorHAnsi" w:hAnsi="Times New Roman"/>
          <w:sz w:val="24"/>
          <w:szCs w:val="24"/>
          <w:lang w:val="es-ES"/>
        </w:rPr>
        <w:footnoteReference w:id="12"/>
      </w:r>
      <w:r w:rsidRPr="00B07754">
        <w:rPr>
          <w:rFonts w:ascii="Times New Roman" w:eastAsiaTheme="minorHAnsi" w:hAnsi="Times New Roman"/>
          <w:sz w:val="24"/>
          <w:szCs w:val="24"/>
          <w:lang w:val="es-ES"/>
        </w:rPr>
        <w:t>. El equilibrio en los contratos se destruye ante la posibilidad de que los bancos ofrezcan productos financieros de ganancias positivas a un segmento específico de los depositantes.  En este caso, el sistema bancario es inestable. Así pues, la competencia en depósitos hace a los bancos frágiles en un ambiente caracterizado por problemas de selección adversa. El autor argumenta que este problema puede ser resuelto con medidas apropiadas de regulación como los techos en las tasas pasivas</w:t>
      </w:r>
      <w:sdt>
        <w:sdtPr>
          <w:rPr>
            <w:rFonts w:ascii="Times New Roman" w:eastAsiaTheme="minorHAnsi" w:hAnsi="Times New Roman"/>
            <w:sz w:val="24"/>
            <w:szCs w:val="24"/>
            <w:lang w:val="es-ES"/>
          </w:rPr>
          <w:id w:val="164984610"/>
          <w:citation/>
        </w:sdtPr>
        <w:sdtEndPr/>
        <w:sdtContent>
          <w:r w:rsidRPr="00B07754">
            <w:rPr>
              <w:rFonts w:ascii="Times New Roman" w:eastAsiaTheme="minorHAnsi" w:hAnsi="Times New Roman"/>
              <w:sz w:val="24"/>
              <w:szCs w:val="24"/>
              <w:lang w:val="es-ES"/>
            </w:rPr>
            <w:fldChar w:fldCharType="begin"/>
          </w:r>
          <w:r w:rsidRPr="00B07754">
            <w:rPr>
              <w:rFonts w:ascii="Times New Roman" w:eastAsiaTheme="minorHAnsi" w:hAnsi="Times New Roman"/>
              <w:sz w:val="24"/>
              <w:szCs w:val="24"/>
              <w:lang w:val="es-MX"/>
            </w:rPr>
            <w:instrText xml:space="preserve">CITATION Car02 \p 20 \l 2058 </w:instrText>
          </w:r>
          <w:r w:rsidRPr="00B07754">
            <w:rPr>
              <w:rFonts w:ascii="Times New Roman" w:eastAsiaTheme="minorHAnsi" w:hAnsi="Times New Roman"/>
              <w:sz w:val="24"/>
              <w:szCs w:val="24"/>
              <w:lang w:val="es-ES"/>
            </w:rPr>
            <w:fldChar w:fldCharType="separate"/>
          </w:r>
          <w:r w:rsidR="008A6D1D" w:rsidRPr="00B07754">
            <w:rPr>
              <w:rFonts w:ascii="Times New Roman" w:eastAsiaTheme="minorHAnsi" w:hAnsi="Times New Roman"/>
              <w:noProof/>
              <w:sz w:val="24"/>
              <w:szCs w:val="24"/>
              <w:lang w:val="es-MX"/>
            </w:rPr>
            <w:t xml:space="preserve"> (Carletti &amp; Hartmann, 2002, pág. 20)</w:t>
          </w:r>
          <w:r w:rsidRPr="00B07754">
            <w:rPr>
              <w:rFonts w:ascii="Times New Roman" w:eastAsiaTheme="minorHAnsi" w:hAnsi="Times New Roman"/>
              <w:sz w:val="24"/>
              <w:szCs w:val="24"/>
              <w:lang w:val="es-ES"/>
            </w:rPr>
            <w:fldChar w:fldCharType="end"/>
          </w:r>
        </w:sdtContent>
      </w:sdt>
      <w:r w:rsidRPr="00B07754">
        <w:rPr>
          <w:rFonts w:ascii="Times New Roman" w:eastAsiaTheme="minorHAnsi" w:hAnsi="Times New Roman"/>
          <w:sz w:val="24"/>
          <w:szCs w:val="24"/>
          <w:lang w:val="es-ES"/>
        </w:rPr>
        <w:t xml:space="preserve">. </w:t>
      </w:r>
    </w:p>
    <w:p w:rsidR="00782E35" w:rsidRPr="00B07754" w:rsidRDefault="00782E3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eastAsiaTheme="minorHAnsi" w:hAnsi="Times New Roman"/>
          <w:sz w:val="24"/>
          <w:szCs w:val="24"/>
          <w:lang w:val="es-MX"/>
        </w:rPr>
        <w:t xml:space="preserve">Por otra parte, Matutes y Vives </w:t>
      </w:r>
      <w:r w:rsidRPr="00B07754">
        <w:rPr>
          <w:rFonts w:ascii="Times New Roman" w:hAnsi="Times New Roman"/>
          <w:sz w:val="24"/>
          <w:szCs w:val="24"/>
          <w:lang w:val="es-MX"/>
        </w:rPr>
        <w:t>(cit. por Pérez, 2009; pág. 11) demuestran que la vulnerabilidad de los bancos a las corridas bancarias es independiente de la competencia y puede ocurrir bajo cualquier modelo de mercado. En su modelo, en el que incluyen la diferenciación de producto, externalidades de red</w:t>
      </w:r>
      <w:r w:rsidRPr="00B07754">
        <w:rPr>
          <w:rStyle w:val="Refdenotaalpie"/>
          <w:rFonts w:ascii="Times New Roman" w:hAnsi="Times New Roman"/>
          <w:sz w:val="24"/>
          <w:szCs w:val="24"/>
          <w:lang w:val="es-MX"/>
        </w:rPr>
        <w:footnoteReference w:id="13"/>
      </w:r>
      <w:r w:rsidRPr="00B07754">
        <w:rPr>
          <w:rFonts w:ascii="Times New Roman" w:hAnsi="Times New Roman"/>
          <w:sz w:val="24"/>
          <w:szCs w:val="24"/>
          <w:lang w:val="es-MX"/>
        </w:rPr>
        <w:t xml:space="preserve"> y crisis bancarias, indican que la probabilidad que un banco presente problemas está endógenamente determinada por las expectativas de los depositantes que son autosatisfechas dada la presencia de economías de escala. Un banco que es percibido como más seguro obtiene un margen y participación de mercado, lo que lo hace más seguro debido a que existe una mejor diversificación.  La manera en que las expectativas son atendidas por los propios depositantes implica equilibrios múltiples, que incluyen soluciones en las que únicamente un banco está activo y otros equilibrios donde ningún banco lo está. Esto último se interpreta como una crisis sistémica de confianza que se produce por un problema de descoordinación entre depositantes que surge independientemente del grado de competencia en el mercado de depósitos. Este problema puede solucionarse introduciendo un seguro de depósitos. No obstante, el asegurar todos los depósitos puede impedir la diversificación de productos </w:t>
      </w:r>
      <w:r w:rsidRPr="00B07754">
        <w:rPr>
          <w:rFonts w:ascii="Times New Roman" w:hAnsi="Times New Roman"/>
          <w:sz w:val="24"/>
          <w:szCs w:val="24"/>
          <w:lang w:val="es-MX"/>
        </w:rPr>
        <w:lastRenderedPageBreak/>
        <w:t>financieros e introducir mayor competencia, lo que aumenta la probabilidad de quiebra de los bancos</w:t>
      </w:r>
      <w:sdt>
        <w:sdtPr>
          <w:rPr>
            <w:rFonts w:ascii="Times New Roman" w:hAnsi="Times New Roman"/>
            <w:sz w:val="24"/>
            <w:szCs w:val="24"/>
            <w:lang w:val="es-MX"/>
          </w:rPr>
          <w:id w:val="89100237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Car02 \p 21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(Carletti &amp; Hartmann, 2002, pág. 21)</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782E35" w:rsidRPr="00B07754" w:rsidRDefault="00782E3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Al mismo tiempo, se ha demostrado que si la concentración se relaciona positivamente con el poder de mercado de los bancos, la misma incrementa la rentabilidad de los activos así como la volatilidad de sus retornos (</w:t>
      </w:r>
      <w:proofErr w:type="spellStart"/>
      <w:r w:rsidRPr="00B07754">
        <w:rPr>
          <w:rFonts w:ascii="Times New Roman" w:hAnsi="Times New Roman"/>
          <w:sz w:val="24"/>
          <w:szCs w:val="24"/>
          <w:lang w:val="es-MX"/>
        </w:rPr>
        <w:t>Boyd</w:t>
      </w:r>
      <w:proofErr w:type="spellEnd"/>
      <w:r w:rsidRPr="00B07754">
        <w:rPr>
          <w:rFonts w:ascii="Times New Roman" w:hAnsi="Times New Roman"/>
          <w:sz w:val="24"/>
          <w:szCs w:val="24"/>
          <w:lang w:val="es-MX"/>
        </w:rPr>
        <w:t xml:space="preserve"> &amp; De </w:t>
      </w:r>
      <w:proofErr w:type="spellStart"/>
      <w:r w:rsidRPr="00B07754">
        <w:rPr>
          <w:rFonts w:ascii="Times New Roman" w:hAnsi="Times New Roman"/>
          <w:sz w:val="24"/>
          <w:szCs w:val="24"/>
          <w:lang w:val="es-MX"/>
        </w:rPr>
        <w:t>Nicoló</w:t>
      </w:r>
      <w:proofErr w:type="spellEnd"/>
      <w:r w:rsidRPr="00B07754">
        <w:rPr>
          <w:rFonts w:ascii="Times New Roman" w:hAnsi="Times New Roman"/>
          <w:sz w:val="24"/>
          <w:szCs w:val="24"/>
          <w:lang w:val="es-MX"/>
        </w:rPr>
        <w:t xml:space="preserve"> cit. por Pérez; 2009, </w:t>
      </w:r>
      <w:proofErr w:type="spellStart"/>
      <w:r w:rsidRPr="00B07754">
        <w:rPr>
          <w:rFonts w:ascii="Times New Roman" w:hAnsi="Times New Roman"/>
          <w:sz w:val="24"/>
          <w:szCs w:val="24"/>
          <w:lang w:val="es-MX"/>
        </w:rPr>
        <w:t>pág</w:t>
      </w:r>
      <w:proofErr w:type="spellEnd"/>
      <w:r w:rsidRPr="00B07754">
        <w:rPr>
          <w:rFonts w:ascii="Times New Roman" w:hAnsi="Times New Roman"/>
          <w:sz w:val="24"/>
          <w:szCs w:val="24"/>
          <w:lang w:val="es-MX"/>
        </w:rPr>
        <w:t xml:space="preserve"> 11).  El modelo de </w:t>
      </w:r>
      <w:proofErr w:type="spellStart"/>
      <w:r w:rsidRPr="00B07754">
        <w:rPr>
          <w:rFonts w:ascii="Times New Roman" w:hAnsi="Times New Roman"/>
          <w:sz w:val="24"/>
          <w:szCs w:val="24"/>
          <w:lang w:val="es-MX"/>
        </w:rPr>
        <w:t>Boyd</w:t>
      </w:r>
      <w:proofErr w:type="spellEnd"/>
      <w:r w:rsidRPr="00B07754">
        <w:rPr>
          <w:rFonts w:ascii="Times New Roman" w:hAnsi="Times New Roman"/>
          <w:sz w:val="24"/>
          <w:szCs w:val="24"/>
          <w:lang w:val="es-MX"/>
        </w:rPr>
        <w:t xml:space="preserve"> y De </w:t>
      </w:r>
      <w:proofErr w:type="spellStart"/>
      <w:r w:rsidRPr="00B07754">
        <w:rPr>
          <w:rFonts w:ascii="Times New Roman" w:hAnsi="Times New Roman"/>
          <w:sz w:val="24"/>
          <w:szCs w:val="24"/>
          <w:lang w:val="es-MX"/>
        </w:rPr>
        <w:t>Nicoló</w:t>
      </w:r>
      <w:proofErr w:type="spellEnd"/>
      <w:r w:rsidRPr="00B07754">
        <w:rPr>
          <w:rFonts w:ascii="Times New Roman" w:hAnsi="Times New Roman"/>
          <w:sz w:val="24"/>
          <w:szCs w:val="24"/>
          <w:lang w:val="es-MX"/>
        </w:rPr>
        <w:t xml:space="preserve"> (cit. por Pérez; 2009, pág.12) en el cual los bancos compiten por captaciones y colocaciones, permite identificar que existen dos mecanismos riesgo – incentivo que hace que los bancos adquieran más riesgos a medida que aumenta la concentración del mercado. El primero se presenta debido a que con menor competencia los bancos pueden generar mayores ingresos con el incremento de las tasas de interés activas, lo que implica mayor riesgo de quiebra, elevando a su vez el riesgo total de todo el sistema (</w:t>
      </w:r>
      <w:proofErr w:type="spellStart"/>
      <w:r w:rsidRPr="00B07754">
        <w:rPr>
          <w:rFonts w:ascii="Times New Roman" w:hAnsi="Times New Roman"/>
          <w:sz w:val="24"/>
          <w:szCs w:val="24"/>
          <w:lang w:val="es-MX"/>
        </w:rPr>
        <w:t>Stiglitz</w:t>
      </w:r>
      <w:proofErr w:type="spellEnd"/>
      <w:r w:rsidRPr="00B07754">
        <w:rPr>
          <w:rFonts w:ascii="Times New Roman" w:hAnsi="Times New Roman"/>
          <w:sz w:val="24"/>
          <w:szCs w:val="24"/>
          <w:lang w:val="es-MX"/>
        </w:rPr>
        <w:t xml:space="preserve"> cit. por Morales; 2011, </w:t>
      </w:r>
      <w:proofErr w:type="spellStart"/>
      <w:r w:rsidRPr="00B07754">
        <w:rPr>
          <w:rFonts w:ascii="Times New Roman" w:hAnsi="Times New Roman"/>
          <w:sz w:val="24"/>
          <w:szCs w:val="24"/>
          <w:lang w:val="es-MX"/>
        </w:rPr>
        <w:t>pág</w:t>
      </w:r>
      <w:proofErr w:type="spellEnd"/>
      <w:r w:rsidRPr="00B07754">
        <w:rPr>
          <w:rFonts w:ascii="Times New Roman" w:hAnsi="Times New Roman"/>
          <w:sz w:val="24"/>
          <w:szCs w:val="24"/>
          <w:lang w:val="es-MX"/>
        </w:rPr>
        <w:t xml:space="preserve"> .5); y, el segundo mecanismo, hace referencia al costo en el que incurren los bancos en caso de quiebra. Bajo el supuesto que el tamaño relativo del mercado es fijo -los depósitos se mantienen- el costo de la quiebra aumenta con la competencia por lo que los bancos asumen menor riesgo y por tanto, proporcionan más estabilidad al sistema. Sin embargo, ante esta situación puede presentarse un </w:t>
      </w:r>
      <w:proofErr w:type="spellStart"/>
      <w:r w:rsidRPr="00B07754">
        <w:rPr>
          <w:rFonts w:ascii="Times New Roman" w:hAnsi="Times New Roman"/>
          <w:i/>
          <w:sz w:val="24"/>
          <w:szCs w:val="24"/>
          <w:lang w:val="es-MX"/>
        </w:rPr>
        <w:t>Risk</w:t>
      </w:r>
      <w:proofErr w:type="spellEnd"/>
      <w:r w:rsidRPr="00B07754">
        <w:rPr>
          <w:rFonts w:ascii="Times New Roman" w:hAnsi="Times New Roman"/>
          <w:i/>
          <w:sz w:val="24"/>
          <w:szCs w:val="24"/>
          <w:lang w:val="es-MX"/>
        </w:rPr>
        <w:t xml:space="preserve"> </w:t>
      </w:r>
      <w:proofErr w:type="spellStart"/>
      <w:r w:rsidRPr="00B07754">
        <w:rPr>
          <w:rFonts w:ascii="Times New Roman" w:hAnsi="Times New Roman"/>
          <w:i/>
          <w:sz w:val="24"/>
          <w:szCs w:val="24"/>
          <w:lang w:val="es-MX"/>
        </w:rPr>
        <w:t>Shifting</w:t>
      </w:r>
      <w:proofErr w:type="spellEnd"/>
      <w:r w:rsidRPr="00B07754">
        <w:rPr>
          <w:rFonts w:ascii="Times New Roman" w:hAnsi="Times New Roman"/>
          <w:i/>
          <w:sz w:val="24"/>
          <w:szCs w:val="24"/>
          <w:lang w:val="es-MX"/>
        </w:rPr>
        <w:t xml:space="preserve"> </w:t>
      </w:r>
      <w:proofErr w:type="spellStart"/>
      <w:r w:rsidRPr="00B07754">
        <w:rPr>
          <w:rFonts w:ascii="Times New Roman" w:hAnsi="Times New Roman"/>
          <w:i/>
          <w:sz w:val="24"/>
          <w:szCs w:val="24"/>
          <w:lang w:val="es-MX"/>
        </w:rPr>
        <w:t>Effect</w:t>
      </w:r>
      <w:proofErr w:type="spellEnd"/>
      <w:r w:rsidRPr="00B07754">
        <w:rPr>
          <w:rStyle w:val="Refdenotaalpie"/>
          <w:rFonts w:ascii="Times New Roman" w:hAnsi="Times New Roman"/>
          <w:i/>
          <w:sz w:val="24"/>
          <w:szCs w:val="24"/>
          <w:lang w:val="es-MX"/>
        </w:rPr>
        <w:footnoteReference w:id="14"/>
      </w:r>
      <w:r w:rsidRPr="00B07754">
        <w:rPr>
          <w:rFonts w:ascii="Times New Roman" w:hAnsi="Times New Roman"/>
          <w:i/>
          <w:sz w:val="24"/>
          <w:szCs w:val="24"/>
          <w:lang w:val="es-MX"/>
        </w:rPr>
        <w:t xml:space="preserve"> </w:t>
      </w:r>
      <w:r w:rsidRPr="00B07754">
        <w:rPr>
          <w:rFonts w:ascii="Times New Roman" w:hAnsi="Times New Roman"/>
          <w:sz w:val="24"/>
          <w:szCs w:val="24"/>
          <w:lang w:val="es-MX"/>
        </w:rPr>
        <w:t>(RSE)</w:t>
      </w:r>
      <w:r w:rsidRPr="00B07754">
        <w:rPr>
          <w:rFonts w:ascii="Times New Roman" w:hAnsi="Times New Roman"/>
          <w:b/>
          <w:i/>
          <w:sz w:val="24"/>
          <w:szCs w:val="24"/>
          <w:lang w:val="es-MX"/>
        </w:rPr>
        <w:t xml:space="preserve"> </w:t>
      </w:r>
      <w:r w:rsidRPr="00B07754">
        <w:rPr>
          <w:rFonts w:ascii="Times New Roman" w:hAnsi="Times New Roman"/>
          <w:sz w:val="24"/>
          <w:szCs w:val="24"/>
          <w:lang w:val="es-MX"/>
        </w:rPr>
        <w:t xml:space="preserve"> bajo el cual la mayor competencia en créditos y depósitos impulsa una disminución en las tasas de interés activas, induciendo a los bancos a tomar decisiones de inversión en activos más riesgosos para incrementar la rentabilidad de sus accionistas. En consecuencia, aumenta el riesgo de inestabilidad en el sistema bancario.</w:t>
      </w:r>
      <w:sdt>
        <w:sdtPr>
          <w:rPr>
            <w:rFonts w:ascii="Times New Roman" w:hAnsi="Times New Roman"/>
            <w:sz w:val="24"/>
            <w:szCs w:val="24"/>
            <w:lang w:val="es-MX"/>
          </w:rPr>
          <w:id w:val="523289064"/>
          <w:citation/>
        </w:sdtPr>
        <w:sdtEndPr/>
        <w:sdtContent>
          <w:r w:rsidR="00884621" w:rsidRPr="00B07754">
            <w:rPr>
              <w:rFonts w:ascii="Times New Roman" w:hAnsi="Times New Roman"/>
              <w:sz w:val="24"/>
              <w:szCs w:val="24"/>
              <w:lang w:val="es-MX"/>
            </w:rPr>
            <w:fldChar w:fldCharType="begin"/>
          </w:r>
          <w:r w:rsidR="00884621" w:rsidRPr="00B07754">
            <w:rPr>
              <w:rFonts w:ascii="Times New Roman" w:hAnsi="Times New Roman"/>
              <w:sz w:val="24"/>
              <w:szCs w:val="24"/>
              <w:lang w:val="es-MX"/>
            </w:rPr>
            <w:instrText xml:space="preserve">CITATION Lui09 \p 15 \l 2058 </w:instrText>
          </w:r>
          <w:r w:rsidR="00884621"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15)</w:t>
          </w:r>
          <w:r w:rsidR="00884621" w:rsidRPr="00B07754">
            <w:rPr>
              <w:rFonts w:ascii="Times New Roman" w:hAnsi="Times New Roman"/>
              <w:sz w:val="24"/>
              <w:szCs w:val="24"/>
              <w:lang w:val="es-MX"/>
            </w:rPr>
            <w:fldChar w:fldCharType="end"/>
          </w:r>
        </w:sdtContent>
      </w:sdt>
    </w:p>
    <w:p w:rsidR="00782E35" w:rsidRPr="00B07754" w:rsidRDefault="00782E35" w:rsidP="002B5E62">
      <w:pPr>
        <w:pStyle w:val="Ttulo4"/>
        <w:numPr>
          <w:ilvl w:val="3"/>
          <w:numId w:val="2"/>
        </w:numPr>
        <w:spacing w:before="0" w:after="200" w:line="360" w:lineRule="auto"/>
        <w:ind w:left="0" w:firstLine="0"/>
        <w:rPr>
          <w:rFonts w:ascii="Times New Roman" w:hAnsi="Times New Roman"/>
          <w:b w:val="0"/>
          <w:color w:val="auto"/>
          <w:sz w:val="24"/>
          <w:szCs w:val="24"/>
        </w:rPr>
      </w:pPr>
      <w:r w:rsidRPr="00B07754">
        <w:rPr>
          <w:rFonts w:ascii="Times New Roman" w:hAnsi="Times New Roman"/>
          <w:b w:val="0"/>
          <w:color w:val="auto"/>
          <w:sz w:val="24"/>
          <w:szCs w:val="24"/>
        </w:rPr>
        <w:t>Estructura de mercado y excesiva toma de riesgo</w:t>
      </w:r>
    </w:p>
    <w:p w:rsidR="00782E35" w:rsidRPr="00B07754" w:rsidRDefault="00782E3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este tema </w:t>
      </w:r>
      <w:proofErr w:type="spellStart"/>
      <w:r w:rsidRPr="00B07754">
        <w:rPr>
          <w:rFonts w:ascii="Times New Roman" w:hAnsi="Times New Roman"/>
          <w:sz w:val="24"/>
          <w:szCs w:val="24"/>
          <w:lang w:val="es-MX"/>
        </w:rPr>
        <w:t>Besankoy</w:t>
      </w:r>
      <w:proofErr w:type="spellEnd"/>
      <w:r w:rsidRPr="00B07754">
        <w:rPr>
          <w:rFonts w:ascii="Times New Roman" w:hAnsi="Times New Roman"/>
          <w:sz w:val="24"/>
          <w:szCs w:val="24"/>
          <w:lang w:val="es-MX"/>
        </w:rPr>
        <w:t xml:space="preserve"> </w:t>
      </w:r>
      <w:proofErr w:type="spellStart"/>
      <w:r w:rsidRPr="00B07754">
        <w:rPr>
          <w:rFonts w:ascii="Times New Roman" w:hAnsi="Times New Roman"/>
          <w:sz w:val="24"/>
          <w:szCs w:val="24"/>
          <w:lang w:val="es-MX"/>
        </w:rPr>
        <w:t>Thakor</w:t>
      </w:r>
      <w:proofErr w:type="spellEnd"/>
      <w:r w:rsidRPr="00B07754">
        <w:rPr>
          <w:rFonts w:ascii="Times New Roman" w:hAnsi="Times New Roman"/>
          <w:sz w:val="24"/>
          <w:szCs w:val="24"/>
          <w:lang w:val="es-MX"/>
        </w:rPr>
        <w:t xml:space="preserve"> (cit. por </w:t>
      </w:r>
      <w:proofErr w:type="spellStart"/>
      <w:r w:rsidRPr="00B07754">
        <w:rPr>
          <w:rFonts w:ascii="Times New Roman" w:hAnsi="Times New Roman"/>
          <w:sz w:val="24"/>
          <w:szCs w:val="24"/>
          <w:lang w:val="es-MX"/>
        </w:rPr>
        <w:t>Carletti</w:t>
      </w:r>
      <w:proofErr w:type="spellEnd"/>
      <w:r w:rsidRPr="00B07754">
        <w:rPr>
          <w:rFonts w:ascii="Times New Roman" w:hAnsi="Times New Roman"/>
          <w:sz w:val="24"/>
          <w:szCs w:val="24"/>
          <w:lang w:val="es-MX"/>
        </w:rPr>
        <w:t xml:space="preserve"> y Hartmann; 2002, </w:t>
      </w:r>
      <w:proofErr w:type="spellStart"/>
      <w:r w:rsidRPr="00B07754">
        <w:rPr>
          <w:rFonts w:ascii="Times New Roman" w:hAnsi="Times New Roman"/>
          <w:sz w:val="24"/>
          <w:szCs w:val="24"/>
          <w:lang w:val="es-MX"/>
        </w:rPr>
        <w:t>pag</w:t>
      </w:r>
      <w:proofErr w:type="spellEnd"/>
      <w:r w:rsidRPr="00B07754">
        <w:rPr>
          <w:rFonts w:ascii="Times New Roman" w:hAnsi="Times New Roman"/>
          <w:sz w:val="24"/>
          <w:szCs w:val="24"/>
          <w:lang w:val="es-MX"/>
        </w:rPr>
        <w:t xml:space="preserve">. 22) demuestran que un incremento en la competencia impulsa a los bancos a seleccionar estrategias de portafolio más riesgosas. En lo que respecta a la relación con sus prestatarios, los bancos adquieren información privada que genera rentas de información. Mientras los bancos reciban una parte de estas rentas poseen un incentivo a limitar su exposición al riesgo. Sin embargo, conforme se incrementa la competencia dicha relación disminuye la utilidad percibida y los bancos tienden a asumir más riesgo.  </w:t>
      </w:r>
    </w:p>
    <w:p w:rsidR="00782E35" w:rsidRPr="00B07754" w:rsidRDefault="00782E3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Otros documentos centran su atención en cómo la competencia en depósitos afecta la toma de riesgo de los bancos y como una regulación prudente puede corregir la relación entre competencia y la toma de riesgo excesiva. Uno de los estudios realizado por </w:t>
      </w:r>
      <w:proofErr w:type="spellStart"/>
      <w:r w:rsidRPr="00B07754">
        <w:rPr>
          <w:rFonts w:ascii="Times New Roman" w:hAnsi="Times New Roman"/>
          <w:sz w:val="24"/>
          <w:szCs w:val="24"/>
          <w:lang w:val="es-MX"/>
        </w:rPr>
        <w:t>Cordella</w:t>
      </w:r>
      <w:proofErr w:type="spellEnd"/>
      <w:r w:rsidRPr="00B07754">
        <w:rPr>
          <w:rFonts w:ascii="Times New Roman" w:hAnsi="Times New Roman"/>
          <w:sz w:val="24"/>
          <w:szCs w:val="24"/>
          <w:lang w:val="es-MX"/>
        </w:rPr>
        <w:t xml:space="preserve"> y </w:t>
      </w:r>
      <w:proofErr w:type="spellStart"/>
      <w:r w:rsidRPr="00B07754">
        <w:rPr>
          <w:rFonts w:ascii="Times New Roman" w:hAnsi="Times New Roman"/>
          <w:sz w:val="24"/>
          <w:szCs w:val="24"/>
          <w:lang w:val="es-MX"/>
        </w:rPr>
        <w:t>Yeyati</w:t>
      </w:r>
      <w:proofErr w:type="spellEnd"/>
      <w:r w:rsidRPr="00B07754">
        <w:rPr>
          <w:rFonts w:ascii="Times New Roman" w:hAnsi="Times New Roman"/>
          <w:sz w:val="24"/>
          <w:szCs w:val="24"/>
          <w:lang w:val="es-MX"/>
        </w:rPr>
        <w:t xml:space="preserve"> (cit. por </w:t>
      </w:r>
      <w:proofErr w:type="spellStart"/>
      <w:r w:rsidRPr="00B07754">
        <w:rPr>
          <w:rFonts w:ascii="Times New Roman" w:hAnsi="Times New Roman"/>
          <w:sz w:val="24"/>
          <w:szCs w:val="24"/>
          <w:lang w:val="es-MX"/>
        </w:rPr>
        <w:t>Carletti</w:t>
      </w:r>
      <w:proofErr w:type="spellEnd"/>
      <w:r w:rsidRPr="00B07754">
        <w:rPr>
          <w:rFonts w:ascii="Times New Roman" w:hAnsi="Times New Roman"/>
          <w:sz w:val="24"/>
          <w:szCs w:val="24"/>
          <w:lang w:val="es-MX"/>
        </w:rPr>
        <w:t xml:space="preserve"> y Hartmann; 2002, pág. 23) analiza la relación entre la competencia en depósitos, el comportamiento de los bancos en la toma de riesgo y diferentes seguros de depósitos, en un modelo en el cual los bancos escogen privadamente su portafolio de riesgo. Estos autores llegan a determinar que con una tasa pasiva fija, la competencia incrementa las tasas de interés sobre los depósitos y el riesgo a través de una menor diferenciación de productos y márgenes. Si en este caso se implementa un seguro de depósitos ajustado al nivel de riesgo, las tasas pasivas y el riesgo en el activo son menores que bajo una política de bandas para la tasa de interés. De esta manera los bancos pueden reducir el riesgo en los activos, disminuyendo el costo de los fondos y mejorando su desempeño a pesar del nivel de competencia.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proofErr w:type="spellStart"/>
      <w:r w:rsidRPr="00B07754">
        <w:rPr>
          <w:rFonts w:ascii="Times New Roman" w:eastAsiaTheme="minorHAnsi" w:hAnsi="Times New Roman"/>
          <w:sz w:val="24"/>
          <w:szCs w:val="24"/>
          <w:lang w:val="es-MX"/>
        </w:rPr>
        <w:t>Hellman</w:t>
      </w:r>
      <w:proofErr w:type="spellEnd"/>
      <w:r w:rsidRPr="00B07754">
        <w:rPr>
          <w:rFonts w:ascii="Times New Roman" w:eastAsiaTheme="minorHAnsi" w:hAnsi="Times New Roman"/>
          <w:sz w:val="24"/>
          <w:szCs w:val="24"/>
          <w:lang w:val="es-MX"/>
        </w:rPr>
        <w:t xml:space="preserve"> (cit. por </w:t>
      </w:r>
      <w:proofErr w:type="spellStart"/>
      <w:r w:rsidRPr="00B07754">
        <w:rPr>
          <w:rFonts w:ascii="Times New Roman" w:eastAsiaTheme="minorHAnsi" w:hAnsi="Times New Roman"/>
          <w:sz w:val="24"/>
          <w:szCs w:val="24"/>
          <w:lang w:val="es-MX"/>
        </w:rPr>
        <w:t>Carletti</w:t>
      </w:r>
      <w:proofErr w:type="spellEnd"/>
      <w:r w:rsidRPr="00B07754">
        <w:rPr>
          <w:rFonts w:ascii="Times New Roman" w:eastAsiaTheme="minorHAnsi" w:hAnsi="Times New Roman"/>
          <w:sz w:val="24"/>
          <w:szCs w:val="24"/>
          <w:lang w:val="es-MX"/>
        </w:rPr>
        <w:t xml:space="preserve"> y Hartmann; 2002, pág. 23) estudia la relación entre competencia en depósitos, riesgo excesivo y regulación, en un modelo en el que los bancos escogen privadamente el rie</w:t>
      </w:r>
      <w:r w:rsidR="00B650C9" w:rsidRPr="00B07754">
        <w:rPr>
          <w:rFonts w:ascii="Times New Roman" w:eastAsiaTheme="minorHAnsi" w:hAnsi="Times New Roman"/>
          <w:sz w:val="24"/>
          <w:szCs w:val="24"/>
          <w:lang w:val="es-MX"/>
        </w:rPr>
        <w:t>s</w:t>
      </w:r>
      <w:r w:rsidRPr="00B07754">
        <w:rPr>
          <w:rFonts w:ascii="Times New Roman" w:eastAsiaTheme="minorHAnsi" w:hAnsi="Times New Roman"/>
          <w:sz w:val="24"/>
          <w:szCs w:val="24"/>
          <w:lang w:val="es-MX"/>
        </w:rPr>
        <w:t>go en sus activos. En este caso la competencia erosiona las ganancias y por tanto, induce a los bancos a apostar en sus inversiones. Para solucionar este problema y hacer que las instituciones tomen decisiones prudentes, se emplea el requerimiento mínimo de capital. Sin embargo, en este caso se presenta una ineficiencia en el sentido de Pareto</w:t>
      </w:r>
      <w:r w:rsidRPr="00B07754">
        <w:rPr>
          <w:rStyle w:val="Refdenotaalpie"/>
          <w:rFonts w:ascii="Times New Roman" w:eastAsiaTheme="minorHAnsi" w:hAnsi="Times New Roman"/>
          <w:sz w:val="24"/>
          <w:szCs w:val="24"/>
          <w:lang w:val="es-MX"/>
        </w:rPr>
        <w:footnoteReference w:id="15"/>
      </w:r>
      <w:r w:rsidRPr="00B07754">
        <w:rPr>
          <w:rFonts w:ascii="Times New Roman" w:eastAsiaTheme="minorHAnsi" w:hAnsi="Times New Roman"/>
          <w:sz w:val="24"/>
          <w:szCs w:val="24"/>
          <w:lang w:val="es-MX"/>
        </w:rPr>
        <w:t xml:space="preserve"> en la cual mientras las tasas pasivas pueden ser determinadas libremente, los bancos tienen incentivos para incrementarlas y expandir sus depósitos, aumentando los márgenes. El imponer controles a las tasas de interés permite alcanza un óptimo de Pareto en el modelo bajo el cual se incrementan las rentas y se promueve que los bancos se comporten de manera más prudente.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Un instrumento de regulación alternativo para incrementar las rentas y controlar la toma de riesgos de los bancos en un mercado competitivo fue analizado por </w:t>
      </w:r>
      <w:proofErr w:type="spellStart"/>
      <w:r w:rsidRPr="00B07754">
        <w:rPr>
          <w:rFonts w:ascii="Times New Roman" w:eastAsiaTheme="minorHAnsi" w:hAnsi="Times New Roman"/>
          <w:sz w:val="24"/>
          <w:szCs w:val="24"/>
          <w:lang w:val="es-MX"/>
        </w:rPr>
        <w:t>Perotti</w:t>
      </w:r>
      <w:proofErr w:type="spellEnd"/>
      <w:r w:rsidRPr="00B07754">
        <w:rPr>
          <w:rFonts w:ascii="Times New Roman" w:eastAsiaTheme="minorHAnsi" w:hAnsi="Times New Roman"/>
          <w:sz w:val="24"/>
          <w:szCs w:val="24"/>
          <w:lang w:val="es-MX"/>
        </w:rPr>
        <w:t xml:space="preserve"> y Suárez (cit. por </w:t>
      </w:r>
      <w:proofErr w:type="spellStart"/>
      <w:r w:rsidRPr="00B07754">
        <w:rPr>
          <w:rFonts w:ascii="Times New Roman" w:eastAsiaTheme="minorHAnsi" w:hAnsi="Times New Roman"/>
          <w:sz w:val="24"/>
          <w:szCs w:val="24"/>
          <w:lang w:val="es-MX"/>
        </w:rPr>
        <w:t>Carletti</w:t>
      </w:r>
      <w:proofErr w:type="spellEnd"/>
      <w:r w:rsidRPr="00B07754">
        <w:rPr>
          <w:rFonts w:ascii="Times New Roman" w:eastAsiaTheme="minorHAnsi" w:hAnsi="Times New Roman"/>
          <w:sz w:val="24"/>
          <w:szCs w:val="24"/>
          <w:lang w:val="es-MX"/>
        </w:rPr>
        <w:t xml:space="preserve"> &amp; Hartmann; 2002, pág. 23) cuyo modelo supone un duopolio en el cual los bancos compiten en el mercado de depósitos y pueden invertir ya sea en activos de bajo riesgo o especulativos. Si un banco quiebra, la institución reguladora debe decidir si cierra el banco o si lo fusiona con otro. Ambas políticas implican un </w:t>
      </w:r>
      <w:proofErr w:type="spellStart"/>
      <w:r w:rsidRPr="00B07754">
        <w:rPr>
          <w:rFonts w:ascii="Times New Roman" w:eastAsiaTheme="minorHAnsi" w:hAnsi="Times New Roman"/>
          <w:i/>
          <w:sz w:val="24"/>
          <w:szCs w:val="24"/>
          <w:lang w:val="es-MX"/>
        </w:rPr>
        <w:t>trade</w:t>
      </w:r>
      <w:proofErr w:type="spellEnd"/>
      <w:r w:rsidRPr="00B07754">
        <w:rPr>
          <w:rFonts w:ascii="Times New Roman" w:eastAsiaTheme="minorHAnsi" w:hAnsi="Times New Roman"/>
          <w:i/>
          <w:sz w:val="24"/>
          <w:szCs w:val="24"/>
          <w:lang w:val="es-MX"/>
        </w:rPr>
        <w:t>-off</w:t>
      </w:r>
      <w:r w:rsidRPr="00B07754">
        <w:rPr>
          <w:rFonts w:ascii="Times New Roman" w:eastAsiaTheme="minorHAnsi" w:hAnsi="Times New Roman"/>
          <w:sz w:val="24"/>
          <w:szCs w:val="24"/>
          <w:lang w:val="es-MX"/>
        </w:rPr>
        <w:t xml:space="preserve"> entre estabilidad y </w:t>
      </w:r>
      <w:r w:rsidRPr="00B07754">
        <w:rPr>
          <w:rFonts w:ascii="Times New Roman" w:eastAsiaTheme="minorHAnsi" w:hAnsi="Times New Roman"/>
          <w:sz w:val="24"/>
          <w:szCs w:val="24"/>
          <w:lang w:val="es-MX"/>
        </w:rPr>
        <w:lastRenderedPageBreak/>
        <w:t xml:space="preserve">competencia, ya que con la reducción de la competencia y el incremento de los ingresos, un rescate involucra ineficiencia y a la vez un comportamiento más prudente; por tanto, mayor entrada de firmas significa más eficiencia pero un comportamiento más riesgoso.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No todos los estudios han encontrado una relación </w:t>
      </w:r>
      <w:r w:rsidR="00C232F5">
        <w:rPr>
          <w:rFonts w:ascii="Times New Roman" w:eastAsiaTheme="minorHAnsi" w:hAnsi="Times New Roman"/>
          <w:sz w:val="24"/>
          <w:szCs w:val="24"/>
          <w:lang w:val="es-MX"/>
        </w:rPr>
        <w:t>negativa</w:t>
      </w:r>
      <w:r w:rsidRPr="00B07754">
        <w:rPr>
          <w:rFonts w:ascii="Times New Roman" w:eastAsiaTheme="minorHAnsi" w:hAnsi="Times New Roman"/>
          <w:sz w:val="24"/>
          <w:szCs w:val="24"/>
          <w:lang w:val="es-MX"/>
        </w:rPr>
        <w:t xml:space="preserve"> entre competencia y toma de riesgo como es el caso de Caminal y Matutes (cit. por </w:t>
      </w:r>
      <w:proofErr w:type="spellStart"/>
      <w:r w:rsidRPr="00B07754">
        <w:rPr>
          <w:rFonts w:ascii="Times New Roman" w:eastAsiaTheme="minorHAnsi" w:hAnsi="Times New Roman"/>
          <w:sz w:val="24"/>
          <w:szCs w:val="24"/>
          <w:lang w:val="es-MX"/>
        </w:rPr>
        <w:t>Carletti</w:t>
      </w:r>
      <w:proofErr w:type="spellEnd"/>
      <w:r w:rsidRPr="00B07754">
        <w:rPr>
          <w:rFonts w:ascii="Times New Roman" w:eastAsiaTheme="minorHAnsi" w:hAnsi="Times New Roman"/>
          <w:sz w:val="24"/>
          <w:szCs w:val="24"/>
          <w:lang w:val="es-MX"/>
        </w:rPr>
        <w:t xml:space="preserve"> &amp; Hartmann; 2002, pág. 24), quienes desarrollaron un modelo en el que los bancos compiten por créditos y pueden monitorear sus costos o racionar el crédito para lidiar con el problema de riesgo moral</w:t>
      </w:r>
      <w:r w:rsidRPr="00B07754">
        <w:rPr>
          <w:rStyle w:val="Refdenotaalpie"/>
          <w:rFonts w:ascii="Times New Roman" w:eastAsiaTheme="minorHAnsi" w:hAnsi="Times New Roman"/>
          <w:sz w:val="24"/>
          <w:szCs w:val="24"/>
          <w:lang w:val="es-MX"/>
        </w:rPr>
        <w:footnoteReference w:id="16"/>
      </w:r>
      <w:r w:rsidRPr="00B07754">
        <w:rPr>
          <w:rFonts w:ascii="Times New Roman" w:eastAsiaTheme="minorHAnsi" w:hAnsi="Times New Roman"/>
          <w:sz w:val="24"/>
          <w:szCs w:val="24"/>
          <w:lang w:val="es-MX"/>
        </w:rPr>
        <w:t xml:space="preserve"> por parte del emprendedor. Bajo este escenario, un monopolio puede enfrentarse a mayor riesgo de quiebra que un banco competitivo. Esto se debe a que en un monopolio, la institución utiliza mayor monitoreo y menos racionamiento de crédito para manejar el riesgo moral del prestatario, lo que puede provocar que se coloquen mayor número de préstamos que los bancos con competencia y por ende, se produzca una mayor probabilidad de quiebra al ser los bancos sujetos de múltiple incertidumbre. Como consecuencia, la relación entre poder de mercado y probabilidad de quiebra es ambigua. </w:t>
      </w:r>
    </w:p>
    <w:p w:rsidR="00782E35" w:rsidRPr="00B07754" w:rsidRDefault="00782E35" w:rsidP="002B5E62">
      <w:pPr>
        <w:autoSpaceDE w:val="0"/>
        <w:autoSpaceDN w:val="0"/>
        <w:adjustRightInd w:val="0"/>
        <w:spacing w:line="360" w:lineRule="auto"/>
        <w:jc w:val="both"/>
        <w:rPr>
          <w:rFonts w:ascii="Times New Roman" w:eastAsiaTheme="minorHAnsi" w:hAnsi="Times New Roman"/>
          <w:sz w:val="24"/>
          <w:szCs w:val="24"/>
          <w:lang w:val="es-MX"/>
        </w:rPr>
      </w:pPr>
      <w:r w:rsidRPr="00B07754">
        <w:rPr>
          <w:rFonts w:ascii="Times New Roman" w:hAnsi="Times New Roman"/>
          <w:sz w:val="24"/>
          <w:szCs w:val="24"/>
          <w:lang w:val="es-MX"/>
        </w:rPr>
        <w:t xml:space="preserve">Por último, Martínez-Miera y Repullo (cit. por Pérez; 2009, pág. 12) extienden el modelo de </w:t>
      </w:r>
      <w:proofErr w:type="spellStart"/>
      <w:r w:rsidRPr="00B07754">
        <w:rPr>
          <w:rFonts w:ascii="Times New Roman" w:hAnsi="Times New Roman"/>
          <w:sz w:val="24"/>
          <w:szCs w:val="24"/>
          <w:lang w:val="es-MX"/>
        </w:rPr>
        <w:t>Boyd</w:t>
      </w:r>
      <w:proofErr w:type="spellEnd"/>
      <w:r w:rsidRPr="00B07754">
        <w:rPr>
          <w:rFonts w:ascii="Times New Roman" w:hAnsi="Times New Roman"/>
          <w:sz w:val="24"/>
          <w:szCs w:val="24"/>
          <w:lang w:val="es-MX"/>
        </w:rPr>
        <w:t xml:space="preserve"> y De </w:t>
      </w:r>
      <w:proofErr w:type="spellStart"/>
      <w:r w:rsidRPr="00B07754">
        <w:rPr>
          <w:rFonts w:ascii="Times New Roman" w:hAnsi="Times New Roman"/>
          <w:sz w:val="24"/>
          <w:szCs w:val="24"/>
          <w:lang w:val="es-MX"/>
        </w:rPr>
        <w:t>Nicoló</w:t>
      </w:r>
      <w:proofErr w:type="spellEnd"/>
      <w:r w:rsidRPr="00B07754">
        <w:rPr>
          <w:rFonts w:ascii="Times New Roman" w:hAnsi="Times New Roman"/>
          <w:sz w:val="24"/>
          <w:szCs w:val="24"/>
          <w:lang w:val="es-MX"/>
        </w:rPr>
        <w:t xml:space="preserve"> y obtienen que la relación entre competencia y estabilidad podría presentarse bajo una forma de U. Esto se debe a que además del RSE existe un efecto marginal que hace que las menores tasas de interés activas, fruto del incremento de la competencia, reduzcan los ingresos provenientes de préstamos no morosos y por ende, el riesgo bancario es mayor. Así pues, el RSE es más común en mercados que operan en situaciones cercanas al monopolio, mientras que el efecto marginal (la pendiente vertical de la “U”) ocurre en mercados competitivos.</w:t>
      </w:r>
    </w:p>
    <w:p w:rsidR="00782E35" w:rsidRPr="00B07754" w:rsidRDefault="00782E35" w:rsidP="002B5E62">
      <w:pPr>
        <w:pStyle w:val="Prrafodelista"/>
        <w:keepNext/>
        <w:keepLines/>
        <w:numPr>
          <w:ilvl w:val="3"/>
          <w:numId w:val="29"/>
        </w:numPr>
        <w:spacing w:line="360" w:lineRule="auto"/>
        <w:ind w:firstLine="0"/>
        <w:contextualSpacing w:val="0"/>
        <w:outlineLvl w:val="3"/>
        <w:rPr>
          <w:rFonts w:ascii="Times New Roman" w:eastAsiaTheme="minorHAnsi" w:hAnsi="Times New Roman"/>
          <w:b/>
          <w:bCs/>
          <w:i/>
          <w:iCs/>
          <w:vanish/>
          <w:sz w:val="24"/>
          <w:szCs w:val="24"/>
          <w:lang w:val="es-MX"/>
        </w:rPr>
      </w:pPr>
    </w:p>
    <w:p w:rsidR="00782E35" w:rsidRPr="00B07754" w:rsidRDefault="00782E35" w:rsidP="002B5E62">
      <w:pPr>
        <w:pStyle w:val="Prrafodelista"/>
        <w:keepNext/>
        <w:keepLines/>
        <w:numPr>
          <w:ilvl w:val="3"/>
          <w:numId w:val="29"/>
        </w:numPr>
        <w:spacing w:line="360" w:lineRule="auto"/>
        <w:ind w:firstLine="0"/>
        <w:contextualSpacing w:val="0"/>
        <w:outlineLvl w:val="3"/>
        <w:rPr>
          <w:rFonts w:ascii="Times New Roman" w:eastAsiaTheme="minorHAnsi" w:hAnsi="Times New Roman"/>
          <w:b/>
          <w:bCs/>
          <w:i/>
          <w:iCs/>
          <w:vanish/>
          <w:sz w:val="24"/>
          <w:szCs w:val="24"/>
          <w:lang w:val="es-MX"/>
        </w:rPr>
      </w:pPr>
    </w:p>
    <w:p w:rsidR="00782E35" w:rsidRPr="00B07754" w:rsidRDefault="00782E35" w:rsidP="002B5E62">
      <w:pPr>
        <w:pStyle w:val="Ttulo4"/>
        <w:numPr>
          <w:ilvl w:val="3"/>
          <w:numId w:val="29"/>
        </w:numPr>
        <w:spacing w:before="0" w:after="200" w:line="360" w:lineRule="auto"/>
        <w:ind w:left="0" w:firstLine="0"/>
        <w:rPr>
          <w:rFonts w:ascii="Times New Roman" w:eastAsiaTheme="minorHAnsi" w:hAnsi="Times New Roman"/>
          <w:b w:val="0"/>
          <w:color w:val="auto"/>
          <w:sz w:val="24"/>
          <w:szCs w:val="24"/>
          <w:lang w:val="es-MX"/>
        </w:rPr>
      </w:pPr>
      <w:r w:rsidRPr="00B07754">
        <w:rPr>
          <w:rFonts w:ascii="Times New Roman" w:eastAsiaTheme="minorHAnsi" w:hAnsi="Times New Roman"/>
          <w:b w:val="0"/>
          <w:color w:val="auto"/>
          <w:sz w:val="24"/>
          <w:szCs w:val="24"/>
          <w:lang w:val="es-MX"/>
        </w:rPr>
        <w:t>Contagio</w:t>
      </w:r>
    </w:p>
    <w:p w:rsidR="00782E35" w:rsidRPr="00B07754" w:rsidRDefault="00782E35" w:rsidP="002B5E62">
      <w:pPr>
        <w:spacing w:line="360" w:lineRule="auto"/>
        <w:jc w:val="both"/>
        <w:rPr>
          <w:rFonts w:ascii="Times New Roman" w:eastAsiaTheme="minorHAnsi" w:hAnsi="Times New Roman"/>
          <w:sz w:val="24"/>
          <w:szCs w:val="24"/>
          <w:lang w:val="es-ES"/>
        </w:rPr>
      </w:pPr>
      <w:r w:rsidRPr="00B07754">
        <w:rPr>
          <w:rFonts w:ascii="Times New Roman" w:eastAsiaTheme="minorHAnsi" w:hAnsi="Times New Roman"/>
          <w:sz w:val="24"/>
          <w:szCs w:val="24"/>
          <w:lang w:val="es-ES"/>
        </w:rPr>
        <w:t xml:space="preserve">Otra fuente de inestabilidad en el sistema financiero es la posibilidad de un contagio, en el cual un pequeño shock que inicialmente afecta un sector o región o incluso a unas pocas instituciones, se expande de banco en banco, afectando finalmente a todo el sistema. La literatura señala varios tipos de contagio: a través de la interrelación entre bancos e instituciones financieras, el contagio por crisis monetarias; y, a </w:t>
      </w:r>
      <w:r w:rsidR="00B650C9" w:rsidRPr="00B07754">
        <w:rPr>
          <w:rFonts w:ascii="Times New Roman" w:eastAsiaTheme="minorHAnsi" w:hAnsi="Times New Roman"/>
          <w:sz w:val="24"/>
          <w:szCs w:val="24"/>
          <w:lang w:val="es-ES"/>
        </w:rPr>
        <w:t xml:space="preserve">través de mercados financieros y su relación con otras industrias. </w:t>
      </w:r>
    </w:p>
    <w:p w:rsidR="00782E35" w:rsidRPr="00B07754" w:rsidRDefault="00782E35" w:rsidP="002B5E62">
      <w:pPr>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ES"/>
        </w:rPr>
        <w:lastRenderedPageBreak/>
        <w:t xml:space="preserve">La noción de fragilidad financiera está estrechamente relacionada al contagio. Si el sistema financiero es frágil un pequeño shock puede tener un efecto grande. Asimismo, una crisis financiera puede salirse de control y derribar a toda la economía. </w:t>
      </w:r>
      <w:r w:rsidRPr="00B07754">
        <w:rPr>
          <w:rFonts w:ascii="Times New Roman" w:eastAsiaTheme="minorHAnsi" w:hAnsi="Times New Roman"/>
          <w:sz w:val="24"/>
          <w:szCs w:val="24"/>
          <w:lang w:val="es-MX"/>
        </w:rPr>
        <w:t xml:space="preserve">Allen y Gale (2003, </w:t>
      </w:r>
      <w:proofErr w:type="spellStart"/>
      <w:r w:rsidRPr="00B07754">
        <w:rPr>
          <w:rFonts w:ascii="Times New Roman" w:eastAsiaTheme="minorHAnsi" w:hAnsi="Times New Roman"/>
          <w:sz w:val="24"/>
          <w:szCs w:val="24"/>
          <w:lang w:val="es-ES"/>
        </w:rPr>
        <w:t>Págs</w:t>
      </w:r>
      <w:proofErr w:type="spellEnd"/>
      <w:r w:rsidRPr="00B07754">
        <w:rPr>
          <w:rFonts w:ascii="Times New Roman" w:eastAsiaTheme="minorHAnsi" w:hAnsi="Times New Roman"/>
          <w:sz w:val="24"/>
          <w:szCs w:val="24"/>
          <w:lang w:val="es-MX"/>
        </w:rPr>
        <w:t xml:space="preserve">. 34 y 35) desarrollan un modelo de contagio financiero a través del mercado interbancario para analizar la relación entre contagio, fragilidad financiera y competencia. El supuesto principal es que el mercado es perfectamente competitivo por lo que un pequeño shock agregado en la demanda de liquidez en una región en particular puede acarrear riesgo sistemático. Pese a que el shock es pequeño, éste puede inducir a un banco a la liquidación de sus activos y hasta a la quiebra. Esto hace que los bancos que tengan depósitos en dicho banco también enfrenten el riesgo de quiebra inminente. Eventualmente, todos los bancos son forzados a liquidar sus activos a una pérdida considerable. </w:t>
      </w:r>
    </w:p>
    <w:p w:rsidR="00782E35" w:rsidRPr="00B07754" w:rsidRDefault="00782E35" w:rsidP="002B5E62">
      <w:pPr>
        <w:spacing w:line="360" w:lineRule="auto"/>
        <w:jc w:val="both"/>
        <w:rPr>
          <w:rFonts w:ascii="Times New Roman" w:eastAsiaTheme="minorHAnsi" w:hAnsi="Times New Roman"/>
          <w:sz w:val="24"/>
          <w:szCs w:val="24"/>
          <w:lang w:val="es-MX"/>
        </w:rPr>
      </w:pPr>
      <w:r w:rsidRPr="00B07754">
        <w:rPr>
          <w:rFonts w:ascii="Times New Roman" w:eastAsiaTheme="minorHAnsi" w:hAnsi="Times New Roman"/>
          <w:sz w:val="24"/>
          <w:szCs w:val="24"/>
          <w:lang w:val="es-MX"/>
        </w:rPr>
        <w:t xml:space="preserve">La competencia perfecta en el mercado interbancario tiene un papel importante para el contagio ya que al ser los bancos pequeños, cada uno actúa como un tomador de precio y asume que sus acciones no tienen ningún efecto en el equilibrio, entonces ningún banco tiene incentivos para proveer de liquidez a un banco en problemas. </w:t>
      </w:r>
      <w:proofErr w:type="spellStart"/>
      <w:r w:rsidRPr="00B07754">
        <w:rPr>
          <w:rFonts w:ascii="Times New Roman" w:eastAsiaTheme="minorHAnsi" w:hAnsi="Times New Roman"/>
          <w:sz w:val="24"/>
          <w:szCs w:val="24"/>
          <w:lang w:val="es-MX"/>
        </w:rPr>
        <w:t>Saez</w:t>
      </w:r>
      <w:proofErr w:type="spellEnd"/>
      <w:r w:rsidRPr="00B07754">
        <w:rPr>
          <w:rFonts w:ascii="Times New Roman" w:eastAsiaTheme="minorHAnsi" w:hAnsi="Times New Roman"/>
          <w:sz w:val="24"/>
          <w:szCs w:val="24"/>
          <w:lang w:val="es-MX"/>
        </w:rPr>
        <w:t xml:space="preserve"> y </w:t>
      </w:r>
      <w:proofErr w:type="spellStart"/>
      <w:r w:rsidRPr="00B07754">
        <w:rPr>
          <w:rFonts w:ascii="Times New Roman" w:eastAsiaTheme="minorHAnsi" w:hAnsi="Times New Roman"/>
          <w:sz w:val="24"/>
          <w:szCs w:val="24"/>
          <w:lang w:val="es-MX"/>
        </w:rPr>
        <w:t>Shi</w:t>
      </w:r>
      <w:proofErr w:type="spellEnd"/>
      <w:r w:rsidRPr="00B07754">
        <w:rPr>
          <w:rFonts w:ascii="Times New Roman" w:eastAsiaTheme="minorHAnsi" w:hAnsi="Times New Roman"/>
          <w:sz w:val="24"/>
          <w:szCs w:val="24"/>
          <w:lang w:val="es-MX"/>
        </w:rPr>
        <w:t xml:space="preserve"> (cit. por Allen y Gale; 2003, pág. 35) han argumentado que si el número de bancos es limitado, éstos pueden tener un incentivo para actuar estratégicamente y proveer liquidez a la entidad que presente problemas, previniendo así un posible contagio. </w:t>
      </w:r>
    </w:p>
    <w:p w:rsidR="00ED4CA5" w:rsidRPr="00B07754" w:rsidRDefault="00ED4CA5" w:rsidP="002B5E62">
      <w:pPr>
        <w:spacing w:line="360" w:lineRule="auto"/>
        <w:jc w:val="both"/>
        <w:rPr>
          <w:rFonts w:ascii="Times New Roman" w:eastAsiaTheme="minorHAnsi" w:hAnsi="Times New Roman"/>
          <w:sz w:val="24"/>
          <w:szCs w:val="24"/>
          <w:lang w:val="es-MX"/>
        </w:rPr>
      </w:pPr>
    </w:p>
    <w:p w:rsidR="00ED4CA5" w:rsidRPr="00B07754" w:rsidRDefault="00ED4CA5" w:rsidP="002B5E62">
      <w:pPr>
        <w:spacing w:line="360" w:lineRule="auto"/>
        <w:jc w:val="both"/>
        <w:rPr>
          <w:rFonts w:ascii="Times New Roman" w:eastAsiaTheme="minorHAnsi" w:hAnsi="Times New Roman"/>
          <w:sz w:val="24"/>
          <w:szCs w:val="24"/>
          <w:lang w:val="es-MX"/>
        </w:rPr>
      </w:pPr>
    </w:p>
    <w:p w:rsidR="00ED4CA5" w:rsidRPr="00B07754" w:rsidRDefault="00ED4CA5" w:rsidP="002B5E62">
      <w:pPr>
        <w:spacing w:line="360" w:lineRule="auto"/>
        <w:jc w:val="both"/>
        <w:rPr>
          <w:rFonts w:ascii="Times New Roman" w:eastAsiaTheme="minorHAnsi" w:hAnsi="Times New Roman"/>
          <w:sz w:val="24"/>
          <w:szCs w:val="24"/>
          <w:lang w:val="es-MX"/>
        </w:rPr>
      </w:pPr>
    </w:p>
    <w:p w:rsidR="00FB4746" w:rsidRDefault="00FB4746" w:rsidP="002B5E62">
      <w:pPr>
        <w:spacing w:line="360" w:lineRule="auto"/>
        <w:jc w:val="both"/>
        <w:rPr>
          <w:rFonts w:ascii="Times New Roman" w:eastAsiaTheme="minorHAnsi" w:hAnsi="Times New Roman"/>
          <w:sz w:val="24"/>
          <w:szCs w:val="24"/>
          <w:lang w:val="es-MX"/>
        </w:rPr>
      </w:pPr>
    </w:p>
    <w:p w:rsidR="00472318" w:rsidRDefault="00472318" w:rsidP="002B5E62">
      <w:pPr>
        <w:spacing w:line="360" w:lineRule="auto"/>
        <w:jc w:val="both"/>
        <w:rPr>
          <w:rFonts w:ascii="Times New Roman" w:eastAsiaTheme="minorHAnsi" w:hAnsi="Times New Roman"/>
          <w:sz w:val="24"/>
          <w:szCs w:val="24"/>
          <w:lang w:val="es-MX"/>
        </w:rPr>
      </w:pPr>
    </w:p>
    <w:p w:rsidR="00472318" w:rsidRDefault="00472318" w:rsidP="002B5E62">
      <w:pPr>
        <w:spacing w:line="360" w:lineRule="auto"/>
        <w:jc w:val="both"/>
        <w:rPr>
          <w:rFonts w:ascii="Times New Roman" w:eastAsiaTheme="minorHAnsi" w:hAnsi="Times New Roman"/>
          <w:sz w:val="24"/>
          <w:szCs w:val="24"/>
          <w:lang w:val="es-MX"/>
        </w:rPr>
      </w:pPr>
    </w:p>
    <w:p w:rsidR="00472318" w:rsidRPr="00B07754" w:rsidRDefault="00472318" w:rsidP="002B5E62">
      <w:pPr>
        <w:spacing w:line="360" w:lineRule="auto"/>
        <w:jc w:val="both"/>
        <w:rPr>
          <w:rFonts w:ascii="Times New Roman" w:eastAsiaTheme="minorHAnsi" w:hAnsi="Times New Roman"/>
          <w:sz w:val="24"/>
          <w:szCs w:val="24"/>
          <w:lang w:val="es-MX"/>
        </w:rPr>
      </w:pPr>
    </w:p>
    <w:p w:rsidR="00FB4746" w:rsidRDefault="00FB4746" w:rsidP="002B5E62">
      <w:pPr>
        <w:spacing w:line="360" w:lineRule="auto"/>
        <w:jc w:val="both"/>
        <w:rPr>
          <w:rFonts w:ascii="Times New Roman" w:eastAsiaTheme="minorHAnsi" w:hAnsi="Times New Roman"/>
          <w:sz w:val="24"/>
          <w:szCs w:val="24"/>
          <w:lang w:val="es-MX"/>
        </w:rPr>
      </w:pPr>
    </w:p>
    <w:p w:rsidR="00221A65" w:rsidRPr="00B07754" w:rsidRDefault="00221A65" w:rsidP="002B5E62">
      <w:pPr>
        <w:spacing w:line="360" w:lineRule="auto"/>
        <w:jc w:val="both"/>
        <w:rPr>
          <w:rFonts w:ascii="Times New Roman" w:eastAsiaTheme="minorHAnsi" w:hAnsi="Times New Roman"/>
          <w:sz w:val="24"/>
          <w:szCs w:val="24"/>
          <w:lang w:val="es-MX"/>
        </w:rPr>
      </w:pPr>
    </w:p>
    <w:p w:rsidR="00FB4746" w:rsidRDefault="00FB4746" w:rsidP="002B5E62">
      <w:pPr>
        <w:spacing w:line="360" w:lineRule="auto"/>
        <w:jc w:val="both"/>
        <w:rPr>
          <w:rFonts w:ascii="Times New Roman" w:eastAsiaTheme="minorHAnsi" w:hAnsi="Times New Roman"/>
          <w:sz w:val="24"/>
          <w:szCs w:val="24"/>
          <w:lang w:val="es-MX"/>
        </w:rPr>
      </w:pPr>
    </w:p>
    <w:p w:rsidR="00200992" w:rsidRDefault="00200992" w:rsidP="002B5E62">
      <w:pPr>
        <w:spacing w:line="360" w:lineRule="auto"/>
        <w:jc w:val="both"/>
        <w:rPr>
          <w:rFonts w:ascii="Times New Roman" w:eastAsiaTheme="minorHAnsi" w:hAnsi="Times New Roman"/>
          <w:sz w:val="24"/>
          <w:szCs w:val="24"/>
          <w:lang w:val="es-MX"/>
        </w:rPr>
      </w:pPr>
    </w:p>
    <w:p w:rsidR="00200992" w:rsidRDefault="00200992" w:rsidP="002B5E62">
      <w:pPr>
        <w:spacing w:line="360" w:lineRule="auto"/>
        <w:jc w:val="both"/>
        <w:rPr>
          <w:rFonts w:ascii="Times New Roman" w:eastAsiaTheme="minorHAnsi" w:hAnsi="Times New Roman"/>
          <w:sz w:val="24"/>
          <w:szCs w:val="24"/>
          <w:lang w:val="es-MX"/>
        </w:rPr>
      </w:pPr>
    </w:p>
    <w:p w:rsidR="002B5E62" w:rsidRPr="00B07754" w:rsidRDefault="002B5E62" w:rsidP="002B5E62">
      <w:pPr>
        <w:spacing w:line="360" w:lineRule="auto"/>
        <w:jc w:val="both"/>
        <w:rPr>
          <w:rFonts w:ascii="Times New Roman" w:eastAsiaTheme="minorHAnsi" w:hAnsi="Times New Roman"/>
          <w:sz w:val="24"/>
          <w:szCs w:val="24"/>
          <w:lang w:val="es-MX"/>
        </w:rPr>
      </w:pPr>
    </w:p>
    <w:p w:rsidR="00B9634D" w:rsidRPr="00B07754" w:rsidRDefault="0001589B" w:rsidP="002B5E62">
      <w:pPr>
        <w:pStyle w:val="Ttulo1"/>
        <w:spacing w:before="0" w:after="200" w:line="360" w:lineRule="auto"/>
        <w:jc w:val="center"/>
        <w:rPr>
          <w:rFonts w:ascii="Times New Roman" w:hAnsi="Times New Roman"/>
          <w:color w:val="auto"/>
          <w:sz w:val="24"/>
          <w:szCs w:val="24"/>
          <w:lang w:eastAsia="es-MX"/>
        </w:rPr>
      </w:pPr>
      <w:bookmarkStart w:id="13" w:name="_Toc369637386"/>
      <w:bookmarkStart w:id="14" w:name="_Toc372589958"/>
      <w:r w:rsidRPr="00B07754">
        <w:rPr>
          <w:rFonts w:ascii="Times New Roman" w:hAnsi="Times New Roman"/>
          <w:color w:val="auto"/>
          <w:sz w:val="24"/>
          <w:szCs w:val="24"/>
          <w:lang w:eastAsia="es-MX"/>
        </w:rPr>
        <w:t>COMPETENCIA, CONCENTRACIÓN Y ESTABILIDAD EN EL MERCADO BANCARIO</w:t>
      </w:r>
      <w:bookmarkEnd w:id="13"/>
      <w:bookmarkEnd w:id="14"/>
    </w:p>
    <w:p w:rsidR="0001589B" w:rsidRPr="00B07754" w:rsidRDefault="0001589B" w:rsidP="002B5E62">
      <w:pPr>
        <w:spacing w:line="360" w:lineRule="auto"/>
        <w:rPr>
          <w:rFonts w:ascii="Times New Roman" w:hAnsi="Times New Roman"/>
          <w:sz w:val="24"/>
          <w:szCs w:val="24"/>
          <w:lang w:eastAsia="es-MX"/>
        </w:rPr>
      </w:pPr>
    </w:p>
    <w:p w:rsidR="00B9634D" w:rsidRPr="00B07754" w:rsidRDefault="008C1D91" w:rsidP="002B5E62">
      <w:pPr>
        <w:shd w:val="clear" w:color="auto" w:fill="FFFFFF"/>
        <w:spacing w:line="360" w:lineRule="auto"/>
        <w:jc w:val="both"/>
        <w:rPr>
          <w:rFonts w:ascii="Times New Roman" w:eastAsia="Times New Roman" w:hAnsi="Times New Roman"/>
          <w:sz w:val="24"/>
          <w:szCs w:val="24"/>
          <w:lang w:val="es-MX" w:eastAsia="es-MX"/>
        </w:rPr>
      </w:pPr>
      <w:r w:rsidRPr="00B07754">
        <w:rPr>
          <w:rFonts w:ascii="Times New Roman" w:eastAsia="Times New Roman" w:hAnsi="Times New Roman"/>
          <w:sz w:val="24"/>
          <w:szCs w:val="24"/>
          <w:lang w:val="es-MX" w:eastAsia="es-MX"/>
        </w:rPr>
        <w:t>Si bien el concepto de competencia abarca varios aspectos, ésta puede</w:t>
      </w:r>
      <w:r w:rsidR="00B9634D" w:rsidRPr="00B07754">
        <w:rPr>
          <w:rFonts w:ascii="Times New Roman" w:eastAsia="Times New Roman" w:hAnsi="Times New Roman"/>
          <w:sz w:val="24"/>
          <w:szCs w:val="24"/>
          <w:lang w:val="es-MX" w:eastAsia="es-MX"/>
        </w:rPr>
        <w:t xml:space="preserve"> defin</w:t>
      </w:r>
      <w:r w:rsidRPr="00B07754">
        <w:rPr>
          <w:rFonts w:ascii="Times New Roman" w:eastAsia="Times New Roman" w:hAnsi="Times New Roman"/>
          <w:sz w:val="24"/>
          <w:szCs w:val="24"/>
          <w:lang w:val="es-MX" w:eastAsia="es-MX"/>
        </w:rPr>
        <w:t>irse</w:t>
      </w:r>
      <w:r w:rsidR="00517815" w:rsidRPr="00B07754">
        <w:rPr>
          <w:rFonts w:ascii="Times New Roman" w:eastAsia="Times New Roman" w:hAnsi="Times New Roman"/>
          <w:sz w:val="24"/>
          <w:szCs w:val="24"/>
          <w:lang w:val="es-MX" w:eastAsia="es-MX"/>
        </w:rPr>
        <w:t xml:space="preserve"> como </w:t>
      </w:r>
      <w:r w:rsidR="00B9634D" w:rsidRPr="00B07754">
        <w:rPr>
          <w:rFonts w:ascii="Times New Roman" w:eastAsia="Times New Roman" w:hAnsi="Times New Roman"/>
          <w:sz w:val="24"/>
          <w:szCs w:val="24"/>
          <w:lang w:val="es-MX" w:eastAsia="es-MX"/>
        </w:rPr>
        <w:t xml:space="preserve">la capacidad que poseen los individuos para ingresar libremente al mercado cuando encuentran oportunidades de rentabilidad con los menores costos posibles. Una característica  de la competencia es que estimula a los participantes del mercado a ser eficientes.  Si la competencia es perfecta, todas las oportunidades de ganancia han sido aprovechadas y se ha logrado una asignación eficiente de recursos. La condición de perfección debe cumplir con ciertos supuestos, tales como información completa y perfecta, y, libre entrada y salida del mercado; sin embargo, bajo estas condiciones es difícil que todos los supuestos se cumplan por lo que en la realidad es tarea de los economistas el determinar la desviación </w:t>
      </w:r>
      <w:r w:rsidR="00E339FA" w:rsidRPr="00B07754">
        <w:rPr>
          <w:rFonts w:ascii="Times New Roman" w:eastAsia="Times New Roman" w:hAnsi="Times New Roman"/>
          <w:sz w:val="24"/>
          <w:szCs w:val="24"/>
          <w:lang w:val="es-MX" w:eastAsia="es-MX"/>
        </w:rPr>
        <w:t>de los mercados del óptimo y sus</w:t>
      </w:r>
      <w:r w:rsidR="00B9634D" w:rsidRPr="00B07754">
        <w:rPr>
          <w:rFonts w:ascii="Times New Roman" w:eastAsia="Times New Roman" w:hAnsi="Times New Roman"/>
          <w:sz w:val="24"/>
          <w:szCs w:val="24"/>
          <w:lang w:val="es-MX" w:eastAsia="es-MX"/>
        </w:rPr>
        <w:t xml:space="preserve"> consecuencias en el bienestar.</w:t>
      </w:r>
    </w:p>
    <w:p w:rsidR="00B9634D" w:rsidRPr="00B07754" w:rsidRDefault="00B9634D" w:rsidP="002B5E62">
      <w:pPr>
        <w:pStyle w:val="Ttulo3"/>
        <w:numPr>
          <w:ilvl w:val="1"/>
          <w:numId w:val="8"/>
        </w:numPr>
        <w:spacing w:before="0" w:after="200" w:line="360" w:lineRule="auto"/>
        <w:ind w:left="0" w:firstLine="0"/>
        <w:jc w:val="both"/>
        <w:rPr>
          <w:rFonts w:ascii="Times New Roman" w:hAnsi="Times New Roman"/>
          <w:color w:val="auto"/>
          <w:sz w:val="24"/>
          <w:szCs w:val="24"/>
          <w:lang w:val="es-MX"/>
        </w:rPr>
      </w:pPr>
      <w:bookmarkStart w:id="15" w:name="_Toc372589959"/>
      <w:r w:rsidRPr="00B07754">
        <w:rPr>
          <w:rFonts w:ascii="Times New Roman" w:hAnsi="Times New Roman"/>
          <w:color w:val="auto"/>
          <w:sz w:val="24"/>
          <w:szCs w:val="24"/>
          <w:lang w:val="es-MX"/>
        </w:rPr>
        <w:t>Competencia en el sector bancario</w:t>
      </w:r>
      <w:bookmarkEnd w:id="15"/>
    </w:p>
    <w:p w:rsidR="00B9634D" w:rsidRPr="00B07754" w:rsidRDefault="00B9634D"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Por largo tiempo, las instituciones bancarias a nivel internacional estaban protegidas por regulaciones que impedían que nuevas instituciones financieras y no financieras pudiesen ingresar al mercado; por tanto, únicamente los bancos podían realizar la mayor parte de las operaciones financieras. No obstante, la desregulación y las innovaciones tecnológicas han borrado los límites del mercado y es así que en los últimos años se ha observado un incremento en el número de ofertantes de servicios financieros -compañías de seguro, operadoras de tarjetas de crédito, entre otras-  que invaden el terreno tradicional de los bancos comerciales. Asimismo los bancos se han diversificado en segmentos o en áreas que no se relacionan con el negocio bancario tradicional. </w:t>
      </w:r>
      <w:sdt>
        <w:sdtPr>
          <w:rPr>
            <w:rFonts w:ascii="Times New Roman" w:hAnsi="Times New Roman"/>
            <w:sz w:val="24"/>
            <w:szCs w:val="24"/>
            <w:lang w:val="es-MX"/>
          </w:rPr>
          <w:id w:val="712084568"/>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18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(Canoy, van Dijik, Lemmen, de Moolj, &amp; Welgan , 2001, pág. 18)</w:t>
          </w:r>
          <w:r w:rsidRPr="00B07754">
            <w:rPr>
              <w:rFonts w:ascii="Times New Roman" w:hAnsi="Times New Roman"/>
              <w:sz w:val="24"/>
              <w:szCs w:val="24"/>
              <w:lang w:val="es-MX"/>
            </w:rPr>
            <w:fldChar w:fldCharType="end"/>
          </w:r>
        </w:sdtContent>
      </w:sdt>
    </w:p>
    <w:p w:rsidR="00B9634D" w:rsidRPr="00B07754" w:rsidRDefault="00B9634D"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banca es un negocio con variedad de productos y vínculos estrechos entre diferentes </w:t>
      </w:r>
      <w:proofErr w:type="spellStart"/>
      <w:r w:rsidRPr="00B07754">
        <w:rPr>
          <w:rFonts w:ascii="Times New Roman" w:hAnsi="Times New Roman"/>
          <w:sz w:val="24"/>
          <w:szCs w:val="24"/>
          <w:lang w:val="es-MX"/>
        </w:rPr>
        <w:t>submercados</w:t>
      </w:r>
      <w:proofErr w:type="spellEnd"/>
      <w:r w:rsidRPr="00B07754">
        <w:rPr>
          <w:rFonts w:ascii="Times New Roman" w:hAnsi="Times New Roman"/>
          <w:sz w:val="24"/>
          <w:szCs w:val="24"/>
          <w:lang w:val="es-MX"/>
        </w:rPr>
        <w:t xml:space="preserve"> –depósitos, crédito, servicios financieros, etc.- y grupos de consumidores –</w:t>
      </w:r>
      <w:r w:rsidRPr="00B07754">
        <w:rPr>
          <w:rFonts w:ascii="Times New Roman" w:hAnsi="Times New Roman"/>
          <w:sz w:val="24"/>
          <w:szCs w:val="24"/>
          <w:lang w:val="es-MX"/>
        </w:rPr>
        <w:lastRenderedPageBreak/>
        <w:t xml:space="preserve">depositantes, prestamistas privados y comerciales, inversores, etc.- por lo que es difícil la determinación del mercado relevante, además que el continuo desarrollo tecnológico al  que está expuesto el sistema financiero provoca que el mercado esté en constante cambio. Así pues, bajo este contexto se puede definir al mercado bancario como aquel que está constituido por el conjunto de productos financieros ofrecidos por los bancos en una región geográfica. El fundamento de esta idea es que los hogares y los negocios medianos o pequeños, en su mayoría, realizan transacciones locales por lo que adquieren productos financieros de sus bancos. Cabe señalar que si bien para algunos productos financieros este argumento todavía es válido, para otro número de productos este enfoque resulta obsoleto. La tecnología, la internacionalización y el surgimiento de instituciones no bancarias que ofrecen servicios financieros eliminan los límites entre los mercados </w:t>
      </w:r>
      <w:sdt>
        <w:sdtPr>
          <w:rPr>
            <w:rFonts w:ascii="Times New Roman" w:hAnsi="Times New Roman"/>
            <w:sz w:val="24"/>
            <w:szCs w:val="24"/>
            <w:lang w:val="es-MX"/>
          </w:rPr>
          <w:id w:val="-83306964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19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(Canoy, van Dijik, Lemmen, de Moolj, &amp; Welgan , 2001, pág. 19)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pStyle w:val="Ttulo3"/>
        <w:numPr>
          <w:ilvl w:val="1"/>
          <w:numId w:val="8"/>
        </w:numPr>
        <w:spacing w:before="0" w:after="200" w:line="360" w:lineRule="auto"/>
        <w:ind w:left="0" w:firstLine="0"/>
        <w:jc w:val="both"/>
        <w:rPr>
          <w:rFonts w:ascii="Times New Roman" w:hAnsi="Times New Roman"/>
          <w:color w:val="auto"/>
          <w:sz w:val="24"/>
          <w:szCs w:val="24"/>
          <w:lang w:val="es-MX"/>
        </w:rPr>
      </w:pPr>
      <w:bookmarkStart w:id="16" w:name="_Toc372589960"/>
      <w:r w:rsidRPr="00B07754">
        <w:rPr>
          <w:rFonts w:ascii="Times New Roman" w:hAnsi="Times New Roman"/>
          <w:color w:val="auto"/>
          <w:sz w:val="24"/>
          <w:szCs w:val="24"/>
          <w:lang w:val="es-MX"/>
        </w:rPr>
        <w:t>Concentración</w:t>
      </w:r>
      <w:bookmarkEnd w:id="16"/>
      <w:r w:rsidRPr="00B07754">
        <w:rPr>
          <w:rFonts w:ascii="Times New Roman" w:hAnsi="Times New Roman"/>
          <w:color w:val="auto"/>
          <w:sz w:val="24"/>
          <w:szCs w:val="24"/>
          <w:lang w:val="es-MX"/>
        </w:rPr>
        <w:t xml:space="preserve"> </w:t>
      </w:r>
    </w:p>
    <w:p w:rsidR="00B9634D" w:rsidRPr="00B07754" w:rsidRDefault="00B9634D"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bancos contribuyen al crecimiento económico proveyendo los medios financieros para facilitar la producción en otras industrias. Un sector bancario eficiente hará la mayor contribución al crecimiento económico. Los efectos de un sistema bancario competitivo en comparación a uno con poder de mercado son por lo general discutidos respecto a la asignación de recursos y a la eficiencia productiva. </w:t>
      </w:r>
    </w:p>
    <w:p w:rsidR="00B9634D" w:rsidRPr="00B07754" w:rsidRDefault="00B9634D" w:rsidP="002B5E62">
      <w:pPr>
        <w:pStyle w:val="Ttulo4"/>
        <w:numPr>
          <w:ilvl w:val="2"/>
          <w:numId w:val="8"/>
        </w:numPr>
        <w:spacing w:before="0" w:after="200" w:line="360" w:lineRule="auto"/>
        <w:ind w:left="0" w:firstLine="0"/>
        <w:jc w:val="both"/>
        <w:rPr>
          <w:rFonts w:ascii="Times New Roman" w:hAnsi="Times New Roman"/>
          <w:b w:val="0"/>
          <w:color w:val="auto"/>
          <w:sz w:val="24"/>
          <w:szCs w:val="24"/>
        </w:rPr>
      </w:pPr>
      <w:r w:rsidRPr="00B07754">
        <w:rPr>
          <w:rFonts w:ascii="Times New Roman" w:hAnsi="Times New Roman"/>
          <w:b w:val="0"/>
          <w:color w:val="auto"/>
          <w:sz w:val="24"/>
          <w:szCs w:val="24"/>
        </w:rPr>
        <w:t>Eficiencia en la asignación de recursos</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bancos contribuyen al crecimiento económico mediante la promoción de la acumulación de capital a través de la colocación de crédito. Al respecto, dos aspectos son importantes: la cantidad que se provee y su distribución eficiente.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Debido a los postulados opuestos que la literatura económica presenta frente a los efectos positivos o negativos de la competencia en el mercado bancario, se dificulta llegar a una conclusión en el sentido de si esta competencia es beneficiosa o no para la economía. Los argumentos que defienden  los beneficios potenciales de la competencia provienen de la aplicación de la economía de la organización industrial a la industria de la banca </w:t>
      </w:r>
      <w:sdt>
        <w:sdtPr>
          <w:rPr>
            <w:rFonts w:ascii="Times New Roman" w:hAnsi="Times New Roman"/>
            <w:sz w:val="24"/>
            <w:szCs w:val="24"/>
            <w:lang w:val="es-MX"/>
          </w:rPr>
          <w:id w:val="59691306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 CITATION Fre97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(Freixas &amp; Rochet, 1997)</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Bajo este enfoque, en un mercado perfectamente competitivo los bancos maximizan sus ganancias reduciendo sus costos y precios. Es decir, la mayor cantidad de crédito será colocada al menor precio posible.</w:t>
      </w:r>
      <w:r w:rsidR="003249F1" w:rsidRPr="00B07754">
        <w:rPr>
          <w:rFonts w:ascii="Times New Roman" w:hAnsi="Times New Roman"/>
          <w:sz w:val="24"/>
          <w:szCs w:val="24"/>
          <w:lang w:val="es-MX"/>
        </w:rPr>
        <w:t xml:space="preserve"> En este sentido, una industria competitiva está caracterizada por un gran número de bancos pequeños y los beneficios potenciales son </w:t>
      </w:r>
      <w:r w:rsidR="003249F1" w:rsidRPr="00B07754">
        <w:rPr>
          <w:rFonts w:ascii="Times New Roman" w:hAnsi="Times New Roman"/>
          <w:sz w:val="24"/>
          <w:szCs w:val="24"/>
          <w:lang w:val="es-MX"/>
        </w:rPr>
        <w:lastRenderedPageBreak/>
        <w:t>similares a los generados por la competencia en otras industrias.</w:t>
      </w:r>
      <w:r w:rsidRPr="00B07754">
        <w:rPr>
          <w:rFonts w:ascii="Times New Roman" w:hAnsi="Times New Roman"/>
          <w:sz w:val="24"/>
          <w:szCs w:val="24"/>
          <w:lang w:val="es-MX"/>
        </w:rPr>
        <w:t xml:space="preserve"> En contraste, en presencia de poder de mercado un banco puede cobrar un precio por encima del costo marginal. En este caso, un banco puede disminuir la cantidad del crédito que ofrece y cobrar tasas más altas. La competencia maximiza el bienestar al asegurar que la mayor cantidad del crédito es colocado a la menor tasa posible.</w:t>
      </w:r>
      <w:sdt>
        <w:sdtPr>
          <w:rPr>
            <w:rFonts w:ascii="Times New Roman" w:hAnsi="Times New Roman"/>
            <w:sz w:val="24"/>
            <w:szCs w:val="24"/>
            <w:lang w:val="es-MX"/>
          </w:rPr>
          <w:id w:val="-163871675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Nor04 \p 3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(Northcott, 2004, pág. 3)</w:t>
          </w:r>
          <w:r w:rsidRPr="00B07754">
            <w:rPr>
              <w:rFonts w:ascii="Times New Roman" w:hAnsi="Times New Roman"/>
              <w:sz w:val="24"/>
              <w:szCs w:val="24"/>
              <w:lang w:val="es-MX"/>
            </w:rPr>
            <w:fldChar w:fldCharType="end"/>
          </w:r>
        </w:sdtContent>
      </w:sdt>
    </w:p>
    <w:p w:rsidR="00B9634D" w:rsidRPr="00B07754" w:rsidRDefault="00B9634D" w:rsidP="002B5E62">
      <w:pPr>
        <w:spacing w:line="360" w:lineRule="auto"/>
        <w:jc w:val="both"/>
        <w:rPr>
          <w:rFonts w:ascii="Times New Roman" w:hAnsi="Times New Roman"/>
          <w:bCs/>
          <w:sz w:val="24"/>
          <w:szCs w:val="24"/>
          <w:lang w:val="es-MX"/>
        </w:rPr>
      </w:pPr>
      <w:r w:rsidRPr="00B07754">
        <w:rPr>
          <w:rFonts w:ascii="Times New Roman" w:hAnsi="Times New Roman"/>
          <w:sz w:val="24"/>
          <w:szCs w:val="24"/>
          <w:lang w:val="es-MX"/>
        </w:rPr>
        <w:t>Asimismo, al aplicar la teoría económica en lo concerniente a la competencia, las firmas con poder de monopolio tienen la capacidad para cobrar precios más altos y producir bienes y servicios en cantidades menores al óptimo. Conforme disfrutan de las rentas monopólicas el incentivo para innovar tiende a ser menor</w:t>
      </w:r>
      <w:r w:rsidRPr="00B07754">
        <w:rPr>
          <w:rFonts w:ascii="Times New Roman" w:hAnsi="Times New Roman"/>
          <w:b/>
          <w:bCs/>
          <w:sz w:val="24"/>
          <w:szCs w:val="24"/>
          <w:lang w:val="es-MX"/>
        </w:rPr>
        <w:t xml:space="preserve"> </w:t>
      </w:r>
      <w:r w:rsidRPr="00B07754">
        <w:rPr>
          <w:rFonts w:ascii="Times New Roman" w:hAnsi="Times New Roman"/>
          <w:bCs/>
          <w:sz w:val="24"/>
          <w:szCs w:val="24"/>
          <w:lang w:val="es-MX"/>
        </w:rPr>
        <w:t>que el de las firmas que están expuestas a presiones de la competencia. De igual manera, las firmas con poder de mercado pueden operar dentro de límites de la capacidad de las mejores prácticas tecnológicas (X-ineficiencia o ineficiencias organizacionales que surgen del tamaño grande y poder de mercado de las firmas). Más aún, el poder de monopolio en un mercado distorsiona la asignación de recursos en otros mercados, el capital no es empleado en las actividades más productivas por lo que se impide la acumulación de capital, el progreso tecnológico y el crecimiento</w:t>
      </w:r>
      <w:sdt>
        <w:sdtPr>
          <w:rPr>
            <w:rFonts w:ascii="Times New Roman" w:hAnsi="Times New Roman"/>
            <w:bCs/>
            <w:sz w:val="24"/>
            <w:szCs w:val="24"/>
            <w:lang w:val="es-MX"/>
          </w:rPr>
          <w:id w:val="2034067484"/>
          <w:citation/>
        </w:sdtPr>
        <w:sdtEndPr/>
        <w:sdtContent>
          <w:r w:rsidRPr="00B07754">
            <w:rPr>
              <w:rFonts w:ascii="Times New Roman" w:hAnsi="Times New Roman"/>
              <w:bCs/>
              <w:sz w:val="24"/>
              <w:szCs w:val="24"/>
              <w:lang w:val="es-MX"/>
            </w:rPr>
            <w:fldChar w:fldCharType="begin"/>
          </w:r>
          <w:r w:rsidRPr="00B07754">
            <w:rPr>
              <w:rFonts w:ascii="Times New Roman" w:hAnsi="Times New Roman"/>
              <w:bCs/>
              <w:sz w:val="24"/>
              <w:szCs w:val="24"/>
              <w:lang w:val="es-MX"/>
            </w:rPr>
            <w:instrText xml:space="preserve">CITATION Can01 \p 19 \l 2058 </w:instrText>
          </w:r>
          <w:r w:rsidRPr="00B07754">
            <w:rPr>
              <w:rFonts w:ascii="Times New Roman" w:hAnsi="Times New Roman"/>
              <w:bCs/>
              <w:sz w:val="24"/>
              <w:szCs w:val="24"/>
              <w:lang w:val="es-MX"/>
            </w:rPr>
            <w:fldChar w:fldCharType="separate"/>
          </w:r>
          <w:r w:rsidR="008A6D1D" w:rsidRPr="00B07754">
            <w:rPr>
              <w:rFonts w:ascii="Times New Roman" w:hAnsi="Times New Roman"/>
              <w:bCs/>
              <w:noProof/>
              <w:sz w:val="24"/>
              <w:szCs w:val="24"/>
              <w:lang w:val="es-MX"/>
            </w:rPr>
            <w:t xml:space="preserve"> </w:t>
          </w:r>
          <w:r w:rsidR="008A6D1D" w:rsidRPr="00B07754">
            <w:rPr>
              <w:rFonts w:ascii="Times New Roman" w:hAnsi="Times New Roman"/>
              <w:noProof/>
              <w:sz w:val="24"/>
              <w:szCs w:val="24"/>
              <w:lang w:val="es-MX"/>
            </w:rPr>
            <w:t>(Canoy, van Dijik, Lemmen, de Moolj, &amp; Welgan , 2001, pág. 19)</w:t>
          </w:r>
          <w:r w:rsidRPr="00B07754">
            <w:rPr>
              <w:rFonts w:ascii="Times New Roman" w:hAnsi="Times New Roman"/>
              <w:bCs/>
              <w:sz w:val="24"/>
              <w:szCs w:val="24"/>
              <w:lang w:val="es-MX"/>
            </w:rPr>
            <w:fldChar w:fldCharType="end"/>
          </w:r>
        </w:sdtContent>
      </w:sdt>
      <w:r w:rsidRPr="00B07754">
        <w:rPr>
          <w:rFonts w:ascii="Times New Roman" w:hAnsi="Times New Roman"/>
          <w:bCs/>
          <w:sz w:val="24"/>
          <w:szCs w:val="24"/>
          <w:lang w:val="es-MX"/>
        </w:rPr>
        <w:t xml:space="preserve">. </w:t>
      </w:r>
    </w:p>
    <w:p w:rsidR="00B9634D" w:rsidRPr="00B07754" w:rsidRDefault="00B9634D" w:rsidP="002B5E62">
      <w:pPr>
        <w:spacing w:line="360" w:lineRule="auto"/>
        <w:jc w:val="both"/>
        <w:rPr>
          <w:rFonts w:ascii="Times New Roman" w:eastAsiaTheme="minorEastAsia" w:hAnsi="Times New Roman"/>
          <w:sz w:val="24"/>
          <w:szCs w:val="24"/>
          <w:lang w:val="es-MX"/>
        </w:rPr>
      </w:pPr>
      <w:proofErr w:type="spellStart"/>
      <w:r w:rsidRPr="00B07754">
        <w:rPr>
          <w:rFonts w:ascii="Times New Roman" w:hAnsi="Times New Roman"/>
          <w:sz w:val="24"/>
          <w:szCs w:val="24"/>
          <w:lang w:val="es-MX"/>
        </w:rPr>
        <w:t>Freixas</w:t>
      </w:r>
      <w:proofErr w:type="spellEnd"/>
      <w:r w:rsidRPr="00B07754">
        <w:rPr>
          <w:rFonts w:ascii="Times New Roman" w:hAnsi="Times New Roman"/>
          <w:sz w:val="24"/>
          <w:szCs w:val="24"/>
          <w:lang w:val="es-MX"/>
        </w:rPr>
        <w:t xml:space="preserve"> y </w:t>
      </w:r>
      <w:proofErr w:type="spellStart"/>
      <w:r w:rsidRPr="00B07754">
        <w:rPr>
          <w:rFonts w:ascii="Times New Roman" w:hAnsi="Times New Roman"/>
          <w:sz w:val="24"/>
          <w:szCs w:val="24"/>
          <w:lang w:val="es-MX"/>
        </w:rPr>
        <w:t>Rochet</w:t>
      </w:r>
      <w:proofErr w:type="spellEnd"/>
      <w:r w:rsidRPr="00B07754">
        <w:rPr>
          <w:rFonts w:ascii="Times New Roman" w:hAnsi="Times New Roman"/>
          <w:sz w:val="24"/>
          <w:szCs w:val="24"/>
          <w:lang w:val="es-MX"/>
        </w:rPr>
        <w:t xml:space="preserve"> (1997) desarrollaron un modelo en el cual asumiendo un oligopolio demuestran que </w:t>
      </w:r>
      <w:r w:rsidRPr="00B07754">
        <w:rPr>
          <w:rFonts w:ascii="Times New Roman" w:eastAsiaTheme="minorEastAsia" w:hAnsi="Times New Roman"/>
          <w:sz w:val="24"/>
          <w:szCs w:val="24"/>
          <w:lang w:val="es-MX"/>
        </w:rPr>
        <w:t>un banco con poder de mercado entrega menos créditos a una mayor tasa y capta depósitos a una menor tasa de interés, además concederá únicamente la mitad de los créditos y demandará la mitad de los depósitos. Más aun, la demanda y oferta individual decrece cuando el número de bancos se incrementa. El poder de mercado de un banco se relaciona de manera directa con el grado de concentración horizontal</w:t>
      </w:r>
      <w:r w:rsidR="00F95718" w:rsidRPr="00B07754">
        <w:rPr>
          <w:rStyle w:val="Refdenotaalpie"/>
          <w:rFonts w:ascii="Times New Roman" w:eastAsiaTheme="minorEastAsia" w:hAnsi="Times New Roman"/>
          <w:sz w:val="24"/>
          <w:szCs w:val="24"/>
          <w:lang w:val="es-MX"/>
        </w:rPr>
        <w:footnoteReference w:id="17"/>
      </w:r>
      <w:r w:rsidRPr="00B07754">
        <w:rPr>
          <w:rFonts w:ascii="Times New Roman" w:eastAsiaTheme="minorEastAsia" w:hAnsi="Times New Roman"/>
          <w:sz w:val="24"/>
          <w:szCs w:val="24"/>
          <w:lang w:val="es-MX"/>
        </w:rPr>
        <w:t xml:space="preserve">. Sin embargo, el argumento en el que se fundamenta el </w:t>
      </w:r>
      <w:r w:rsidR="000228C5" w:rsidRPr="00B07754">
        <w:rPr>
          <w:rFonts w:ascii="Times New Roman" w:eastAsiaTheme="minorEastAsia" w:hAnsi="Times New Roman"/>
          <w:sz w:val="24"/>
          <w:szCs w:val="24"/>
          <w:lang w:val="es-MX"/>
        </w:rPr>
        <w:t>enfoque que defiende el poder de mercado, para promover la estabilidad financiera,</w:t>
      </w:r>
      <w:r w:rsidRPr="00B07754">
        <w:rPr>
          <w:rFonts w:ascii="Times New Roman" w:eastAsiaTheme="minorEastAsia" w:hAnsi="Times New Roman"/>
          <w:sz w:val="24"/>
          <w:szCs w:val="24"/>
          <w:lang w:val="es-MX"/>
        </w:rPr>
        <w:t xml:space="preserve"> es que el observar el grado de concentración en la banca no es suficiente para inferir qué tan agresiva es la competencia entre bancos y si la tasa pasiva y activa están excesivamente distorsionadas por el ejercicio del poder de mercado. La concentración horizontal puede ser la consecuencia de indivisibilidades en la tecnología de transformación. Entonces se da el caso de un banco que presenta eficiencia mínima y el número de bancos sustentables en el mercado será limitado. En la presencia de indivisibilidades el costo marginal genera pérdidas. Por lo tanto, las firmas necesitarían </w:t>
      </w:r>
      <w:r w:rsidRPr="00B07754">
        <w:rPr>
          <w:rFonts w:ascii="Times New Roman" w:eastAsiaTheme="minorEastAsia" w:hAnsi="Times New Roman"/>
          <w:sz w:val="24"/>
          <w:szCs w:val="24"/>
          <w:lang w:val="es-MX"/>
        </w:rPr>
        <w:lastRenderedPageBreak/>
        <w:t>tener cierto poder de mercado y elevar las tasas por encima del costo marginal para cubrir los costos de los insumos indivisibles. El poder de mercado genera rentas si la firma puede mantener en el largo plazo un precio por encima del costo promedio. Las ganancias promueven el ingreso de nuevos competidores en el mercado además que las economías de escala no constituyen una barrera de entrada. De hecho la entrada es libre si los costos en los que se incurren pueden ser totalmente recuperados en la salida del mercado</w:t>
      </w:r>
      <w:sdt>
        <w:sdtPr>
          <w:rPr>
            <w:rFonts w:ascii="Times New Roman" w:eastAsiaTheme="minorEastAsia" w:hAnsi="Times New Roman"/>
            <w:sz w:val="24"/>
            <w:szCs w:val="24"/>
            <w:lang w:val="es-MX"/>
          </w:rPr>
          <w:id w:val="-651756467"/>
          <w:citation/>
        </w:sdtPr>
        <w:sdtEndPr/>
        <w:sdtContent>
          <w:r w:rsidRPr="00B07754">
            <w:rPr>
              <w:rFonts w:ascii="Times New Roman" w:eastAsiaTheme="minorEastAsia" w:hAnsi="Times New Roman"/>
              <w:sz w:val="24"/>
              <w:szCs w:val="24"/>
              <w:lang w:val="es-MX"/>
            </w:rPr>
            <w:fldChar w:fldCharType="begin"/>
          </w:r>
          <w:r w:rsidRPr="00B07754">
            <w:rPr>
              <w:rFonts w:ascii="Times New Roman" w:eastAsiaTheme="minorEastAsia" w:hAnsi="Times New Roman"/>
              <w:sz w:val="24"/>
              <w:szCs w:val="24"/>
              <w:lang w:val="es-MX"/>
            </w:rPr>
            <w:instrText xml:space="preserve">CITATION Can01 \p 20 \l 2058 </w:instrText>
          </w:r>
          <w:r w:rsidRPr="00B07754">
            <w:rPr>
              <w:rFonts w:ascii="Times New Roman" w:eastAsiaTheme="minorEastAsia" w:hAnsi="Times New Roman"/>
              <w:sz w:val="24"/>
              <w:szCs w:val="24"/>
              <w:lang w:val="es-MX"/>
            </w:rPr>
            <w:fldChar w:fldCharType="separate"/>
          </w:r>
          <w:r w:rsidR="008A6D1D" w:rsidRPr="00B07754">
            <w:rPr>
              <w:rFonts w:ascii="Times New Roman" w:eastAsiaTheme="minorEastAsia" w:hAnsi="Times New Roman"/>
              <w:noProof/>
              <w:sz w:val="24"/>
              <w:szCs w:val="24"/>
              <w:lang w:val="es-MX"/>
            </w:rPr>
            <w:t xml:space="preserve"> (Canoy, van Dijik, Lemmen, de Moolj, &amp; Welgan , 2001, pág. 20)</w:t>
          </w:r>
          <w:r w:rsidRPr="00B07754">
            <w:rPr>
              <w:rFonts w:ascii="Times New Roman" w:eastAsiaTheme="minorEastAsia" w:hAnsi="Times New Roman"/>
              <w:sz w:val="24"/>
              <w:szCs w:val="24"/>
              <w:lang w:val="es-MX"/>
            </w:rPr>
            <w:fldChar w:fldCharType="end"/>
          </w:r>
        </w:sdtContent>
      </w:sdt>
      <w:r w:rsidRPr="00B07754">
        <w:rPr>
          <w:rFonts w:ascii="Times New Roman" w:eastAsiaTheme="minorEastAsia" w:hAnsi="Times New Roman"/>
          <w:sz w:val="24"/>
          <w:szCs w:val="24"/>
          <w:lang w:val="es-MX"/>
        </w:rPr>
        <w:t>.</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De igual manera, los distintos enfoques teóricos que consideran las características únicas del sector bancario argumentan que el poder de mercado no necesariamente ejerce una influencia negativa respecto de la eficiencia en la asignación de recursos. Esto se debe a que la cantidad de capital que un banco provee no se basa únicamente en la estructura competitiva del mercado sino también en factores internos como el patrimonio neto. Shocks negativos al patrimonio neto conllevan un decrecimiento en el crédito lo que genera un efecto amortiguador en el crecimiento (</w:t>
      </w:r>
      <w:proofErr w:type="spellStart"/>
      <w:r w:rsidRPr="00B07754">
        <w:rPr>
          <w:rFonts w:ascii="Times New Roman" w:hAnsi="Times New Roman"/>
          <w:sz w:val="24"/>
          <w:szCs w:val="24"/>
          <w:lang w:val="es-MX"/>
        </w:rPr>
        <w:t>Bernanke</w:t>
      </w:r>
      <w:proofErr w:type="spellEnd"/>
      <w:r w:rsidRPr="00B07754">
        <w:rPr>
          <w:rFonts w:ascii="Times New Roman" w:hAnsi="Times New Roman"/>
          <w:sz w:val="24"/>
          <w:szCs w:val="24"/>
          <w:lang w:val="es-MX"/>
        </w:rPr>
        <w:t xml:space="preserve">, </w:t>
      </w:r>
      <w:proofErr w:type="spellStart"/>
      <w:r w:rsidRPr="00B07754">
        <w:rPr>
          <w:rFonts w:ascii="Times New Roman" w:hAnsi="Times New Roman"/>
          <w:sz w:val="24"/>
          <w:szCs w:val="24"/>
          <w:lang w:val="es-MX"/>
        </w:rPr>
        <w:t>Gertler</w:t>
      </w:r>
      <w:proofErr w:type="spellEnd"/>
      <w:r w:rsidRPr="00B07754">
        <w:rPr>
          <w:rFonts w:ascii="Times New Roman" w:hAnsi="Times New Roman"/>
          <w:sz w:val="24"/>
          <w:szCs w:val="24"/>
          <w:lang w:val="es-MX"/>
        </w:rPr>
        <w:t xml:space="preserve"> &amp; </w:t>
      </w:r>
      <w:proofErr w:type="spellStart"/>
      <w:r w:rsidRPr="00B07754">
        <w:rPr>
          <w:rFonts w:ascii="Times New Roman" w:hAnsi="Times New Roman"/>
          <w:sz w:val="24"/>
          <w:szCs w:val="24"/>
          <w:lang w:val="es-MX"/>
        </w:rPr>
        <w:t>Gilchrist</w:t>
      </w:r>
      <w:proofErr w:type="spellEnd"/>
      <w:r w:rsidRPr="00B07754">
        <w:rPr>
          <w:rFonts w:ascii="Times New Roman" w:hAnsi="Times New Roman"/>
          <w:sz w:val="24"/>
          <w:szCs w:val="24"/>
          <w:lang w:val="es-MX"/>
        </w:rPr>
        <w:t xml:space="preserve"> cit. por </w:t>
      </w:r>
      <w:proofErr w:type="spellStart"/>
      <w:r w:rsidRPr="00B07754">
        <w:rPr>
          <w:rFonts w:ascii="Times New Roman" w:hAnsi="Times New Roman"/>
          <w:sz w:val="24"/>
          <w:szCs w:val="24"/>
          <w:lang w:val="es-MX"/>
        </w:rPr>
        <w:t>Northcott</w:t>
      </w:r>
      <w:proofErr w:type="spellEnd"/>
      <w:r w:rsidRPr="00B07754">
        <w:rPr>
          <w:rFonts w:ascii="Times New Roman" w:hAnsi="Times New Roman"/>
          <w:sz w:val="24"/>
          <w:szCs w:val="24"/>
          <w:lang w:val="es-MX"/>
        </w:rPr>
        <w:t xml:space="preserve">, 2004; pág. 4). A su vez, la estructura financiera de un banco y la calidad de su portafolio también es importante ya que los bancos financian el crédito con sus pasivos y capital.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acumulación de capital depende no solo del volumen de crédito sino también de la eficiencia de su asignación; es decir, en la medida en la cual el crédito sea colocado en los proyectos más productivos. Este argumento se sustenta en la premisa que los bancos además de ser intermediarios entre el ahorro y la inversión, producen información que mitiga la asimetría existente entre prestamistas y prestatarios.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una investigación desarrollada por </w:t>
      </w:r>
      <w:proofErr w:type="spellStart"/>
      <w:r w:rsidRPr="00B07754">
        <w:rPr>
          <w:rFonts w:ascii="Times New Roman" w:hAnsi="Times New Roman"/>
          <w:sz w:val="24"/>
          <w:szCs w:val="24"/>
          <w:lang w:val="es-MX"/>
        </w:rPr>
        <w:t>Petersen</w:t>
      </w:r>
      <w:proofErr w:type="spellEnd"/>
      <w:r w:rsidRPr="00B07754">
        <w:rPr>
          <w:rFonts w:ascii="Times New Roman" w:hAnsi="Times New Roman"/>
          <w:sz w:val="24"/>
          <w:szCs w:val="24"/>
          <w:lang w:val="es-MX"/>
        </w:rPr>
        <w:t xml:space="preserve"> y Rajan (1995) se argumenta que un banco con poder de mercado está más dispuesto a colocar préstamos de relación</w:t>
      </w:r>
      <w:r w:rsidRPr="00B07754">
        <w:rPr>
          <w:rStyle w:val="Refdenotaalpie"/>
          <w:rFonts w:ascii="Times New Roman" w:hAnsi="Times New Roman"/>
          <w:sz w:val="24"/>
          <w:szCs w:val="24"/>
          <w:lang w:val="es-MX"/>
        </w:rPr>
        <w:footnoteReference w:id="18"/>
      </w:r>
      <w:r w:rsidRPr="00B07754">
        <w:rPr>
          <w:rFonts w:ascii="Times New Roman" w:hAnsi="Times New Roman"/>
          <w:sz w:val="24"/>
          <w:szCs w:val="24"/>
          <w:lang w:val="es-MX"/>
        </w:rPr>
        <w:t xml:space="preserve"> y por tanto la oferta del crédito disponible para firmas jóvenes es mayor –el costo de los fondos menor- que en un ambiente competitivo tradicional. Consecuentemente, los bancos se enfrentan a gran cantidad de prestatarios más riesgosos. En un mercado competitivo los bancos ajustan el riesgo cobrando una tasa de interés más alta, no obstante, esta acción atrae clientes más riesgosos y los prestatarios tienen el incentivo de asumir proyectos con las mismas características. Si un banco posee poder de mercado, mayor riesgo puede ser compensado por la participación en los flujos de los beneficios futuros de la empresa, en lugar del </w:t>
      </w:r>
      <w:r w:rsidRPr="00B07754">
        <w:rPr>
          <w:rFonts w:ascii="Times New Roman" w:hAnsi="Times New Roman"/>
          <w:sz w:val="24"/>
          <w:szCs w:val="24"/>
          <w:lang w:val="es-MX"/>
        </w:rPr>
        <w:lastRenderedPageBreak/>
        <w:t>incremento de las tasas. Esto es posible ya que para que una firma exitosa no sea atraída por el competidor, el banco la beneficiará otorgándole crédito en el futuro a una tasa menor para generar la relación de crédito. Por tanto, la disponibilidad de crédito y crecimiento pueden mejorar en mercados bancarios que poseen poder de mercado.</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Por su parte,  </w:t>
      </w:r>
      <w:proofErr w:type="spellStart"/>
      <w:r w:rsidRPr="00B07754">
        <w:rPr>
          <w:rFonts w:ascii="Times New Roman" w:hAnsi="Times New Roman"/>
          <w:sz w:val="24"/>
          <w:szCs w:val="24"/>
          <w:lang w:val="es-MX"/>
        </w:rPr>
        <w:t>Cetorelli</w:t>
      </w:r>
      <w:proofErr w:type="spellEnd"/>
      <w:r w:rsidRPr="00B07754">
        <w:rPr>
          <w:rFonts w:ascii="Times New Roman" w:hAnsi="Times New Roman"/>
          <w:sz w:val="24"/>
          <w:szCs w:val="24"/>
          <w:lang w:val="es-MX"/>
        </w:rPr>
        <w:t xml:space="preserve"> y </w:t>
      </w:r>
      <w:proofErr w:type="spellStart"/>
      <w:r w:rsidRPr="00B07754">
        <w:rPr>
          <w:rFonts w:ascii="Times New Roman" w:hAnsi="Times New Roman"/>
          <w:sz w:val="24"/>
          <w:szCs w:val="24"/>
          <w:lang w:val="es-MX"/>
        </w:rPr>
        <w:t>Peretto</w:t>
      </w:r>
      <w:proofErr w:type="spellEnd"/>
      <w:r w:rsidRPr="00B07754">
        <w:rPr>
          <w:rFonts w:ascii="Times New Roman" w:hAnsi="Times New Roman"/>
          <w:sz w:val="24"/>
          <w:szCs w:val="24"/>
          <w:lang w:val="es-MX"/>
        </w:rPr>
        <w:t xml:space="preserve"> (2000) a través de un modelo de equilibrio general de acumulación de capital examinan la estructura competitiva óptima dado un sistema de selección. Los bancos tienen el incentivo de seleccionar a los prestatarios con la finalidad de escoger entre posibles clientes de calidad alta y baja. </w:t>
      </w:r>
      <w:proofErr w:type="spellStart"/>
      <w:r w:rsidRPr="00B07754">
        <w:rPr>
          <w:rFonts w:ascii="Times New Roman" w:hAnsi="Times New Roman"/>
          <w:sz w:val="24"/>
          <w:szCs w:val="24"/>
          <w:lang w:val="es-MX"/>
        </w:rPr>
        <w:t>Cetorelli</w:t>
      </w:r>
      <w:proofErr w:type="spellEnd"/>
      <w:r w:rsidRPr="00B07754">
        <w:rPr>
          <w:rFonts w:ascii="Times New Roman" w:hAnsi="Times New Roman"/>
          <w:sz w:val="24"/>
          <w:szCs w:val="24"/>
          <w:lang w:val="es-MX"/>
        </w:rPr>
        <w:t xml:space="preserve"> y </w:t>
      </w:r>
      <w:proofErr w:type="spellStart"/>
      <w:r w:rsidRPr="00B07754">
        <w:rPr>
          <w:rFonts w:ascii="Times New Roman" w:hAnsi="Times New Roman"/>
          <w:sz w:val="24"/>
          <w:szCs w:val="24"/>
          <w:lang w:val="es-MX"/>
        </w:rPr>
        <w:t>Peretto</w:t>
      </w:r>
      <w:proofErr w:type="spellEnd"/>
      <w:r w:rsidRPr="00B07754">
        <w:rPr>
          <w:rFonts w:ascii="Times New Roman" w:hAnsi="Times New Roman"/>
          <w:sz w:val="24"/>
          <w:szCs w:val="24"/>
          <w:lang w:val="es-MX"/>
        </w:rPr>
        <w:t xml:space="preserve"> demuestran que la estrategia óptima para los bancos es realizar el proceso para solo un segmento de la población prestataria y colocar créditos tanto a clientes seguros (seleccionados) y riesgosos (no seleccionados). Así pues, demuestran que conforme el número de bancos disminuye, así también lo hará la cantidad de crédito disponible pero existirá un mayor incentivo para seleccionar a los prestatarios, incrementando la proporción de créditos seguros de alta calidad. Por ende, mientras el  número de bancos disminuye se presenta un intercambio entre la cantidad de crédito ofertada y la calidad de los prestatarios –eficiencia de la asignación del capital-. Este intercambio es importante para el crecimiento económico. </w:t>
      </w:r>
      <w:proofErr w:type="spellStart"/>
      <w:r w:rsidRPr="00B07754">
        <w:rPr>
          <w:rFonts w:ascii="Times New Roman" w:hAnsi="Times New Roman"/>
          <w:sz w:val="24"/>
          <w:szCs w:val="24"/>
          <w:lang w:val="es-MX"/>
        </w:rPr>
        <w:t>Cetorelli</w:t>
      </w:r>
      <w:proofErr w:type="spellEnd"/>
      <w:r w:rsidRPr="00B07754">
        <w:rPr>
          <w:rFonts w:ascii="Times New Roman" w:hAnsi="Times New Roman"/>
          <w:sz w:val="24"/>
          <w:szCs w:val="24"/>
          <w:lang w:val="es-MX"/>
        </w:rPr>
        <w:t xml:space="preserve"> y </w:t>
      </w:r>
      <w:proofErr w:type="spellStart"/>
      <w:r w:rsidRPr="00B07754">
        <w:rPr>
          <w:rFonts w:ascii="Times New Roman" w:hAnsi="Times New Roman"/>
          <w:sz w:val="24"/>
          <w:szCs w:val="24"/>
          <w:lang w:val="es-MX"/>
        </w:rPr>
        <w:t>Peretto</w:t>
      </w:r>
      <w:proofErr w:type="spellEnd"/>
      <w:r w:rsidRPr="00B07754">
        <w:rPr>
          <w:rFonts w:ascii="Times New Roman" w:hAnsi="Times New Roman"/>
          <w:sz w:val="24"/>
          <w:szCs w:val="24"/>
          <w:lang w:val="es-MX"/>
        </w:rPr>
        <w:t xml:space="preserve"> muestran que con una estructura oligopólica se maximiza el crecimiento. </w:t>
      </w:r>
    </w:p>
    <w:p w:rsidR="00B9634D" w:rsidRPr="00B07754" w:rsidRDefault="00B9634D" w:rsidP="002B5E62">
      <w:pPr>
        <w:pStyle w:val="Ttulo4"/>
        <w:numPr>
          <w:ilvl w:val="2"/>
          <w:numId w:val="8"/>
        </w:numPr>
        <w:spacing w:before="0" w:after="200" w:line="360" w:lineRule="auto"/>
        <w:ind w:left="0" w:firstLine="0"/>
        <w:jc w:val="both"/>
        <w:rPr>
          <w:rFonts w:ascii="Times New Roman" w:hAnsi="Times New Roman"/>
          <w:b w:val="0"/>
          <w:color w:val="auto"/>
          <w:sz w:val="24"/>
          <w:szCs w:val="24"/>
          <w:lang w:val="es-MX"/>
        </w:rPr>
      </w:pPr>
      <w:r w:rsidRPr="00B07754">
        <w:rPr>
          <w:rFonts w:ascii="Times New Roman" w:hAnsi="Times New Roman"/>
          <w:b w:val="0"/>
          <w:color w:val="auto"/>
          <w:sz w:val="24"/>
          <w:szCs w:val="24"/>
          <w:lang w:val="es-MX"/>
        </w:rPr>
        <w:t>Eficiencia productiva</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Los mercados bancarios tienden a ser concentrados por sus inherentes indivisibilidades. Dicho de otra manera, el tamaño de la firma importa en la banca. Tanto la concentración como un tamaño grande de la firma pueden ser perjudiciales para la competencia ya que promueven la creación, mantenimiento y abuso del poder de mercado</w:t>
      </w:r>
      <w:r w:rsidRPr="00B07754">
        <w:rPr>
          <w:rStyle w:val="Refdenotaalpie"/>
          <w:rFonts w:ascii="Times New Roman" w:hAnsi="Times New Roman"/>
          <w:sz w:val="24"/>
          <w:szCs w:val="24"/>
          <w:lang w:val="es-MX"/>
        </w:rPr>
        <w:footnoteReference w:id="19"/>
      </w:r>
      <w:r w:rsidRPr="00B07754">
        <w:rPr>
          <w:rFonts w:ascii="Times New Roman" w:hAnsi="Times New Roman"/>
          <w:sz w:val="24"/>
          <w:szCs w:val="24"/>
          <w:lang w:val="es-MX"/>
        </w:rPr>
        <w:t xml:space="preserve"> en detrimento de los consumidores. En este punto surge el interrogante para conocer cómo el poder de mercado afecta el beneficio total, entendiéndose a éste como la suma del beneficio de los consumidores más las ganancias de los productores. Así pues, la limitación del poder de mercado reduce las ganancias de los productores. Sin embargo, con rendimientos crecientes de escala</w:t>
      </w:r>
      <w:r w:rsidRPr="00B07754">
        <w:rPr>
          <w:rStyle w:val="Refdenotaalpie"/>
          <w:rFonts w:ascii="Times New Roman" w:hAnsi="Times New Roman"/>
          <w:sz w:val="24"/>
          <w:szCs w:val="24"/>
          <w:lang w:val="es-MX"/>
        </w:rPr>
        <w:footnoteReference w:id="20"/>
      </w:r>
      <w:r w:rsidRPr="00B07754">
        <w:rPr>
          <w:rFonts w:ascii="Times New Roman" w:hAnsi="Times New Roman"/>
          <w:sz w:val="24"/>
          <w:szCs w:val="24"/>
          <w:lang w:val="es-MX"/>
        </w:rPr>
        <w:t xml:space="preserve">  los productores requieren ejercer cierto poder de mercado para tener un incentivo para producir. </w:t>
      </w:r>
      <w:sdt>
        <w:sdtPr>
          <w:rPr>
            <w:rFonts w:ascii="Times New Roman" w:hAnsi="Times New Roman"/>
            <w:sz w:val="24"/>
            <w:szCs w:val="24"/>
          </w:rPr>
          <w:id w:val="-2247540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19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(Canoy, van Dijik, Lemmen, de Moolj, &amp; Welgan , 2001, pág. 19)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La eficiencia productiva o de costos se obtiene cuando se produce al mínimo costo, lo </w:t>
      </w:r>
      <w:r w:rsidRPr="00B07754">
        <w:rPr>
          <w:rFonts w:ascii="Times New Roman" w:hAnsi="Times New Roman"/>
          <w:sz w:val="24"/>
          <w:szCs w:val="24"/>
          <w:lang w:val="es-MX"/>
        </w:rPr>
        <w:lastRenderedPageBreak/>
        <w:t xml:space="preserve">que es posible bajo un esquema de competencia perfecta, no obstante ésta no considera las economías de escala. En el sistema bancario las economías de escala que puedan presentarse hacen que las ganancias en la eficiencia compensen los efectos negativos del  poder de mercado. Con economías de escala se espera que la eficiencia productiva mejore con bancos más grandes y una concentración mayor en el sector. La evidencia empírica existente en este tema no señala una relación clara sobre las causas de la ineficiencia en la banca o si su mejora proviene de mayor competencia y o del aprovechamiento de las economías de escala. </w:t>
      </w:r>
      <w:sdt>
        <w:sdtPr>
          <w:rPr>
            <w:rFonts w:ascii="Times New Roman" w:hAnsi="Times New Roman"/>
            <w:sz w:val="24"/>
            <w:szCs w:val="24"/>
            <w:lang w:val="es-MX"/>
          </w:rPr>
          <w:id w:val="-65807415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Nor04 \p 19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(Northcott, 2004, pág. 19)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pStyle w:val="Ttulo3"/>
        <w:numPr>
          <w:ilvl w:val="1"/>
          <w:numId w:val="8"/>
        </w:numPr>
        <w:spacing w:before="0" w:after="200" w:line="360" w:lineRule="auto"/>
        <w:ind w:left="0" w:firstLine="0"/>
        <w:jc w:val="both"/>
        <w:rPr>
          <w:rFonts w:ascii="Times New Roman" w:hAnsi="Times New Roman"/>
          <w:color w:val="auto"/>
          <w:sz w:val="24"/>
          <w:szCs w:val="24"/>
          <w:lang w:val="es-MX"/>
        </w:rPr>
      </w:pPr>
      <w:bookmarkStart w:id="17" w:name="_Toc372589961"/>
      <w:r w:rsidRPr="00B07754">
        <w:rPr>
          <w:rFonts w:ascii="Times New Roman" w:hAnsi="Times New Roman"/>
          <w:color w:val="auto"/>
          <w:sz w:val="24"/>
          <w:szCs w:val="24"/>
          <w:lang w:val="es-MX"/>
        </w:rPr>
        <w:t>Descripción de un mercado bancario competitivo</w:t>
      </w:r>
      <w:bookmarkEnd w:id="17"/>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lo relacionado a la definición de concentración del mercado bancario se pueden mencionar dos enfoques. El primero conocido como la hipótesis tradicional del paradigma desempeño estructura-conducta en el cual se asocia a la concentración con mayores niveles de poder de mercado. El segundo enfoque llamado contestabilidad centra su atención en el comportamiento competitivo de los bancos y no en la concentración o el número de bancos.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Los resultados empíricos que prueban la hipótesis del paradigma del desempeño estructura-conducta no son conclusivos por lo que existe un consenso creciente en que la contestabilidad mejora con restriccion</w:t>
      </w:r>
      <w:r w:rsidR="00204245" w:rsidRPr="00B07754">
        <w:rPr>
          <w:rFonts w:ascii="Times New Roman" w:hAnsi="Times New Roman"/>
          <w:sz w:val="24"/>
          <w:szCs w:val="24"/>
          <w:lang w:val="es-MX"/>
        </w:rPr>
        <w:t xml:space="preserve">es de entrada menos severas, </w:t>
      </w:r>
      <w:r w:rsidRPr="00B07754">
        <w:rPr>
          <w:rFonts w:ascii="Times New Roman" w:hAnsi="Times New Roman"/>
          <w:sz w:val="24"/>
          <w:szCs w:val="24"/>
          <w:lang w:val="es-MX"/>
        </w:rPr>
        <w:t>presencia de bancos extranjeros, pocas restricciones en las actividades que los bancos pueden ejecutar y sistemas financieros bien desarrollados</w:t>
      </w:r>
      <w:sdt>
        <w:sdtPr>
          <w:rPr>
            <w:rFonts w:ascii="Times New Roman" w:hAnsi="Times New Roman"/>
            <w:sz w:val="24"/>
            <w:szCs w:val="24"/>
            <w:lang w:val="es-MX"/>
          </w:rPr>
          <w:id w:val="565616705"/>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Nor04 \p 29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(Northcott, 2004, pág. 29)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contestabilidad permite que la concentración y la competencia existan juntas dadas las características específicas del sector bancario como la presencia de información asimétrica, ramas de negocio y el uso de nuevas tecnologías. </w:t>
      </w:r>
    </w:p>
    <w:p w:rsidR="00B9634D" w:rsidRPr="00B07754" w:rsidRDefault="00B9634D" w:rsidP="002B5E62">
      <w:pPr>
        <w:pStyle w:val="Ttulo4"/>
        <w:numPr>
          <w:ilvl w:val="2"/>
          <w:numId w:val="8"/>
        </w:numPr>
        <w:spacing w:before="0" w:after="200" w:line="360" w:lineRule="auto"/>
        <w:ind w:left="0" w:firstLine="0"/>
        <w:jc w:val="both"/>
        <w:rPr>
          <w:rFonts w:ascii="Times New Roman" w:hAnsi="Times New Roman"/>
          <w:b w:val="0"/>
          <w:color w:val="auto"/>
          <w:sz w:val="24"/>
          <w:szCs w:val="24"/>
          <w:lang w:val="es-MX"/>
        </w:rPr>
      </w:pPr>
      <w:r w:rsidRPr="00B07754">
        <w:rPr>
          <w:rFonts w:ascii="Times New Roman" w:hAnsi="Times New Roman"/>
          <w:b w:val="0"/>
          <w:color w:val="auto"/>
          <w:sz w:val="24"/>
          <w:szCs w:val="24"/>
          <w:lang w:val="es-MX"/>
        </w:rPr>
        <w:t>Características bancarias que afectan la contestabilidad</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resultados ambiguos del enfoque de concentración y los resultados de la literatura nueva de la contestabilidad, sugieren que el comportamiento competitivo de los bancos no necesariamente se relaciona con el número de bancos en el mercado o su grado de concentración, existen otros factores que influyen en él. La importancia del rol de la facilidad de entrada o salida puede inducir a los bancos a comportarse de manera competitiva, incluso si los bancos en el mercado son pocos. Un sistema financiero bien desarrollado hace que las instituciones enfrenten la competencia de otras firmas financieras </w:t>
      </w:r>
      <w:r w:rsidRPr="00B07754">
        <w:rPr>
          <w:rFonts w:ascii="Times New Roman" w:hAnsi="Times New Roman"/>
          <w:sz w:val="24"/>
          <w:szCs w:val="24"/>
          <w:lang w:val="es-MX"/>
        </w:rPr>
        <w:lastRenderedPageBreak/>
        <w:t xml:space="preserve">y mercados. A continuación se mencionan otras características del sector bancario que pueden ayudar a explicar la contestabilidad en un mercado concentrado. </w:t>
      </w:r>
    </w:p>
    <w:p w:rsidR="00B9634D" w:rsidRPr="00B07754" w:rsidRDefault="00B9634D" w:rsidP="002B5E62">
      <w:pPr>
        <w:pStyle w:val="Ttulo5"/>
        <w:numPr>
          <w:ilvl w:val="3"/>
          <w:numId w:val="8"/>
        </w:numPr>
        <w:spacing w:before="0" w:after="200" w:line="360" w:lineRule="auto"/>
        <w:ind w:left="0" w:firstLine="0"/>
        <w:jc w:val="both"/>
        <w:rPr>
          <w:rFonts w:ascii="Times New Roman" w:hAnsi="Times New Roman"/>
          <w:i/>
          <w:color w:val="auto"/>
          <w:sz w:val="24"/>
          <w:szCs w:val="24"/>
          <w:lang w:val="es-MX"/>
        </w:rPr>
      </w:pPr>
      <w:r w:rsidRPr="00B07754">
        <w:rPr>
          <w:rFonts w:ascii="Times New Roman" w:hAnsi="Times New Roman"/>
          <w:i/>
          <w:color w:val="auto"/>
          <w:sz w:val="24"/>
          <w:szCs w:val="24"/>
          <w:lang w:val="es-MX"/>
        </w:rPr>
        <w:t>Información asimétrica</w:t>
      </w:r>
    </w:p>
    <w:p w:rsidR="00B9634D" w:rsidRPr="00B07754" w:rsidRDefault="00B9634D" w:rsidP="002B5E62">
      <w:pPr>
        <w:pStyle w:val="Prrafodelista"/>
        <w:spacing w:line="360" w:lineRule="auto"/>
        <w:ind w:left="0"/>
        <w:jc w:val="both"/>
        <w:rPr>
          <w:rFonts w:ascii="Times New Roman" w:hAnsi="Times New Roman"/>
          <w:sz w:val="24"/>
          <w:szCs w:val="24"/>
          <w:lang w:val="es-MX"/>
        </w:rPr>
      </w:pPr>
      <w:r w:rsidRPr="00B07754">
        <w:rPr>
          <w:rFonts w:ascii="Times New Roman" w:hAnsi="Times New Roman"/>
          <w:sz w:val="24"/>
          <w:szCs w:val="24"/>
          <w:lang w:val="es-MX"/>
        </w:rPr>
        <w:t>El crédito de relación puede ser considerado como una barrera de entrada, nuevos bancos pueden encontrar difícil atraer prestatarios de relaciones preestablecidas con la competencia. Un elemento importante son los costos de transferencia, que son aquellos en los que los consumidores incurren cuando cambian de bancos, además de la dificultad que puede representar el demostrar su capacidad crediticia a otros prestatarios. Este hecho otorga a los bancos un grado de poder de mercado y constituye una barrera de entrada que puede facilitar mayores grados de concentración</w:t>
      </w:r>
      <w:sdt>
        <w:sdtPr>
          <w:rPr>
            <w:rFonts w:ascii="Times New Roman" w:hAnsi="Times New Roman"/>
            <w:sz w:val="24"/>
            <w:szCs w:val="24"/>
            <w:lang w:val="es-MX"/>
          </w:rPr>
          <w:id w:val="-1799597541"/>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Nor04 \p 23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(Northcott, 2004, pág. 23)</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autoSpaceDE w:val="0"/>
        <w:autoSpaceDN w:val="0"/>
        <w:adjustRightInd w:val="0"/>
        <w:spacing w:line="360" w:lineRule="auto"/>
        <w:jc w:val="both"/>
        <w:rPr>
          <w:rFonts w:ascii="Times New Roman" w:hAnsi="Times New Roman"/>
          <w:sz w:val="24"/>
          <w:szCs w:val="24"/>
          <w:lang w:val="es-MX"/>
        </w:rPr>
      </w:pPr>
      <w:proofErr w:type="spellStart"/>
      <w:r w:rsidRPr="00B07754">
        <w:rPr>
          <w:rFonts w:ascii="Times New Roman" w:hAnsi="Times New Roman"/>
          <w:sz w:val="24"/>
          <w:szCs w:val="24"/>
          <w:lang w:val="es-MX"/>
        </w:rPr>
        <w:t>Dell’Ariccia</w:t>
      </w:r>
      <w:proofErr w:type="spellEnd"/>
      <w:r w:rsidRPr="00B07754">
        <w:rPr>
          <w:rFonts w:ascii="Times New Roman" w:hAnsi="Times New Roman"/>
          <w:sz w:val="24"/>
          <w:szCs w:val="24"/>
          <w:lang w:val="es-MX"/>
        </w:rPr>
        <w:t xml:space="preserve"> (2001) demostró que los bancos reúnen información sobre sus clientes a través de sus relaciones preestablecidas por lo que mientras mayor sea la información que posea, mayor será su ventaja sobre la competencia. Por tanto, mientras mayor sea la proporción de mercado que posea un banco, mayor será su ventaja y ésta actúa como una barrera de entrada, lo que conlleva a la formación de un sector bancario concentrado. Por otra parte, también representa un incentivo para los demás participantes </w:t>
      </w:r>
      <w:r w:rsidR="00FB1536" w:rsidRPr="00B07754">
        <w:rPr>
          <w:rFonts w:ascii="Times New Roman" w:hAnsi="Times New Roman"/>
          <w:sz w:val="24"/>
          <w:szCs w:val="24"/>
          <w:lang w:val="es-MX"/>
        </w:rPr>
        <w:t>el</w:t>
      </w:r>
      <w:r w:rsidRPr="00B07754">
        <w:rPr>
          <w:rFonts w:ascii="Times New Roman" w:hAnsi="Times New Roman"/>
          <w:sz w:val="24"/>
          <w:szCs w:val="24"/>
          <w:lang w:val="es-MX"/>
        </w:rPr>
        <w:t xml:space="preserve"> competir fuertemente para ganar participación de mercado</w:t>
      </w:r>
      <w:r w:rsidR="00FB1536" w:rsidRPr="00B07754">
        <w:rPr>
          <w:rFonts w:ascii="Times New Roman" w:hAnsi="Times New Roman"/>
          <w:sz w:val="24"/>
          <w:szCs w:val="24"/>
          <w:lang w:val="es-MX"/>
        </w:rPr>
        <w:t xml:space="preserve"> y obtener así mayor información</w:t>
      </w:r>
      <w:r w:rsidRPr="00B07754">
        <w:rPr>
          <w:rFonts w:ascii="Times New Roman" w:hAnsi="Times New Roman"/>
          <w:sz w:val="24"/>
          <w:szCs w:val="24"/>
          <w:lang w:val="es-MX"/>
        </w:rPr>
        <w:t xml:space="preserve">. En consecuencia, se genera una presión para disminuir las tasas activas incluso en la ausencia de un gran número de bancos. Bajo este esquema los participantes actúan de forma competitiva para ganar o mantener su participación de mercado. </w:t>
      </w:r>
    </w:p>
    <w:p w:rsidR="00B9634D" w:rsidRPr="00B07754" w:rsidRDefault="00B9634D" w:rsidP="002B5E62">
      <w:pPr>
        <w:pStyle w:val="Ttulo5"/>
        <w:numPr>
          <w:ilvl w:val="3"/>
          <w:numId w:val="8"/>
        </w:numPr>
        <w:spacing w:before="0" w:after="200" w:line="360" w:lineRule="auto"/>
        <w:ind w:left="0" w:firstLine="0"/>
        <w:jc w:val="both"/>
        <w:rPr>
          <w:rFonts w:ascii="Times New Roman" w:eastAsiaTheme="minorEastAsia" w:hAnsi="Times New Roman"/>
          <w:i/>
          <w:color w:val="auto"/>
          <w:sz w:val="24"/>
          <w:szCs w:val="24"/>
          <w:lang w:val="es-MX"/>
        </w:rPr>
      </w:pPr>
      <w:r w:rsidRPr="00B07754">
        <w:rPr>
          <w:rFonts w:ascii="Times New Roman" w:eastAsiaTheme="minorEastAsia" w:hAnsi="Times New Roman"/>
          <w:i/>
          <w:color w:val="auto"/>
          <w:sz w:val="24"/>
          <w:szCs w:val="24"/>
          <w:lang w:val="es-MX"/>
        </w:rPr>
        <w:t>Diferenciación de producto y otras estrategias distintas de los precios</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concentración horizontal incrementa la interdependencia estratégica. Las firmas reconocen que sus ganancias se ven afectadas por las decisiones de precio y cantidad de sus rivales y que sus propias decisiones afectan las ganancias de los rivales. Por tanto, el desempeño de los mercados oligopólicos está determinado por las estrategias que seleccionan las firmas. En primer lugar, los resultados del oligopolio dependen si las empresas compiten entre ellas o coordinan entre sí sus actividades. Si los participantes logran la cooperación, maximizan las ganancias al producir  la cantidad de monopolio. La estrategia de cantidad implica situar el precio por encima del costo marginal, de manera que los beneficios que se generen sean positivos. En este tipo de competencia es importante que exista la menor cantidad de participantes en el mercado de manera que se </w:t>
      </w:r>
      <w:r w:rsidRPr="00B07754">
        <w:rPr>
          <w:rFonts w:ascii="Times New Roman" w:hAnsi="Times New Roman"/>
          <w:sz w:val="24"/>
          <w:szCs w:val="24"/>
          <w:lang w:val="es-MX"/>
        </w:rPr>
        <w:lastRenderedPageBreak/>
        <w:t>puedan generar mayores ganancias a mayores precios, además que la interacción estratégica se vuelve más relevante.</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Al diferenciar los productos y servicios las empresas pueden reducir dicha interacción para incrementar el poder de mercado y generar ganancias positivas. Ejemplos de diferenciación puede ser el enfocarse a un segmento específico de clientes, con productos diseñados para ellos, inversión en nuevas tecnologías y productos, publicidad estratégica, etc. En el sector financiero se pueden mencionar las decisiones en la estructura del capital para financiar las diferentes actividades. En mercados concentrados el nivel de apalancamiento puede considerarse una señal de reacción agresiva ante un intento de la competencia de robar el mercado. Por esta razón, la capacidad para asumir más deuda puede ser aprovechada para reducir la producción y aumentar los precios. </w:t>
      </w:r>
      <w:sdt>
        <w:sdtPr>
          <w:rPr>
            <w:rFonts w:ascii="Times New Roman" w:hAnsi="Times New Roman"/>
            <w:sz w:val="24"/>
            <w:szCs w:val="24"/>
            <w:lang w:val="es-MX"/>
          </w:rPr>
          <w:id w:val="-19121979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23,24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(Canoy, van Dijik, Lemmen, de Moolj, &amp; Welgan , 2001, págs. 23,24)</w:t>
          </w:r>
          <w:r w:rsidRPr="00B07754">
            <w:rPr>
              <w:rFonts w:ascii="Times New Roman" w:hAnsi="Times New Roman"/>
              <w:sz w:val="24"/>
              <w:szCs w:val="24"/>
              <w:lang w:val="es-MX"/>
            </w:rPr>
            <w:fldChar w:fldCharType="end"/>
          </w:r>
        </w:sdtContent>
      </w:sdt>
    </w:p>
    <w:p w:rsidR="00B9634D" w:rsidRPr="00B07754" w:rsidRDefault="00B9634D" w:rsidP="002B5E62">
      <w:pPr>
        <w:pStyle w:val="Ttulo5"/>
        <w:numPr>
          <w:ilvl w:val="3"/>
          <w:numId w:val="8"/>
        </w:numPr>
        <w:spacing w:before="0" w:after="200" w:line="360" w:lineRule="auto"/>
        <w:ind w:left="0" w:firstLine="0"/>
        <w:jc w:val="both"/>
        <w:rPr>
          <w:rFonts w:ascii="Times New Roman" w:hAnsi="Times New Roman"/>
          <w:i/>
          <w:color w:val="auto"/>
          <w:sz w:val="24"/>
          <w:szCs w:val="24"/>
          <w:lang w:val="es-MX"/>
        </w:rPr>
      </w:pPr>
      <w:r w:rsidRPr="00B07754">
        <w:rPr>
          <w:rFonts w:ascii="Times New Roman" w:hAnsi="Times New Roman"/>
          <w:i/>
          <w:color w:val="auto"/>
          <w:sz w:val="24"/>
          <w:szCs w:val="24"/>
          <w:lang w:val="es-MX"/>
        </w:rPr>
        <w:t>Tecnología</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industria bancaria utiliza una amplia gama de tecnologías que incluyen las de información, telecomunicaciones y de productos financieros. Las innovaciones tecnológicas pueden afectar los incentivos que enfrentan los bancos y por tanto afectar su comportamiento y la estructura del mercado. El desarrollo tecnológico también ha permitido que el control y la mitigación de riesgos sean más efectivos, de manera que tanto la institución como las autoridades supervisores tengan a su alcance información actualizada relacionada con el nivel de riesgo incurrido. De esta manera se pueden tomar acciones a tiempo y prevenir cualquier situación que ponga en peligro el normal funcionamiento del banco. </w:t>
      </w:r>
    </w:p>
    <w:p w:rsidR="004160AB"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El progreso tecnológico tiene el potencial para incrementar las economías de escala</w:t>
      </w:r>
      <w:r w:rsidR="004160AB" w:rsidRPr="00B07754">
        <w:rPr>
          <w:rFonts w:ascii="Times New Roman" w:hAnsi="Times New Roman"/>
          <w:sz w:val="24"/>
          <w:szCs w:val="24"/>
          <w:lang w:val="es-MX"/>
        </w:rPr>
        <w:t xml:space="preserve">, y mejorar así la estructura de costos de las firmas, </w:t>
      </w:r>
      <w:r w:rsidRPr="00B07754">
        <w:rPr>
          <w:rFonts w:ascii="Times New Roman" w:hAnsi="Times New Roman"/>
          <w:sz w:val="24"/>
          <w:szCs w:val="24"/>
          <w:lang w:val="es-MX"/>
        </w:rPr>
        <w:t>con una variedad de productos y servicios como el procesamiento de pagos, administración de efectivo y operaciones bancarias. Asimismo, los avances tecnológicos pueden impulsar el desarrollo de nuevos productos y servicios. Por tanto, se produce un potencial para el incremento de la eficiencia productiva de los bancos.</w:t>
      </w:r>
      <w:r w:rsidR="004160AB" w:rsidRPr="00B07754">
        <w:rPr>
          <w:rFonts w:ascii="Times New Roman" w:hAnsi="Times New Roman"/>
          <w:sz w:val="24"/>
          <w:szCs w:val="24"/>
          <w:lang w:val="es-MX"/>
        </w:rPr>
        <w:t xml:space="preserve"> Estos avances pueden beneficiar a nuevas firmas que deseen ingresar al mercado y por </w:t>
      </w:r>
      <w:r w:rsidR="00E926A8" w:rsidRPr="00B07754">
        <w:rPr>
          <w:rFonts w:ascii="Times New Roman" w:hAnsi="Times New Roman"/>
          <w:sz w:val="24"/>
          <w:szCs w:val="24"/>
          <w:lang w:val="es-MX"/>
        </w:rPr>
        <w:t>ende</w:t>
      </w:r>
      <w:r w:rsidR="004160AB" w:rsidRPr="00B07754">
        <w:rPr>
          <w:rFonts w:ascii="Times New Roman" w:hAnsi="Times New Roman"/>
          <w:sz w:val="24"/>
          <w:szCs w:val="24"/>
          <w:lang w:val="es-MX"/>
        </w:rPr>
        <w:t xml:space="preserve">, son beneficiosos para la competencia. No obstante, </w:t>
      </w:r>
      <w:r w:rsidRPr="00B07754">
        <w:rPr>
          <w:rFonts w:ascii="Times New Roman" w:hAnsi="Times New Roman"/>
          <w:sz w:val="24"/>
          <w:szCs w:val="24"/>
          <w:lang w:val="es-MX"/>
        </w:rPr>
        <w:t xml:space="preserve">el progreso tecnológico </w:t>
      </w:r>
      <w:r w:rsidR="00E926A8" w:rsidRPr="00B07754">
        <w:rPr>
          <w:rFonts w:ascii="Times New Roman" w:hAnsi="Times New Roman"/>
          <w:sz w:val="24"/>
          <w:szCs w:val="24"/>
          <w:lang w:val="es-MX"/>
        </w:rPr>
        <w:t xml:space="preserve">también </w:t>
      </w:r>
      <w:r w:rsidRPr="00B07754">
        <w:rPr>
          <w:rFonts w:ascii="Times New Roman" w:hAnsi="Times New Roman"/>
          <w:sz w:val="24"/>
          <w:szCs w:val="24"/>
          <w:lang w:val="es-MX"/>
        </w:rPr>
        <w:t>puede llevar a más economías de escala que pueden constituir una fuerza que lleven a la consolidación y concentración</w:t>
      </w:r>
      <w:r w:rsidR="004160AB" w:rsidRPr="00B07754">
        <w:rPr>
          <w:rFonts w:ascii="Times New Roman" w:hAnsi="Times New Roman"/>
          <w:sz w:val="24"/>
          <w:szCs w:val="24"/>
          <w:lang w:val="es-MX"/>
        </w:rPr>
        <w:t>.</w:t>
      </w:r>
      <w:sdt>
        <w:sdtPr>
          <w:rPr>
            <w:rFonts w:ascii="Times New Roman" w:hAnsi="Times New Roman"/>
            <w:sz w:val="24"/>
            <w:szCs w:val="24"/>
            <w:lang w:val="es-MX"/>
          </w:rPr>
          <w:id w:val="832487265"/>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Nor04 \p 26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(Northcott, 2004, pág. 26)</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pStyle w:val="Ttulo5"/>
        <w:numPr>
          <w:ilvl w:val="3"/>
          <w:numId w:val="8"/>
        </w:numPr>
        <w:spacing w:before="0" w:after="200" w:line="360" w:lineRule="auto"/>
        <w:ind w:left="0" w:firstLine="0"/>
        <w:jc w:val="both"/>
        <w:rPr>
          <w:rFonts w:ascii="Times New Roman" w:hAnsi="Times New Roman"/>
          <w:i/>
          <w:sz w:val="24"/>
          <w:szCs w:val="24"/>
          <w:lang w:val="es-MX"/>
        </w:rPr>
      </w:pPr>
      <w:r w:rsidRPr="00B07754">
        <w:rPr>
          <w:rFonts w:ascii="Times New Roman" w:hAnsi="Times New Roman"/>
          <w:i/>
          <w:color w:val="auto"/>
          <w:sz w:val="24"/>
          <w:szCs w:val="24"/>
          <w:lang w:val="es-MX"/>
        </w:rPr>
        <w:lastRenderedPageBreak/>
        <w:t>Modelos de calificación de crédito e intercambio de información</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El avance en el procesamiento de la información y la ingeniería financiera han llevado a la proliferación de modelos de calificación de crédito.  Estos  modelos utilizan una variedad de información disponible sobre un prestatario para calcular una calificación que refleje su desempeño esperado en el pago del crédito. Si estos modelos se emplean en créditos para pequeños negocios poseen el potencial para incrementar la transparencia entre prestamistas. Consecuentemente se generan dos modelos que reducen las barreras de entrada y salida en el mercado crediticio. Primero, disminuyen los costos de transferencia de los prestamistas; y, segundo, reduce la dependencia en los créditos de relación e incrementan el crédito transaccional</w:t>
      </w:r>
      <w:r w:rsidRPr="00B07754">
        <w:rPr>
          <w:rStyle w:val="Refdenotaalpie"/>
          <w:rFonts w:ascii="Times New Roman" w:hAnsi="Times New Roman"/>
          <w:sz w:val="24"/>
          <w:szCs w:val="24"/>
          <w:lang w:val="es-MX"/>
        </w:rPr>
        <w:footnoteReference w:id="21"/>
      </w:r>
      <w:r w:rsidRPr="00B07754">
        <w:rPr>
          <w:rFonts w:ascii="Times New Roman" w:hAnsi="Times New Roman"/>
          <w:sz w:val="24"/>
          <w:szCs w:val="24"/>
          <w:lang w:val="es-MX"/>
        </w:rPr>
        <w:t>. La utilización de estos modelos genera un incremento en la cantidad de crédito ofertado y una disminución en las tasas de interés activas. Son pocos los estudios empíricos que abordan este tema. Un estudio en los Estados Unidos, en el cual se analizan los efectos que tiene la calificación de crédito para negocios pequeños, encuentra que la aplicación de estos modelos está asociada al incremento de la cantidad de crédito disponible, tasas de interés activas más altas y mayores niveles de riesgo para créditos de pequeños negocios por debajo de 100.000 USD. Estos resultados son consistentes con un incremento neto en los préstamos a “prestatarios marginales” quienes de otra manera no habrían recibido crédito</w:t>
      </w:r>
      <w:sdt>
        <w:sdtPr>
          <w:rPr>
            <w:rFonts w:ascii="Times New Roman" w:hAnsi="Times New Roman"/>
            <w:sz w:val="24"/>
            <w:szCs w:val="24"/>
            <w:lang w:val="es-MX"/>
          </w:rPr>
          <w:id w:val="172171267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Fra02 \p 2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(Frame, Miller, &amp; Berger, 2002, pág. 2)</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El intercambio de información a través de los burós de crédito incrementa la transparencia de los prestatarios y disminuye las barreras de entrada porque los nuevos prestamistas necesitan invertir menos en el desarrollo de relaciones para ser exitosos</w:t>
      </w:r>
      <w:sdt>
        <w:sdtPr>
          <w:rPr>
            <w:rFonts w:ascii="Times New Roman" w:hAnsi="Times New Roman"/>
            <w:sz w:val="24"/>
            <w:szCs w:val="24"/>
            <w:lang w:val="es-MX"/>
          </w:rPr>
          <w:id w:val="-167241557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Nor04 \p 28,29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(Northcott, 2004, págs. 28,29)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avances tecnológicos como los descritos tienen el potencial de influir en las economías de escala en la banca, barreras de entrada y el alcance geográfico del mercado. El resultado final del progreso tecnológico en la concentración y contestabilidad dependerá de factores específicos de la industria, como lo es la innovación tecnológica (cómo ésta es utilizada por los bancos), así como la velocidad a la cual la innovación se difunde a través del mercado. </w:t>
      </w:r>
    </w:p>
    <w:p w:rsidR="00B9634D" w:rsidRPr="00B07754" w:rsidRDefault="00B9634D" w:rsidP="002B5E62">
      <w:pPr>
        <w:pStyle w:val="Ttulo5"/>
        <w:numPr>
          <w:ilvl w:val="3"/>
          <w:numId w:val="8"/>
        </w:numPr>
        <w:spacing w:before="0" w:after="200" w:line="360" w:lineRule="auto"/>
        <w:ind w:left="0" w:firstLine="0"/>
        <w:jc w:val="both"/>
        <w:rPr>
          <w:rFonts w:ascii="Times New Roman" w:hAnsi="Times New Roman"/>
          <w:i/>
          <w:color w:val="auto"/>
          <w:sz w:val="24"/>
          <w:szCs w:val="24"/>
          <w:lang w:val="es-MX"/>
        </w:rPr>
      </w:pPr>
      <w:r w:rsidRPr="00B07754">
        <w:rPr>
          <w:rFonts w:ascii="Times New Roman" w:hAnsi="Times New Roman"/>
          <w:i/>
          <w:color w:val="auto"/>
          <w:sz w:val="24"/>
          <w:szCs w:val="24"/>
          <w:lang w:val="es-MX"/>
        </w:rPr>
        <w:lastRenderedPageBreak/>
        <w:t>Fusiones y participaciones de capital entre los participantes</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mejor manera para garantizar un comportamiento no agresivo entre rivales es incentivar su salida del mercado o eliminarlos a través de una fusión. El resultado inmediato de una fusión horizontal es la reducción del número actual de competidores. Si las estructuras de costos permanecen inalterables, las ganancias de los bancos se incrementan ya que el spread entre la tasa activa y pasiva se incrementa. El poder de mercado de las fusiones hace contrapeso con el efecto negativo en la eficiencia si la fusión reduce los costos promedios al permitir que se desarrollen economías de escala, eliminar y reducir costos o adoptar tecnologías que permitan el ahorro de costos. </w:t>
      </w:r>
      <w:sdt>
        <w:sdtPr>
          <w:rPr>
            <w:rFonts w:ascii="Times New Roman" w:hAnsi="Times New Roman"/>
            <w:sz w:val="24"/>
            <w:szCs w:val="24"/>
            <w:lang w:val="es-MX"/>
          </w:rPr>
          <w:id w:val="-23162224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25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(Canoy, van Dijik, Lemmen, de Moolj, &amp; Welgan , 2001, pág. 25)</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 </w:t>
      </w:r>
    </w:p>
    <w:p w:rsidR="00B9634D" w:rsidRPr="00B07754" w:rsidRDefault="00B9634D" w:rsidP="002B5E62">
      <w:pPr>
        <w:pStyle w:val="Ttulo3"/>
        <w:numPr>
          <w:ilvl w:val="1"/>
          <w:numId w:val="8"/>
        </w:numPr>
        <w:spacing w:before="0" w:after="200" w:line="360" w:lineRule="auto"/>
        <w:ind w:left="0" w:firstLine="0"/>
        <w:rPr>
          <w:rFonts w:ascii="Times New Roman" w:hAnsi="Times New Roman"/>
          <w:color w:val="auto"/>
          <w:sz w:val="24"/>
          <w:szCs w:val="24"/>
          <w:lang w:val="es-MX"/>
        </w:rPr>
      </w:pPr>
      <w:bookmarkStart w:id="18" w:name="_Toc372589962"/>
      <w:r w:rsidRPr="00B07754">
        <w:rPr>
          <w:rFonts w:ascii="Times New Roman" w:hAnsi="Times New Roman"/>
          <w:color w:val="auto"/>
          <w:sz w:val="24"/>
          <w:szCs w:val="24"/>
        </w:rPr>
        <w:t>Estabilidad financiera</w:t>
      </w:r>
      <w:bookmarkEnd w:id="18"/>
      <w:r w:rsidRPr="00B07754">
        <w:rPr>
          <w:rFonts w:ascii="Times New Roman" w:hAnsi="Times New Roman"/>
          <w:color w:val="auto"/>
          <w:sz w:val="24"/>
          <w:szCs w:val="24"/>
        </w:rPr>
        <w:t xml:space="preserve"> </w:t>
      </w:r>
    </w:p>
    <w:p w:rsidR="00B9634D" w:rsidRPr="00B07754" w:rsidRDefault="00B9634D" w:rsidP="002B5E62">
      <w:pPr>
        <w:autoSpaceDE w:val="0"/>
        <w:autoSpaceDN w:val="0"/>
        <w:adjustRightInd w:val="0"/>
        <w:spacing w:line="360" w:lineRule="auto"/>
        <w:jc w:val="both"/>
        <w:rPr>
          <w:rFonts w:ascii="Times New Roman" w:hAnsi="Times New Roman"/>
          <w:sz w:val="24"/>
          <w:szCs w:val="24"/>
          <w:lang w:eastAsia="es-MX"/>
        </w:rPr>
      </w:pPr>
      <w:r w:rsidRPr="00B07754">
        <w:rPr>
          <w:rFonts w:ascii="Times New Roman" w:hAnsi="Times New Roman"/>
          <w:sz w:val="24"/>
          <w:szCs w:val="24"/>
          <w:lang w:eastAsia="es-MX"/>
        </w:rPr>
        <w:t>Se define a la estabilidad financiera como la ausencia de un impacto adverso en la economía real proveniente de un mal funcionamiento en el sistema financiero o el riesgo que esto ocurra. En otras palabras, implica la ausencia de shocks con el potencial de causar un daño económico significativo, más allá de a un grupo limitado de clientes y sus contrapartes</w:t>
      </w:r>
      <w:sdt>
        <w:sdtPr>
          <w:rPr>
            <w:rFonts w:ascii="Times New Roman" w:hAnsi="Times New Roman"/>
            <w:sz w:val="24"/>
            <w:szCs w:val="24"/>
            <w:lang w:eastAsia="es-MX"/>
          </w:rPr>
          <w:id w:val="1474495019"/>
          <w:citation/>
        </w:sdtPr>
        <w:sdtEndPr/>
        <w:sdtContent>
          <w:r w:rsidRPr="00B07754">
            <w:rPr>
              <w:rFonts w:ascii="Times New Roman" w:hAnsi="Times New Roman"/>
              <w:sz w:val="24"/>
              <w:szCs w:val="24"/>
              <w:lang w:eastAsia="es-MX"/>
            </w:rPr>
            <w:fldChar w:fldCharType="begin"/>
          </w:r>
          <w:r w:rsidRPr="00B07754">
            <w:rPr>
              <w:rFonts w:ascii="Times New Roman" w:hAnsi="Times New Roman"/>
              <w:sz w:val="24"/>
              <w:szCs w:val="24"/>
              <w:lang w:eastAsia="es-MX"/>
            </w:rPr>
            <w:instrText xml:space="preserve">CITATION And97 \p 9,10 \l 12298 </w:instrText>
          </w:r>
          <w:r w:rsidRPr="00B07754">
            <w:rPr>
              <w:rFonts w:ascii="Times New Roman" w:hAnsi="Times New Roman"/>
              <w:sz w:val="24"/>
              <w:szCs w:val="24"/>
              <w:lang w:eastAsia="es-MX"/>
            </w:rPr>
            <w:fldChar w:fldCharType="separate"/>
          </w:r>
          <w:r w:rsidR="008A6D1D" w:rsidRPr="00B07754">
            <w:rPr>
              <w:rFonts w:ascii="Times New Roman" w:hAnsi="Times New Roman"/>
              <w:noProof/>
              <w:sz w:val="24"/>
              <w:szCs w:val="24"/>
              <w:lang w:eastAsia="es-MX"/>
            </w:rPr>
            <w:t xml:space="preserve"> (Crockett, 1997, págs. 9,10)</w:t>
          </w:r>
          <w:r w:rsidRPr="00B07754">
            <w:rPr>
              <w:rFonts w:ascii="Times New Roman" w:hAnsi="Times New Roman"/>
              <w:sz w:val="24"/>
              <w:szCs w:val="24"/>
              <w:lang w:eastAsia="es-MX"/>
            </w:rPr>
            <w:fldChar w:fldCharType="end"/>
          </w:r>
        </w:sdtContent>
      </w:sdt>
      <w:r w:rsidRPr="00B07754">
        <w:rPr>
          <w:rFonts w:ascii="Times New Roman" w:hAnsi="Times New Roman"/>
          <w:sz w:val="24"/>
          <w:szCs w:val="24"/>
          <w:lang w:eastAsia="es-MX"/>
        </w:rPr>
        <w:t xml:space="preserve">. </w:t>
      </w:r>
      <w:r w:rsidRPr="00B07754">
        <w:rPr>
          <w:rFonts w:ascii="Times New Roman" w:hAnsi="Times New Roman"/>
          <w:sz w:val="24"/>
          <w:szCs w:val="24"/>
          <w:lang w:val="es-MX" w:eastAsia="es-MX"/>
        </w:rPr>
        <w:t xml:space="preserve"> </w:t>
      </w:r>
      <w:r w:rsidRPr="00B07754">
        <w:rPr>
          <w:rFonts w:ascii="Times New Roman" w:hAnsi="Times New Roman"/>
          <w:sz w:val="24"/>
          <w:szCs w:val="24"/>
          <w:lang w:eastAsia="es-MX"/>
        </w:rPr>
        <w:t>El riesgo al que se hace referencia está compuesto de inestabilidad individual o sistémica. La inestabilidad individual hace referencia a la crisis de una institución en tanto que la crisis sistémica se refiere a un colapso en el mercado. La quiebra de un banco puede ser definida como un declive inusual en el valor de sus activos, lo que hace que el valor de liquidación de los mismos sea menor al de los depósitos, es decir sea insolvente. La solvencia de un banco está reflejada en el valor positivo de su patrimonio neto</w:t>
      </w:r>
      <w:r w:rsidRPr="00B07754">
        <w:rPr>
          <w:rStyle w:val="Refdenotaalpie"/>
          <w:rFonts w:ascii="Times New Roman" w:hAnsi="Times New Roman"/>
          <w:sz w:val="24"/>
          <w:szCs w:val="24"/>
          <w:lang w:eastAsia="es-MX"/>
        </w:rPr>
        <w:footnoteReference w:id="22"/>
      </w:r>
      <w:r w:rsidRPr="00B07754">
        <w:rPr>
          <w:rFonts w:ascii="Times New Roman" w:hAnsi="Times New Roman"/>
          <w:sz w:val="24"/>
          <w:szCs w:val="24"/>
          <w:lang w:eastAsia="es-MX"/>
        </w:rPr>
        <w:t>.  A su vez, un colapso de mercado puede ser definido como una inusual caída</w:t>
      </w:r>
      <w:r w:rsidR="002F1CBC" w:rsidRPr="00B07754">
        <w:rPr>
          <w:rFonts w:ascii="Times New Roman" w:hAnsi="Times New Roman"/>
          <w:sz w:val="24"/>
          <w:szCs w:val="24"/>
          <w:lang w:eastAsia="es-MX"/>
        </w:rPr>
        <w:t xml:space="preserve"> o alza</w:t>
      </w:r>
      <w:r w:rsidRPr="00B07754">
        <w:rPr>
          <w:rFonts w:ascii="Times New Roman" w:hAnsi="Times New Roman"/>
          <w:sz w:val="24"/>
          <w:szCs w:val="24"/>
          <w:lang w:eastAsia="es-MX"/>
        </w:rPr>
        <w:t xml:space="preserve"> de los precios</w:t>
      </w:r>
      <w:r w:rsidR="002F1CBC" w:rsidRPr="00B07754">
        <w:rPr>
          <w:rFonts w:ascii="Times New Roman" w:hAnsi="Times New Roman"/>
          <w:sz w:val="24"/>
          <w:szCs w:val="24"/>
          <w:lang w:eastAsia="es-MX"/>
        </w:rPr>
        <w:t xml:space="preserve"> dada la volatilidad propia del mercado.</w:t>
      </w:r>
      <w:r w:rsidRPr="00B07754">
        <w:rPr>
          <w:rFonts w:ascii="Times New Roman" w:hAnsi="Times New Roman"/>
          <w:sz w:val="24"/>
          <w:szCs w:val="24"/>
          <w:lang w:eastAsia="es-MX"/>
        </w:rPr>
        <w:t xml:space="preserve"> </w:t>
      </w:r>
      <w:sdt>
        <w:sdtPr>
          <w:rPr>
            <w:rFonts w:ascii="Times New Roman" w:hAnsi="Times New Roman"/>
            <w:sz w:val="24"/>
            <w:szCs w:val="24"/>
            <w:lang w:eastAsia="es-MX"/>
          </w:rPr>
          <w:id w:val="-2032407118"/>
          <w:citation/>
        </w:sdtPr>
        <w:sdtEndPr/>
        <w:sdtContent>
          <w:r w:rsidRPr="00B07754">
            <w:rPr>
              <w:rFonts w:ascii="Times New Roman" w:hAnsi="Times New Roman"/>
              <w:sz w:val="24"/>
              <w:szCs w:val="24"/>
              <w:lang w:eastAsia="es-MX"/>
            </w:rPr>
            <w:fldChar w:fldCharType="begin"/>
          </w:r>
          <w:r w:rsidRPr="00B07754">
            <w:rPr>
              <w:rFonts w:ascii="Times New Roman" w:hAnsi="Times New Roman"/>
              <w:sz w:val="24"/>
              <w:szCs w:val="24"/>
              <w:lang w:val="es-MX" w:eastAsia="es-MX"/>
            </w:rPr>
            <w:instrText xml:space="preserve">CITATION Can01 \p 33 \l 2058 </w:instrText>
          </w:r>
          <w:r w:rsidRPr="00B07754">
            <w:rPr>
              <w:rFonts w:ascii="Times New Roman" w:hAnsi="Times New Roman"/>
              <w:sz w:val="24"/>
              <w:szCs w:val="24"/>
              <w:lang w:eastAsia="es-MX"/>
            </w:rPr>
            <w:fldChar w:fldCharType="separate"/>
          </w:r>
          <w:r w:rsidR="008A6D1D" w:rsidRPr="00B07754">
            <w:rPr>
              <w:rFonts w:ascii="Times New Roman" w:hAnsi="Times New Roman"/>
              <w:noProof/>
              <w:sz w:val="24"/>
              <w:szCs w:val="24"/>
              <w:lang w:val="es-MX" w:eastAsia="es-MX"/>
            </w:rPr>
            <w:t>(Canoy, van Dijik, Lemmen, de Moolj, &amp; Welgan , 2001, pág. 33)</w:t>
          </w:r>
          <w:r w:rsidRPr="00B07754">
            <w:rPr>
              <w:rFonts w:ascii="Times New Roman" w:hAnsi="Times New Roman"/>
              <w:sz w:val="24"/>
              <w:szCs w:val="24"/>
              <w:lang w:eastAsia="es-MX"/>
            </w:rPr>
            <w:fldChar w:fldCharType="end"/>
          </w:r>
        </w:sdtContent>
      </w:sdt>
      <w:r w:rsidRPr="00B07754">
        <w:rPr>
          <w:rFonts w:ascii="Times New Roman" w:hAnsi="Times New Roman"/>
          <w:sz w:val="24"/>
          <w:szCs w:val="24"/>
          <w:lang w:eastAsia="es-MX"/>
        </w:rPr>
        <w:t>. El momento en el que los precios en el mercado financiero se mueven en valores mucho más grandes de los que pueden ser atribuidos a las leyes de oferta y demanda, se afecta negativamente a la economía, por lo que se puede decir que existe inestabilidad o crisis en el sistema financiero</w:t>
      </w:r>
      <w:sdt>
        <w:sdtPr>
          <w:rPr>
            <w:rFonts w:ascii="Times New Roman" w:hAnsi="Times New Roman"/>
            <w:sz w:val="24"/>
            <w:szCs w:val="24"/>
            <w:lang w:eastAsia="es-MX"/>
          </w:rPr>
          <w:id w:val="-2058387668"/>
          <w:citation/>
        </w:sdtPr>
        <w:sdtEndPr/>
        <w:sdtContent>
          <w:r w:rsidRPr="00B07754">
            <w:rPr>
              <w:rFonts w:ascii="Times New Roman" w:hAnsi="Times New Roman"/>
              <w:sz w:val="24"/>
              <w:szCs w:val="24"/>
              <w:lang w:eastAsia="es-MX"/>
            </w:rPr>
            <w:fldChar w:fldCharType="begin"/>
          </w:r>
          <w:r w:rsidRPr="00B07754">
            <w:rPr>
              <w:rFonts w:ascii="Times New Roman" w:hAnsi="Times New Roman"/>
              <w:sz w:val="24"/>
              <w:szCs w:val="24"/>
              <w:lang w:eastAsia="es-MX"/>
            </w:rPr>
            <w:instrText xml:space="preserve">CITATION And97 \p 10 \l 12298 </w:instrText>
          </w:r>
          <w:r w:rsidRPr="00B07754">
            <w:rPr>
              <w:rFonts w:ascii="Times New Roman" w:hAnsi="Times New Roman"/>
              <w:sz w:val="24"/>
              <w:szCs w:val="24"/>
              <w:lang w:eastAsia="es-MX"/>
            </w:rPr>
            <w:fldChar w:fldCharType="separate"/>
          </w:r>
          <w:r w:rsidR="008A6D1D" w:rsidRPr="00B07754">
            <w:rPr>
              <w:rFonts w:ascii="Times New Roman" w:hAnsi="Times New Roman"/>
              <w:noProof/>
              <w:sz w:val="24"/>
              <w:szCs w:val="24"/>
              <w:lang w:eastAsia="es-MX"/>
            </w:rPr>
            <w:t xml:space="preserve"> (Crockett, 1997, pág. 10)</w:t>
          </w:r>
          <w:r w:rsidRPr="00B07754">
            <w:rPr>
              <w:rFonts w:ascii="Times New Roman" w:hAnsi="Times New Roman"/>
              <w:sz w:val="24"/>
              <w:szCs w:val="24"/>
              <w:lang w:eastAsia="es-MX"/>
            </w:rPr>
            <w:fldChar w:fldCharType="end"/>
          </w:r>
        </w:sdtContent>
      </w:sdt>
      <w:r w:rsidRPr="00B07754">
        <w:rPr>
          <w:rFonts w:ascii="Times New Roman" w:hAnsi="Times New Roman"/>
          <w:sz w:val="24"/>
          <w:szCs w:val="24"/>
          <w:lang w:eastAsia="es-MX"/>
        </w:rPr>
        <w:t>.</w:t>
      </w:r>
    </w:p>
    <w:p w:rsidR="00B9634D" w:rsidRPr="00B07754" w:rsidRDefault="00B9634D" w:rsidP="002B5E62">
      <w:pPr>
        <w:autoSpaceDE w:val="0"/>
        <w:autoSpaceDN w:val="0"/>
        <w:adjustRightInd w:val="0"/>
        <w:spacing w:line="360" w:lineRule="auto"/>
        <w:jc w:val="both"/>
        <w:rPr>
          <w:rFonts w:ascii="Times New Roman" w:hAnsi="Times New Roman"/>
          <w:sz w:val="24"/>
          <w:szCs w:val="24"/>
          <w:lang w:eastAsia="es-MX"/>
        </w:rPr>
      </w:pPr>
      <w:r w:rsidRPr="00B07754">
        <w:rPr>
          <w:rFonts w:ascii="Times New Roman" w:hAnsi="Times New Roman"/>
          <w:sz w:val="24"/>
          <w:szCs w:val="24"/>
          <w:lang w:eastAsia="es-MX"/>
        </w:rPr>
        <w:t xml:space="preserve">La definición de estabilidad financiera o el riesgo de su ocurrencia puede ser aplicada tanto a las instituciones como a los mercados, por lo que es posible concluir que la estabilidad financiera requiere: a) que las instituciones claves en el sistema financiero sean estables, en </w:t>
      </w:r>
      <w:r w:rsidRPr="00B07754">
        <w:rPr>
          <w:rFonts w:ascii="Times New Roman" w:hAnsi="Times New Roman"/>
          <w:sz w:val="24"/>
          <w:szCs w:val="24"/>
          <w:lang w:eastAsia="es-MX"/>
        </w:rPr>
        <w:lastRenderedPageBreak/>
        <w:t>el sentido que exista un alto nivel de confianza de que éstas cumplirán las obligaciones adquiridas sin interrupc</w:t>
      </w:r>
      <w:r w:rsidR="002F1CBC" w:rsidRPr="00B07754">
        <w:rPr>
          <w:rFonts w:ascii="Times New Roman" w:hAnsi="Times New Roman"/>
          <w:sz w:val="24"/>
          <w:szCs w:val="24"/>
          <w:lang w:eastAsia="es-MX"/>
        </w:rPr>
        <w:t xml:space="preserve">ión y sin ayuda de un tercero; </w:t>
      </w:r>
      <w:r w:rsidRPr="00B07754">
        <w:rPr>
          <w:rFonts w:ascii="Times New Roman" w:hAnsi="Times New Roman"/>
          <w:sz w:val="24"/>
          <w:szCs w:val="24"/>
          <w:lang w:eastAsia="es-MX"/>
        </w:rPr>
        <w:t>b) que los mercados sean estables de manera que sus participantes puedan realizar transacciones con la seguridad que los precios reflejan la interacción de la demanda y la oferta y que no variarán sustancialmente en períodos cortos, cuando no se han presentado cambi</w:t>
      </w:r>
      <w:r w:rsidR="002F1CBC" w:rsidRPr="00B07754">
        <w:rPr>
          <w:rFonts w:ascii="Times New Roman" w:hAnsi="Times New Roman"/>
          <w:sz w:val="24"/>
          <w:szCs w:val="24"/>
          <w:lang w:eastAsia="es-MX"/>
        </w:rPr>
        <w:t xml:space="preserve">os fundamentales; y c) confianza de los depositantes en las instituciones financieras. </w:t>
      </w:r>
    </w:p>
    <w:p w:rsidR="00B9634D" w:rsidRPr="00B07754" w:rsidRDefault="00B9634D" w:rsidP="002B5E62">
      <w:pPr>
        <w:shd w:val="clear" w:color="auto" w:fill="FFFFFF"/>
        <w:spacing w:line="360" w:lineRule="auto"/>
        <w:jc w:val="both"/>
        <w:rPr>
          <w:rFonts w:ascii="Times New Roman" w:hAnsi="Times New Roman"/>
          <w:sz w:val="24"/>
          <w:szCs w:val="24"/>
          <w:lang w:val="es-MX" w:eastAsia="es-MX"/>
        </w:rPr>
      </w:pPr>
      <w:r w:rsidRPr="00B07754">
        <w:rPr>
          <w:rFonts w:ascii="Times New Roman" w:hAnsi="Times New Roman"/>
          <w:sz w:val="24"/>
          <w:szCs w:val="24"/>
          <w:lang w:val="es-MX" w:eastAsia="es-MX"/>
        </w:rPr>
        <w:t xml:space="preserve">El conocer qué instituciones son importantes para el sistema financiero lleva a preguntarse </w:t>
      </w:r>
      <w:r w:rsidR="00213C85" w:rsidRPr="00B07754">
        <w:rPr>
          <w:rFonts w:ascii="Times New Roman" w:hAnsi="Times New Roman"/>
          <w:sz w:val="24"/>
          <w:szCs w:val="24"/>
          <w:lang w:val="es-MX" w:eastAsia="es-MX"/>
        </w:rPr>
        <w:t>s</w:t>
      </w:r>
      <w:r w:rsidRPr="00B07754">
        <w:rPr>
          <w:rFonts w:ascii="Times New Roman" w:hAnsi="Times New Roman"/>
          <w:sz w:val="24"/>
          <w:szCs w:val="24"/>
          <w:lang w:val="es-MX" w:eastAsia="es-MX"/>
        </w:rPr>
        <w:t xml:space="preserve">i los bancos son especiales y si existen entidades “muy grandes para caer”. Son dos las razones por las cuales se establece que los bancos merecen un tratamiento especial para la preservación de la estabilidad financiera. La primera es que los pasivos de los bancos son reembolsables a la par </w:t>
      </w:r>
      <w:r w:rsidR="00921917" w:rsidRPr="00B07754">
        <w:rPr>
          <w:rFonts w:ascii="Times New Roman" w:hAnsi="Times New Roman"/>
          <w:sz w:val="24"/>
          <w:szCs w:val="24"/>
          <w:lang w:val="es-MX" w:eastAsia="es-MX"/>
        </w:rPr>
        <w:t>por lo que</w:t>
      </w:r>
      <w:r w:rsidRPr="00B07754">
        <w:rPr>
          <w:rFonts w:ascii="Times New Roman" w:hAnsi="Times New Roman"/>
          <w:sz w:val="24"/>
          <w:szCs w:val="24"/>
          <w:lang w:val="es-MX" w:eastAsia="es-MX"/>
        </w:rPr>
        <w:t xml:space="preserve"> en su mayor</w:t>
      </w:r>
      <w:r w:rsidR="00921917" w:rsidRPr="00B07754">
        <w:rPr>
          <w:rFonts w:ascii="Times New Roman" w:hAnsi="Times New Roman"/>
          <w:sz w:val="24"/>
          <w:szCs w:val="24"/>
          <w:lang w:val="es-MX" w:eastAsia="es-MX"/>
        </w:rPr>
        <w:t>ía</w:t>
      </w:r>
      <w:r w:rsidRPr="00B07754">
        <w:rPr>
          <w:rFonts w:ascii="Times New Roman" w:hAnsi="Times New Roman"/>
          <w:sz w:val="24"/>
          <w:szCs w:val="24"/>
          <w:lang w:val="es-MX" w:eastAsia="es-MX"/>
        </w:rPr>
        <w:t xml:space="preserve"> deben entregarse en el momento que sean demandados por los depositantes, mientras que los activos son  relativamente ilíquidos. Esta condición hace a los bancos más propensos a corridas que generen iliquidez e incluso insolvencia. La segunda es que los bancos son responsables de la operación del sistema de pagos, lo que implica que las dificultades de una institución serán transmitidas casi automáticamente al resto del sistema financiero, con el riesgo que los pagos del sistema podrían paralizarse</w:t>
      </w:r>
      <w:sdt>
        <w:sdtPr>
          <w:rPr>
            <w:rFonts w:ascii="Times New Roman" w:hAnsi="Times New Roman"/>
            <w:sz w:val="24"/>
            <w:szCs w:val="24"/>
            <w:lang w:val="es-MX" w:eastAsia="es-MX"/>
          </w:rPr>
          <w:id w:val="1905098982"/>
          <w:citation/>
        </w:sdtPr>
        <w:sdtEndPr/>
        <w:sdtContent>
          <w:r w:rsidRPr="00B07754">
            <w:rPr>
              <w:rFonts w:ascii="Times New Roman" w:hAnsi="Times New Roman"/>
              <w:sz w:val="24"/>
              <w:szCs w:val="24"/>
              <w:lang w:val="es-MX" w:eastAsia="es-MX"/>
            </w:rPr>
            <w:fldChar w:fldCharType="begin"/>
          </w:r>
          <w:r w:rsidRPr="00B07754">
            <w:rPr>
              <w:rFonts w:ascii="Times New Roman" w:hAnsi="Times New Roman"/>
              <w:sz w:val="24"/>
              <w:szCs w:val="24"/>
              <w:lang w:eastAsia="es-MX"/>
            </w:rPr>
            <w:instrText xml:space="preserve">CITATION And97 \p 10,11 \l 12298 </w:instrText>
          </w:r>
          <w:r w:rsidRPr="00B07754">
            <w:rPr>
              <w:rFonts w:ascii="Times New Roman" w:hAnsi="Times New Roman"/>
              <w:sz w:val="24"/>
              <w:szCs w:val="24"/>
              <w:lang w:val="es-MX" w:eastAsia="es-MX"/>
            </w:rPr>
            <w:fldChar w:fldCharType="separate"/>
          </w:r>
          <w:r w:rsidR="008A6D1D" w:rsidRPr="00B07754">
            <w:rPr>
              <w:rFonts w:ascii="Times New Roman" w:hAnsi="Times New Roman"/>
              <w:noProof/>
              <w:sz w:val="24"/>
              <w:szCs w:val="24"/>
              <w:lang w:eastAsia="es-MX"/>
            </w:rPr>
            <w:t xml:space="preserve"> (Crockett, 1997, págs. 10,11)</w:t>
          </w:r>
          <w:r w:rsidRPr="00B07754">
            <w:rPr>
              <w:rFonts w:ascii="Times New Roman" w:hAnsi="Times New Roman"/>
              <w:sz w:val="24"/>
              <w:szCs w:val="24"/>
              <w:lang w:val="es-MX" w:eastAsia="es-MX"/>
            </w:rPr>
            <w:fldChar w:fldCharType="end"/>
          </w:r>
        </w:sdtContent>
      </w:sdt>
      <w:r w:rsidRPr="00B07754">
        <w:rPr>
          <w:rFonts w:ascii="Times New Roman" w:hAnsi="Times New Roman"/>
          <w:sz w:val="24"/>
          <w:szCs w:val="24"/>
          <w:lang w:val="es-MX" w:eastAsia="es-MX"/>
        </w:rPr>
        <w:t xml:space="preserve"> </w:t>
      </w:r>
    </w:p>
    <w:p w:rsidR="00B9634D" w:rsidRPr="00B07754" w:rsidRDefault="00B9634D" w:rsidP="002B5E62">
      <w:pPr>
        <w:shd w:val="clear" w:color="auto" w:fill="FFFFFF"/>
        <w:spacing w:line="360" w:lineRule="auto"/>
        <w:jc w:val="both"/>
        <w:rPr>
          <w:rFonts w:ascii="Times New Roman" w:hAnsi="Times New Roman"/>
          <w:sz w:val="24"/>
          <w:szCs w:val="24"/>
          <w:lang w:eastAsia="es-MX"/>
        </w:rPr>
      </w:pPr>
      <w:r w:rsidRPr="00B07754">
        <w:rPr>
          <w:rFonts w:ascii="Times New Roman" w:hAnsi="Times New Roman"/>
          <w:sz w:val="24"/>
          <w:szCs w:val="24"/>
          <w:lang w:eastAsia="es-MX"/>
        </w:rPr>
        <w:t xml:space="preserve">Lo que podría distinguir al sistema financiero de otras áreas de actividad económica es su  potencial de desarrollar –en un periodo corto de tiempo- una inestabilidad problemática y eventualmente, en circunstancias extremas, una crisis. Esto surge como consecuencia de medidas preventivas tomadas por los individuos </w:t>
      </w:r>
      <w:r w:rsidR="00CB298D" w:rsidRPr="00B07754">
        <w:rPr>
          <w:rFonts w:ascii="Times New Roman" w:hAnsi="Times New Roman"/>
          <w:sz w:val="24"/>
          <w:szCs w:val="24"/>
          <w:lang w:eastAsia="es-MX"/>
        </w:rPr>
        <w:t xml:space="preserve">por desconfianza en el sistema </w:t>
      </w:r>
      <w:r w:rsidRPr="00B07754">
        <w:rPr>
          <w:rFonts w:ascii="Times New Roman" w:hAnsi="Times New Roman"/>
          <w:sz w:val="24"/>
          <w:szCs w:val="24"/>
          <w:lang w:eastAsia="es-MX"/>
        </w:rPr>
        <w:t xml:space="preserve">que pueden, en ciertas situaciones, tener el efecto de amplificar más la volatilidad que amortiguarla. </w:t>
      </w:r>
    </w:p>
    <w:p w:rsidR="00B9634D" w:rsidRPr="00B07754" w:rsidRDefault="00B9634D" w:rsidP="002B5E62">
      <w:pPr>
        <w:shd w:val="clear" w:color="auto" w:fill="FFFFFF"/>
        <w:spacing w:line="360" w:lineRule="auto"/>
        <w:jc w:val="both"/>
        <w:rPr>
          <w:rFonts w:ascii="Times New Roman" w:hAnsi="Times New Roman"/>
          <w:sz w:val="24"/>
          <w:szCs w:val="24"/>
          <w:lang w:eastAsia="es-MX"/>
        </w:rPr>
      </w:pPr>
      <w:r w:rsidRPr="00B07754">
        <w:rPr>
          <w:rFonts w:ascii="Times New Roman" w:hAnsi="Times New Roman"/>
          <w:sz w:val="24"/>
          <w:szCs w:val="24"/>
          <w:lang w:eastAsia="es-MX"/>
        </w:rPr>
        <w:t xml:space="preserve">El potencial de generación de inestabilidad financiera permite un mejor entendimiento de la razón por la que precautelar la estabilidad se considera una responsabilidad natural de política pública. En este sentido, los encargados de política tienen a su cargo evaluar el punto en el cual movimientos en los precios de los activos o en las posiciones financieras de los intermediarios pueden significar un riesgo al normal funcionamiento de la economía. Es fundamental entender la dinámica de los procesos dentro del sistema financiero puesto que los costos de los errores que puedan presentarse son altos. Asimismo es importante determinar una evaluación de las vías bajo las cuales la inestabilidad </w:t>
      </w:r>
      <w:r w:rsidRPr="00B07754">
        <w:rPr>
          <w:rFonts w:ascii="Times New Roman" w:hAnsi="Times New Roman"/>
          <w:sz w:val="24"/>
          <w:szCs w:val="24"/>
          <w:lang w:eastAsia="es-MX"/>
        </w:rPr>
        <w:lastRenderedPageBreak/>
        <w:t xml:space="preserve">financiera interactúa con la economía real para intensificar o moderar un shock inicial. </w:t>
      </w:r>
      <w:sdt>
        <w:sdtPr>
          <w:rPr>
            <w:rFonts w:ascii="Times New Roman" w:hAnsi="Times New Roman"/>
            <w:sz w:val="24"/>
            <w:szCs w:val="24"/>
            <w:lang w:eastAsia="es-MX"/>
          </w:rPr>
          <w:id w:val="1417740193"/>
          <w:citation/>
        </w:sdtPr>
        <w:sdtEndPr/>
        <w:sdtContent>
          <w:r w:rsidRPr="00B07754">
            <w:rPr>
              <w:rFonts w:ascii="Times New Roman" w:hAnsi="Times New Roman"/>
              <w:sz w:val="24"/>
              <w:szCs w:val="24"/>
              <w:lang w:eastAsia="es-MX"/>
            </w:rPr>
            <w:fldChar w:fldCharType="begin"/>
          </w:r>
          <w:r w:rsidRPr="00B07754">
            <w:rPr>
              <w:rFonts w:ascii="Times New Roman" w:hAnsi="Times New Roman"/>
              <w:sz w:val="24"/>
              <w:szCs w:val="24"/>
              <w:lang w:eastAsia="es-MX"/>
            </w:rPr>
            <w:instrText xml:space="preserve">CITATION And97 \p 12-14 \l 12298 </w:instrText>
          </w:r>
          <w:r w:rsidRPr="00B07754">
            <w:rPr>
              <w:rFonts w:ascii="Times New Roman" w:hAnsi="Times New Roman"/>
              <w:sz w:val="24"/>
              <w:szCs w:val="24"/>
              <w:lang w:eastAsia="es-MX"/>
            </w:rPr>
            <w:fldChar w:fldCharType="separate"/>
          </w:r>
          <w:r w:rsidR="008A6D1D" w:rsidRPr="00B07754">
            <w:rPr>
              <w:rFonts w:ascii="Times New Roman" w:hAnsi="Times New Roman"/>
              <w:noProof/>
              <w:sz w:val="24"/>
              <w:szCs w:val="24"/>
              <w:lang w:eastAsia="es-MX"/>
            </w:rPr>
            <w:t>(Crockett, 1997, págs. 12-14)</w:t>
          </w:r>
          <w:r w:rsidRPr="00B07754">
            <w:rPr>
              <w:rFonts w:ascii="Times New Roman" w:hAnsi="Times New Roman"/>
              <w:sz w:val="24"/>
              <w:szCs w:val="24"/>
              <w:lang w:eastAsia="es-MX"/>
            </w:rPr>
            <w:fldChar w:fldCharType="end"/>
          </w:r>
        </w:sdtContent>
      </w:sdt>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resumen, las razones por las cuales los problemas que se presentan en una firma financiera pueden ser motivo de preocupación de política pública pueden resumirse en las siguientes: </w:t>
      </w:r>
    </w:p>
    <w:p w:rsidR="00B9634D" w:rsidRPr="00B07754" w:rsidRDefault="00B9634D" w:rsidP="002B5E62">
      <w:pPr>
        <w:pStyle w:val="Prrafodelista"/>
        <w:numPr>
          <w:ilvl w:val="0"/>
          <w:numId w:val="7"/>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Las pérdidas para los depositantes y otros acreedores pueden agravarse  debido a la vulnerabilidad de las instituciones financieras a las corridas de fondos. </w:t>
      </w:r>
    </w:p>
    <w:p w:rsidR="00B9634D" w:rsidRPr="00B07754" w:rsidRDefault="00B9634D" w:rsidP="002B5E62">
      <w:pPr>
        <w:pStyle w:val="Prrafodelista"/>
        <w:numPr>
          <w:ilvl w:val="0"/>
          <w:numId w:val="7"/>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alcance de la expansión de las pérdidas a otras instituciones financieras a través de contagio o exposición directa es alta. </w:t>
      </w:r>
    </w:p>
    <w:p w:rsidR="00B9634D" w:rsidRPr="00B07754" w:rsidRDefault="00B9634D" w:rsidP="002B5E62">
      <w:pPr>
        <w:pStyle w:val="Prrafodelista"/>
        <w:numPr>
          <w:ilvl w:val="0"/>
          <w:numId w:val="7"/>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Pueden generarse costos adicionales en el presupuesto ante la necesidad de proteger a los depositantes o para rescatar instituciones que presenten problemas. </w:t>
      </w:r>
    </w:p>
    <w:p w:rsidR="00B9634D" w:rsidRPr="00B07754" w:rsidRDefault="00B9634D" w:rsidP="002B5E62">
      <w:pPr>
        <w:pStyle w:val="Prrafodelista"/>
        <w:numPr>
          <w:ilvl w:val="0"/>
          <w:numId w:val="7"/>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Existe la posibilidad que se profundicen las consecuencias macroeconómicas de la inestabilidad en el sector financiero. </w:t>
      </w:r>
    </w:p>
    <w:p w:rsidR="00B9634D" w:rsidRPr="00B07754" w:rsidRDefault="00B9634D" w:rsidP="002B5E62">
      <w:pPr>
        <w:pStyle w:val="Prrafodelista"/>
        <w:numPr>
          <w:ilvl w:val="0"/>
          <w:numId w:val="7"/>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Pérdida en la confianza en la intermediación financiera puede llevar a una recesión financiera que resulte en niveles por debajo de los óptimos y una mala asignación de la inversión.</w:t>
      </w:r>
      <w:sdt>
        <w:sdtPr>
          <w:rPr>
            <w:rFonts w:ascii="Times New Roman" w:hAnsi="Times New Roman"/>
            <w:sz w:val="24"/>
            <w:szCs w:val="24"/>
            <w:lang w:val="es-MX"/>
          </w:rPr>
          <w:id w:val="-2017832075"/>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rPr>
            <w:instrText xml:space="preserve">CITATION And97 \p 14 \l 12298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rPr>
            <w:t xml:space="preserve"> (Crockett, 1997, pág. 14)</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Un sistema financiero frágil dificulta a las autoridades medir si determinada política tendrá la efectividad esperada. Además la fragilidad financiera complica la interpretación  de los indicadores que se emplean para guiar las decisiones de política monetaria, sin contar que instituciones financieras débiles pueden limitar la disposición a otorgar crédito. En consecuencia, el desempeño de la toda la economía se ve afectada.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iCs/>
          <w:sz w:val="24"/>
          <w:szCs w:val="24"/>
          <w:lang w:val="es-MX"/>
        </w:rPr>
        <w:t xml:space="preserve">El momento que el sistema financiero presenta dificultades, los problemas pueden empeorar el desempeño macroeconómico. Los intermediarios más débiles restringen el crédito, las pérdidas en el sector financiero producen efectos negativos en el ingreso </w:t>
      </w:r>
      <w:r w:rsidR="00E576C3" w:rsidRPr="00B07754">
        <w:rPr>
          <w:rFonts w:ascii="Times New Roman" w:hAnsi="Times New Roman"/>
          <w:iCs/>
          <w:sz w:val="24"/>
          <w:szCs w:val="24"/>
          <w:lang w:val="es-MX"/>
        </w:rPr>
        <w:t>y/</w:t>
      </w:r>
      <w:r w:rsidRPr="00B07754">
        <w:rPr>
          <w:rFonts w:ascii="Times New Roman" w:hAnsi="Times New Roman"/>
          <w:iCs/>
          <w:sz w:val="24"/>
          <w:szCs w:val="24"/>
          <w:lang w:val="es-MX"/>
        </w:rPr>
        <w:t xml:space="preserve">o la riqueza, la incertidumbre generalizada inhibe la inversión y el sector público es a menudo </w:t>
      </w:r>
      <w:r w:rsidRPr="00B07754">
        <w:rPr>
          <w:rFonts w:ascii="Times New Roman" w:hAnsi="Times New Roman"/>
          <w:sz w:val="24"/>
          <w:szCs w:val="24"/>
          <w:lang w:val="es-MX"/>
        </w:rPr>
        <w:t>obligado a frenar el gasto real para ayudar a compensar el costo presupuestario del aumento de las transferencias.</w:t>
      </w:r>
      <w:sdt>
        <w:sdtPr>
          <w:rPr>
            <w:rFonts w:ascii="Times New Roman" w:hAnsi="Times New Roman"/>
            <w:sz w:val="24"/>
            <w:szCs w:val="24"/>
            <w:lang w:val="es-MX"/>
          </w:rPr>
          <w:id w:val="-205584142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rPr>
            <w:instrText xml:space="preserve">CITATION And97 \p 21 \l 12298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rPr>
            <w:t xml:space="preserve"> (Crockett, 1997, pág. 21)</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inestabilidad puede presentar también consecuencias adversas indirectas para el crecimiento potencial a largo plazo si la intermediación financiera se paraliza al perderse la confianza en la estabilidad de la cadena de intermediarios financieros. Si los prestatarios ya no confían en la continua estabilidad de las instituciones en las que han colocado sus </w:t>
      </w:r>
      <w:r w:rsidRPr="00B07754">
        <w:rPr>
          <w:rFonts w:ascii="Times New Roman" w:hAnsi="Times New Roman"/>
          <w:sz w:val="24"/>
          <w:szCs w:val="24"/>
          <w:lang w:val="es-MX"/>
        </w:rPr>
        <w:lastRenderedPageBreak/>
        <w:t xml:space="preserve">fondos, o en la integridad de los mercados en los que han invertido, los agentes buscaran reducir su exposición o colocar sus activos en otro lugar. Incluso, durante la crisis podrían escoger al consumo sobre el ahorro o podrían colocar sus ahorros en activos no productivos pero seguros –metales preciosos o bienes raíces, por ejemplo-. Si esto ocurre, la contribución del sector financiero en proveer métodos mejorados de valoración, administración del riesgo y en agregar liquidez y solvencia será disminuida. </w:t>
      </w:r>
    </w:p>
    <w:p w:rsidR="00B9634D" w:rsidRPr="00B07754" w:rsidRDefault="00B9634D" w:rsidP="002B5E62">
      <w:pPr>
        <w:spacing w:line="360" w:lineRule="auto"/>
        <w:jc w:val="both"/>
        <w:rPr>
          <w:rFonts w:ascii="Times New Roman" w:hAnsi="Times New Roman"/>
          <w:sz w:val="24"/>
          <w:szCs w:val="24"/>
        </w:rPr>
      </w:pPr>
      <w:r w:rsidRPr="00B07754">
        <w:rPr>
          <w:rFonts w:ascii="Times New Roman" w:hAnsi="Times New Roman"/>
          <w:sz w:val="24"/>
          <w:szCs w:val="24"/>
        </w:rPr>
        <w:t xml:space="preserve">La inestabilidad financiera debe ser considerada en términos de pérdidas esperadas, de manera que los hacedores de política puedan decidir sobre las medidas adecuadas de regulación y supervisión.  </w:t>
      </w:r>
      <w:r w:rsidRPr="00B07754">
        <w:rPr>
          <w:rFonts w:ascii="Times New Roman" w:hAnsi="Times New Roman"/>
          <w:sz w:val="24"/>
          <w:szCs w:val="24"/>
          <w:lang w:val="es-MX"/>
        </w:rPr>
        <w:t>Los bancos cumplen un rol importante en los mercados financieros ya que tienen la capacidad para participar en actividades productoras de información que facilitan la inversión productiva para la economía. Consecuentemente, un declive en la habilidad de los bancos para participar en la intermediación financiera y colocar fondos puede llevar directamente a una disminución en la inversión y la actividad agregada de la economía</w:t>
      </w:r>
      <w:sdt>
        <w:sdtPr>
          <w:rPr>
            <w:rFonts w:ascii="Times New Roman" w:hAnsi="Times New Roman"/>
            <w:sz w:val="24"/>
            <w:szCs w:val="24"/>
            <w:lang w:val="es-MX"/>
          </w:rPr>
          <w:id w:val="1532220886"/>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Fre971 \p 67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(Mishkin, 1997, pág. 67)</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w:t>
      </w:r>
      <w:r w:rsidRPr="00B07754" w:rsidDel="00B96263">
        <w:rPr>
          <w:rFonts w:ascii="Times New Roman" w:hAnsi="Times New Roman"/>
          <w:sz w:val="24"/>
          <w:szCs w:val="24"/>
          <w:lang w:val="es-MX"/>
        </w:rPr>
        <w:t xml:space="preserve"> </w:t>
      </w:r>
      <w:r w:rsidRPr="00B07754">
        <w:rPr>
          <w:rFonts w:ascii="Times New Roman" w:hAnsi="Times New Roman"/>
          <w:sz w:val="24"/>
          <w:szCs w:val="24"/>
          <w:lang w:val="es-MX"/>
        </w:rPr>
        <w:t xml:space="preserve">. </w:t>
      </w:r>
    </w:p>
    <w:p w:rsidR="00B9634D" w:rsidRPr="00B07754" w:rsidRDefault="00B9634D" w:rsidP="002B5E62">
      <w:pPr>
        <w:spacing w:line="360" w:lineRule="auto"/>
        <w:jc w:val="both"/>
        <w:rPr>
          <w:rFonts w:ascii="Times New Roman" w:hAnsi="Times New Roman"/>
          <w:sz w:val="24"/>
          <w:szCs w:val="24"/>
        </w:rPr>
      </w:pPr>
      <w:r w:rsidRPr="00B07754">
        <w:rPr>
          <w:rFonts w:ascii="Times New Roman" w:hAnsi="Times New Roman"/>
          <w:sz w:val="24"/>
          <w:szCs w:val="24"/>
        </w:rPr>
        <w:t xml:space="preserve">La inestabilidad financiera se presenta cuando los shocks en el sistema financiero interfieren con el flujo de información de manera que no es posible la canalización de fondos a aquellos agentes con oportunidades de inversión productivas. Sin acceso a estos fondos los individuos y firmas reducen su </w:t>
      </w:r>
      <w:r w:rsidR="00E576C3" w:rsidRPr="00B07754">
        <w:rPr>
          <w:rFonts w:ascii="Times New Roman" w:hAnsi="Times New Roman"/>
          <w:sz w:val="24"/>
          <w:szCs w:val="24"/>
        </w:rPr>
        <w:t>inversión</w:t>
      </w:r>
      <w:r w:rsidRPr="00B07754">
        <w:rPr>
          <w:rFonts w:ascii="Times New Roman" w:hAnsi="Times New Roman"/>
          <w:sz w:val="24"/>
          <w:szCs w:val="24"/>
        </w:rPr>
        <w:t>, contrayendo así la actividad económica</w:t>
      </w:r>
      <w:sdt>
        <w:sdtPr>
          <w:rPr>
            <w:rFonts w:ascii="Times New Roman" w:hAnsi="Times New Roman"/>
            <w:sz w:val="24"/>
            <w:szCs w:val="24"/>
          </w:rPr>
          <w:id w:val="-8757092"/>
          <w:citation/>
        </w:sdtPr>
        <w:sdtEndPr/>
        <w:sdtContent>
          <w:r w:rsidRPr="00B07754">
            <w:rPr>
              <w:rFonts w:ascii="Times New Roman" w:hAnsi="Times New Roman"/>
              <w:sz w:val="24"/>
              <w:szCs w:val="24"/>
            </w:rPr>
            <w:fldChar w:fldCharType="begin"/>
          </w:r>
          <w:r w:rsidRPr="00B07754">
            <w:rPr>
              <w:rFonts w:ascii="Times New Roman" w:hAnsi="Times New Roman"/>
              <w:sz w:val="24"/>
              <w:szCs w:val="24"/>
              <w:lang w:val="es-MX"/>
            </w:rPr>
            <w:instrText xml:space="preserve">CITATION Fre971 \p 62 \l 2058 </w:instrText>
          </w:r>
          <w:r w:rsidRPr="00B07754">
            <w:rPr>
              <w:rFonts w:ascii="Times New Roman" w:hAnsi="Times New Roman"/>
              <w:sz w:val="24"/>
              <w:szCs w:val="24"/>
            </w:rPr>
            <w:fldChar w:fldCharType="separate"/>
          </w:r>
          <w:r w:rsidR="008A6D1D" w:rsidRPr="00B07754">
            <w:rPr>
              <w:rFonts w:ascii="Times New Roman" w:hAnsi="Times New Roman"/>
              <w:noProof/>
              <w:sz w:val="24"/>
              <w:szCs w:val="24"/>
              <w:lang w:val="es-MX"/>
            </w:rPr>
            <w:t xml:space="preserve"> (Mishkin, 1997, pág. 62)</w:t>
          </w:r>
          <w:r w:rsidRPr="00B07754">
            <w:rPr>
              <w:rFonts w:ascii="Times New Roman" w:hAnsi="Times New Roman"/>
              <w:sz w:val="24"/>
              <w:szCs w:val="24"/>
            </w:rPr>
            <w:fldChar w:fldCharType="end"/>
          </w:r>
        </w:sdtContent>
      </w:sdt>
      <w:r w:rsidRPr="00B07754">
        <w:rPr>
          <w:rFonts w:ascii="Times New Roman" w:hAnsi="Times New Roman"/>
          <w:sz w:val="24"/>
          <w:szCs w:val="24"/>
        </w:rPr>
        <w:t xml:space="preserve">. </w:t>
      </w:r>
    </w:p>
    <w:p w:rsidR="00B9634D" w:rsidRPr="00B07754" w:rsidRDefault="00B9634D" w:rsidP="002B5E62">
      <w:pPr>
        <w:spacing w:line="360" w:lineRule="auto"/>
        <w:jc w:val="both"/>
        <w:rPr>
          <w:rFonts w:ascii="Times New Roman" w:hAnsi="Times New Roman"/>
          <w:sz w:val="24"/>
          <w:szCs w:val="24"/>
        </w:rPr>
      </w:pPr>
      <w:r w:rsidRPr="00B07754">
        <w:rPr>
          <w:rFonts w:ascii="Times New Roman" w:hAnsi="Times New Roman"/>
          <w:sz w:val="24"/>
          <w:szCs w:val="24"/>
        </w:rPr>
        <w:t xml:space="preserve">En resumen, la inestabilidad financiera engloba tres elementos importantes: </w:t>
      </w:r>
    </w:p>
    <w:p w:rsidR="00B9634D" w:rsidRPr="00B07754" w:rsidRDefault="00B9634D" w:rsidP="002B5E62">
      <w:pPr>
        <w:pStyle w:val="Prrafodelista"/>
        <w:numPr>
          <w:ilvl w:val="0"/>
          <w:numId w:val="9"/>
        </w:numPr>
        <w:spacing w:line="360" w:lineRule="auto"/>
        <w:jc w:val="both"/>
        <w:rPr>
          <w:rFonts w:ascii="Times New Roman" w:hAnsi="Times New Roman"/>
          <w:sz w:val="24"/>
          <w:szCs w:val="24"/>
        </w:rPr>
      </w:pPr>
      <w:r w:rsidRPr="00B07754">
        <w:rPr>
          <w:rFonts w:ascii="Times New Roman" w:hAnsi="Times New Roman"/>
          <w:sz w:val="24"/>
          <w:szCs w:val="24"/>
        </w:rPr>
        <w:t>Shocks individuales o sistémicos</w:t>
      </w:r>
    </w:p>
    <w:p w:rsidR="00B9634D" w:rsidRPr="00B07754" w:rsidRDefault="00B9634D" w:rsidP="002B5E62">
      <w:pPr>
        <w:pStyle w:val="Prrafodelista"/>
        <w:numPr>
          <w:ilvl w:val="0"/>
          <w:numId w:val="9"/>
        </w:numPr>
        <w:spacing w:line="360" w:lineRule="auto"/>
        <w:jc w:val="both"/>
        <w:rPr>
          <w:rFonts w:ascii="Times New Roman" w:hAnsi="Times New Roman"/>
          <w:sz w:val="24"/>
          <w:szCs w:val="24"/>
        </w:rPr>
      </w:pPr>
      <w:r w:rsidRPr="00B07754">
        <w:rPr>
          <w:rFonts w:ascii="Times New Roman" w:hAnsi="Times New Roman"/>
          <w:sz w:val="24"/>
          <w:szCs w:val="24"/>
        </w:rPr>
        <w:t xml:space="preserve">El medio a través del cual los shocks se propagan de una institución financiera o de un mercado a otros.  Dicha propagación puede darse por varios canales como por ejemplo sistemas de pago, mercados interbancarios, flujos de crédito, entre otros. </w:t>
      </w:r>
    </w:p>
    <w:p w:rsidR="00B9634D" w:rsidRPr="00B07754" w:rsidRDefault="00B9634D" w:rsidP="002B5E62">
      <w:pPr>
        <w:pStyle w:val="Prrafodelista"/>
        <w:numPr>
          <w:ilvl w:val="0"/>
          <w:numId w:val="9"/>
        </w:numPr>
        <w:spacing w:line="360" w:lineRule="auto"/>
        <w:jc w:val="both"/>
        <w:rPr>
          <w:rFonts w:ascii="Times New Roman" w:hAnsi="Times New Roman"/>
          <w:sz w:val="24"/>
          <w:szCs w:val="24"/>
        </w:rPr>
      </w:pPr>
      <w:r w:rsidRPr="00B07754">
        <w:rPr>
          <w:rFonts w:ascii="Times New Roman" w:hAnsi="Times New Roman"/>
          <w:sz w:val="24"/>
          <w:szCs w:val="24"/>
        </w:rPr>
        <w:t>Impacto de los shocks, es decir externalidades negativas que se generan durante una crisis y que se presentan en forma de pérdidas sociales y privadas</w:t>
      </w:r>
      <w:sdt>
        <w:sdtPr>
          <w:rPr>
            <w:rFonts w:ascii="Times New Roman" w:hAnsi="Times New Roman"/>
            <w:sz w:val="24"/>
            <w:szCs w:val="24"/>
          </w:rPr>
          <w:id w:val="-10532896"/>
          <w:citation/>
        </w:sdtPr>
        <w:sdtEndPr/>
        <w:sdtContent>
          <w:r w:rsidRPr="00B07754">
            <w:rPr>
              <w:rFonts w:ascii="Times New Roman" w:hAnsi="Times New Roman"/>
              <w:sz w:val="24"/>
              <w:szCs w:val="24"/>
            </w:rPr>
            <w:fldChar w:fldCharType="begin"/>
          </w:r>
          <w:r w:rsidRPr="00B07754">
            <w:rPr>
              <w:rFonts w:ascii="Times New Roman" w:hAnsi="Times New Roman"/>
              <w:sz w:val="24"/>
              <w:szCs w:val="24"/>
              <w:lang w:val="es-MX"/>
            </w:rPr>
            <w:instrText xml:space="preserve">CITATION Can01 \p "37 y 38" \l 2058 </w:instrText>
          </w:r>
          <w:r w:rsidRPr="00B07754">
            <w:rPr>
              <w:rFonts w:ascii="Times New Roman" w:hAnsi="Times New Roman"/>
              <w:sz w:val="24"/>
              <w:szCs w:val="24"/>
            </w:rPr>
            <w:fldChar w:fldCharType="separate"/>
          </w:r>
          <w:r w:rsidR="008A6D1D" w:rsidRPr="00B07754">
            <w:rPr>
              <w:rFonts w:ascii="Times New Roman" w:hAnsi="Times New Roman"/>
              <w:noProof/>
              <w:sz w:val="24"/>
              <w:szCs w:val="24"/>
              <w:lang w:val="es-MX"/>
            </w:rPr>
            <w:t xml:space="preserve"> (Canoy, van Dijik, Lemmen, de Moolj, &amp; Welgan , 2001, pág. 37 y 38)</w:t>
          </w:r>
          <w:r w:rsidRPr="00B07754">
            <w:rPr>
              <w:rFonts w:ascii="Times New Roman" w:hAnsi="Times New Roman"/>
              <w:sz w:val="24"/>
              <w:szCs w:val="24"/>
            </w:rPr>
            <w:fldChar w:fldCharType="end"/>
          </w:r>
        </w:sdtContent>
      </w:sdt>
      <w:r w:rsidRPr="00B07754">
        <w:rPr>
          <w:rFonts w:ascii="Times New Roman" w:hAnsi="Times New Roman"/>
          <w:sz w:val="24"/>
          <w:szCs w:val="24"/>
        </w:rPr>
        <w:t xml:space="preserve">. </w:t>
      </w:r>
    </w:p>
    <w:p w:rsidR="00B9634D" w:rsidRPr="00B07754" w:rsidRDefault="00B9634D" w:rsidP="002B5E62">
      <w:pPr>
        <w:pStyle w:val="Ttulo3"/>
        <w:numPr>
          <w:ilvl w:val="1"/>
          <w:numId w:val="8"/>
        </w:numPr>
        <w:spacing w:before="0" w:after="200" w:line="360" w:lineRule="auto"/>
        <w:ind w:left="0" w:firstLine="0"/>
        <w:rPr>
          <w:rFonts w:ascii="Times New Roman" w:hAnsi="Times New Roman"/>
          <w:color w:val="auto"/>
          <w:sz w:val="24"/>
          <w:szCs w:val="24"/>
        </w:rPr>
      </w:pPr>
      <w:bookmarkStart w:id="19" w:name="_Toc372589963"/>
      <w:r w:rsidRPr="00B07754">
        <w:rPr>
          <w:rFonts w:ascii="Times New Roman" w:hAnsi="Times New Roman"/>
          <w:color w:val="auto"/>
          <w:sz w:val="24"/>
          <w:szCs w:val="24"/>
        </w:rPr>
        <w:t>Importancia de la regulación en la banca</w:t>
      </w:r>
      <w:bookmarkEnd w:id="19"/>
    </w:p>
    <w:p w:rsidR="00B9634D" w:rsidRPr="00B07754" w:rsidRDefault="00B9634D" w:rsidP="002B5E62">
      <w:pPr>
        <w:shd w:val="clear" w:color="auto" w:fill="FFFFFF"/>
        <w:spacing w:line="360" w:lineRule="auto"/>
        <w:jc w:val="both"/>
        <w:rPr>
          <w:rFonts w:ascii="Times New Roman" w:hAnsi="Times New Roman"/>
          <w:sz w:val="24"/>
          <w:szCs w:val="24"/>
          <w:lang w:eastAsia="es-MX"/>
        </w:rPr>
      </w:pPr>
      <w:r w:rsidRPr="00B07754">
        <w:rPr>
          <w:rFonts w:ascii="Times New Roman" w:hAnsi="Times New Roman"/>
          <w:sz w:val="24"/>
          <w:szCs w:val="24"/>
          <w:lang w:eastAsia="es-MX"/>
        </w:rPr>
        <w:t xml:space="preserve">No hay duda que la estabilidad financiera es beneficiosa para cualquier economía puesto que crea un ambiente más favorable para ahorristas e inversionistas para la realización de contratos inter-temporales, refuerza la eficiencia de la intermediación financiera y ayuda a </w:t>
      </w:r>
      <w:r w:rsidRPr="00B07754">
        <w:rPr>
          <w:rFonts w:ascii="Times New Roman" w:hAnsi="Times New Roman"/>
          <w:sz w:val="24"/>
          <w:szCs w:val="24"/>
          <w:lang w:eastAsia="es-MX"/>
        </w:rPr>
        <w:lastRenderedPageBreak/>
        <w:t xml:space="preserve">mejorar la asignación de recursos. De igual manera, provee un mejor ambiente para la implementación de la política macroeconómica. Por otra parte, la inestabilidad puede generar consecuencias perjudiciales, desde los costos fiscales de los rescates a instituciones con problemas hasta las pérdidas en el producto nacional bruto real asociadas con las crisis bancarias y monetarias. </w:t>
      </w:r>
    </w:p>
    <w:p w:rsidR="00B9634D" w:rsidRPr="00B07754" w:rsidRDefault="00B9634D" w:rsidP="002B5E62">
      <w:pPr>
        <w:shd w:val="clear" w:color="auto" w:fill="FFFFFF"/>
        <w:spacing w:line="360" w:lineRule="auto"/>
        <w:jc w:val="both"/>
        <w:rPr>
          <w:rFonts w:ascii="Times New Roman" w:hAnsi="Times New Roman"/>
          <w:sz w:val="24"/>
          <w:szCs w:val="24"/>
          <w:lang w:val="es-MX" w:eastAsia="es-MX"/>
        </w:rPr>
      </w:pPr>
      <w:r w:rsidRPr="00B07754">
        <w:rPr>
          <w:rFonts w:ascii="Times New Roman" w:hAnsi="Times New Roman"/>
          <w:sz w:val="24"/>
          <w:szCs w:val="24"/>
          <w:lang w:val="es-MX"/>
        </w:rPr>
        <w:t>Las crisis que han ocurrido en los sistemas financieros han demostrado el vínculo estrecho entre la estabilidad financiera y la salud de la economía real</w:t>
      </w:r>
      <w:sdt>
        <w:sdtPr>
          <w:rPr>
            <w:rFonts w:ascii="Times New Roman" w:hAnsi="Times New Roman"/>
            <w:sz w:val="24"/>
            <w:szCs w:val="24"/>
            <w:lang w:val="es-MX"/>
          </w:rPr>
          <w:id w:val="51643979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rPr>
            <w:instrText xml:space="preserve">CITATION And97 \p 8 \l 12298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rPr>
            <w:t xml:space="preserve"> (Crockett, 1997, pág. 8)</w:t>
          </w:r>
          <w:r w:rsidRPr="00B07754">
            <w:rPr>
              <w:rFonts w:ascii="Times New Roman" w:hAnsi="Times New Roman"/>
              <w:sz w:val="24"/>
              <w:szCs w:val="24"/>
              <w:lang w:val="es-MX"/>
            </w:rPr>
            <w:fldChar w:fldCharType="end"/>
          </w:r>
        </w:sdtContent>
      </w:sdt>
      <w:r w:rsidRPr="00B07754">
        <w:rPr>
          <w:rFonts w:ascii="Times New Roman" w:hAnsi="Times New Roman"/>
          <w:sz w:val="24"/>
          <w:szCs w:val="24"/>
        </w:rPr>
        <w:t xml:space="preserve">. </w:t>
      </w:r>
      <w:r w:rsidRPr="00B07754">
        <w:rPr>
          <w:rFonts w:ascii="Times New Roman" w:hAnsi="Times New Roman"/>
          <w:sz w:val="24"/>
          <w:szCs w:val="24"/>
          <w:lang w:val="es-MX" w:eastAsia="es-MX"/>
        </w:rPr>
        <w:t xml:space="preserve">Para la estabilidad financiera, es fundamental  la supervisión y regulación del sistema bancario y, por lo tanto debe ser una de las prioridades para los hacedores de política. Las razones por las cuales se justifica la regulación en el sistema bancario son: </w:t>
      </w:r>
    </w:p>
    <w:p w:rsidR="00B9634D" w:rsidRPr="00B07754" w:rsidRDefault="00B9634D" w:rsidP="002B5E62">
      <w:pPr>
        <w:pStyle w:val="Prrafodelista"/>
        <w:numPr>
          <w:ilvl w:val="0"/>
          <w:numId w:val="6"/>
        </w:numPr>
        <w:shd w:val="clear" w:color="auto" w:fill="FFFFFF"/>
        <w:spacing w:line="360" w:lineRule="auto"/>
        <w:jc w:val="both"/>
        <w:rPr>
          <w:rFonts w:ascii="Times New Roman" w:hAnsi="Times New Roman"/>
          <w:sz w:val="24"/>
          <w:szCs w:val="24"/>
          <w:lang w:val="es-MX"/>
        </w:rPr>
      </w:pPr>
      <w:r w:rsidRPr="00B07754">
        <w:rPr>
          <w:rFonts w:ascii="Times New Roman" w:hAnsi="Times New Roman"/>
          <w:sz w:val="24"/>
          <w:szCs w:val="24"/>
          <w:lang w:val="es-MX" w:eastAsia="es-MX"/>
        </w:rPr>
        <w:t xml:space="preserve">Al ser los bancos los principales operadores del sistema de pagos de la economía, la quiebra de un banco genera externalidades que son detonantes para las corridas bancarias y la interrupción del sistema de pagos. </w:t>
      </w:r>
    </w:p>
    <w:p w:rsidR="00B9634D" w:rsidRPr="00B07754" w:rsidRDefault="00B9634D" w:rsidP="002B5E62">
      <w:pPr>
        <w:pStyle w:val="Prrafodelista"/>
        <w:numPr>
          <w:ilvl w:val="0"/>
          <w:numId w:val="6"/>
        </w:numPr>
        <w:shd w:val="clear" w:color="auto" w:fill="FFFFFF"/>
        <w:spacing w:line="360" w:lineRule="auto"/>
        <w:jc w:val="both"/>
        <w:rPr>
          <w:rFonts w:ascii="Times New Roman" w:hAnsi="Times New Roman"/>
          <w:sz w:val="24"/>
          <w:szCs w:val="24"/>
          <w:lang w:val="es-MX"/>
        </w:rPr>
      </w:pPr>
      <w:r w:rsidRPr="00B07754">
        <w:rPr>
          <w:rFonts w:ascii="Times New Roman" w:hAnsi="Times New Roman"/>
          <w:sz w:val="24"/>
          <w:szCs w:val="24"/>
          <w:lang w:val="es-MX" w:eastAsia="es-MX"/>
        </w:rPr>
        <w:t>Un seguro estatal de depósitos trae consigo el problema de riesgo moral por lo que es importante la delimitación del  nivel de riesgo que asumen los bancos.</w:t>
      </w:r>
    </w:p>
    <w:p w:rsidR="00B9634D" w:rsidRPr="00B07754" w:rsidRDefault="00B9634D" w:rsidP="002B5E62">
      <w:pPr>
        <w:pStyle w:val="Prrafodelista"/>
        <w:numPr>
          <w:ilvl w:val="0"/>
          <w:numId w:val="6"/>
        </w:numPr>
        <w:shd w:val="clear" w:color="auto" w:fill="FFFFFF"/>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bancos se endeudan directamente con el público razón por la que no pueden tener total libertad de acción con los fondos captados. </w:t>
      </w:r>
    </w:p>
    <w:p w:rsidR="00B9634D" w:rsidRPr="00B07754" w:rsidRDefault="00B9634D" w:rsidP="002B5E62">
      <w:pPr>
        <w:pStyle w:val="Prrafodelista"/>
        <w:numPr>
          <w:ilvl w:val="0"/>
          <w:numId w:val="6"/>
        </w:numPr>
        <w:shd w:val="clear" w:color="auto" w:fill="FFFFFF"/>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nivel de apalancamiento es muy alto por lo que se debe evitar la toma de riesgo excesiva. </w:t>
      </w:r>
    </w:p>
    <w:p w:rsidR="00B9634D" w:rsidRPr="00B07754" w:rsidRDefault="00B9634D" w:rsidP="002B5E62">
      <w:pPr>
        <w:pStyle w:val="Prrafodelista"/>
        <w:numPr>
          <w:ilvl w:val="0"/>
          <w:numId w:val="6"/>
        </w:numPr>
        <w:shd w:val="clear" w:color="auto" w:fill="FFFFFF"/>
        <w:spacing w:line="360" w:lineRule="auto"/>
        <w:jc w:val="both"/>
        <w:rPr>
          <w:rFonts w:ascii="Times New Roman" w:hAnsi="Times New Roman"/>
          <w:sz w:val="24"/>
          <w:szCs w:val="24"/>
          <w:lang w:val="es-MX"/>
        </w:rPr>
      </w:pPr>
      <w:r w:rsidRPr="00B07754">
        <w:rPr>
          <w:rFonts w:ascii="Times New Roman" w:hAnsi="Times New Roman"/>
          <w:sz w:val="24"/>
          <w:szCs w:val="24"/>
          <w:lang w:val="es-MX"/>
        </w:rPr>
        <w:t>Si no existe una clara separación entre actividades bancarias y no bancarias podrían surgir conflictos de interés que podrían incentivar al banco a tomar riesgos excesivos que perjudiquen a sus depositantes</w:t>
      </w:r>
      <w:r w:rsidR="001D42C9" w:rsidRPr="00B07754">
        <w:rPr>
          <w:rFonts w:ascii="Times New Roman" w:hAnsi="Times New Roman"/>
          <w:sz w:val="24"/>
          <w:szCs w:val="24"/>
          <w:lang w:val="es-MX"/>
        </w:rPr>
        <w:t>”</w:t>
      </w:r>
      <w:sdt>
        <w:sdtPr>
          <w:rPr>
            <w:rFonts w:ascii="Times New Roman" w:hAnsi="Times New Roman"/>
            <w:sz w:val="24"/>
            <w:szCs w:val="24"/>
            <w:lang w:val="es-MX"/>
          </w:rPr>
          <w:id w:val="-147736240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Rei1 \p 105,106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(Reinstein &amp; Vergara, págs. 105,106)</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B9634D" w:rsidRPr="00B07754" w:rsidRDefault="00B9634D" w:rsidP="002B5E62">
      <w:pPr>
        <w:shd w:val="clear" w:color="auto" w:fill="FFFFFF"/>
        <w:spacing w:line="360" w:lineRule="auto"/>
        <w:jc w:val="both"/>
        <w:rPr>
          <w:rFonts w:ascii="Times New Roman" w:hAnsi="Times New Roman"/>
          <w:sz w:val="24"/>
          <w:szCs w:val="24"/>
          <w:lang w:eastAsia="es-MX"/>
        </w:rPr>
      </w:pPr>
      <w:r w:rsidRPr="00B07754">
        <w:rPr>
          <w:rFonts w:ascii="Times New Roman" w:hAnsi="Times New Roman"/>
          <w:sz w:val="24"/>
          <w:szCs w:val="24"/>
          <w:lang w:val="es-MX"/>
        </w:rPr>
        <w:t>La fragilidad radica en que los depósitos que el banco mantiene a la vista pueden ser retirados al mismo tiempo, mientras que los correspondientes activos, al no contar con la liquidez necesaria, imposibilitan el pago de todos los montos demandados. El momento que esto ocurre los tenedores de los depósitos a plazo no los renovarán, incrementando el monto de liquidez necesaria e insatisfecha.  El no poder cumplir con los requerimientos de efectivo genera una corrida bancaria y el problema de esta situación es que tiene efectos a nivel de toda la economía, ya que se pueden paralizar gran cantidad de transacciones. De esta manera, un problema inicial de iliquidez puede convertirse en insolvencia y en fuertes reducciones del producto interno bruto</w:t>
      </w:r>
      <w:sdt>
        <w:sdtPr>
          <w:rPr>
            <w:rFonts w:ascii="Times New Roman" w:hAnsi="Times New Roman"/>
            <w:sz w:val="24"/>
            <w:szCs w:val="24"/>
            <w:lang w:val="es-MX"/>
          </w:rPr>
          <w:id w:val="154772236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Rei1 \p 107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(Reinstein &amp; Vergara, pág. 107)</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r w:rsidRPr="00B07754">
        <w:rPr>
          <w:rFonts w:ascii="Times New Roman" w:hAnsi="Times New Roman"/>
          <w:sz w:val="24"/>
          <w:szCs w:val="24"/>
          <w:lang w:eastAsia="es-MX"/>
        </w:rPr>
        <w:t xml:space="preserve">Para la toma de </w:t>
      </w:r>
      <w:r w:rsidRPr="00B07754">
        <w:rPr>
          <w:rFonts w:ascii="Times New Roman" w:hAnsi="Times New Roman"/>
          <w:sz w:val="24"/>
          <w:szCs w:val="24"/>
          <w:lang w:eastAsia="es-MX"/>
        </w:rPr>
        <w:lastRenderedPageBreak/>
        <w:t xml:space="preserve">decisiones de política que permitan promover la estabilidad financiera se debe tener presente que ésta no debe ser confundida con rigidez, razón por la que los precios del mercado deben moverse siguiendo las leyes de oferta y demanda. La clave para la estabilidad es ceder la flexibilidad necesaria a los precios de mercado y sus estructuras, sin crear inestabilidad con consecuencias negativas en la confianza y en el normal funcionamiento de la economía real.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imponer al sistema bancario regulaciones muy estrictas puede reducir la probabilidad de quiebra de un banco a niveles muy bajos, es posible que las medidas reduzcan la eficiencia en la intermediación financiera – imposición de costos en los clientes-, impedir la innovación; y afectar el desempeño de la economía. </w:t>
      </w:r>
      <w:sdt>
        <w:sdtPr>
          <w:rPr>
            <w:rFonts w:ascii="Times New Roman" w:hAnsi="Times New Roman"/>
            <w:sz w:val="24"/>
            <w:szCs w:val="24"/>
            <w:lang w:val="es-MX"/>
          </w:rPr>
          <w:id w:val="147951818"/>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Fre97 \p 258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(Freixas &amp; Rochet, 1997, pág. 258)</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Es importante que antes de la promulgación de una decisión de política se investiguen los costos de la regulación para ponderarlos sobre los beneficios potenciales que generaría. Por esta razón es que </w:t>
      </w:r>
      <w:proofErr w:type="spellStart"/>
      <w:r w:rsidRPr="00B07754">
        <w:rPr>
          <w:rFonts w:ascii="Times New Roman" w:hAnsi="Times New Roman"/>
          <w:sz w:val="24"/>
          <w:szCs w:val="24"/>
          <w:lang w:val="es-MX"/>
        </w:rPr>
        <w:t>Goodhart</w:t>
      </w:r>
      <w:proofErr w:type="spellEnd"/>
      <w:r w:rsidRPr="00B07754">
        <w:rPr>
          <w:rFonts w:ascii="Times New Roman" w:hAnsi="Times New Roman"/>
          <w:sz w:val="24"/>
          <w:szCs w:val="24"/>
          <w:lang w:val="es-MX"/>
        </w:rPr>
        <w:t xml:space="preserve"> (1998) argumenta que una intervención gubernamental es justificada dependiendo de las circunstancias bajo las cuales el sector privado produce por sí solo las falencias de mercado, mismas que son más graves que las que provienen de la regulación del sector público. </w:t>
      </w:r>
    </w:p>
    <w:p w:rsidR="00B9634D" w:rsidRPr="00B07754" w:rsidRDefault="00B9634D"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eastAsia="es-MX"/>
        </w:rPr>
        <w:t>La estabilidad financiera es un bien público en el sentido en que los consumidores –usuarios de los servicios financieros- no deben privar a otros de la posibilidad de beneficiarse de ellos. En este sentido, las autoridades públicas tienen interés en que la oferta</w:t>
      </w:r>
      <w:r w:rsidR="00463FA9" w:rsidRPr="00B07754">
        <w:rPr>
          <w:rFonts w:ascii="Times New Roman" w:hAnsi="Times New Roman"/>
          <w:sz w:val="24"/>
          <w:szCs w:val="24"/>
          <w:lang w:val="es-MX" w:eastAsia="es-MX"/>
        </w:rPr>
        <w:t xml:space="preserve"> de crédito</w:t>
      </w:r>
      <w:r w:rsidRPr="00B07754">
        <w:rPr>
          <w:rFonts w:ascii="Times New Roman" w:hAnsi="Times New Roman"/>
          <w:sz w:val="24"/>
          <w:szCs w:val="24"/>
          <w:lang w:val="es-MX" w:eastAsia="es-MX"/>
        </w:rPr>
        <w:t xml:space="preserve"> esté dada por la cantidad apropiada. No obstante, esto no quiere decir que las autoridades deben necesariamente intervenir en los mercados financieros con la finalidad de promover la estabilidad.</w:t>
      </w:r>
      <w:sdt>
        <w:sdtPr>
          <w:rPr>
            <w:rFonts w:ascii="Times New Roman" w:hAnsi="Times New Roman"/>
            <w:sz w:val="24"/>
            <w:szCs w:val="24"/>
            <w:lang w:val="es-MX" w:eastAsia="es-MX"/>
          </w:rPr>
          <w:id w:val="-749498045"/>
          <w:citation/>
        </w:sdtPr>
        <w:sdtEndPr/>
        <w:sdtContent>
          <w:r w:rsidRPr="00B07754">
            <w:rPr>
              <w:rFonts w:ascii="Times New Roman" w:hAnsi="Times New Roman"/>
              <w:sz w:val="24"/>
              <w:szCs w:val="24"/>
              <w:lang w:val="es-MX" w:eastAsia="es-MX"/>
            </w:rPr>
            <w:fldChar w:fldCharType="begin"/>
          </w:r>
          <w:r w:rsidRPr="00B07754">
            <w:rPr>
              <w:rFonts w:ascii="Times New Roman" w:hAnsi="Times New Roman"/>
              <w:sz w:val="24"/>
              <w:szCs w:val="24"/>
              <w:lang w:eastAsia="es-MX"/>
            </w:rPr>
            <w:instrText xml:space="preserve">CITATION And97 \p 14 \l 12298 </w:instrText>
          </w:r>
          <w:r w:rsidRPr="00B07754">
            <w:rPr>
              <w:rFonts w:ascii="Times New Roman" w:hAnsi="Times New Roman"/>
              <w:sz w:val="24"/>
              <w:szCs w:val="24"/>
              <w:lang w:val="es-MX" w:eastAsia="es-MX"/>
            </w:rPr>
            <w:fldChar w:fldCharType="separate"/>
          </w:r>
          <w:r w:rsidR="008A6D1D" w:rsidRPr="00B07754">
            <w:rPr>
              <w:rFonts w:ascii="Times New Roman" w:hAnsi="Times New Roman"/>
              <w:noProof/>
              <w:sz w:val="24"/>
              <w:szCs w:val="24"/>
              <w:lang w:eastAsia="es-MX"/>
            </w:rPr>
            <w:t xml:space="preserve"> (Crockett, 1997, pág. 14)</w:t>
          </w:r>
          <w:r w:rsidRPr="00B07754">
            <w:rPr>
              <w:rFonts w:ascii="Times New Roman" w:hAnsi="Times New Roman"/>
              <w:sz w:val="24"/>
              <w:szCs w:val="24"/>
              <w:lang w:val="es-MX" w:eastAsia="es-MX"/>
            </w:rPr>
            <w:fldChar w:fldCharType="end"/>
          </w:r>
        </w:sdtContent>
      </w:sdt>
      <w:r w:rsidRPr="00B07754">
        <w:rPr>
          <w:rFonts w:ascii="Times New Roman" w:hAnsi="Times New Roman"/>
          <w:sz w:val="24"/>
          <w:szCs w:val="24"/>
          <w:lang w:val="es-MX" w:eastAsia="es-MX"/>
        </w:rPr>
        <w:t xml:space="preserve">. </w:t>
      </w:r>
    </w:p>
    <w:p w:rsidR="00B9634D" w:rsidRPr="00B07754" w:rsidRDefault="00B9634D" w:rsidP="002B5E62">
      <w:pPr>
        <w:pStyle w:val="Ttulo4"/>
        <w:numPr>
          <w:ilvl w:val="2"/>
          <w:numId w:val="8"/>
        </w:numPr>
        <w:spacing w:before="0" w:after="200" w:line="360" w:lineRule="auto"/>
        <w:ind w:left="0" w:firstLine="0"/>
        <w:rPr>
          <w:rFonts w:ascii="Times New Roman" w:hAnsi="Times New Roman"/>
          <w:b w:val="0"/>
          <w:color w:val="auto"/>
          <w:sz w:val="24"/>
          <w:szCs w:val="24"/>
        </w:rPr>
      </w:pPr>
      <w:r w:rsidRPr="00B07754">
        <w:rPr>
          <w:rFonts w:ascii="Times New Roman" w:hAnsi="Times New Roman"/>
          <w:b w:val="0"/>
          <w:color w:val="auto"/>
          <w:sz w:val="24"/>
          <w:szCs w:val="24"/>
        </w:rPr>
        <w:t>Regulación bancaria</w:t>
      </w:r>
    </w:p>
    <w:p w:rsidR="00B9634D" w:rsidRPr="00B07754" w:rsidRDefault="00B9634D" w:rsidP="002B5E62">
      <w:pPr>
        <w:shd w:val="clear" w:color="auto" w:fill="FFFFFF"/>
        <w:spacing w:line="360" w:lineRule="auto"/>
        <w:jc w:val="both"/>
        <w:rPr>
          <w:rFonts w:ascii="Times New Roman" w:hAnsi="Times New Roman"/>
          <w:sz w:val="24"/>
          <w:szCs w:val="24"/>
          <w:lang w:eastAsia="es-MX"/>
        </w:rPr>
      </w:pPr>
      <w:r w:rsidRPr="00B07754">
        <w:rPr>
          <w:rFonts w:ascii="Times New Roman" w:hAnsi="Times New Roman"/>
          <w:sz w:val="24"/>
          <w:szCs w:val="24"/>
          <w:lang w:val="es-MX" w:eastAsia="es-MX"/>
        </w:rPr>
        <w:t>Una serie de acontecimientos en los últimos años se han combinado para poner a la estabilidad financiera como tema principal de la agenda, no s</w:t>
      </w:r>
      <w:r w:rsidR="00463FA9" w:rsidRPr="00B07754">
        <w:rPr>
          <w:rFonts w:ascii="Times New Roman" w:hAnsi="Times New Roman"/>
          <w:sz w:val="24"/>
          <w:szCs w:val="24"/>
          <w:lang w:val="es-MX" w:eastAsia="es-MX"/>
        </w:rPr>
        <w:t>ó</w:t>
      </w:r>
      <w:r w:rsidRPr="00B07754">
        <w:rPr>
          <w:rFonts w:ascii="Times New Roman" w:hAnsi="Times New Roman"/>
          <w:sz w:val="24"/>
          <w:szCs w:val="24"/>
          <w:lang w:val="es-MX" w:eastAsia="es-MX"/>
        </w:rPr>
        <w:t>lo de las autoridades de supervisión sino también de los encargados de  la política pública. Estos acontecimientos incluyen el crecimiento explosivo de las transacciones financieras, el aumento de la complejidad de nuevos instrumentos, crisis costosas en los sistemas financieros nacionales y varias falencias de alto perfil en instituciones individuales.</w:t>
      </w:r>
      <w:sdt>
        <w:sdtPr>
          <w:rPr>
            <w:rFonts w:ascii="Times New Roman" w:hAnsi="Times New Roman"/>
            <w:sz w:val="24"/>
            <w:szCs w:val="24"/>
            <w:lang w:val="es-MX" w:eastAsia="es-MX"/>
          </w:rPr>
          <w:id w:val="-480001885"/>
          <w:citation/>
        </w:sdtPr>
        <w:sdtEndPr/>
        <w:sdtContent>
          <w:r w:rsidRPr="00B07754">
            <w:rPr>
              <w:rFonts w:ascii="Times New Roman" w:hAnsi="Times New Roman"/>
              <w:sz w:val="24"/>
              <w:szCs w:val="24"/>
              <w:lang w:val="es-MX" w:eastAsia="es-MX"/>
            </w:rPr>
            <w:fldChar w:fldCharType="begin"/>
          </w:r>
          <w:r w:rsidRPr="00B07754">
            <w:rPr>
              <w:rFonts w:ascii="Times New Roman" w:hAnsi="Times New Roman"/>
              <w:sz w:val="24"/>
              <w:szCs w:val="24"/>
              <w:lang w:eastAsia="es-MX"/>
            </w:rPr>
            <w:instrText xml:space="preserve">CITATION And97 \p 7 \l 12298 </w:instrText>
          </w:r>
          <w:r w:rsidRPr="00B07754">
            <w:rPr>
              <w:rFonts w:ascii="Times New Roman" w:hAnsi="Times New Roman"/>
              <w:sz w:val="24"/>
              <w:szCs w:val="24"/>
              <w:lang w:val="es-MX" w:eastAsia="es-MX"/>
            </w:rPr>
            <w:fldChar w:fldCharType="separate"/>
          </w:r>
          <w:r w:rsidR="008A6D1D" w:rsidRPr="00B07754">
            <w:rPr>
              <w:rFonts w:ascii="Times New Roman" w:hAnsi="Times New Roman"/>
              <w:noProof/>
              <w:sz w:val="24"/>
              <w:szCs w:val="24"/>
              <w:lang w:eastAsia="es-MX"/>
            </w:rPr>
            <w:t xml:space="preserve"> (Crockett, 1997, pág. 7)</w:t>
          </w:r>
          <w:r w:rsidRPr="00B07754">
            <w:rPr>
              <w:rFonts w:ascii="Times New Roman" w:hAnsi="Times New Roman"/>
              <w:sz w:val="24"/>
              <w:szCs w:val="24"/>
              <w:lang w:val="es-MX" w:eastAsia="es-MX"/>
            </w:rPr>
            <w:fldChar w:fldCharType="end"/>
          </w:r>
        </w:sdtContent>
      </w:sdt>
    </w:p>
    <w:p w:rsidR="00B9634D" w:rsidRPr="00B07754" w:rsidDel="003768E5"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rPr>
        <w:t xml:space="preserve">La regulación prudencial y sistémica está dirigida principalmente al control de los niveles de riesgo que asumen los bancos y por ende la probabilidad de quiebra. Los instrumentos </w:t>
      </w:r>
      <w:r w:rsidRPr="00B07754">
        <w:rPr>
          <w:rFonts w:ascii="Times New Roman" w:hAnsi="Times New Roman"/>
          <w:sz w:val="24"/>
          <w:szCs w:val="24"/>
        </w:rPr>
        <w:lastRenderedPageBreak/>
        <w:t>de regulación prudencial y sistémica incluyen restricciones en las líneas admisibles de negocios y portafolio como son las figuras de  prestamista de última instancia, requerimientos de liquidez y reserva, reglas de exposición, administración interna del riesgo, entrada, salida, red de sucursales, y restricciones de funciones para las instituciones. Las regulaciones relacionadas al ejercicio de la actividad apuntan principalmente a la protección de los clientes de los bancos a través de  los seguros de depósitos, requerimientos de capital o patrimonio técnico para que exista un colchón patrimonial suficiente para absorber el cambio de valor de los activos previsible de acuerdo a los riesgos que ha asumido la institución respectiva, requerimientos</w:t>
      </w:r>
      <w:r w:rsidRPr="00B07754">
        <w:rPr>
          <w:rFonts w:ascii="Times New Roman" w:hAnsi="Times New Roman"/>
          <w:sz w:val="24"/>
          <w:szCs w:val="24"/>
          <w:lang w:val="es-MX"/>
        </w:rPr>
        <w:t xml:space="preserve"> de liquidez que buscan reducir la probabilidad de falta de liquidez seguida de un retiro de depósitos</w:t>
      </w:r>
      <w:r w:rsidRPr="00B07754">
        <w:rPr>
          <w:rFonts w:ascii="Times New Roman" w:hAnsi="Times New Roman"/>
          <w:sz w:val="24"/>
          <w:szCs w:val="24"/>
        </w:rPr>
        <w:t xml:space="preserve">  y obligaciones de divulgación de información.</w:t>
      </w:r>
      <w:sdt>
        <w:sdtPr>
          <w:rPr>
            <w:rFonts w:ascii="Times New Roman" w:hAnsi="Times New Roman"/>
            <w:sz w:val="24"/>
            <w:szCs w:val="24"/>
          </w:rPr>
          <w:id w:val="-823283259"/>
          <w:citation/>
        </w:sdtPr>
        <w:sdtEndPr/>
        <w:sdtContent>
          <w:r w:rsidRPr="00B07754">
            <w:rPr>
              <w:rFonts w:ascii="Times New Roman" w:hAnsi="Times New Roman"/>
              <w:sz w:val="24"/>
              <w:szCs w:val="24"/>
            </w:rPr>
            <w:fldChar w:fldCharType="begin"/>
          </w:r>
          <w:r w:rsidRPr="00B07754">
            <w:rPr>
              <w:rFonts w:ascii="Times New Roman" w:hAnsi="Times New Roman"/>
              <w:sz w:val="24"/>
              <w:szCs w:val="24"/>
              <w:lang w:val="es-MX"/>
            </w:rPr>
            <w:instrText xml:space="preserve">CITATION Can01 \p 46 \l 2058 </w:instrText>
          </w:r>
          <w:r w:rsidRPr="00B07754">
            <w:rPr>
              <w:rFonts w:ascii="Times New Roman" w:hAnsi="Times New Roman"/>
              <w:sz w:val="24"/>
              <w:szCs w:val="24"/>
            </w:rPr>
            <w:fldChar w:fldCharType="separate"/>
          </w:r>
          <w:r w:rsidR="008A6D1D" w:rsidRPr="00B07754">
            <w:rPr>
              <w:rFonts w:ascii="Times New Roman" w:hAnsi="Times New Roman"/>
              <w:noProof/>
              <w:sz w:val="24"/>
              <w:szCs w:val="24"/>
              <w:lang w:val="es-MX"/>
            </w:rPr>
            <w:t xml:space="preserve"> (Canoy, van Dijik, Lemmen, de Moolj, &amp; Welgan , 2001, pág. 46)</w:t>
          </w:r>
          <w:r w:rsidRPr="00B07754">
            <w:rPr>
              <w:rFonts w:ascii="Times New Roman" w:hAnsi="Times New Roman"/>
              <w:sz w:val="24"/>
              <w:szCs w:val="24"/>
            </w:rPr>
            <w:fldChar w:fldCharType="end"/>
          </w:r>
        </w:sdtContent>
      </w:sdt>
      <w:r w:rsidRPr="00B07754">
        <w:rPr>
          <w:rFonts w:ascii="Times New Roman" w:hAnsi="Times New Roman"/>
          <w:sz w:val="24"/>
          <w:szCs w:val="24"/>
        </w:rPr>
        <w:t xml:space="preserve">. </w:t>
      </w:r>
    </w:p>
    <w:p w:rsidR="00B9634D" w:rsidRPr="00B07754" w:rsidRDefault="00B9634D" w:rsidP="002B5E62">
      <w:pPr>
        <w:shd w:val="clear" w:color="auto" w:fill="FFFFFF"/>
        <w:spacing w:line="360" w:lineRule="auto"/>
        <w:jc w:val="both"/>
        <w:rPr>
          <w:rFonts w:ascii="Times New Roman" w:hAnsi="Times New Roman"/>
          <w:sz w:val="24"/>
          <w:szCs w:val="24"/>
          <w:lang w:val="es-MX" w:eastAsia="es-MX"/>
        </w:rPr>
      </w:pPr>
      <w:r w:rsidRPr="00B07754">
        <w:rPr>
          <w:rFonts w:ascii="Times New Roman" w:hAnsi="Times New Roman"/>
          <w:sz w:val="24"/>
          <w:szCs w:val="24"/>
          <w:lang w:val="es-MX" w:eastAsia="es-MX"/>
        </w:rPr>
        <w:t xml:space="preserve">En lo que respecta a las medidas de política, éstas pueden dividirse en seis áreas: </w:t>
      </w:r>
    </w:p>
    <w:p w:rsidR="00B9634D" w:rsidRPr="00B07754" w:rsidRDefault="00B9634D" w:rsidP="002B5E62">
      <w:pPr>
        <w:pStyle w:val="Prrafodelista"/>
        <w:numPr>
          <w:ilvl w:val="0"/>
          <w:numId w:val="5"/>
        </w:numPr>
        <w:shd w:val="clear" w:color="auto" w:fill="FFFFFF"/>
        <w:spacing w:line="360" w:lineRule="auto"/>
        <w:ind w:firstLine="0"/>
        <w:jc w:val="both"/>
        <w:rPr>
          <w:rFonts w:ascii="Times New Roman" w:hAnsi="Times New Roman"/>
          <w:sz w:val="24"/>
          <w:szCs w:val="24"/>
          <w:lang w:val="es-MX" w:eastAsia="es-MX"/>
        </w:rPr>
      </w:pPr>
      <w:r w:rsidRPr="00B07754">
        <w:rPr>
          <w:rFonts w:ascii="Times New Roman" w:hAnsi="Times New Roman"/>
          <w:sz w:val="24"/>
          <w:szCs w:val="24"/>
          <w:lang w:val="es-MX" w:eastAsia="es-MX"/>
        </w:rPr>
        <w:t>Seguro de depósitos a la vista y a plazo</w:t>
      </w:r>
    </w:p>
    <w:p w:rsidR="00B9634D" w:rsidRPr="00B07754" w:rsidRDefault="00B9634D" w:rsidP="002B5E62">
      <w:pPr>
        <w:pStyle w:val="Prrafodelista"/>
        <w:numPr>
          <w:ilvl w:val="0"/>
          <w:numId w:val="5"/>
        </w:numPr>
        <w:shd w:val="clear" w:color="auto" w:fill="FFFFFF"/>
        <w:spacing w:line="360" w:lineRule="auto"/>
        <w:ind w:firstLine="0"/>
        <w:jc w:val="both"/>
        <w:rPr>
          <w:rFonts w:ascii="Times New Roman" w:hAnsi="Times New Roman"/>
          <w:sz w:val="24"/>
          <w:szCs w:val="24"/>
          <w:lang w:val="es-MX" w:eastAsia="es-MX"/>
        </w:rPr>
      </w:pPr>
      <w:r w:rsidRPr="00B07754">
        <w:rPr>
          <w:rFonts w:ascii="Times New Roman" w:hAnsi="Times New Roman"/>
          <w:sz w:val="24"/>
          <w:szCs w:val="24"/>
          <w:lang w:val="es-MX" w:eastAsia="es-MX"/>
        </w:rPr>
        <w:t>Regulación de tasas de interés pasivas</w:t>
      </w:r>
    </w:p>
    <w:p w:rsidR="00B9634D" w:rsidRPr="00B07754" w:rsidRDefault="00B9634D" w:rsidP="002B5E62">
      <w:pPr>
        <w:pStyle w:val="Prrafodelista"/>
        <w:numPr>
          <w:ilvl w:val="0"/>
          <w:numId w:val="5"/>
        </w:numPr>
        <w:shd w:val="clear" w:color="auto" w:fill="FFFFFF"/>
        <w:spacing w:line="360" w:lineRule="auto"/>
        <w:ind w:firstLine="0"/>
        <w:jc w:val="both"/>
        <w:rPr>
          <w:rFonts w:ascii="Times New Roman" w:hAnsi="Times New Roman"/>
          <w:sz w:val="24"/>
          <w:szCs w:val="24"/>
          <w:lang w:val="es-MX" w:eastAsia="es-MX"/>
        </w:rPr>
      </w:pPr>
      <w:r w:rsidRPr="00B07754">
        <w:rPr>
          <w:rFonts w:ascii="Times New Roman" w:hAnsi="Times New Roman"/>
          <w:sz w:val="24"/>
          <w:szCs w:val="24"/>
          <w:lang w:val="es-MX" w:eastAsia="es-MX"/>
        </w:rPr>
        <w:t>Regulación de actividades e inversiones que los bancos pueden desarrollar</w:t>
      </w:r>
    </w:p>
    <w:p w:rsidR="00B9634D" w:rsidRPr="00B07754" w:rsidRDefault="00B9634D" w:rsidP="002B5E62">
      <w:pPr>
        <w:pStyle w:val="Prrafodelista"/>
        <w:numPr>
          <w:ilvl w:val="0"/>
          <w:numId w:val="5"/>
        </w:numPr>
        <w:shd w:val="clear" w:color="auto" w:fill="FFFFFF"/>
        <w:spacing w:line="360" w:lineRule="auto"/>
        <w:ind w:firstLine="0"/>
        <w:jc w:val="both"/>
        <w:rPr>
          <w:rFonts w:ascii="Times New Roman" w:hAnsi="Times New Roman"/>
          <w:sz w:val="24"/>
          <w:szCs w:val="24"/>
          <w:lang w:val="es-MX" w:eastAsia="es-MX"/>
        </w:rPr>
      </w:pPr>
      <w:r w:rsidRPr="00B07754">
        <w:rPr>
          <w:rFonts w:ascii="Times New Roman" w:hAnsi="Times New Roman"/>
          <w:sz w:val="24"/>
          <w:szCs w:val="24"/>
          <w:lang w:val="es-MX" w:eastAsia="es-MX"/>
        </w:rPr>
        <w:t>Restricciones a la estructura y métodos de financiamiento</w:t>
      </w:r>
    </w:p>
    <w:p w:rsidR="00B9634D" w:rsidRPr="00B07754" w:rsidRDefault="00B9634D" w:rsidP="002B5E62">
      <w:pPr>
        <w:pStyle w:val="Prrafodelista"/>
        <w:numPr>
          <w:ilvl w:val="0"/>
          <w:numId w:val="5"/>
        </w:numPr>
        <w:shd w:val="clear" w:color="auto" w:fill="FFFFFF"/>
        <w:spacing w:line="360" w:lineRule="auto"/>
        <w:ind w:firstLine="0"/>
        <w:jc w:val="both"/>
        <w:rPr>
          <w:rFonts w:ascii="Times New Roman" w:hAnsi="Times New Roman"/>
          <w:sz w:val="24"/>
          <w:szCs w:val="24"/>
          <w:lang w:val="es-MX" w:eastAsia="es-MX"/>
        </w:rPr>
      </w:pPr>
      <w:r w:rsidRPr="00B07754">
        <w:rPr>
          <w:rFonts w:ascii="Times New Roman" w:hAnsi="Times New Roman"/>
          <w:sz w:val="24"/>
          <w:szCs w:val="24"/>
          <w:lang w:val="es-MX" w:eastAsia="es-MX"/>
        </w:rPr>
        <w:t>Limitación al pago de dividendos</w:t>
      </w:r>
    </w:p>
    <w:p w:rsidR="00B9634D" w:rsidRPr="00B07754" w:rsidRDefault="00B9634D" w:rsidP="002B5E62">
      <w:pPr>
        <w:pStyle w:val="Prrafodelista"/>
        <w:numPr>
          <w:ilvl w:val="0"/>
          <w:numId w:val="5"/>
        </w:numPr>
        <w:shd w:val="clear" w:color="auto" w:fill="FFFFFF"/>
        <w:spacing w:line="360" w:lineRule="auto"/>
        <w:ind w:firstLine="0"/>
        <w:jc w:val="both"/>
        <w:rPr>
          <w:rFonts w:ascii="Times New Roman" w:hAnsi="Times New Roman"/>
          <w:sz w:val="24"/>
          <w:szCs w:val="24"/>
          <w:lang w:val="es-MX" w:eastAsia="es-MX"/>
        </w:rPr>
      </w:pPr>
      <w:r w:rsidRPr="00B07754">
        <w:rPr>
          <w:rFonts w:ascii="Times New Roman" w:hAnsi="Times New Roman"/>
          <w:sz w:val="24"/>
          <w:szCs w:val="24"/>
          <w:lang w:val="es-MX" w:eastAsia="es-MX"/>
        </w:rPr>
        <w:t xml:space="preserve">Restricciones a la entrada y salida de la industria. </w:t>
      </w:r>
    </w:p>
    <w:p w:rsidR="00B9634D" w:rsidRPr="00B07754" w:rsidRDefault="00B9634D" w:rsidP="002B5E62">
      <w:pPr>
        <w:shd w:val="clear" w:color="auto" w:fill="FFFFFF"/>
        <w:spacing w:line="360" w:lineRule="auto"/>
        <w:jc w:val="both"/>
        <w:rPr>
          <w:rFonts w:ascii="Times New Roman" w:hAnsi="Times New Roman"/>
          <w:sz w:val="24"/>
          <w:szCs w:val="24"/>
          <w:lang w:val="es-MX" w:eastAsia="es-MX"/>
        </w:rPr>
      </w:pPr>
      <w:r w:rsidRPr="00B07754">
        <w:rPr>
          <w:rFonts w:ascii="Times New Roman" w:hAnsi="Times New Roman"/>
          <w:sz w:val="24"/>
          <w:szCs w:val="24"/>
          <w:lang w:val="es-MX" w:eastAsia="es-MX"/>
        </w:rPr>
        <w:t>Las medidas regulatorias mencionadas se han ido adaptando iterativamente a las nuevas condiciones del sistema financiero, lo que quiere decir que cuando una regulación provoca serios problemas de competitividad a los bancos ésta es eliminada o se cambia por otra.</w:t>
      </w:r>
      <w:sdt>
        <w:sdtPr>
          <w:rPr>
            <w:rFonts w:ascii="Times New Roman" w:hAnsi="Times New Roman"/>
            <w:sz w:val="24"/>
            <w:szCs w:val="24"/>
            <w:lang w:val="es-MX" w:eastAsia="es-MX"/>
          </w:rPr>
          <w:id w:val="1743368682"/>
          <w:citation/>
        </w:sdtPr>
        <w:sdtEndPr/>
        <w:sdtContent>
          <w:r w:rsidRPr="00B07754">
            <w:rPr>
              <w:rFonts w:ascii="Times New Roman" w:hAnsi="Times New Roman"/>
              <w:sz w:val="24"/>
              <w:szCs w:val="24"/>
              <w:lang w:val="es-MX" w:eastAsia="es-MX"/>
            </w:rPr>
            <w:fldChar w:fldCharType="begin"/>
          </w:r>
          <w:r w:rsidRPr="00B07754">
            <w:rPr>
              <w:rFonts w:ascii="Times New Roman" w:hAnsi="Times New Roman"/>
              <w:sz w:val="24"/>
              <w:szCs w:val="24"/>
              <w:lang w:val="es-MX" w:eastAsia="es-MX"/>
            </w:rPr>
            <w:instrText xml:space="preserve">CITATION Rei1 \p 104 \l 2058 </w:instrText>
          </w:r>
          <w:r w:rsidRPr="00B07754">
            <w:rPr>
              <w:rFonts w:ascii="Times New Roman" w:hAnsi="Times New Roman"/>
              <w:sz w:val="24"/>
              <w:szCs w:val="24"/>
              <w:lang w:val="es-MX" w:eastAsia="es-MX"/>
            </w:rPr>
            <w:fldChar w:fldCharType="separate"/>
          </w:r>
          <w:r w:rsidR="008A6D1D" w:rsidRPr="00B07754">
            <w:rPr>
              <w:rFonts w:ascii="Times New Roman" w:hAnsi="Times New Roman"/>
              <w:noProof/>
              <w:sz w:val="24"/>
              <w:szCs w:val="24"/>
              <w:lang w:val="es-MX" w:eastAsia="es-MX"/>
            </w:rPr>
            <w:t xml:space="preserve"> (Reinstein &amp; Vergara, pág. 104)</w:t>
          </w:r>
          <w:r w:rsidRPr="00B07754">
            <w:rPr>
              <w:rFonts w:ascii="Times New Roman" w:hAnsi="Times New Roman"/>
              <w:sz w:val="24"/>
              <w:szCs w:val="24"/>
              <w:lang w:val="es-MX" w:eastAsia="es-MX"/>
            </w:rPr>
            <w:fldChar w:fldCharType="end"/>
          </w:r>
        </w:sdtContent>
      </w:sdt>
      <w:r w:rsidRPr="00B07754">
        <w:rPr>
          <w:rFonts w:ascii="Times New Roman" w:hAnsi="Times New Roman"/>
          <w:sz w:val="24"/>
          <w:szCs w:val="24"/>
          <w:lang w:val="es-MX" w:eastAsia="es-MX"/>
        </w:rPr>
        <w:t xml:space="preserve">.  </w:t>
      </w:r>
    </w:p>
    <w:p w:rsidR="00B9634D" w:rsidRPr="00B07754" w:rsidRDefault="00B9634D" w:rsidP="002B5E62">
      <w:pPr>
        <w:shd w:val="clear" w:color="auto" w:fill="FFFFFF"/>
        <w:spacing w:line="360" w:lineRule="auto"/>
        <w:jc w:val="both"/>
        <w:rPr>
          <w:rFonts w:ascii="Times New Roman" w:hAnsi="Times New Roman"/>
          <w:sz w:val="24"/>
          <w:szCs w:val="24"/>
          <w:lang w:eastAsia="es-MX"/>
        </w:rPr>
      </w:pPr>
      <w:r w:rsidRPr="00B07754">
        <w:rPr>
          <w:rFonts w:ascii="Times New Roman" w:hAnsi="Times New Roman"/>
          <w:sz w:val="24"/>
          <w:szCs w:val="24"/>
          <w:lang w:val="es-MX"/>
        </w:rPr>
        <w:t xml:space="preserve">Por último, de acuerdo al enfoque tradicional las quiebras incluso de bancos grandes deben ser prevenidas únicamente si se espera riesgo sistémico o contagio. Como lo señala </w:t>
      </w:r>
      <w:proofErr w:type="spellStart"/>
      <w:r w:rsidRPr="00B07754">
        <w:rPr>
          <w:rFonts w:ascii="Times New Roman" w:hAnsi="Times New Roman"/>
          <w:sz w:val="24"/>
          <w:szCs w:val="24"/>
          <w:lang w:val="es-MX"/>
        </w:rPr>
        <w:t>Hoenig</w:t>
      </w:r>
      <w:proofErr w:type="spellEnd"/>
      <w:r w:rsidRPr="00B07754">
        <w:rPr>
          <w:rFonts w:ascii="Times New Roman" w:hAnsi="Times New Roman"/>
          <w:sz w:val="24"/>
          <w:szCs w:val="24"/>
          <w:lang w:val="es-MX"/>
        </w:rPr>
        <w:t xml:space="preserve"> (1996) es deseable prevenir la fuga de depósitos en instituciones solventes mientras que en instituciones insolventes no lo es. En otras palabras, los reguladores deben animar a los depositantes a colocar sus fondos en instituciones saludables más que rescatar a un banco en problemas. No obstante, en la práctica han sido pocos los grandes bancos a los que se les ha permitido quebrar, incluso si el contagio es poco probable. Si bien las autoridades reguladoras no pueden explícitamente mencionar la política de “muy grande para caer”, puesto que ello puede generar un problema de riesgo moral, se debe reconocer que hay </w:t>
      </w:r>
      <w:r w:rsidRPr="00B07754">
        <w:rPr>
          <w:rFonts w:ascii="Times New Roman" w:hAnsi="Times New Roman"/>
          <w:sz w:val="24"/>
          <w:szCs w:val="24"/>
          <w:lang w:val="es-MX"/>
        </w:rPr>
        <w:lastRenderedPageBreak/>
        <w:t>ciertas instituciones centrales para el sistema financiero, cuya quiebra constituiría una crisis sistémica. Además, sus obligaciones con terceros son lo suficientemente grandes que su incumplimiento puede causar un contagio generalizado. Este grupo de instituciones incluyen tanto a bancos como a entidades no bancarias</w:t>
      </w:r>
      <w:sdt>
        <w:sdtPr>
          <w:rPr>
            <w:rFonts w:ascii="Times New Roman" w:hAnsi="Times New Roman"/>
            <w:sz w:val="24"/>
            <w:szCs w:val="24"/>
            <w:lang w:val="es-MX"/>
          </w:rPr>
          <w:id w:val="67315350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rPr>
            <w:instrText xml:space="preserve">CITATION And97 \p 11 \l 12298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rPr>
            <w:t xml:space="preserve"> (Crockett, 1997, pág. 11)</w:t>
          </w:r>
          <w:r w:rsidRPr="00B07754">
            <w:rPr>
              <w:rFonts w:ascii="Times New Roman" w:hAnsi="Times New Roman"/>
              <w:sz w:val="24"/>
              <w:szCs w:val="24"/>
              <w:lang w:val="es-MX"/>
            </w:rPr>
            <w:fldChar w:fldCharType="end"/>
          </w:r>
        </w:sdtContent>
      </w:sdt>
      <w:r w:rsidR="00B208D0" w:rsidRPr="00B07754">
        <w:rPr>
          <w:rFonts w:ascii="Times New Roman" w:hAnsi="Times New Roman"/>
          <w:sz w:val="24"/>
          <w:szCs w:val="24"/>
          <w:lang w:val="es-MX"/>
        </w:rPr>
        <w:t xml:space="preserve">. </w:t>
      </w:r>
      <w:r w:rsidRPr="00B07754">
        <w:rPr>
          <w:rFonts w:ascii="Times New Roman" w:hAnsi="Times New Roman"/>
          <w:sz w:val="24"/>
          <w:szCs w:val="24"/>
          <w:lang w:val="es-MX"/>
        </w:rPr>
        <w:t xml:space="preserve">Este rescate casi seguro induce a las instituciones financieras a crecer ya sea interna o externamente para alcanzar el tamaño “muy grande para caer” lo más pronto posible. </w:t>
      </w:r>
      <w:sdt>
        <w:sdtPr>
          <w:rPr>
            <w:rFonts w:ascii="Times New Roman" w:hAnsi="Times New Roman"/>
            <w:sz w:val="24"/>
            <w:szCs w:val="24"/>
            <w:lang w:val="es-MX"/>
          </w:rPr>
          <w:id w:val="137096142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51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(Canoy, van Dijik, Lemmen, de Moolj, &amp; Welgan , 2001, pág. 51)</w:t>
          </w:r>
          <w:r w:rsidRPr="00B07754">
            <w:rPr>
              <w:rFonts w:ascii="Times New Roman" w:hAnsi="Times New Roman"/>
              <w:sz w:val="24"/>
              <w:szCs w:val="24"/>
              <w:lang w:val="es-MX"/>
            </w:rPr>
            <w:fldChar w:fldCharType="end"/>
          </w:r>
        </w:sdtContent>
      </w:sdt>
    </w:p>
    <w:p w:rsidR="00B9634D" w:rsidRPr="00B07754" w:rsidRDefault="00B9634D" w:rsidP="002B5E62">
      <w:pPr>
        <w:pStyle w:val="Ttulo4"/>
        <w:numPr>
          <w:ilvl w:val="2"/>
          <w:numId w:val="8"/>
        </w:numPr>
        <w:spacing w:before="0" w:after="200" w:line="360" w:lineRule="auto"/>
        <w:ind w:left="0" w:firstLine="0"/>
        <w:rPr>
          <w:rFonts w:ascii="Times New Roman" w:hAnsi="Times New Roman"/>
          <w:b w:val="0"/>
          <w:color w:val="auto"/>
          <w:sz w:val="24"/>
          <w:szCs w:val="24"/>
          <w:lang w:val="es-MX"/>
        </w:rPr>
      </w:pPr>
      <w:r w:rsidRPr="00B07754">
        <w:rPr>
          <w:rFonts w:ascii="Times New Roman" w:hAnsi="Times New Roman"/>
          <w:b w:val="0"/>
          <w:color w:val="auto"/>
          <w:sz w:val="24"/>
          <w:szCs w:val="24"/>
          <w:lang w:val="es-MX"/>
        </w:rPr>
        <w:t>Regulación y competencia</w:t>
      </w:r>
    </w:p>
    <w:p w:rsidR="00B9634D" w:rsidRPr="00B07754" w:rsidRDefault="00B9634D" w:rsidP="002B5E62">
      <w:pPr>
        <w:spacing w:line="360" w:lineRule="auto"/>
        <w:jc w:val="both"/>
        <w:rPr>
          <w:rFonts w:ascii="Times New Roman" w:hAnsi="Times New Roman"/>
          <w:sz w:val="24"/>
          <w:szCs w:val="24"/>
          <w:vertAlign w:val="superscript"/>
          <w:lang w:val="es-MX"/>
        </w:rPr>
      </w:pPr>
      <w:r w:rsidRPr="00B07754">
        <w:rPr>
          <w:rFonts w:ascii="Times New Roman" w:hAnsi="Times New Roman"/>
          <w:sz w:val="24"/>
          <w:szCs w:val="24"/>
          <w:lang w:val="es-MX"/>
        </w:rPr>
        <w:t xml:space="preserve">Los reguladores se enfrentan a un </w:t>
      </w:r>
      <w:proofErr w:type="spellStart"/>
      <w:r w:rsidRPr="00B07754">
        <w:rPr>
          <w:rFonts w:ascii="Times New Roman" w:hAnsi="Times New Roman"/>
          <w:i/>
          <w:sz w:val="24"/>
          <w:szCs w:val="24"/>
          <w:lang w:val="es-MX"/>
        </w:rPr>
        <w:t>trade</w:t>
      </w:r>
      <w:proofErr w:type="spellEnd"/>
      <w:r w:rsidRPr="00B07754">
        <w:rPr>
          <w:rFonts w:ascii="Times New Roman" w:hAnsi="Times New Roman"/>
          <w:i/>
          <w:sz w:val="24"/>
          <w:szCs w:val="24"/>
          <w:lang w:val="es-MX"/>
        </w:rPr>
        <w:t xml:space="preserve"> off </w:t>
      </w:r>
      <w:r w:rsidRPr="00B07754">
        <w:rPr>
          <w:rFonts w:ascii="Times New Roman" w:hAnsi="Times New Roman"/>
          <w:sz w:val="24"/>
          <w:szCs w:val="24"/>
          <w:lang w:val="es-MX"/>
        </w:rPr>
        <w:t>entre eficiencia y poder de mercado. Si la banca es sujeto de importantes economías de escala y alcance, restricciones de entrada podrían evitar una fragmentación de mercado ineficiente pero permitir poder de mercado y conductas colusorias</w:t>
      </w:r>
      <w:r w:rsidRPr="00B07754">
        <w:rPr>
          <w:rStyle w:val="Refdenotaalpie"/>
          <w:rFonts w:ascii="Times New Roman" w:hAnsi="Times New Roman"/>
          <w:sz w:val="24"/>
          <w:szCs w:val="24"/>
          <w:lang w:val="es-MX"/>
        </w:rPr>
        <w:footnoteReference w:id="23"/>
      </w:r>
      <w:sdt>
        <w:sdtPr>
          <w:rPr>
            <w:rFonts w:ascii="Times New Roman" w:hAnsi="Times New Roman"/>
            <w:sz w:val="24"/>
            <w:szCs w:val="24"/>
            <w:vertAlign w:val="superscript"/>
            <w:lang w:val="es-MX"/>
          </w:rPr>
          <w:id w:val="-208227482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Can01 \p "51 y 52"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(Canoy, van Dijik, Lemmen, de Moolj, &amp; Welgan , 2001, pág. 51 y 52)</w:t>
          </w:r>
          <w:r w:rsidRPr="00B07754">
            <w:rPr>
              <w:rFonts w:ascii="Times New Roman" w:hAnsi="Times New Roman"/>
              <w:sz w:val="24"/>
              <w:szCs w:val="24"/>
              <w:lang w:val="es-MX"/>
            </w:rPr>
            <w:fldChar w:fldCharType="end"/>
          </w:r>
        </w:sdtContent>
      </w:sdt>
      <w:r w:rsidRPr="00B07754">
        <w:rPr>
          <w:rFonts w:ascii="Times New Roman" w:hAnsi="Times New Roman"/>
          <w:sz w:val="24"/>
          <w:szCs w:val="24"/>
          <w:vertAlign w:val="superscript"/>
          <w:lang w:val="es-MX"/>
        </w:rPr>
        <w:t xml:space="preserve">.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Tradicionalmente los encargados de la regulación bancaria han tratado de restringir la competencia en el sector bancario con la finalidad de prevenir una toma excesiva de riesgos. Desde 1940 a 1970 este sector fue estrechamente regulado y estable. Los seguros de depósitos y la actuación de los bancos centrales como prestamistas de última instancia prevenían la fuga de depósitos y las quiebras de las instituciones eran mínimas. Esta situación cambió en la década de los 70 cuando los fondos mutuales incrementaron la competencia en los Estados Unidos. Asimismo, en 1980 se inició un proceso de liberalización en varios países y se evidenció un incremento en las quiebras bancarias. Al mismo tiempo el cambio tecnológico en las comunicaciones y en el procesamiento de información –disminuyendo los costos de transporte- se acoplaron con la integración del mercado y el proceso de liberalización permitió una transformación en el negocio bancario.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Igualmente, los procesos de liberalización y desregulación dieron como resultado un incremento formidable en la competencia, dentro y fuera de una industria, con el desarrollo de la desintermediación y la competencia directa de los mercados financieros, integración de mercados e innovación financiera. Esto implicó un cambio del negocio tradicional de </w:t>
      </w:r>
      <w:r w:rsidRPr="00B07754">
        <w:rPr>
          <w:rFonts w:ascii="Times New Roman" w:hAnsi="Times New Roman"/>
          <w:sz w:val="24"/>
          <w:szCs w:val="24"/>
          <w:lang w:val="es-MX"/>
        </w:rPr>
        <w:lastRenderedPageBreak/>
        <w:t xml:space="preserve">captar depósitos y colocar créditos, a la provisión de servicios a inversionistas –fondos de inversión, asesoramiento y aseguradoras- y firmas –consultoras, aseguradoras, fusiones y adquisiciones, administración del riesgo-.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competencia, en cualquier industria, es por lo general imperfecta y la banca no es la excepción por lo que es posible ejercer poder de mercado.  La competencia parece ser buena para la eficiencia en la asignación de recursos y sus beneficios incluyen la reducción de ineficiencias organizacionales. De igual manera, la presión de un mercado competitivo otorga a los administradores el incentivo para generar y proveer información para desarrollar esquemas apropiados de incentivos. Más aún, la rivalidad fruto de la competencia es necesaria para mantener  un ritmo vigoroso de innovación en una industria para una eficiencia dinámica.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contribución de la competencia a la eficiencia en la asignación de recursos, productiva y dinámica en el sector bancario, no es diferente a las otras industrias; sin embargo los  rasgos específicos de la banca hacen que  el peso de la deuda en la estructura de capital de los bancos incremente el riesgo de quiebra e insolvencia, mientras que la dispersión en pequeños inversionistas de esta deuda (depositantes) limita la habilidad para monitorear las actividades de los bancos. Adicional a ello, el costo social de una quiebra de un banco es grande, costo en el que se incluye perturbaciones financieras y económicas. Las figuras de seguros de depósitos y el prestamista de última instancia se crearon con la finalidad de afrontar la fragilidad del sistema bancario. El hecho que los gobiernos estén preparados para rescatar a los bancos, evitando liquidarlos, es una evidencia de la percepción que el costo de que esto ocurra es muy alto. </w:t>
      </w:r>
    </w:p>
    <w:p w:rsidR="00B9634D" w:rsidRPr="00B07754" w:rsidRDefault="00B9634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Uno de los argumentos para promulgar políticas que limiten la competencia es que si bien ésta no es responsable del carácter frágil de la banca, su exceso puede ser perjudicial. De hecho, el poder de mercado, hasta cierto grado, puede ser beneficioso para ella.  El poder de mercado modera los incentivos de la toma de riesgo lo que es valioso cuando el costo social de la quiebra es alto y las tasas de interés excesivas. Un pasivo limitado implica que los bancos asumirán un riesgo excesivo en el activo a menos que la posición de riesgo pueda ser respaldada por grandes titulares de certificados de depósitos. Por tanto, un banco no puede incrementar su participación de mercado y sus ganancias al asumir más riesgo porque los inversionistas lo descuentan. Por otra parte, requerimientos de divulgación de información pueden ayudar a que la posición de riesgo del banco sea difundida. Sin </w:t>
      </w:r>
      <w:r w:rsidRPr="00B07754">
        <w:rPr>
          <w:rFonts w:ascii="Times New Roman" w:hAnsi="Times New Roman"/>
          <w:sz w:val="24"/>
          <w:szCs w:val="24"/>
          <w:lang w:val="es-MX"/>
        </w:rPr>
        <w:lastRenderedPageBreak/>
        <w:t xml:space="preserve">embargo, la introducción de una prima fija en los depósitos de seguro o rescates implícitos destruye el efecto disciplinante del mercado porque los inversionistas ya no se preocupan de la quiebra del banco. </w:t>
      </w:r>
    </w:p>
    <w:p w:rsidR="00CF7D2E" w:rsidRPr="00B07754" w:rsidRDefault="00B9634D"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En un contexto dinámico, el poder de mercado mejora el valor presente de los beneficios futuros netos y hace al banco más conservador. En efecto, un banco con mayor poder de mercado disfruta de mayores ganancias y tiene más que perder si a</w:t>
      </w:r>
      <w:r w:rsidR="000F0C43" w:rsidRPr="00B07754">
        <w:rPr>
          <w:rFonts w:ascii="Times New Roman" w:hAnsi="Times New Roman"/>
          <w:sz w:val="24"/>
          <w:szCs w:val="24"/>
          <w:lang w:val="es-MX"/>
        </w:rPr>
        <w:t>sume más riesgo si como consecuencia de ello</w:t>
      </w:r>
      <w:r w:rsidRPr="00B07754">
        <w:rPr>
          <w:rFonts w:ascii="Times New Roman" w:hAnsi="Times New Roman"/>
          <w:sz w:val="24"/>
          <w:szCs w:val="24"/>
          <w:lang w:val="es-MX"/>
        </w:rPr>
        <w:t xml:space="preserve"> quiebra y</w:t>
      </w:r>
      <w:r w:rsidR="000F0C43" w:rsidRPr="00B07754">
        <w:rPr>
          <w:rFonts w:ascii="Times New Roman" w:hAnsi="Times New Roman"/>
          <w:sz w:val="24"/>
          <w:szCs w:val="24"/>
          <w:lang w:val="es-MX"/>
        </w:rPr>
        <w:t xml:space="preserve"> por tanto, </w:t>
      </w:r>
      <w:r w:rsidRPr="00B07754">
        <w:rPr>
          <w:rFonts w:ascii="Times New Roman" w:hAnsi="Times New Roman"/>
          <w:sz w:val="24"/>
          <w:szCs w:val="24"/>
          <w:lang w:val="es-MX"/>
        </w:rPr>
        <w:t>el valor presente de los beneficios futuros disminuye.</w:t>
      </w:r>
    </w:p>
    <w:p w:rsidR="00ED4CA5" w:rsidRPr="00B07754"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Pr="00B07754"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Pr="00B07754"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Pr="00B07754"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Pr="00B07754"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Pr="00B07754"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B5E62" w:rsidRDefault="002B5E62"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B5E62" w:rsidRDefault="002B5E62"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B5E62" w:rsidRDefault="002B5E62"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221A65" w:rsidRPr="00B07754" w:rsidRDefault="00221A6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ED4CA5" w:rsidRPr="00B07754" w:rsidRDefault="00ED4CA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13112D" w:rsidRPr="00B07754" w:rsidRDefault="009B2914" w:rsidP="002B5E62">
      <w:pPr>
        <w:pStyle w:val="Ttulo1"/>
        <w:keepNext w:val="0"/>
        <w:keepLines w:val="0"/>
        <w:spacing w:before="0" w:after="200" w:line="360" w:lineRule="auto"/>
        <w:jc w:val="center"/>
        <w:rPr>
          <w:rFonts w:ascii="Times New Roman" w:hAnsi="Times New Roman"/>
          <w:color w:val="auto"/>
          <w:sz w:val="24"/>
          <w:szCs w:val="24"/>
        </w:rPr>
      </w:pPr>
      <w:bookmarkStart w:id="20" w:name="_Toc369637393"/>
      <w:bookmarkStart w:id="21" w:name="_Toc372589964"/>
      <w:r w:rsidRPr="00B07754">
        <w:rPr>
          <w:rFonts w:ascii="Times New Roman" w:hAnsi="Times New Roman"/>
          <w:color w:val="auto"/>
          <w:sz w:val="24"/>
          <w:szCs w:val="24"/>
        </w:rPr>
        <w:t>CRISIS BANCARIA: CAUSAS Y CONSECUENCIAS</w:t>
      </w:r>
      <w:bookmarkEnd w:id="20"/>
      <w:bookmarkEnd w:id="21"/>
    </w:p>
    <w:p w:rsidR="009B2914" w:rsidRPr="00B07754" w:rsidRDefault="009B2914" w:rsidP="002B5E62">
      <w:pPr>
        <w:spacing w:line="360" w:lineRule="auto"/>
        <w:rPr>
          <w:rFonts w:ascii="Times New Roman" w:hAnsi="Times New Roman"/>
          <w:sz w:val="24"/>
          <w:szCs w:val="24"/>
        </w:rPr>
      </w:pPr>
    </w:p>
    <w:p w:rsidR="0013112D" w:rsidRPr="00B07754" w:rsidRDefault="0013112D" w:rsidP="002B5E62">
      <w:pPr>
        <w:pStyle w:val="Ttulo2"/>
        <w:numPr>
          <w:ilvl w:val="1"/>
          <w:numId w:val="10"/>
        </w:numPr>
        <w:spacing w:before="0" w:after="200" w:line="360" w:lineRule="auto"/>
        <w:ind w:left="0" w:firstLine="0"/>
        <w:rPr>
          <w:rFonts w:ascii="Times New Roman" w:hAnsi="Times New Roman"/>
          <w:color w:val="auto"/>
          <w:sz w:val="24"/>
          <w:szCs w:val="24"/>
          <w:lang w:val="es-MX"/>
        </w:rPr>
      </w:pPr>
      <w:bookmarkStart w:id="22" w:name="_Toc372589965"/>
      <w:r w:rsidRPr="00B07754">
        <w:rPr>
          <w:rFonts w:ascii="Times New Roman" w:hAnsi="Times New Roman"/>
          <w:color w:val="auto"/>
          <w:sz w:val="24"/>
          <w:szCs w:val="24"/>
          <w:lang w:val="es-MX"/>
        </w:rPr>
        <w:t>Evolución de la frecuencia e incidencia de las crisis financieras</w:t>
      </w:r>
      <w:bookmarkEnd w:id="22"/>
      <w:r w:rsidRPr="00B07754">
        <w:rPr>
          <w:rFonts w:ascii="Times New Roman" w:hAnsi="Times New Roman"/>
          <w:color w:val="auto"/>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los últimos años el acelerado desarrollo de las innovaciones financieras e institucionales  permitió la internacionalización de las instituciones bancarias, acompañada de una desregulación gradual. Este proceso ha generado una mayor competitividad en la captación de recursos y en la asignación de créditos, además que ha propiciado mayor volatilidad del sistema y un incremento en el </w:t>
      </w:r>
      <w:r w:rsidRPr="00B07754">
        <w:rPr>
          <w:rFonts w:ascii="Times New Roman" w:hAnsi="Times New Roman"/>
          <w:sz w:val="24"/>
          <w:szCs w:val="24"/>
        </w:rPr>
        <w:t xml:space="preserve">número y en muchos casos también en la profundidad </w:t>
      </w:r>
      <w:r w:rsidRPr="00B07754">
        <w:rPr>
          <w:rFonts w:ascii="Times New Roman" w:hAnsi="Times New Roman"/>
          <w:sz w:val="24"/>
          <w:szCs w:val="24"/>
          <w:lang w:val="es-MX"/>
        </w:rPr>
        <w:t>de las crisis bancarias. Estudios realizados demuestran que la fuente de vulnerabilidad proviene de los flujos de capital en los sistemas financieros locales pero además resaltan que la fragilidad de un país frente a un contagio financiero depende en gran medida de la salud y fortaleza de su sistema bancario</w:t>
      </w:r>
      <w:sdt>
        <w:sdtPr>
          <w:rPr>
            <w:rFonts w:ascii="Times New Roman" w:hAnsi="Times New Roman"/>
            <w:sz w:val="24"/>
            <w:szCs w:val="24"/>
            <w:lang w:val="es-MX"/>
          </w:rPr>
          <w:id w:val="105936023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49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(Pavón, 2001, pág. 49)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b w:val="0"/>
          <w:i/>
          <w:color w:val="auto"/>
          <w:sz w:val="24"/>
          <w:szCs w:val="24"/>
          <w:lang w:val="es-MX"/>
        </w:rPr>
      </w:pPr>
      <w:bookmarkStart w:id="23" w:name="_Toc372589966"/>
      <w:r w:rsidRPr="00B07754">
        <w:rPr>
          <w:rFonts w:ascii="Times New Roman" w:hAnsi="Times New Roman"/>
          <w:b w:val="0"/>
          <w:i/>
          <w:color w:val="auto"/>
          <w:sz w:val="24"/>
          <w:szCs w:val="24"/>
          <w:lang w:val="es-MX"/>
        </w:rPr>
        <w:t>Incidencia de crisis bancarias recientes</w:t>
      </w:r>
      <w:bookmarkEnd w:id="23"/>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La frecuencia de las crisis bancarias ha aumentado considerablemente a partir de la década de los ochenta, especialmente en los países en desarrollo, en los cuales se registra el 70% del total de las crisis en los últimos 30 años</w:t>
      </w:r>
      <w:sdt>
        <w:sdtPr>
          <w:rPr>
            <w:rFonts w:ascii="Times New Roman" w:hAnsi="Times New Roman"/>
            <w:sz w:val="24"/>
            <w:szCs w:val="24"/>
            <w:lang w:val="es-MX"/>
          </w:rPr>
          <w:id w:val="-101383875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49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(Pavón, 2001, pág. 49)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Las crisis bancarias tienen sus orígenes en los problemas que pueden presentar instituciones individuales y que adquieren un carácter sistémico.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Es altamente difundido el pensamiento que los problemas bancarios tienen sus raíces en los pasivos de los bancos, es decir, en el retiro masivo de depósitos o el cierre de líneas interbancarias. Sin embargo, estos hechos son el resultado y no la causa de los problemas que presenta la banca. Las crisis bancarias, por el contrario, surgen por un deterioro prolongado en la calidad de los activos, razón por la que se emplean variables como la participación de la cartera vencida o las fluctuaciones en el precio de los </w:t>
      </w:r>
      <w:r w:rsidR="0030665E" w:rsidRPr="00B07754">
        <w:rPr>
          <w:rFonts w:ascii="Times New Roman" w:hAnsi="Times New Roman"/>
          <w:sz w:val="24"/>
          <w:szCs w:val="24"/>
          <w:lang w:val="es-MX"/>
        </w:rPr>
        <w:t>activos</w:t>
      </w:r>
      <w:r w:rsidRPr="00B07754">
        <w:rPr>
          <w:rFonts w:ascii="Times New Roman" w:hAnsi="Times New Roman"/>
          <w:sz w:val="24"/>
          <w:szCs w:val="24"/>
          <w:lang w:val="es-MX"/>
        </w:rPr>
        <w:t xml:space="preserve"> para identificar posibles crisis.  </w:t>
      </w:r>
      <w:r w:rsidR="0030665E" w:rsidRPr="00B07754">
        <w:rPr>
          <w:rFonts w:ascii="Times New Roman" w:hAnsi="Times New Roman"/>
          <w:sz w:val="24"/>
          <w:szCs w:val="24"/>
          <w:lang w:val="es-MX"/>
        </w:rPr>
        <w:t>Si bien no es posible determinar con exactitud l</w:t>
      </w:r>
      <w:r w:rsidRPr="00B07754">
        <w:rPr>
          <w:rFonts w:ascii="Times New Roman" w:hAnsi="Times New Roman"/>
          <w:sz w:val="24"/>
          <w:szCs w:val="24"/>
          <w:lang w:val="es-MX"/>
        </w:rPr>
        <w:t>a determinación de la duración de una crisis</w:t>
      </w:r>
      <w:r w:rsidR="0030665E" w:rsidRPr="00B07754">
        <w:rPr>
          <w:rFonts w:ascii="Times New Roman" w:hAnsi="Times New Roman"/>
          <w:sz w:val="24"/>
          <w:szCs w:val="24"/>
          <w:lang w:val="es-MX"/>
        </w:rPr>
        <w:t>, ésta</w:t>
      </w:r>
      <w:r w:rsidRPr="00B07754">
        <w:rPr>
          <w:rFonts w:ascii="Times New Roman" w:hAnsi="Times New Roman"/>
          <w:sz w:val="24"/>
          <w:szCs w:val="24"/>
          <w:lang w:val="es-MX"/>
        </w:rPr>
        <w:t xml:space="preserve"> suele basarse en los periodos en que el deterioro de los </w:t>
      </w:r>
      <w:r w:rsidRPr="00B07754">
        <w:rPr>
          <w:rFonts w:ascii="Times New Roman" w:hAnsi="Times New Roman"/>
          <w:sz w:val="24"/>
          <w:szCs w:val="24"/>
          <w:lang w:val="es-MX"/>
        </w:rPr>
        <w:lastRenderedPageBreak/>
        <w:t>indicadores de riesgo –morosidad, liquidez, solvencia- que califican la situación del sistema bancario es profundo y generalizado</w:t>
      </w:r>
      <w:sdt>
        <w:sdtPr>
          <w:rPr>
            <w:rFonts w:ascii="Times New Roman" w:hAnsi="Times New Roman"/>
            <w:sz w:val="24"/>
            <w:szCs w:val="24"/>
            <w:lang w:val="es-MX"/>
          </w:rPr>
          <w:id w:val="2306471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49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(Pavón, 2001, pág. 49)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Una vez que mejoran dichas definiciones contables se consideran concluidas las crisis.</w:t>
      </w:r>
      <w:sdt>
        <w:sdtPr>
          <w:rPr>
            <w:rFonts w:ascii="Times New Roman" w:hAnsi="Times New Roman"/>
            <w:sz w:val="24"/>
            <w:szCs w:val="24"/>
            <w:lang w:val="es-MX"/>
          </w:rPr>
          <w:id w:val="-25813403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Ami00 \p 29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(Amieva Huerta &amp; Urriza González, 2000, pág. 29)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w:t>
      </w:r>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b w:val="0"/>
          <w:i/>
          <w:color w:val="auto"/>
          <w:sz w:val="24"/>
          <w:szCs w:val="24"/>
          <w:lang w:val="es-MX"/>
        </w:rPr>
      </w:pPr>
      <w:bookmarkStart w:id="24" w:name="_Toc372589967"/>
      <w:r w:rsidRPr="00B07754">
        <w:rPr>
          <w:rFonts w:ascii="Times New Roman" w:hAnsi="Times New Roman"/>
          <w:b w:val="0"/>
          <w:i/>
          <w:color w:val="auto"/>
          <w:sz w:val="24"/>
          <w:szCs w:val="24"/>
          <w:lang w:val="es-MX"/>
        </w:rPr>
        <w:t>Gestación de las crisis bancarias</w:t>
      </w:r>
      <w:bookmarkEnd w:id="24"/>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profundización de una crisis bancaria se hace latente el momento en el cual los bancos se encuentran inducidos a suspender la convertibilidad de sus pasivos o en el cual el gobierno se ve obligado a intervenir para prevenir que ocurra  dicha situación. Las crisis bancarias se originan cuando una institución individual presenta una crisis de liquidez, asociada generalmente con una crisis de solvencia.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Puesto que las crisis bancarias pueden alcanzar proporciones sistémicas (Fondo Monetario Internacional, 1998, pág. 75), es sumamente importante evitar esos problemas bancarios y sistémicos, para lo que se precisa conocer la información relacionada con el desempeño del negocio, los recursos de capital, estructura de mercado y su entorno macroeconómico. No obstante, en un entorno financiero tan complejo como el actual se desincentiva la recolección de información y se intensifica, por tanto, el comportamiento rebaño</w:t>
      </w:r>
      <w:r w:rsidRPr="00B07754">
        <w:rPr>
          <w:rStyle w:val="Refdenotaalpie"/>
          <w:rFonts w:ascii="Times New Roman" w:hAnsi="Times New Roman"/>
          <w:sz w:val="24"/>
          <w:szCs w:val="24"/>
          <w:lang w:val="es-MX"/>
        </w:rPr>
        <w:footnoteReference w:id="24"/>
      </w:r>
      <w:r w:rsidRPr="00B07754">
        <w:rPr>
          <w:rFonts w:ascii="Times New Roman" w:hAnsi="Times New Roman"/>
          <w:sz w:val="24"/>
          <w:szCs w:val="24"/>
          <w:lang w:val="es-MX"/>
        </w:rPr>
        <w:t>, debido al contexto de información asimétrica e imperfecta. En lo que respecta a las crisis bancarias la literatura concuerda en que las instituciones bancarias afectadas por perturbaciones externas presentan características que las hace vulnerables. Asimismo, los efectos sistémicos que conllevan a que la crisis de una institución afecte a la estabilidad de todo el sistema se presentan con mayor probabilidad en estructuras frágiles</w:t>
      </w:r>
      <w:sdt>
        <w:sdtPr>
          <w:rPr>
            <w:rFonts w:ascii="Times New Roman" w:hAnsi="Times New Roman"/>
            <w:sz w:val="24"/>
            <w:szCs w:val="24"/>
            <w:lang w:val="es-MX"/>
          </w:rPr>
          <w:id w:val="146940494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52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(Pavón, 2001, pág. 52)</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A continuación se describen los factores que pueden generar fragilidad en los sistemas bancarios. </w:t>
      </w:r>
    </w:p>
    <w:p w:rsidR="0013112D" w:rsidRPr="00B07754" w:rsidRDefault="0013112D" w:rsidP="002B5E62">
      <w:pPr>
        <w:pStyle w:val="Ttulo4"/>
        <w:numPr>
          <w:ilvl w:val="3"/>
          <w:numId w:val="10"/>
        </w:numPr>
        <w:spacing w:before="0" w:after="200" w:line="360" w:lineRule="auto"/>
        <w:ind w:left="0" w:firstLine="0"/>
        <w:jc w:val="both"/>
        <w:rPr>
          <w:rFonts w:ascii="Times New Roman" w:hAnsi="Times New Roman"/>
          <w:b w:val="0"/>
          <w:color w:val="auto"/>
          <w:sz w:val="24"/>
          <w:szCs w:val="24"/>
          <w:lang w:val="es-MX"/>
        </w:rPr>
      </w:pPr>
      <w:r w:rsidRPr="00B07754">
        <w:rPr>
          <w:rFonts w:ascii="Times New Roman" w:hAnsi="Times New Roman"/>
          <w:b w:val="0"/>
          <w:color w:val="auto"/>
          <w:sz w:val="24"/>
          <w:szCs w:val="24"/>
          <w:lang w:val="es-MX"/>
        </w:rPr>
        <w:t>Causas Microeconómicas</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evidencia empírica señala que existen ciertos indicadores de vulnerabilidad que, a través de los estados financieros, permiten identificar los riesgos de liquidez, crediticios, de mercado, operativo y del entorno macroeconómico. Las razones financieras permiten la identificación oportuna de una institución con problemas ya que ésta cumpliría con  características tales como: rápido deterioro de la cartera vencida y ratios de liquidez, el portafolio de activos bancarios incluye una proporción significativa de préstamos </w:t>
      </w:r>
      <w:r w:rsidRPr="00B07754">
        <w:rPr>
          <w:rFonts w:ascii="Times New Roman" w:hAnsi="Times New Roman"/>
          <w:sz w:val="24"/>
          <w:szCs w:val="24"/>
          <w:lang w:val="es-MX"/>
        </w:rPr>
        <w:lastRenderedPageBreak/>
        <w:t>vinculados a la propiedad, los rendimientos ofrecidos  por el banco son excesivos y los activos bancarios en valores negociables son relativamente bajos. A su vez, si los sistemas de contabilidad y presentación de estados financieros son inadecuados se acentúan las consecuencias de las falencias mencionadas</w:t>
      </w:r>
      <w:sdt>
        <w:sdtPr>
          <w:rPr>
            <w:rFonts w:ascii="Times New Roman" w:hAnsi="Times New Roman"/>
            <w:sz w:val="24"/>
            <w:szCs w:val="24"/>
            <w:lang w:val="es-MX"/>
          </w:rPr>
          <w:id w:val="-102794909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53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(Pavón, 2001, pág. 53)</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pStyle w:val="Ttulo4"/>
        <w:numPr>
          <w:ilvl w:val="3"/>
          <w:numId w:val="10"/>
        </w:numPr>
        <w:spacing w:before="0" w:after="200" w:line="360" w:lineRule="auto"/>
        <w:ind w:left="0" w:firstLine="0"/>
        <w:jc w:val="both"/>
        <w:rPr>
          <w:rFonts w:ascii="Times New Roman" w:hAnsi="Times New Roman"/>
          <w:b w:val="0"/>
          <w:color w:val="auto"/>
          <w:sz w:val="24"/>
          <w:szCs w:val="24"/>
          <w:lang w:val="es-MX"/>
        </w:rPr>
      </w:pPr>
      <w:r w:rsidRPr="00B07754">
        <w:rPr>
          <w:rFonts w:ascii="Times New Roman" w:hAnsi="Times New Roman"/>
          <w:b w:val="0"/>
          <w:color w:val="auto"/>
          <w:sz w:val="24"/>
          <w:szCs w:val="24"/>
          <w:lang w:val="es-MX"/>
        </w:rPr>
        <w:t>Las causas macroeconómicas</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Por lo general, las crisis bancarias son precedidas por algún tipo de perturbación macroeconómica que afecta la calidad de los activos, la posibilidad de obtener recursos, el comportamiento del crédito y la liquidez. El problema en las instituciones bancarias surge si las reacciones de éstas son inadecuadas frente al ciclo de negocios, es decir, si los bancos subestiman los problemas relacionados con la información asimétrica –selección adversa y riesgo moral- y financian proyectos aparentemente rentables que si son examinados con más atención se podría evidenciar su bajo rendimiento. Si la situación descrita se presenta en la etapa de crecimiento del ciclo, en el corto plazo, se mejorará la rentabilidad de los proyectos pero al iniciarse el declive en el ciclo surgirán problemas.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Otro elemento que es determinante en el inicio de las crisis bancarias es el relacionado con los cambios bruscos en las tasa de interés; si los bancos no pueden anticiparlos pueden surgir situaciones en las cuales el rendimiento de sus activos sea inferior al que ellos pagan por sus pasivos. De igual manera, los prestatarios se verán imposibilitados para atender los pagos derivados de sus deudas </w:t>
      </w:r>
      <w:sdt>
        <w:sdtPr>
          <w:rPr>
            <w:rFonts w:ascii="Times New Roman" w:hAnsi="Times New Roman"/>
            <w:sz w:val="24"/>
            <w:szCs w:val="24"/>
            <w:lang w:val="es-MX"/>
          </w:rPr>
          <w:id w:val="-142949862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54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(Pavón, 2001, pág. 54)</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Un factor que también crea o conduce a una crisis bancaria es la corrección en el precio de los activos, en los que se incl</w:t>
      </w:r>
      <w:r w:rsidR="003633F6" w:rsidRPr="00B07754">
        <w:rPr>
          <w:rFonts w:ascii="Times New Roman" w:hAnsi="Times New Roman"/>
          <w:sz w:val="24"/>
          <w:szCs w:val="24"/>
          <w:lang w:val="es-MX"/>
        </w:rPr>
        <w:t xml:space="preserve">uyen los cambios en la paridad </w:t>
      </w:r>
      <w:r w:rsidRPr="00B07754">
        <w:rPr>
          <w:rFonts w:ascii="Times New Roman" w:hAnsi="Times New Roman"/>
          <w:sz w:val="24"/>
          <w:szCs w:val="24"/>
          <w:lang w:val="es-MX"/>
        </w:rPr>
        <w:t xml:space="preserve">cambiaria real, el índice de precios y las cotizaciones en el mercado de valores. Por último, las expectativas de los agentes juegan un papel importante como uno de los desencadenantes de las crisis bancarias si se desatan expectativas generalizadas sobre un posible evento adverso. </w:t>
      </w:r>
      <w:sdt>
        <w:sdtPr>
          <w:rPr>
            <w:rFonts w:ascii="Times New Roman" w:hAnsi="Times New Roman"/>
            <w:sz w:val="24"/>
            <w:szCs w:val="24"/>
            <w:lang w:val="es-MX"/>
          </w:rPr>
          <w:id w:val="3485630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(Pavón, 2001, pág. 55)</w:t>
          </w:r>
          <w:r w:rsidRPr="00B07754">
            <w:rPr>
              <w:rFonts w:ascii="Times New Roman" w:hAnsi="Times New Roman"/>
              <w:sz w:val="24"/>
              <w:szCs w:val="24"/>
              <w:lang w:val="es-MX"/>
            </w:rPr>
            <w:fldChar w:fldCharType="end"/>
          </w:r>
        </w:sdtContent>
      </w:sdt>
    </w:p>
    <w:p w:rsidR="0013112D" w:rsidRPr="00B07754" w:rsidRDefault="0013112D" w:rsidP="002B5E62">
      <w:pPr>
        <w:pStyle w:val="Ttulo4"/>
        <w:numPr>
          <w:ilvl w:val="3"/>
          <w:numId w:val="10"/>
        </w:numPr>
        <w:spacing w:before="0" w:after="200" w:line="360" w:lineRule="auto"/>
        <w:ind w:left="0" w:firstLine="0"/>
        <w:jc w:val="both"/>
        <w:rPr>
          <w:rFonts w:ascii="Times New Roman" w:hAnsi="Times New Roman"/>
          <w:b w:val="0"/>
          <w:color w:val="auto"/>
          <w:sz w:val="24"/>
          <w:szCs w:val="24"/>
          <w:lang w:val="es-MX"/>
        </w:rPr>
      </w:pPr>
      <w:r w:rsidRPr="00B07754">
        <w:rPr>
          <w:rFonts w:ascii="Times New Roman" w:hAnsi="Times New Roman"/>
          <w:b w:val="0"/>
          <w:color w:val="auto"/>
          <w:sz w:val="24"/>
          <w:szCs w:val="24"/>
          <w:lang w:val="es-MX"/>
        </w:rPr>
        <w:t>Causas institucionales</w:t>
      </w:r>
    </w:p>
    <w:p w:rsidR="0013112D" w:rsidRPr="00B07754" w:rsidRDefault="0013112D"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falta de una regulación y supervisión adecuadas otorga libertad a los bancos para decidir sus exposiciones al riesgo y el monto de sus reservas líquidas. Adicionalmente se incluyen los riesgos de insolvencia, riesgo sistémico ante una corrida de depósitos, y riesgo operativo. Si los esquemas de liberalización financiera –eliminación de controles a la fijación de tasas de interés, reducción de la intervención estatal de los créditos a ciertos </w:t>
      </w:r>
      <w:r w:rsidRPr="00B07754">
        <w:rPr>
          <w:rFonts w:ascii="Times New Roman" w:hAnsi="Times New Roman"/>
          <w:sz w:val="24"/>
          <w:szCs w:val="24"/>
          <w:lang w:val="es-MX"/>
        </w:rPr>
        <w:lastRenderedPageBreak/>
        <w:t xml:space="preserve">sectores, disminución de las reservas bancarias e incentivo a la competencia- es realizada de manera precipitada, puede anteceder a una crisis bancaria. De igual manera, la participación estatal en la propiedad bancaria ha sido un factor determinante en las crisis bancarias al no seguirse criterios de eficiencia y rentabilidad en la asignación de recursos. </w:t>
      </w:r>
      <w:sdt>
        <w:sdtPr>
          <w:rPr>
            <w:rFonts w:ascii="Times New Roman" w:hAnsi="Times New Roman"/>
            <w:sz w:val="24"/>
            <w:szCs w:val="24"/>
            <w:lang w:val="es-MX"/>
          </w:rPr>
          <w:id w:val="-176845336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(Pavón, 2001, pág. 55)</w:t>
          </w:r>
          <w:r w:rsidRPr="00B07754">
            <w:rPr>
              <w:rFonts w:ascii="Times New Roman" w:hAnsi="Times New Roman"/>
              <w:sz w:val="24"/>
              <w:szCs w:val="24"/>
              <w:lang w:val="es-MX"/>
            </w:rPr>
            <w:fldChar w:fldCharType="end"/>
          </w:r>
        </w:sdtContent>
      </w:sdt>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b w:val="0"/>
          <w:i/>
          <w:color w:val="auto"/>
          <w:sz w:val="24"/>
          <w:szCs w:val="24"/>
          <w:lang w:val="es-MX"/>
        </w:rPr>
      </w:pPr>
      <w:bookmarkStart w:id="25" w:name="_Toc372589968"/>
      <w:r w:rsidRPr="00B07754">
        <w:rPr>
          <w:rFonts w:ascii="Times New Roman" w:hAnsi="Times New Roman"/>
          <w:b w:val="0"/>
          <w:i/>
          <w:color w:val="auto"/>
          <w:sz w:val="24"/>
          <w:szCs w:val="24"/>
          <w:lang w:val="es-MX"/>
        </w:rPr>
        <w:t>Costos de las crisis bancarias</w:t>
      </w:r>
      <w:bookmarkEnd w:id="25"/>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Es difícil determinar los costos de las crisis bancarias con exactitud pues sus efectos inciden en diferentes ámbitos de la economía, redistribuyen la riqueza entre los sectores y tienen efectos en la asignación ineficiente y subutilización de recursos. A su vez, estos factores afectan el producto nacional y el potencial de crecimiento en el largo plazo. Sin embargo, es posible la cuantificación de los costos vinculados con el rescate financiero, a través de medir: a) los costos fiscales que impactan directamente al gobierno que adquiere obligaciones, ya sea por su participación en la propiedad de los bancos o por obligaciones derivadas de las garantías dadas a créditos y depósitos. Igualmente, las pérdidas bancarias reducen la base imponible y por tanto el pago de impuestos. b) Costes cuasi fiscales que se derivan de la inyección de liquidez de emergencia por el Banco Central a instituciones en problemas</w:t>
      </w:r>
      <w:sdt>
        <w:sdtPr>
          <w:rPr>
            <w:rFonts w:ascii="Times New Roman" w:hAnsi="Times New Roman"/>
            <w:sz w:val="24"/>
            <w:szCs w:val="24"/>
            <w:lang w:val="es-MX"/>
          </w:rPr>
          <w:id w:val="1184012155"/>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56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(Pavón, 2001, pág. 56)</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Si bien, la magnitud total del impacto de las crisis bancarias en el sector real de la economía no se puede evaluar, se utiliza como aproximación la caída en la tendencia del crecimiento económico real de un país </w:t>
      </w:r>
      <w:sdt>
        <w:sdtPr>
          <w:rPr>
            <w:rFonts w:ascii="Times New Roman" w:hAnsi="Times New Roman"/>
            <w:sz w:val="24"/>
            <w:szCs w:val="24"/>
            <w:lang w:val="es-MX"/>
          </w:rPr>
          <w:id w:val="-120902359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Pav01 \p 56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(Pavón, 2001, pág. 56)</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Los costos de las crisis pueden distribuirse dentro del periodo de duración de las mismas o a lo largo de un plazo más extenso. Por ello, los periodos de duración de las crisis pueden diferir de los de la asignación de los costos.</w:t>
      </w:r>
      <w:sdt>
        <w:sdtPr>
          <w:rPr>
            <w:rFonts w:ascii="Times New Roman" w:hAnsi="Times New Roman"/>
            <w:sz w:val="24"/>
            <w:szCs w:val="24"/>
            <w:lang w:val="es-MX"/>
          </w:rPr>
          <w:id w:val="1591427581"/>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Ami00 \p 29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(Amieva Huerta &amp; Urriza González, 2000, pág. 29)</w:t>
          </w:r>
          <w:r w:rsidRPr="00B07754">
            <w:rPr>
              <w:rFonts w:ascii="Times New Roman" w:hAnsi="Times New Roman"/>
              <w:sz w:val="24"/>
              <w:szCs w:val="24"/>
              <w:lang w:val="es-MX"/>
            </w:rPr>
            <w:fldChar w:fldCharType="end"/>
          </w:r>
        </w:sdtContent>
      </w:sdt>
    </w:p>
    <w:p w:rsidR="0013112D" w:rsidRPr="00B07754" w:rsidRDefault="0013112D" w:rsidP="002B5E62">
      <w:pPr>
        <w:pStyle w:val="Ttulo2"/>
        <w:numPr>
          <w:ilvl w:val="1"/>
          <w:numId w:val="10"/>
        </w:numPr>
        <w:spacing w:before="0" w:after="200" w:line="360" w:lineRule="auto"/>
        <w:ind w:left="0" w:firstLine="0"/>
        <w:jc w:val="both"/>
        <w:rPr>
          <w:rFonts w:ascii="Times New Roman" w:hAnsi="Times New Roman"/>
          <w:color w:val="auto"/>
          <w:sz w:val="24"/>
          <w:szCs w:val="24"/>
          <w:lang w:val="es-MX"/>
        </w:rPr>
      </w:pPr>
      <w:bookmarkStart w:id="26" w:name="_Toc372589969"/>
      <w:r w:rsidRPr="00B07754">
        <w:rPr>
          <w:rFonts w:ascii="Times New Roman" w:hAnsi="Times New Roman"/>
          <w:color w:val="auto"/>
          <w:sz w:val="24"/>
          <w:szCs w:val="24"/>
          <w:lang w:val="es-MX"/>
        </w:rPr>
        <w:t>Efectos de las últimas crisis financieras sufridas en el Ecuador</w:t>
      </w:r>
      <w:bookmarkEnd w:id="26"/>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9 de enero de 2000 el gobierno del Ecuador decidió adoptar al dólar de los Estados Unidos como su moneda nacional, medio interno de intercambio y unidad de cuenta. Esta medida fue adoptada como consecuencia de la crisis que enfrentó el país a finales de la década de los noventa, crisis que es considerada una de las más severas de su historia republicana. Así pues, a finales de 1999 el país estaba al borde de la hiperinflación, con un incremento de precios al consumidor cercano al 30% mensual y con tendencia marcadamente creciente. El valor del sucre se encontraba en caída libre, el gobierno había </w:t>
      </w:r>
      <w:r w:rsidRPr="00B07754">
        <w:rPr>
          <w:rFonts w:ascii="Times New Roman" w:hAnsi="Times New Roman"/>
          <w:sz w:val="24"/>
          <w:szCs w:val="24"/>
          <w:lang w:val="es-MX"/>
        </w:rPr>
        <w:lastRenderedPageBreak/>
        <w:t xml:space="preserve">intervenido en el sistema bancario, gran parte de los depósitos del público fue congelado </w:t>
      </w:r>
      <w:sdt>
        <w:sdtPr>
          <w:rPr>
            <w:rFonts w:ascii="Times New Roman" w:hAnsi="Times New Roman"/>
            <w:sz w:val="24"/>
            <w:szCs w:val="24"/>
            <w:lang w:val="es-MX"/>
          </w:rPr>
          <w:id w:val="-198215215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Sol03 \p 15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(Solimano, 2003, pág. 15)</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y la pérdida en el producto interno bruto real era del 7.3%.</w:t>
      </w:r>
      <w:sdt>
        <w:sdtPr>
          <w:rPr>
            <w:rFonts w:ascii="Times New Roman" w:hAnsi="Times New Roman"/>
            <w:sz w:val="24"/>
            <w:szCs w:val="24"/>
            <w:lang w:val="es-MX"/>
          </w:rPr>
          <w:id w:val="974252521"/>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Bec03 \p 35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(Beckerman, 2003, pág. 35)</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Sin embargo, esta crisis se manifestó, como se explicará en las secciones siguientes, en buena parte como consecuencia de factores exógenos a la economía ecuatoriana, los cuales obligaron a las autoridades económicas a actuar de manera que la política anti-inflacionaria implementada en 1992 pierda el efecto esperado y provocando que la inflación retome su tendencia alcista. </w:t>
      </w:r>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b w:val="0"/>
          <w:i/>
          <w:color w:val="auto"/>
          <w:sz w:val="24"/>
          <w:szCs w:val="24"/>
          <w:lang w:val="es-MX"/>
        </w:rPr>
      </w:pPr>
      <w:r w:rsidRPr="00B07754">
        <w:rPr>
          <w:rFonts w:ascii="Times New Roman" w:hAnsi="Times New Roman"/>
          <w:i/>
          <w:color w:val="auto"/>
          <w:sz w:val="24"/>
          <w:szCs w:val="24"/>
          <w:lang w:val="es-MX"/>
        </w:rPr>
        <w:t xml:space="preserve"> </w:t>
      </w:r>
      <w:bookmarkStart w:id="27" w:name="_Toc372589970"/>
      <w:r w:rsidRPr="00B07754">
        <w:rPr>
          <w:rFonts w:ascii="Times New Roman" w:hAnsi="Times New Roman"/>
          <w:b w:val="0"/>
          <w:i/>
          <w:color w:val="auto"/>
          <w:sz w:val="24"/>
          <w:szCs w:val="24"/>
          <w:lang w:val="es-MX"/>
        </w:rPr>
        <w:t xml:space="preserve">Análisis histórico de las condiciones económicas previas a la crisis </w:t>
      </w:r>
      <w:proofErr w:type="spellStart"/>
      <w:r w:rsidRPr="00B07754">
        <w:rPr>
          <w:rFonts w:ascii="Times New Roman" w:hAnsi="Times New Roman"/>
          <w:b w:val="0"/>
          <w:i/>
          <w:color w:val="auto"/>
          <w:sz w:val="24"/>
          <w:szCs w:val="24"/>
          <w:lang w:val="es-MX"/>
        </w:rPr>
        <w:t>predolarización</w:t>
      </w:r>
      <w:bookmarkEnd w:id="27"/>
      <w:proofErr w:type="spellEnd"/>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Ecuador siempre ha dependido en alto grado de los ingresos generados por la exportación de productos primarios con precios volátiles y ha sido vulnerable a desastres sísmicos y climáticos. </w:t>
      </w:r>
      <w:sdt>
        <w:sdtPr>
          <w:rPr>
            <w:rFonts w:ascii="Times New Roman" w:hAnsi="Times New Roman"/>
            <w:sz w:val="24"/>
            <w:szCs w:val="24"/>
            <w:lang w:val="es-MX"/>
          </w:rPr>
          <w:id w:val="-1661617112"/>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Bec03 \p 40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(Beckerman, 2003, pág. 40)</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En 1975 y 1983 el país se vio afectado por los efectos del fenómeno de El Niño, cuyas lluvias provocaron severos daños a la producción agrícola de la Costa, a la infraestructura vial y a los volúmenes de pesca. Este fenómeno que se repitió en 1998 fue uno de los desencadenantes para la crisis que estamos analizando.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Otro desastre natural que causó daños importantes fue el terremoto de 1987 que destruyó 40 kilómetros del oleoducto trasandino y detuvo la producción de petróleo por cinco meses.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Esta vulnerabilidad a los desastres naturales es preocupante ya que desalienta varios tipos de inversión, además que los desastres por sí mismos suelen tener consecuencias muy negativas para el crecimiento económico y la estabilidad. </w:t>
      </w:r>
      <w:sdt>
        <w:sdtPr>
          <w:rPr>
            <w:rFonts w:ascii="Times New Roman" w:hAnsi="Times New Roman"/>
            <w:sz w:val="24"/>
            <w:szCs w:val="24"/>
            <w:lang w:val="es-MX"/>
          </w:rPr>
          <w:id w:val="97341241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Bec03 \p 43,44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(Beckerman, 2003, págs. 43,44)</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9F6EA5"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En la década de los 70 las exportaciones petroleras a gran escala generaron un aumento brusco del</w:t>
      </w:r>
      <w:r w:rsidR="00C1281F" w:rsidRPr="00B07754">
        <w:rPr>
          <w:rFonts w:ascii="Times New Roman" w:hAnsi="Times New Roman"/>
          <w:sz w:val="24"/>
          <w:szCs w:val="24"/>
          <w:lang w:val="es-MX"/>
        </w:rPr>
        <w:t xml:space="preserve"> ritmo de crecimiento económico.</w:t>
      </w:r>
      <w:r w:rsidRPr="00B07754">
        <w:rPr>
          <w:rFonts w:ascii="Times New Roman" w:hAnsi="Times New Roman"/>
          <w:sz w:val="24"/>
          <w:szCs w:val="24"/>
          <w:lang w:val="es-MX"/>
        </w:rPr>
        <w:t xml:space="preserve"> </w:t>
      </w:r>
      <w:r w:rsidR="00C1281F" w:rsidRPr="00B07754">
        <w:rPr>
          <w:rFonts w:ascii="Times New Roman" w:hAnsi="Times New Roman"/>
          <w:sz w:val="24"/>
          <w:szCs w:val="24"/>
          <w:lang w:val="es-MX"/>
        </w:rPr>
        <w:t>E</w:t>
      </w:r>
      <w:r w:rsidRPr="00B07754">
        <w:rPr>
          <w:rFonts w:ascii="Times New Roman" w:hAnsi="Times New Roman"/>
          <w:sz w:val="24"/>
          <w:szCs w:val="24"/>
          <w:lang w:val="es-MX"/>
        </w:rPr>
        <w:t>n ese entorno en 1975 s</w:t>
      </w:r>
      <w:r w:rsidR="00C1281F" w:rsidRPr="00B07754">
        <w:rPr>
          <w:rFonts w:ascii="Times New Roman" w:hAnsi="Times New Roman"/>
          <w:sz w:val="24"/>
          <w:szCs w:val="24"/>
          <w:lang w:val="es-MX"/>
        </w:rPr>
        <w:t xml:space="preserve">e produjo una brusca reducción </w:t>
      </w:r>
      <w:r w:rsidRPr="00B07754">
        <w:rPr>
          <w:rFonts w:ascii="Times New Roman" w:hAnsi="Times New Roman"/>
          <w:sz w:val="24"/>
          <w:szCs w:val="24"/>
          <w:lang w:val="es-MX"/>
        </w:rPr>
        <w:t xml:space="preserve">de los ingresos fiscales como consecuencia de la presencia del fenómeno de El Niño al que el gobierno respondió contratando fuertes cantidades de deuda externa para no elevar impuestos o reducir el gasto, principalmente </w:t>
      </w:r>
      <w:r w:rsidR="00C1281F" w:rsidRPr="00B07754">
        <w:rPr>
          <w:rFonts w:ascii="Times New Roman" w:hAnsi="Times New Roman"/>
          <w:sz w:val="24"/>
          <w:szCs w:val="24"/>
          <w:lang w:val="es-MX"/>
        </w:rPr>
        <w:t>en subsidios a los combustibles.</w:t>
      </w:r>
      <w:r w:rsidRPr="00B07754">
        <w:rPr>
          <w:rFonts w:ascii="Times New Roman" w:hAnsi="Times New Roman"/>
          <w:sz w:val="24"/>
          <w:szCs w:val="24"/>
          <w:lang w:val="es-MX"/>
        </w:rPr>
        <w:t xml:space="preserve"> </w:t>
      </w:r>
      <w:r w:rsidR="00C1281F" w:rsidRPr="00B07754">
        <w:rPr>
          <w:rFonts w:ascii="Times New Roman" w:hAnsi="Times New Roman"/>
          <w:sz w:val="24"/>
          <w:szCs w:val="24"/>
          <w:lang w:val="es-MX"/>
        </w:rPr>
        <w:t>L</w:t>
      </w:r>
      <w:r w:rsidRPr="00B07754">
        <w:rPr>
          <w:rFonts w:ascii="Times New Roman" w:hAnsi="Times New Roman"/>
          <w:sz w:val="24"/>
          <w:szCs w:val="24"/>
          <w:lang w:val="es-MX"/>
        </w:rPr>
        <w:t xml:space="preserve">o llevó a que para finales de 1979 la deuda externa pública ascienda a 4 500 millones de dólares, equivalente al 28% del PIB, es decir un 8% más que en 1970. </w:t>
      </w:r>
      <w:sdt>
        <w:sdtPr>
          <w:rPr>
            <w:rFonts w:ascii="Times New Roman" w:hAnsi="Times New Roman"/>
            <w:sz w:val="24"/>
            <w:szCs w:val="24"/>
            <w:lang w:val="es-MX"/>
          </w:rPr>
          <w:id w:val="-102254482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Bec03 \p 45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(Beckerman, 2003, pág. 45)</w:t>
          </w:r>
          <w:r w:rsidRPr="00B07754">
            <w:rPr>
              <w:rFonts w:ascii="Times New Roman" w:hAnsi="Times New Roman"/>
              <w:sz w:val="24"/>
              <w:szCs w:val="24"/>
              <w:lang w:val="es-MX"/>
            </w:rPr>
            <w:fldChar w:fldCharType="end"/>
          </w:r>
        </w:sdtContent>
      </w:sdt>
      <w:r w:rsidR="009F6EA5" w:rsidRPr="00B07754">
        <w:rPr>
          <w:rFonts w:ascii="Times New Roman" w:hAnsi="Times New Roman"/>
          <w:sz w:val="24"/>
          <w:szCs w:val="24"/>
          <w:lang w:val="es-MX"/>
        </w:rPr>
        <w:t>.</w:t>
      </w:r>
    </w:p>
    <w:p w:rsidR="009F6EA5" w:rsidRPr="00B07754" w:rsidRDefault="009F6EA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En lo que respecta al sistema financiero, en la década de 1970 ingresó la banca internacional al país lo que permitió la modernización de los métodos y sistemas bancarios que utilizaban las instituciones. Así pues, entre 1971 y 1976 las entidades bancarias crecieron en un 21% en total, las matrices en un 40%, las sucursales en un 27% y las agencias en un 12%. Este crecimiento se aceleró para el periodo 1976 – 1981, en el cual las instituciones bancarias aumentaron en 83%, las matrices en 40%, las sucursales en 27% y las agencias en un 12%. De esta manera se evidencia el fuerte y rápido desarrollo que presentó la banca en estos años, destinándose gran parte de la cartera a créditos comerciales.  </w:t>
      </w:r>
      <w:sdt>
        <w:sdtPr>
          <w:rPr>
            <w:rFonts w:ascii="Times New Roman" w:hAnsi="Times New Roman"/>
            <w:sz w:val="24"/>
            <w:szCs w:val="24"/>
            <w:lang w:val="es-MX"/>
          </w:rPr>
          <w:id w:val="159867618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Cal07 \p 55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(Calle Ramírez, Morocho Matute , &amp; Vázconoz Argudo , 2007, pág. 55)</w:t>
          </w:r>
          <w:r w:rsidRPr="00B07754">
            <w:rPr>
              <w:rFonts w:ascii="Times New Roman" w:hAnsi="Times New Roman"/>
              <w:sz w:val="24"/>
              <w:szCs w:val="24"/>
              <w:lang w:val="es-MX"/>
            </w:rPr>
            <w:fldChar w:fldCharType="end"/>
          </w:r>
        </w:sdtContent>
      </w:sdt>
    </w:p>
    <w:p w:rsidR="00CD2945"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Las causas subyacentes de la crisis, recesión y permanente estancamiento de la década de 1980 fueron la expansión crediticia sin crecimiento paralelo del ahorro y la equivocada percepción empresarial</w:t>
      </w:r>
      <w:r w:rsidR="00CF49ED" w:rsidRPr="00B07754">
        <w:rPr>
          <w:rFonts w:ascii="Times New Roman" w:hAnsi="Times New Roman"/>
          <w:sz w:val="24"/>
          <w:szCs w:val="24"/>
          <w:lang w:val="es-MX"/>
        </w:rPr>
        <w:t xml:space="preserve"> de</w:t>
      </w:r>
      <w:r w:rsidRPr="00B07754">
        <w:rPr>
          <w:rFonts w:ascii="Times New Roman" w:hAnsi="Times New Roman"/>
          <w:sz w:val="24"/>
          <w:szCs w:val="24"/>
          <w:lang w:val="es-MX"/>
        </w:rPr>
        <w:t xml:space="preserve"> que el aumento de la inflación no tendría consecuencias en el mediano plazo después del boom económico de la década de 1970</w:t>
      </w:r>
      <w:sdt>
        <w:sdtPr>
          <w:rPr>
            <w:rFonts w:ascii="Times New Roman" w:hAnsi="Times New Roman"/>
            <w:sz w:val="24"/>
            <w:szCs w:val="24"/>
            <w:lang w:val="es-MX"/>
          </w:rPr>
          <w:id w:val="4912483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Rom \p 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(Romero, pág. 5)</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Así pues, los problemas económicos se agravaron en el gobierno de Jaime </w:t>
      </w:r>
      <w:proofErr w:type="spellStart"/>
      <w:r w:rsidRPr="00B07754">
        <w:rPr>
          <w:rFonts w:ascii="Times New Roman" w:hAnsi="Times New Roman"/>
          <w:sz w:val="24"/>
          <w:szCs w:val="24"/>
          <w:lang w:val="es-MX"/>
        </w:rPr>
        <w:t>Roldós</w:t>
      </w:r>
      <w:proofErr w:type="spellEnd"/>
      <w:r w:rsidRPr="00B07754">
        <w:rPr>
          <w:rFonts w:ascii="Times New Roman" w:hAnsi="Times New Roman"/>
          <w:sz w:val="24"/>
          <w:szCs w:val="24"/>
          <w:lang w:val="es-MX"/>
        </w:rPr>
        <w:t xml:space="preserve">, en parte por sus decisiones de duplicar el salario mínimo nominal y otros beneficios salariales que causaron grandes efectos en materia fiscal. No obstante, el mayor problema fue producto del ajuste monetario de la Reserva Federal en los Estados Unidos y la recesión que se produjo con este ajuste. El aumento de las tasas de interés internacionales y la caída de los precios de los productos primarios llevaron al Ecuador a una crisis de deuda puesto que mayores tasas de interés en una deuda con tasas fluctuantes </w:t>
      </w:r>
      <w:r w:rsidR="00400535" w:rsidRPr="00B07754">
        <w:rPr>
          <w:rFonts w:ascii="Times New Roman" w:hAnsi="Times New Roman"/>
          <w:sz w:val="24"/>
          <w:szCs w:val="24"/>
          <w:lang w:val="es-MX"/>
        </w:rPr>
        <w:t xml:space="preserve">elevaron el costo de la deuda, lo que </w:t>
      </w:r>
      <w:r w:rsidRPr="00B07754">
        <w:rPr>
          <w:rFonts w:ascii="Times New Roman" w:hAnsi="Times New Roman"/>
          <w:sz w:val="24"/>
          <w:szCs w:val="24"/>
          <w:lang w:val="es-MX"/>
        </w:rPr>
        <w:t>llev</w:t>
      </w:r>
      <w:r w:rsidR="00400535" w:rsidRPr="00B07754">
        <w:rPr>
          <w:rFonts w:ascii="Times New Roman" w:hAnsi="Times New Roman"/>
          <w:sz w:val="24"/>
          <w:szCs w:val="24"/>
          <w:lang w:val="es-MX"/>
        </w:rPr>
        <w:t>ó</w:t>
      </w:r>
      <w:r w:rsidRPr="00B07754">
        <w:rPr>
          <w:rFonts w:ascii="Times New Roman" w:hAnsi="Times New Roman"/>
          <w:sz w:val="24"/>
          <w:szCs w:val="24"/>
          <w:lang w:val="es-MX"/>
        </w:rPr>
        <w:t xml:space="preserve"> tanto al sector público como al privado hacia un deterioro consider</w:t>
      </w:r>
      <w:r w:rsidR="00CF49ED" w:rsidRPr="00B07754">
        <w:rPr>
          <w:rFonts w:ascii="Times New Roman" w:hAnsi="Times New Roman"/>
          <w:sz w:val="24"/>
          <w:szCs w:val="24"/>
          <w:lang w:val="es-MX"/>
        </w:rPr>
        <w:t>able de su situación financiera</w:t>
      </w:r>
      <w:r w:rsidR="00CD2945" w:rsidRPr="00B07754">
        <w:rPr>
          <w:rFonts w:ascii="Times New Roman" w:hAnsi="Times New Roman"/>
          <w:sz w:val="24"/>
          <w:szCs w:val="24"/>
          <w:lang w:val="es-MX"/>
        </w:rPr>
        <w:t>.</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Para 1982 el déficit global del sector público alcanzó el 7.5% del PIB mientras que el déficit de cuenta corriente de la balanza de pagos se ubicó en casi 8.5% del PIB. Como medidas para solucionar la crisis el gobierno devaluó el tipo de cambio en 25% -parte de un ajuste acordado con el Fondo Monetario Internacional (FMI)-, elevó las tasas de interés, así como los precios de varios bienes y servicios del sector público. En marzo de 1983, se devalúo nuevamente la moneda y como política monetaria se inició una serie de mini devaluaciones para evitar que el tipo de cambio se rezague respecto al nivel de precios. El índice de precios al consumidor (IPC) se elevó 63.4% sobre el nivel de 1983 mientras que </w:t>
      </w:r>
      <w:r w:rsidRPr="00B07754">
        <w:rPr>
          <w:rFonts w:ascii="Times New Roman" w:hAnsi="Times New Roman"/>
          <w:sz w:val="24"/>
          <w:szCs w:val="24"/>
          <w:lang w:val="es-MX"/>
        </w:rPr>
        <w:lastRenderedPageBreak/>
        <w:t>el PIB real decreció en 2.8%. En julio de 1983 el Club de París</w:t>
      </w:r>
      <w:r w:rsidRPr="00B07754">
        <w:rPr>
          <w:rStyle w:val="Refdenotaalpie"/>
          <w:rFonts w:ascii="Times New Roman" w:hAnsi="Times New Roman"/>
          <w:sz w:val="24"/>
          <w:szCs w:val="24"/>
          <w:lang w:val="es-MX"/>
        </w:rPr>
        <w:footnoteReference w:id="25"/>
      </w:r>
      <w:r w:rsidRPr="00B07754">
        <w:rPr>
          <w:rFonts w:ascii="Times New Roman" w:hAnsi="Times New Roman"/>
          <w:sz w:val="24"/>
          <w:szCs w:val="24"/>
          <w:lang w:val="es-MX"/>
        </w:rPr>
        <w:t xml:space="preserve"> aceptó reestructurar los vencimientos de capital comprendidos entre esa fecha y mayo de 1994.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La continua de</w:t>
      </w:r>
      <w:r w:rsidR="00CD2945" w:rsidRPr="00B07754">
        <w:rPr>
          <w:rFonts w:ascii="Times New Roman" w:hAnsi="Times New Roman"/>
          <w:sz w:val="24"/>
          <w:szCs w:val="24"/>
          <w:lang w:val="es-MX"/>
        </w:rPr>
        <w:t>valuación</w:t>
      </w:r>
      <w:r w:rsidRPr="00B07754">
        <w:rPr>
          <w:rFonts w:ascii="Times New Roman" w:hAnsi="Times New Roman"/>
          <w:sz w:val="24"/>
          <w:szCs w:val="24"/>
          <w:lang w:val="es-MX"/>
        </w:rPr>
        <w:t xml:space="preserve"> del tipo de cambio elevó drásticamente el servicio de la deuda externa del sector privado con bancos comerciales, razón por la que a partir de 1983 el Banco Central asumió la mayoría de la deuda externa privada -11% del PIB de 1982- a cambio de créditos en sucres, con una comisión de riesgo cambiario. Además, el manejo del tipo de cambio incentivó el traslado de la riqueza a dólares por lo que la dolarización “espontánea” de los contratos informales, de las valoraciones de propiedades y de los servicios profesionales, entre otros, fueron prácticas cada vez más comunes. Las autoridades económicas no consiguieron establecer permanentemente un tipo de cambio que fuera a la vez estable y generador de incentivos necesarios para que exista un flujo neto de exportaciones suficientes para cubrir el servicio de la deuda externa. Por consiguiente, el crecimiento real de la economía, la inflación, la </w:t>
      </w:r>
      <w:r w:rsidR="00CD2945" w:rsidRPr="00B07754">
        <w:rPr>
          <w:rFonts w:ascii="Times New Roman" w:hAnsi="Times New Roman"/>
          <w:sz w:val="24"/>
          <w:szCs w:val="24"/>
          <w:lang w:val="es-MX"/>
        </w:rPr>
        <w:t>devaluación</w:t>
      </w:r>
      <w:r w:rsidRPr="00B07754">
        <w:rPr>
          <w:rFonts w:ascii="Times New Roman" w:hAnsi="Times New Roman"/>
          <w:sz w:val="24"/>
          <w:szCs w:val="24"/>
          <w:lang w:val="es-MX"/>
        </w:rPr>
        <w:t xml:space="preserve"> del tipo de cambio y el déficit fiscal permanecieron altamente inestables. </w:t>
      </w:r>
      <w:sdt>
        <w:sdtPr>
          <w:rPr>
            <w:rFonts w:ascii="Times New Roman" w:hAnsi="Times New Roman"/>
            <w:sz w:val="24"/>
            <w:szCs w:val="24"/>
            <w:lang w:val="es-MX"/>
          </w:rPr>
          <w:id w:val="-1014455721"/>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Bec03 \p "46, 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(Beckerman, 2003, págs. 46, 7)</w:t>
          </w:r>
          <w:r w:rsidRPr="00B07754">
            <w:rPr>
              <w:rFonts w:ascii="Times New Roman" w:hAnsi="Times New Roman"/>
              <w:sz w:val="24"/>
              <w:szCs w:val="24"/>
              <w:lang w:val="es-MX"/>
            </w:rPr>
            <w:fldChar w:fldCharType="end"/>
          </w:r>
        </w:sdtContent>
      </w:sdt>
    </w:p>
    <w:p w:rsidR="0013112D" w:rsidRPr="00B07754" w:rsidRDefault="0013112D"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En el gobierno de León Febres-Cordero la economía presentó una ligera recuperación. En 1986 se liberalizaron las tasas de interés de los bancos comerciales y simultáneamente se introdujo la flotación del tipo de cambio para el sector importador. Sin embargo, el precio del petróleo cayó de 25 a 12 dólares por barril y el valor de las exportaciones disminuyó en casi 50%, impactando los ingresos públicos. En enero de 1987 el gobierno tuvo que suspender el pago de la deuda a los bancos comerciales en el exterior. Sin embargo, las políticas públicas implementadas no fueron coherentes ya que en vez de contraerse se tornaron expansivas, tal es así que el déficit del sector público se incrementó a niveles del 5% del producto en 1986.</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En marzo de 1987 un terremoto suspendió las exportaciones de crudo y las reservas internacionales se redujeron considerablemente. Como medida para contrarrestar el impacto de estos hechos en la economía, el Banco Central contrajo la política monetaria con el objeto de revertir la de</w:t>
      </w:r>
      <w:r w:rsidR="00D90D06" w:rsidRPr="00B07754">
        <w:rPr>
          <w:rFonts w:ascii="Times New Roman" w:hAnsi="Times New Roman"/>
          <w:sz w:val="24"/>
          <w:szCs w:val="24"/>
          <w:lang w:val="es-MX"/>
        </w:rPr>
        <w:t>valuación</w:t>
      </w:r>
      <w:r w:rsidRPr="00B07754">
        <w:rPr>
          <w:rFonts w:ascii="Times New Roman" w:hAnsi="Times New Roman"/>
          <w:sz w:val="24"/>
          <w:szCs w:val="24"/>
          <w:lang w:val="es-MX"/>
        </w:rPr>
        <w:t xml:space="preserve"> del tipo de cambio para suspender finalmente la flotación cuando el tipo de cambio se vio afectado por un ataque especulativo. Como consecuencia, en 1987 el PIB real cayó en 6% y la inflación se elevó casi al 100%. Si bien </w:t>
      </w:r>
      <w:r w:rsidRPr="00B07754">
        <w:rPr>
          <w:rFonts w:ascii="Times New Roman" w:hAnsi="Times New Roman"/>
          <w:sz w:val="24"/>
          <w:szCs w:val="24"/>
          <w:lang w:val="es-MX"/>
        </w:rPr>
        <w:lastRenderedPageBreak/>
        <w:t xml:space="preserve">las exportaciones de petróleo se reiniciaron para agosto de ese año, el elevado gasto público y altos subsidios provocaron que el déficit fiscal crezca en un 12%. </w:t>
      </w:r>
    </w:p>
    <w:p w:rsidR="009F6EA5" w:rsidRPr="00B07754" w:rsidRDefault="009F6EA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A su vez, la crisis de 1980 reflejó la vulnerabilidad del sistema financiero, el cual estuvo caracterizado por falta de liquidez –alto nivel de cartera vencida-, sobregiros en las cuentas bancarias del exterior y la fuerte dependencia en los créditos otorgados por el Banco Central. Una de las causas para el resquebrajamiento del sistema financiero en esta época fue que con el incremento de la deuda gran parte de los mejores clientes de la banca se vieron obligados a liquidar, semiparalizar, estancar o quebrar. Así pues, la mayoría de instituciones financieras para 1985 adeudaban al Banco Central valores superiores al valor patrimonial de ella. Para 1984 la deuda del sistema bancario superaba los 60.000 millones de sucres, mientras que su capital y reservas no superaban los 50.000 millones de sucres</w:t>
      </w:r>
      <w:sdt>
        <w:sdtPr>
          <w:rPr>
            <w:rFonts w:ascii="Times New Roman" w:hAnsi="Times New Roman"/>
            <w:sz w:val="24"/>
            <w:szCs w:val="24"/>
            <w:lang w:val="es-MX"/>
          </w:rPr>
          <w:id w:val="333972736"/>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Cal07 \p 55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(Calle Ramírez, Morocho Matute , &amp; Vázconoz Argudo , 2007, pág. 55)</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tabla 3.1 muestra los valores de la deuda externa pública, el PIB real y el consumo privado real desde la década de los 70 hasta inicios de los 90. Conforme a lo señalado se observa el continuo crecimiento del valor de la deuda y la disminución del PIB real en los años de crisis 1982, 1983 y 1987. </w:t>
      </w:r>
    </w:p>
    <w:p w:rsidR="001F55D5" w:rsidRPr="00B07754" w:rsidRDefault="001F55D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B2914" w:rsidRPr="00B07754" w:rsidRDefault="009B2914"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9F6EA5" w:rsidRPr="00B07754" w:rsidRDefault="009F6EA5" w:rsidP="002B5E62">
      <w:pPr>
        <w:spacing w:line="360" w:lineRule="auto"/>
        <w:jc w:val="both"/>
        <w:rPr>
          <w:rFonts w:ascii="Times New Roman" w:hAnsi="Times New Roman"/>
          <w:sz w:val="24"/>
          <w:szCs w:val="24"/>
          <w:lang w:val="es-MX"/>
        </w:rPr>
      </w:pP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Tabla 1</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Deuda externa pública en millones de dólares al final del periodo, PIB real y consumo privado real en miles de dólares de 2000 desde 1970 hasta 1990</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3036324C" wp14:editId="2A345DDC">
            <wp:extent cx="3061252" cy="419480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61180" cy="4194705"/>
                    </a:xfrm>
                    <a:prstGeom prst="rect">
                      <a:avLst/>
                    </a:prstGeom>
                    <a:noFill/>
                    <a:ln>
                      <a:noFill/>
                    </a:ln>
                  </pic:spPr>
                </pic:pic>
              </a:graphicData>
            </a:graphic>
          </wp:inline>
        </w:drawing>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Fuente: Banco Central del Ecuador</w:t>
      </w:r>
    </w:p>
    <w:p w:rsidR="0013112D"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Elaboración propia</w:t>
      </w:r>
    </w:p>
    <w:p w:rsidR="00784862" w:rsidRPr="00B07754" w:rsidRDefault="00784862" w:rsidP="002B5E62">
      <w:pPr>
        <w:spacing w:line="360" w:lineRule="auto"/>
        <w:jc w:val="both"/>
        <w:rPr>
          <w:rFonts w:ascii="Times New Roman" w:hAnsi="Times New Roman"/>
          <w:sz w:val="24"/>
          <w:szCs w:val="24"/>
          <w:lang w:val="es-MX"/>
        </w:rPr>
      </w:pPr>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b w:val="0"/>
          <w:i/>
          <w:color w:val="auto"/>
          <w:sz w:val="24"/>
          <w:szCs w:val="24"/>
          <w:lang w:val="es-MX"/>
        </w:rPr>
      </w:pPr>
      <w:bookmarkStart w:id="28" w:name="_Toc372589971"/>
      <w:r w:rsidRPr="00B07754">
        <w:rPr>
          <w:rFonts w:ascii="Times New Roman" w:hAnsi="Times New Roman"/>
          <w:b w:val="0"/>
          <w:i/>
          <w:color w:val="auto"/>
          <w:sz w:val="24"/>
          <w:szCs w:val="24"/>
          <w:lang w:val="es-MX"/>
        </w:rPr>
        <w:t xml:space="preserve">Estructura económica del Ecuador antes de la crisis </w:t>
      </w:r>
      <w:proofErr w:type="spellStart"/>
      <w:r w:rsidRPr="00B07754">
        <w:rPr>
          <w:rFonts w:ascii="Times New Roman" w:hAnsi="Times New Roman"/>
          <w:b w:val="0"/>
          <w:i/>
          <w:color w:val="auto"/>
          <w:sz w:val="24"/>
          <w:szCs w:val="24"/>
          <w:lang w:val="es-MX"/>
        </w:rPr>
        <w:t>predolarización</w:t>
      </w:r>
      <w:bookmarkEnd w:id="28"/>
      <w:proofErr w:type="spellEnd"/>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A finales de 1992 la tasa de inflación</w:t>
      </w:r>
      <w:r w:rsidR="00D90D06" w:rsidRPr="00B07754">
        <w:rPr>
          <w:rFonts w:ascii="Times New Roman" w:hAnsi="Times New Roman"/>
          <w:sz w:val="24"/>
          <w:szCs w:val="24"/>
          <w:lang w:val="es-MX"/>
        </w:rPr>
        <w:t xml:space="preserve"> anual</w:t>
      </w:r>
      <w:r w:rsidRPr="00B07754">
        <w:rPr>
          <w:rFonts w:ascii="Times New Roman" w:hAnsi="Times New Roman"/>
          <w:sz w:val="24"/>
          <w:szCs w:val="24"/>
          <w:lang w:val="es-MX"/>
        </w:rPr>
        <w:t xml:space="preserve"> se encontraba alrededor del 50% con una clara tendencia a estabilizarse en esos niveles. Las medidas tomadas por las autoridades económicas no reflejaban ser efectivas, puesto que la tasa de inflación no presentaba muestras de ceder, adquiriendo un carácter crónico o permanente. Así pues, pese a que a partir de 1990 se adoptó una política de austeridad fiscal y de contracción crediticia por parte del Banco Central, la tasa de inflación mantuvo su elevado nivel. Asimismo, durante estos años la tasa anual de devaluación del tipo de cambio se incrementó desde 1990, al </w:t>
      </w:r>
      <w:r w:rsidRPr="00B07754">
        <w:rPr>
          <w:rFonts w:ascii="Times New Roman" w:hAnsi="Times New Roman"/>
          <w:sz w:val="24"/>
          <w:szCs w:val="24"/>
          <w:lang w:val="es-MX"/>
        </w:rPr>
        <w:lastRenderedPageBreak/>
        <w:t xml:space="preserve">pasar de 20% en 1989, al 50% a raíz de 1990. (Memoria Anual del Banco Central del Ecuador cit. por </w:t>
      </w:r>
      <w:proofErr w:type="spellStart"/>
      <w:r w:rsidRPr="00B07754">
        <w:rPr>
          <w:rFonts w:ascii="Times New Roman" w:hAnsi="Times New Roman"/>
          <w:sz w:val="24"/>
          <w:szCs w:val="24"/>
          <w:lang w:val="es-MX"/>
        </w:rPr>
        <w:t>Marchán</w:t>
      </w:r>
      <w:proofErr w:type="spellEnd"/>
      <w:r w:rsidRPr="00B07754">
        <w:rPr>
          <w:rFonts w:ascii="Times New Roman" w:hAnsi="Times New Roman"/>
          <w:sz w:val="24"/>
          <w:szCs w:val="24"/>
          <w:lang w:val="es-MX"/>
        </w:rPr>
        <w:t>, 2005: 18). Esta situación refleja que el control de la masa monetaria y de los salarios eran instrumentos insuficientes para combatir y reducir la tendencia creciente de la inflación.</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consecuencia, las autoridades económicas se vieron forzadas a replantear la política anti-inflacionaria y generar un programa de ajuste macroeconómico distinto para 1992 de manera que se modifiquen las expectativas de los agentes económicos y desacelerar así el ritmo de crecimiento del índice de precios en el menor tiempo posible.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Antes de 1992 la política monetaria no generaba confianza en la población puesto que el esquema de tipo de cambio nominal basado en minidevaluaciones graduales, programadas en función de la tasa esperada de cr</w:t>
      </w:r>
      <w:r w:rsidR="00D90D06" w:rsidRPr="00B07754">
        <w:rPr>
          <w:rFonts w:ascii="Times New Roman" w:hAnsi="Times New Roman"/>
          <w:sz w:val="24"/>
          <w:szCs w:val="24"/>
          <w:lang w:val="es-MX"/>
        </w:rPr>
        <w:t>ecimiento del índice de precios</w:t>
      </w:r>
      <w:r w:rsidRPr="00B07754">
        <w:rPr>
          <w:rFonts w:ascii="Times New Roman" w:hAnsi="Times New Roman"/>
          <w:sz w:val="24"/>
          <w:szCs w:val="24"/>
          <w:lang w:val="es-MX"/>
        </w:rPr>
        <w:t xml:space="preserve"> mantenía las expectativas inflacionarias de los agentes económicos, hacía que se pierda el control del crecimiento de los precios y se sobrevalore al sucre. Además, los salarios se ajustaban sobre la base de la inflación pasada y no la esperada en el futuro por lo que dicho incremento lo asumían los precios internos.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Banco Central luego de realizar estudios técnicos llega a determinar que los factores que inciden y explican el crecimiento de la inflación son la tasa de devaluación y el crédito interno neto del Banco Central. Por tanto, el tipo de cambio pasa a ser el eje fundamental para combatir la inercia inflacionaria, siendo administrado bajo una banda cambiaria con el objetivo de moderar las expectativas de los agentes económicos sobre la cotización del dólar y al mismo tiempo, poseer un piso y techo que le permitiera fluctuar para evitar apreciaciones de la moneda nacional. Una vez adoptada esta política y fijada la cotización del dólar, la política monetaria se subordinó a la consecución de dicho objetivo -ya sea retirando o inyectando liquidez, vendiendo o comprando dólares- siempre en función de lograr la tasa de cambio “meta” definida. Bajo este esquema, la política monetaria ya no era la encargada de regular la cantidad de dinero existente en la economía; por el contrario, tenía como función el controlar el crecimiento del crédito interno del Banco Central como variable intermedia para doblegar la inflación. Es importante señalar que el desenvolvimiento del Crédito Interno Neto del Banco Central presentaba una estrecha relación en el comportamiento de las finanzas públicas, la liquidez y solvencia de las instituciones del sistema financiero, motivo por el cual la disciplina fiscal y un sistema financiero sano y solvente eran necesarios para una administración austera de la política </w:t>
      </w:r>
      <w:r w:rsidRPr="00B07754">
        <w:rPr>
          <w:rFonts w:ascii="Times New Roman" w:hAnsi="Times New Roman"/>
          <w:sz w:val="24"/>
          <w:szCs w:val="24"/>
          <w:lang w:val="es-MX"/>
        </w:rPr>
        <w:lastRenderedPageBreak/>
        <w:t xml:space="preserve">crediticia del Banco Central. Al respecto, la política monetaria contractiva  estaba dirigida hacia el control del gasto del gobierno por medio de una política crediticia restrictiva al sector público no financiero y no en la regulación del comportamiento de los agregados monetarios.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Las medidas fiscales y crediticias restrictivas permitieron que la economía progrese principalmente como respuesta al crecimiento de la producción y exportación de petróleo, lo que incidió directamente en una mejoría de las finanzas públicas por los ingresos petroleros. Sin embargo, se advierte que pese a que la administración de los ingresos y egresos del Estado se realice de manera eficiente pueden surgir factores exógenos y  provocar inestabilidad y desequilibrio en la financiación de las obligaciones de gasto internas y externas.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resultados positivos del programa anti-inflacionarios se observan en los años 1993 y 1994 en los cuales la tasa de inflación pasa de 59.6% en agosto de 1992 a 31% para diciembre de 1993 </w:t>
      </w:r>
      <w:sdt>
        <w:sdtPr>
          <w:rPr>
            <w:rFonts w:ascii="Times New Roman" w:hAnsi="Times New Roman"/>
            <w:sz w:val="24"/>
            <w:szCs w:val="24"/>
            <w:lang w:val="es-MX"/>
          </w:rPr>
          <w:id w:val="116042888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Car051 \p 30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(Marchán, 2005, pág. 30)</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Como consecuencia de la estabilidad de la moneda nacional –la cotización del dólar se mantuvo en 2000 sucres hasta agosto de 1993- la población recuperó la confianza en el sucre lo que impulsó el crecimiento y el fortalecimiento del sector financiero que experimentó el aumento de los depósitos y de los créditos en moneda nacional. Este comportamiento favorable de la economía se mantuvo hasta 1994, año en el cual la inflación se ubicó en 25,4% mientras que el crecimiento de la economía se situó en 4%. No obstante de este desempeño, el presupuesto del Estado se vio afectado por la continua disminución de las rentas petroleras desde 1992 debido a la disminución del precio del petróleo.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mayor contribución de la estabilidad económica al sistema financiero fue la expectativa creada en los agentes financieros: conforme la inflación continuara su tendencia a la baja, las tasas de interés disminuirían. Esto conllevó a que a partir del 20 de enero de 1993 se liberaran las tasas de interés para operaciones financieras por lo que éstas pasaron a ser determinadas por el mercado. Se establecieron tasas pasivas y activas referenciales de manera que se reflejen las condiciones reales de liquidez del sistema financiero. Por su parte, las subastas de bonos de estabilización monetaria eran empleadas para definir las tasas referenciales sobre las cuales los bancos e instituciones financieras privadas ajustaban sus propias tasas activas y pasivas dependiendo de su nivel de riesgos, plazos y eficiencia.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Un claro reflejo de la recuperación de la confianza del público en el sistema financiero fue el incremento de los depósitos monetarios en sucres y de activos remunerados en moneda nacional –depósitos a plazo y pólizas de acumulación-, lo que incidió en el crecimiento de los agregados monetarios de la oferta monetaria y la liquidez bancaria. El rápido crecimiento de los agregados monetarios obedeció a una mayor canalización del ahorro interno y externo hacia instrumentos denominados en moneda nacional y no de la emisión monetaria, por lo cual no se generó un efecto inflacionario.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estabilidad económica promovió también que los directivos de los bancos y sociedades financieras privadas tomaran decisiones que impulsen las operaciones de crédito, las cuales eran el colocar a mediano y largo plazo a tasas de interés fijas en sectores de la producción, que, para ese entonces, eran rentables y productivos. El propósito de las tasas de interés fijas era la generación de un margen mayor a medida que las tasas pasivas del mercado disminuyeran. </w:t>
      </w:r>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i/>
          <w:color w:val="auto"/>
          <w:sz w:val="24"/>
          <w:szCs w:val="24"/>
          <w:lang w:val="es-MX"/>
        </w:rPr>
      </w:pPr>
      <w:bookmarkStart w:id="29" w:name="_Toc372589972"/>
      <w:r w:rsidRPr="00B07754">
        <w:rPr>
          <w:rFonts w:ascii="Times New Roman" w:hAnsi="Times New Roman"/>
          <w:b w:val="0"/>
          <w:i/>
          <w:color w:val="auto"/>
          <w:sz w:val="24"/>
          <w:szCs w:val="24"/>
          <w:lang w:val="es-MX"/>
        </w:rPr>
        <w:t>La crisis económica de 1995 y las raíces del descalabro del sistema financiero (1995-1997)</w:t>
      </w:r>
      <w:bookmarkEnd w:id="29"/>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En el periodo 1995-1997 los distintos shocks que sufrió la economía ecuatoriana obligaron a las autoridades a flexibilizar las políticas monetaria y fiscal. A  inicios de 1995 la guerra con el Perú ensombrece el panorama económico de estabilidad existente hasta 1994. El conflicto bélico impulsó el crecimiento del gasto público destinado a la compra de equipos y materiales bélicos.  En 1996  no fue posible una recuperación del déficit fiscal ya que la caída de los precios del petróleo redujo considerablemente los ingresos en el presupuesto del Estado. El problema se vio exacerbado por los efectos del fuerte estiaje en la zona austral del país (fines de 1995) que redujo sustancialmente la capacidad de generación eléctrica y con ello la capacidad de producción de toda la economía. Ante esta situación, las autoridades elevaron las tasas de interés de manera que las inversiones en activos remunerados en moneda nacional sean atractivas y así defender la estabilidad cambiaria, reducir la salida de capitales y mantener el equilibrio de la balanza de pagos –el superávit de la balanza de capitales compensaba el déficit de la balanza comercial-. Esta elevación de tasas posteriormente fue una de las causas para el surgimiento de problemas de liquidez en el sistema financiero nacional y el descalce entre la menor tasa activa referencial promedio de 1994 (42.38%) y la mayor tasa pasiva referencial promedio de 1995 (43.94%)</w:t>
      </w:r>
      <w:sdt>
        <w:sdtPr>
          <w:rPr>
            <w:rFonts w:ascii="Times New Roman" w:hAnsi="Times New Roman"/>
            <w:sz w:val="24"/>
            <w:szCs w:val="24"/>
            <w:lang w:val="es-MX"/>
          </w:rPr>
          <w:id w:val="87775047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Car051 \p 53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(Marchán, 2005, pág. 53)</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A partir de 1995 la tasa de devaluación se incrementa y pasa de 13% en 1994 a 28% para 1995 por lo que se debilita el principio en el cual el control del tipo de cambio del dólar servía como ancla para regular la tasa de crecimiento de la inflación y principal elemento para la estrategia anti-inflacionaria, razón por la que ésta última empezaba a causar el efecto contrario: la inflación se mantenía alta y no descendía. Asimismo, el desequilibrio de las cuentas del Estado forzó a que el Banco Central le otorgue créditos para cubrir el déficit y por tanto, adopte una política expansiva - para 1995 su tasa de crecimiento anual fue del 63%, siguiendo la misma tendencia de la oferta monetaria, cuyo crecimiento fue del 26%-. Además en este mismo año y con el incremento de las tasas de interés, los niveles de la tasa de inflación se desvinculan de la tasa de crecimiento de los precios internos y pasa a tener una relación estrecha con la tasa de devaluación del tipo de cambio.</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año de 1996 fue el segundo año consecutivo en el que se devalúa la moneda (24%) para atender las presiones contra la divisa monetaria por lo que, empujada por la elevación de la cotización del dólar, la inflación retoma su tendencia a la alza y se sitúa en 25.5% al finalizar el año. A su vez, las autoridades económicas determinan que la emisión monetaria constituye una variable más de la tasa de devaluación del tipo de cambio, por lo que pasa a afectar directamente el comportamiento de la inflación. Así pues, la tasa de inflación pasa de 25.5% en diciembre de 1996 al 30.7% al finalizar 1997, empujada por el incremento de la tasa de devaluación de 24% para 1996 a 26% para 1997.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rápida elevación de las tasas de interés provoca que las instituciones financieras presenten problemas para la recuperación de cartera, las instituciones más frágiles se enfrentan a mayores costos de captación de recursos debido a los problemas de liquidez propios de la subida de las tasas de interés; y, una tendencia creciente a transferir riqueza del sistema financiero a los depositantes –pago de intereses mayores por las captaciones que los que reciben por colocaciones-.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El alza y nivel de las tasas de interés pasivas referenciales se deben no solo a la evolución del tipo de cambio sino también al movimiento de la tasa de interés interbancaria, que refleja las necesidades de liquidez apremiantes de la banca y sociedades financieras privadas –pasó del 40% en 1994 a más del 60% para 1995 y 1996</w:t>
      </w:r>
      <w:r w:rsidR="008C6ABE" w:rsidRPr="00B07754">
        <w:rPr>
          <w:rFonts w:ascii="Times New Roman" w:hAnsi="Times New Roman"/>
          <w:sz w:val="24"/>
          <w:szCs w:val="24"/>
          <w:lang w:val="es-MX"/>
        </w:rPr>
        <w:t>-</w:t>
      </w:r>
      <w:r w:rsidRPr="00B07754">
        <w:rPr>
          <w:rFonts w:ascii="Times New Roman" w:hAnsi="Times New Roman"/>
          <w:sz w:val="24"/>
          <w:szCs w:val="24"/>
          <w:lang w:val="es-MX"/>
        </w:rPr>
        <w:t xml:space="preserve">. Por su parte, el incremento de las tasas de interés pasivas referenciales fue la causa para el descalce entre las tasas activas referenciales del periodo 1992-1994 y las tasas pasivas referenciales de 1995. El descuadre de tasas generó serios problemas de liquidez a la banca y a las </w:t>
      </w:r>
      <w:r w:rsidRPr="00B07754">
        <w:rPr>
          <w:rFonts w:ascii="Times New Roman" w:hAnsi="Times New Roman"/>
          <w:sz w:val="24"/>
          <w:szCs w:val="24"/>
          <w:lang w:val="es-MX"/>
        </w:rPr>
        <w:lastRenderedPageBreak/>
        <w:t>sociedades financieras privadas; ante esta situación, el Banco Central se vio obligado a mantener su política de crédito expansiva y otorgar créditos a dichas instituciones. El descalce de tasas y la continua necesidad de liquidez son consideradas como la causa fundamental para que la crisis financiera estalle en 1998 y 1999</w:t>
      </w:r>
      <w:r w:rsidR="008C6ABE" w:rsidRPr="00B07754">
        <w:rPr>
          <w:rFonts w:ascii="Times New Roman" w:hAnsi="Times New Roman"/>
          <w:sz w:val="24"/>
          <w:szCs w:val="24"/>
          <w:lang w:val="es-MX"/>
        </w:rPr>
        <w:t xml:space="preserve"> más allá de los créditos vinculados</w:t>
      </w:r>
      <w:r w:rsidR="000F33BF" w:rsidRPr="00B07754">
        <w:rPr>
          <w:rStyle w:val="Refdenotaalpie"/>
          <w:rFonts w:ascii="Times New Roman" w:hAnsi="Times New Roman"/>
          <w:sz w:val="24"/>
          <w:szCs w:val="24"/>
          <w:lang w:val="es-MX"/>
        </w:rPr>
        <w:footnoteReference w:id="26"/>
      </w:r>
      <w:r w:rsidR="008C6ABE" w:rsidRPr="00B07754">
        <w:rPr>
          <w:rFonts w:ascii="Times New Roman" w:hAnsi="Times New Roman"/>
          <w:sz w:val="24"/>
          <w:szCs w:val="24"/>
          <w:lang w:val="es-MX"/>
        </w:rPr>
        <w:t xml:space="preserve"> de los cuales abusaron ciertos banqueros. </w:t>
      </w:r>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Con estos antecedentes, la estructura y características del sistema financiero nacional toman un radical giro a partir de 1995:</w:t>
      </w:r>
    </w:p>
    <w:p w:rsidR="0013112D"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Se disminuyen los depósitos monetarios y se observa un aumento en la preferencia a la liquidez por parte del público respecto a 1994. Los depósitos monetarios se reducen en 63.5% con respecto a la oferta monetaria en 1994 y a 60.91% para 1997 conforme aumenta la preferencia por liquidez de los agentes económicos, variable que pasa de 57.47% en 1994 a 64.19% para el año 1997. </w:t>
      </w:r>
    </w:p>
    <w:p w:rsidR="00784862" w:rsidRDefault="00784862" w:rsidP="002B5E62">
      <w:pPr>
        <w:spacing w:line="360" w:lineRule="auto"/>
        <w:jc w:val="center"/>
        <w:rPr>
          <w:rFonts w:ascii="Times New Roman" w:hAnsi="Times New Roman"/>
          <w:sz w:val="24"/>
          <w:szCs w:val="24"/>
          <w:lang w:val="es-MX"/>
        </w:rPr>
      </w:pP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Tabla 2</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Depósitos Monetarios y Preferencia de Liquidez 1994-1997</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36018901" wp14:editId="73F1BB29">
            <wp:extent cx="4816955" cy="143918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0481"/>
                    <a:stretch/>
                  </pic:blipFill>
                  <pic:spPr bwMode="auto">
                    <a:xfrm>
                      <a:off x="0" y="0"/>
                      <a:ext cx="4819365" cy="1439906"/>
                    </a:xfrm>
                    <a:prstGeom prst="rect">
                      <a:avLst/>
                    </a:prstGeom>
                    <a:noFill/>
                    <a:ln>
                      <a:noFill/>
                    </a:ln>
                    <a:extLst>
                      <a:ext uri="{53640926-AAD7-44D8-BBD7-CCE9431645EC}">
                        <a14:shadowObscured xmlns:a14="http://schemas.microsoft.com/office/drawing/2010/main"/>
                      </a:ext>
                    </a:extLst>
                  </pic:spPr>
                </pic:pic>
              </a:graphicData>
            </a:graphic>
          </wp:inline>
        </w:drawing>
      </w:r>
    </w:p>
    <w:p w:rsidR="0013112D" w:rsidRPr="00B07754"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Memoria del Banco Central el Ecuador 1998</w:t>
      </w:r>
    </w:p>
    <w:p w:rsidR="0013112D"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764D9F" w:rsidRDefault="00764D9F" w:rsidP="002B5E62">
      <w:pPr>
        <w:spacing w:line="360" w:lineRule="auto"/>
        <w:rPr>
          <w:rFonts w:ascii="Times New Roman" w:hAnsi="Times New Roman"/>
          <w:sz w:val="24"/>
          <w:szCs w:val="24"/>
          <w:lang w:val="es-MX"/>
        </w:rPr>
      </w:pPr>
    </w:p>
    <w:p w:rsidR="00B70260"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En el lapso de diez años, especialmente a partir de 1995, el Ecuador se convirtió en una economía altamente dolarizada, tanto en lo que se refiere a la sustitución monetaria como a la de activos y de préstamos. En la tabla 3.3 se aprecia que para 1998 los depósitos en cuenta corriente, ahorros y plazo fijo que estaban denominados en dólares representaban un 40%. Similar comportamiento se observa en la cartera de crédito en la que el 60% de los créditos fueron otorgados en dólares. Asimismo, la proporción de préstamos en dólares clasificados como vencidos se incrementó de manera drástica, a diferencia de los créditos en sucres. Al mismo tiempo, el crecimiento de la cartera de créditos en dólares se detuvo y su calidad empezó a deteriorarse rápidamente como consecuencia de la depreciación del tipo de cambio real que dificultaba el cumplimiento de las obligaciones de los clientes que no contaban con ingresos en dólares. </w:t>
      </w:r>
      <w:sdt>
        <w:sdtPr>
          <w:rPr>
            <w:rFonts w:ascii="Times New Roman" w:hAnsi="Times New Roman"/>
            <w:sz w:val="24"/>
            <w:szCs w:val="24"/>
          </w:rPr>
          <w:id w:val="183772481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Bec03 \p 69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(Beckerman, 2003, pág. 69)</w:t>
          </w:r>
          <w:r w:rsidRPr="00B07754">
            <w:rPr>
              <w:rFonts w:ascii="Times New Roman" w:hAnsi="Times New Roman"/>
              <w:sz w:val="24"/>
              <w:szCs w:val="24"/>
              <w:lang w:val="es-MX"/>
            </w:rPr>
            <w:fldChar w:fldCharType="end"/>
          </w:r>
        </w:sdtContent>
      </w:sdt>
    </w:p>
    <w:p w:rsidR="00784862" w:rsidRDefault="00784862" w:rsidP="002B5E62">
      <w:pPr>
        <w:spacing w:line="360" w:lineRule="auto"/>
        <w:jc w:val="center"/>
        <w:rPr>
          <w:rFonts w:ascii="Times New Roman" w:hAnsi="Times New Roman"/>
          <w:sz w:val="24"/>
          <w:szCs w:val="24"/>
          <w:lang w:val="es-MX"/>
        </w:rPr>
      </w:pPr>
    </w:p>
    <w:p w:rsidR="0013112D" w:rsidRPr="00B07754" w:rsidRDefault="009B2914"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 xml:space="preserve">Tabla </w:t>
      </w:r>
      <w:r w:rsidR="0013112D" w:rsidRPr="00B07754">
        <w:rPr>
          <w:rFonts w:ascii="Times New Roman" w:hAnsi="Times New Roman"/>
          <w:sz w:val="24"/>
          <w:szCs w:val="24"/>
          <w:lang w:val="es-MX"/>
        </w:rPr>
        <w:t>3</w:t>
      </w:r>
    </w:p>
    <w:p w:rsidR="00F529F6"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Indicadores de Dolarización en el Ecuador</w:t>
      </w:r>
    </w:p>
    <w:p w:rsidR="009B2914"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1BA5FEE5" wp14:editId="4A30595A">
            <wp:extent cx="3027872" cy="249619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32608" cy="2500098"/>
                    </a:xfrm>
                    <a:prstGeom prst="rect">
                      <a:avLst/>
                    </a:prstGeom>
                    <a:noFill/>
                    <a:ln>
                      <a:noFill/>
                    </a:ln>
                  </pic:spPr>
                </pic:pic>
              </a:graphicData>
            </a:graphic>
          </wp:inline>
        </w:drawing>
      </w:r>
    </w:p>
    <w:p w:rsidR="0013112D"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y elaboración: Banco Central del Ecuador</w:t>
      </w:r>
    </w:p>
    <w:p w:rsidR="00784862" w:rsidRPr="00B07754" w:rsidRDefault="00784862" w:rsidP="002B5E62">
      <w:pPr>
        <w:spacing w:line="360" w:lineRule="auto"/>
        <w:rPr>
          <w:rFonts w:ascii="Times New Roman" w:hAnsi="Times New Roman"/>
          <w:sz w:val="24"/>
          <w:szCs w:val="24"/>
          <w:lang w:val="es-MX"/>
        </w:rPr>
      </w:pPr>
    </w:p>
    <w:p w:rsidR="0013112D"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público prefiere mantener sus activos más líquidos por lo que los plazos de las captaciones son menores, lo que hace más vulnerable al sistema financiero. De esta manera, mientras a diciembre de 1994 los depósitos de 1 a 30 días representan el </w:t>
      </w:r>
      <w:r w:rsidRPr="00B07754">
        <w:rPr>
          <w:rFonts w:ascii="Times New Roman" w:hAnsi="Times New Roman"/>
          <w:sz w:val="24"/>
          <w:szCs w:val="24"/>
          <w:lang w:val="es-MX"/>
        </w:rPr>
        <w:lastRenderedPageBreak/>
        <w:t xml:space="preserve">2.79% del total de depósitos del sector bancario, a diciembre de 1995 dichas captaciones constituyen el 30.79%. Asimismo, los depósitos a plazo entre 31 a 90 días disminuyen considerablemente y pasan del 25% del total de las captaciones en diciembre de 1994 a 13.6% a finales de 1995, 14.9% en 1996 y 10.7% en diciembre de 1997. </w:t>
      </w:r>
    </w:p>
    <w:p w:rsidR="0013112D"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crédito concedido por la banca privada se contrajo de 80% en 1994 a 48% a diciembre de 1995, a 49.5% para diciembre de 1996 y a 49.4% al finalizar 1997. </w:t>
      </w:r>
    </w:p>
    <w:p w:rsidR="0013112D"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crédito en moneda extranjera es más fuerte frente al total de crédito entregado. De esta manera, los préstamos en dólares de la banca privada pasan de 20.3% en diciembre de 1994 a 28.3% al finalizar 1995, a 32.6% en diciembre de 1996 y a 45.1% para diciembre de 1997. </w:t>
      </w:r>
      <w:sdt>
        <w:sdtPr>
          <w:rPr>
            <w:rFonts w:ascii="Times New Roman" w:hAnsi="Times New Roman"/>
            <w:sz w:val="24"/>
            <w:szCs w:val="24"/>
          </w:rPr>
          <w:id w:val="-219282315"/>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Car051 \p 73,74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(Marchán, 2005, págs. 73,74)</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A su vez, debido a la inseguridad de los activos remunerados en moneda nacional, la banca y las sociedades financieras privadas se posicionan en dólares por lo que el sistema financiero se vuelve más sensible conforme se incrementa la tasa de devaluación del tipo de cambio. </w:t>
      </w:r>
    </w:p>
    <w:p w:rsidR="0013112D"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Mientras el crédito se contrae y las colocaciones en dólares aumenta</w:t>
      </w:r>
      <w:r w:rsidR="005627F5" w:rsidRPr="00B07754">
        <w:rPr>
          <w:rFonts w:ascii="Times New Roman" w:hAnsi="Times New Roman"/>
          <w:sz w:val="24"/>
          <w:szCs w:val="24"/>
          <w:lang w:val="es-MX"/>
        </w:rPr>
        <w:t>n</w:t>
      </w:r>
      <w:r w:rsidRPr="00B07754">
        <w:rPr>
          <w:rFonts w:ascii="Times New Roman" w:hAnsi="Times New Roman"/>
          <w:sz w:val="24"/>
          <w:szCs w:val="24"/>
          <w:lang w:val="es-MX"/>
        </w:rPr>
        <w:t xml:space="preserve">, las inversiones de la banca privada se incrementan con la finalidad de contrarrestar las pérdidas generadas por los activos, lo cual si bien presenta mayor rentabilidad también implica mayor riesgo. El monto de las inversiones aumenta de 13.5% del total del activo del sistema financiero para diciembre de 1996 a 14.2% al finalizar 1997. Al mismo tiempo, las inversiones en moneda extranjera aumentan, de 3.3% del total de activos en moneda extranjera a diciembre de 1994, a 3.9% en 1995 y 1996 al 8% en diciembre de 1997. </w:t>
      </w:r>
    </w:p>
    <w:p w:rsidR="0013112D" w:rsidRPr="00B07754" w:rsidRDefault="0013112D" w:rsidP="002B5E62">
      <w:pPr>
        <w:pStyle w:val="Prrafodelista"/>
        <w:numPr>
          <w:ilvl w:val="0"/>
          <w:numId w:val="1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Los índices de morosidad y la relación de provisiones con la cartera vencida presentan un manifiesto y acelerado deterioro. A esto se le suma el debilitamiento de la liquidez del sistema en 1995 como consecuencia de la contracción del ingreso de capitales externos, la continua alza de las tasas de interés y el incremento de las expectativas de depreciación del tipo de cambio.</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Es importante mencionar que la crisis también se vio influenciada por las falencias existentes en la normativa de la regulación y supervisión bancaria así como en la inexistencia de una figura de intervención o de un mecanismo de solución de crisis, como se evidenció el momento en el que el Banco de los Andes presentó problemas de retiro de depósitos. A su vez, durante la crisis de las casas de valores en 1995 varias de estas </w:t>
      </w:r>
      <w:r w:rsidRPr="00B07754">
        <w:rPr>
          <w:rFonts w:ascii="Times New Roman" w:hAnsi="Times New Roman"/>
          <w:sz w:val="24"/>
          <w:szCs w:val="24"/>
          <w:lang w:val="es-MX"/>
        </w:rPr>
        <w:lastRenderedPageBreak/>
        <w:t xml:space="preserve">instituciones financieras habían captado recursos del público a altas tasas de interés y los invertían en títulos de renta variable con fuertes descalces de plazo por lo que sus niveles de liquidez eran bajos. De esta manera, cuando se presentó la crisis el efecto dominó fue inmediato: el público retiró sus inversiones de las sociedades financieras. Por último, otra evidencia de las fallas existentes en el control de las instituciones del sistema financiero fue lo ocurrido con el Banco Continental, el cual una vez que pasa a ser controlado por el Banco Central, éste descubrió que habría existido </w:t>
      </w:r>
      <w:proofErr w:type="spellStart"/>
      <w:r w:rsidRPr="00B07754">
        <w:rPr>
          <w:rFonts w:ascii="Times New Roman" w:hAnsi="Times New Roman"/>
          <w:sz w:val="24"/>
          <w:szCs w:val="24"/>
          <w:lang w:val="es-MX"/>
        </w:rPr>
        <w:t>piramidación</w:t>
      </w:r>
      <w:proofErr w:type="spellEnd"/>
      <w:r w:rsidRPr="00B07754">
        <w:rPr>
          <w:rFonts w:ascii="Times New Roman" w:hAnsi="Times New Roman"/>
          <w:sz w:val="24"/>
          <w:szCs w:val="24"/>
          <w:lang w:val="es-MX"/>
        </w:rPr>
        <w:t xml:space="preserve"> de capitales. Asimismo, las autoridades monetarias detectaron que en la mayoría de instituciones financieras los procesos claves para la determinación de la solvencia financiera –calificación de cartera y valoración de activos- no fueron llevados a cabo adecuadamente; es decir, existían falencias tanto en los procesos internos como de auditoría externa y de supervisión</w:t>
      </w:r>
      <w:sdt>
        <w:sdtPr>
          <w:rPr>
            <w:rFonts w:ascii="Times New Roman" w:hAnsi="Times New Roman"/>
            <w:sz w:val="24"/>
            <w:szCs w:val="24"/>
            <w:lang w:val="es-MX"/>
          </w:rPr>
          <w:id w:val="-1454713169"/>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Bur03 \p 33-36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(Burbano Robalino, 2003, págs. 33-36)</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Ante esta crisis las medidas adoptadas por las autoridades económicas fue el estímulo de fusiones de instituciones financieras, el congelamiento de concesión de nuevas licencias para la constitución de nuevos bancos o sociedades financieras con la finalidad de evitar quiebras y mejorar la solvencia del sistema financiero. </w:t>
      </w:r>
    </w:p>
    <w:p w:rsidR="0013112D" w:rsidRPr="00B07754" w:rsidRDefault="0013112D" w:rsidP="002B5E62">
      <w:pPr>
        <w:pStyle w:val="Ttulo2"/>
        <w:numPr>
          <w:ilvl w:val="1"/>
          <w:numId w:val="10"/>
        </w:numPr>
        <w:spacing w:before="0" w:after="200" w:line="360" w:lineRule="auto"/>
        <w:ind w:left="0" w:firstLine="0"/>
        <w:jc w:val="both"/>
        <w:rPr>
          <w:rFonts w:ascii="Times New Roman" w:hAnsi="Times New Roman"/>
          <w:color w:val="auto"/>
          <w:sz w:val="24"/>
          <w:szCs w:val="24"/>
          <w:lang w:val="es-MX"/>
        </w:rPr>
      </w:pPr>
      <w:bookmarkStart w:id="30" w:name="_Toc372589973"/>
      <w:r w:rsidRPr="00B07754">
        <w:rPr>
          <w:rFonts w:ascii="Times New Roman" w:hAnsi="Times New Roman"/>
          <w:color w:val="auto"/>
          <w:sz w:val="24"/>
          <w:szCs w:val="24"/>
          <w:lang w:val="es-MX"/>
        </w:rPr>
        <w:t xml:space="preserve">Crisis </w:t>
      </w:r>
      <w:proofErr w:type="spellStart"/>
      <w:r w:rsidRPr="00B07754">
        <w:rPr>
          <w:rFonts w:ascii="Times New Roman" w:hAnsi="Times New Roman"/>
          <w:color w:val="auto"/>
          <w:sz w:val="24"/>
          <w:szCs w:val="24"/>
          <w:lang w:val="es-MX"/>
        </w:rPr>
        <w:t>predolarización</w:t>
      </w:r>
      <w:bookmarkEnd w:id="30"/>
      <w:proofErr w:type="spellEnd"/>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crisis previa a la dolarización en Ecuador explotó a finales de 1997. Los shocks que impulsaron su desarrollo fueron la caída de los precios del petróleo, daños producidos por las lluvias ocasionadas por el fenómeno de El Niño en 1997 y 1998 que afectaron a la población, infraestructura y agricultura de la Costa; y por último, los efectos de las crisis financieras que afectaron a los países de Asia del Este, Rusia y Brasil.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Las crisis financieras internacionales generaron una contracción en la oferta de capitales externos y estimularon la salida de capitales del país. Como consecuencia de esta limitación en el ingreso de capitales externos, la salida de capitales privados y la restricción en las posibilidades de endeudamiento externo público y privado resultantes de la crisis internacional, la balanza de capitales presentó un saldo negativo de 1.377 millones de dólares, 10% del PIB, provocando un fuerte deterioro en los niveles de reserva monetaria. Cabe indicar que la reserva monetaria internacional de los años anteriores constituyó un elemento clave para disuadir e impedir presiones especulativas sobre la paridad del sucre. Por esta razón, su caída en 1998-1999 impulsó el aumento del riesgo </w:t>
      </w:r>
      <w:r w:rsidRPr="00B07754">
        <w:rPr>
          <w:rFonts w:ascii="Times New Roman" w:hAnsi="Times New Roman"/>
          <w:sz w:val="24"/>
          <w:szCs w:val="24"/>
          <w:lang w:val="es-MX"/>
        </w:rPr>
        <w:lastRenderedPageBreak/>
        <w:t xml:space="preserve">cambiario, y por tanto, el incremento de las expectativas de devaluación y el incremento de las tasas de interés para contrarrestarlas.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Por su parte, el incremento del déficit fiscal tiene sus raíces en las secuelas producidas del fenómeno de El Niño, cuyos daños ocasionados disminuyeron la recaudación tributaria y forzaron un incremento del gasto para enfrentar la emergencia y reconstruir la infraestructura dañada, lo que generó pérdidas totales por 2.900 millones de dólares, una incidencia en el presupuesto del Estado del 1.3% del PIB. A su vez,  con la fuerte caída del precio internacional del petróleo, cuyo valor promedio por barril desciende de 15.4 dólares para 1997 a menos de 9 dólares para 1998, los ingresos fiscales producto de las exportaciones petroleras cayeron a 1.3% del PIB respecto al 4.9% y 3.2% en 1996 y 1997, respectivamente.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Debido a la caída de los ingresos por las exportaciones petroleras y el deterioro de la balanza de pagos las autoridades monetarias devaluaron el sucre por sobre los límites establecidos de la banda cambiaria –finales de marzo y septiembre de 1998-. No obstante, estas acciones no tuvieron el efecto esperado y el déficit de cuenta corriente de 1998 se elevó al 11% del PIB en comparación con el 3.6% en 1997.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shocks afectaron especialmente a los bancos comerciales que habían colocado créditos en sectores que fueron afectados por el fenómeno de El Niño –agricultura en la Costa, servicios petroleros y exportaciones en general- por lo que la cartera vencida se incrementó. De igual manera, la crisis en mercados emergentes y el deterioro de las proyecciones sobre la economía ecuatoriana llevaron a los bancos extranjeros a recortar sus líneas de créditos a los bancos ecuatorianos, lo que agravó su liquidez y obligó a las instituciones financieras el recorte del crédito a compañías que dependían del financiamiento como capital de trabajo.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1998 la política de crédito del Banco Central se vuelva expansiva en respuesta a las necesidades del gobierno, banca y sociedades financieras privadas y para asignar liquidez al sector privado. Para 1999 los requerimientos de los depositantes de la banca privada determinan que crezca el crédito destinado para este tipo de instituciones. Por consiguiente, la política monetaria termina reducida a ser un simple instrumento de soporte para solventar los problemas de liquidez de la banca privada, hecho que es observado en la subida de la tasas de variación anual de la emisión monetaria, que va de 25.2% en 1997, a 44.2% para 1998 y a 152.1% para 1999, siendo otra causa para que la inflación se </w:t>
      </w:r>
      <w:r w:rsidRPr="00B07754">
        <w:rPr>
          <w:rFonts w:ascii="Times New Roman" w:hAnsi="Times New Roman"/>
          <w:sz w:val="24"/>
          <w:szCs w:val="24"/>
          <w:lang w:val="es-MX"/>
        </w:rPr>
        <w:lastRenderedPageBreak/>
        <w:t xml:space="preserve">incrementa al pasar de 30.7% en 1997 a 43.4% a diciembre de 1998 y 60.7% en diciembre de 1997. A su vez, la tasa interbancaria y pasiva referencial promedio continúan al alza, lo que agrava el problema de liquidez del sistema financiero y provoca el descalce de tasas de interés activa de 1997 y la mayor tasa pasiva referencial de 1999.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Durante los últimos meses de 1998 la crisis bancaria se a</w:t>
      </w:r>
      <w:r w:rsidR="005627F5" w:rsidRPr="00B07754">
        <w:rPr>
          <w:rFonts w:ascii="Times New Roman" w:hAnsi="Times New Roman"/>
          <w:sz w:val="24"/>
          <w:szCs w:val="24"/>
          <w:lang w:val="es-MX"/>
        </w:rPr>
        <w:t xml:space="preserve">gravó, un banco importante cayó –Progreso- </w:t>
      </w:r>
      <w:r w:rsidRPr="00B07754">
        <w:rPr>
          <w:rFonts w:ascii="Times New Roman" w:hAnsi="Times New Roman"/>
          <w:sz w:val="24"/>
          <w:szCs w:val="24"/>
          <w:lang w:val="es-MX"/>
        </w:rPr>
        <w:t>en agosto de ese año</w:t>
      </w:r>
      <w:r w:rsidR="005627F5" w:rsidRPr="00B07754">
        <w:rPr>
          <w:rFonts w:ascii="Times New Roman" w:hAnsi="Times New Roman"/>
          <w:sz w:val="24"/>
          <w:szCs w:val="24"/>
          <w:lang w:val="es-MX"/>
        </w:rPr>
        <w:t xml:space="preserve"> debido a la mala utilización de los créditos vinculados</w:t>
      </w:r>
      <w:r w:rsidRPr="00B07754">
        <w:rPr>
          <w:rFonts w:ascii="Times New Roman" w:hAnsi="Times New Roman"/>
          <w:sz w:val="24"/>
          <w:szCs w:val="24"/>
          <w:lang w:val="es-MX"/>
        </w:rPr>
        <w:t xml:space="preserve"> y casi todos los demás enfrentaron serios deterioros en su cartera de crédito y liquidez. Para septiembre de ese año, una misión del Banco Mundial recomendó la creación de una garantía ilimitada sobre los depósitos bancarios e incluso sobre las líneas de crédito de comercio exterior otorgadas por bancos extranjeros a los bancos nacionales. Fue de esta manera que se conformó la Agencia de Garantía de Depósitos (AGD) y se establecieron los mecanismos a través de los cuales las autoridades podían intervenir  a los bancos en dificultades.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Así pues, el día en que comenzó a funcionar la AGD, ésta tomó control del banco más grande del país de ese entonces, </w:t>
      </w:r>
      <w:proofErr w:type="spellStart"/>
      <w:r w:rsidRPr="00B07754">
        <w:rPr>
          <w:rFonts w:ascii="Times New Roman" w:hAnsi="Times New Roman"/>
          <w:sz w:val="24"/>
          <w:szCs w:val="24"/>
          <w:lang w:val="es-MX"/>
        </w:rPr>
        <w:t>Filanbanco</w:t>
      </w:r>
      <w:proofErr w:type="spellEnd"/>
      <w:r w:rsidRPr="00B07754">
        <w:rPr>
          <w:rFonts w:ascii="Times New Roman" w:hAnsi="Times New Roman"/>
          <w:sz w:val="24"/>
          <w:szCs w:val="24"/>
          <w:lang w:val="es-MX"/>
        </w:rPr>
        <w:t xml:space="preserve">. Las acciones tomadas fueron las de mantener abierta la institución, capitalizándolo con bonos especiales denominados en dólares -10 años plazo y con una tasa del 12% anual- . El banco utilizó estos bonos como garantía para obtener créditos de liquidez del Banco Central y cubrir los retiros de depósitos. En las primeras semanas de 1999 bancos pequeños cerraron por su incapacidad de devolver los depósitos y quedaron en situación de saneamiento.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disminución de los ingresos fiscales obligó al establecimiento de un impuesto del 1% sobre todas las transacciones financieras. Si bien este impuesto fue una fuente efectiva de ingresos fiscales también fomentó la desintermediación financiera y generó un incentivo más para el retiro de depósitos. </w:t>
      </w:r>
    </w:p>
    <w:p w:rsidR="0013112D" w:rsidRPr="00B07754" w:rsidRDefault="0013112D" w:rsidP="002B5E62">
      <w:pPr>
        <w:pStyle w:val="Ttulo3"/>
        <w:numPr>
          <w:ilvl w:val="2"/>
          <w:numId w:val="10"/>
        </w:numPr>
        <w:spacing w:before="0" w:after="200" w:line="360" w:lineRule="auto"/>
        <w:ind w:left="0" w:firstLine="0"/>
        <w:jc w:val="both"/>
        <w:rPr>
          <w:rFonts w:ascii="Times New Roman" w:hAnsi="Times New Roman"/>
          <w:b w:val="0"/>
          <w:i/>
          <w:color w:val="auto"/>
          <w:sz w:val="24"/>
          <w:szCs w:val="24"/>
          <w:lang w:val="es-MX"/>
        </w:rPr>
      </w:pPr>
      <w:bookmarkStart w:id="31" w:name="_Toc372589974"/>
      <w:r w:rsidRPr="00B07754">
        <w:rPr>
          <w:rFonts w:ascii="Times New Roman" w:hAnsi="Times New Roman"/>
          <w:b w:val="0"/>
          <w:i/>
          <w:color w:val="auto"/>
          <w:sz w:val="24"/>
          <w:szCs w:val="24"/>
          <w:lang w:val="es-MX"/>
        </w:rPr>
        <w:t>Profundización de la crisis</w:t>
      </w:r>
      <w:bookmarkEnd w:id="31"/>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El aumento del riesgo cambiario llevó a continuar con la práctica de de</w:t>
      </w:r>
      <w:r w:rsidR="00F73BAF" w:rsidRPr="00B07754">
        <w:rPr>
          <w:rFonts w:ascii="Times New Roman" w:hAnsi="Times New Roman"/>
          <w:sz w:val="24"/>
          <w:szCs w:val="24"/>
          <w:lang w:val="es-MX"/>
        </w:rPr>
        <w:t>valuar</w:t>
      </w:r>
      <w:r w:rsidRPr="00B07754">
        <w:rPr>
          <w:rFonts w:ascii="Times New Roman" w:hAnsi="Times New Roman"/>
          <w:sz w:val="24"/>
          <w:szCs w:val="24"/>
          <w:lang w:val="es-MX"/>
        </w:rPr>
        <w:t xml:space="preserve"> al sucre para atenuar las presiones contra el dólar, promoviendo así el incremento de la inflación. La devaluación del sucre pasa de 26% en 1997 a 52.6% en 1998 –se ubica en 6.765,80 sucres por dólar-. Asimismo, la inflación pasa de 30.7% en diciembre de 1997 a 43.4% al finalizar 1998. En lo que respecta al déficit fiscal global, éste aumenta de 2.6% del PIB en 1997 al 6% en 1999. Así pues, los desajustes en el presupuesto del Estado obligan a que la </w:t>
      </w:r>
      <w:r w:rsidRPr="00B07754">
        <w:rPr>
          <w:rFonts w:ascii="Times New Roman" w:hAnsi="Times New Roman"/>
          <w:sz w:val="24"/>
          <w:szCs w:val="24"/>
          <w:lang w:val="es-MX"/>
        </w:rPr>
        <w:lastRenderedPageBreak/>
        <w:t>política monetaria sea expansiva y la misma empieza a guardar mayor relación con los agregados monetarios. El aumento del crédito del Banco Central para atender la demanda de liquidez de los depositantes del sector financiero es factor primordial para que la emisión monetaria haya crecido de 25.2% en 1997 a 44.2% para 1998 -19 puntos porcentuales-, constituyéndose</w:t>
      </w:r>
      <w:r w:rsidR="00F73BAF" w:rsidRPr="00B07754">
        <w:rPr>
          <w:rFonts w:ascii="Times New Roman" w:hAnsi="Times New Roman"/>
          <w:sz w:val="24"/>
          <w:szCs w:val="24"/>
          <w:lang w:val="es-MX"/>
        </w:rPr>
        <w:t xml:space="preserve"> en</w:t>
      </w:r>
      <w:r w:rsidRPr="00B07754">
        <w:rPr>
          <w:rFonts w:ascii="Times New Roman" w:hAnsi="Times New Roman"/>
          <w:sz w:val="24"/>
          <w:szCs w:val="24"/>
          <w:lang w:val="es-MX"/>
        </w:rPr>
        <w:t xml:space="preserve"> una nueva causa para el acelerado crecimiento de la inflación. </w:t>
      </w:r>
    </w:p>
    <w:p w:rsidR="00CF7D2E" w:rsidRPr="00B07754" w:rsidRDefault="00CF7D2E" w:rsidP="002B5E62">
      <w:pPr>
        <w:spacing w:line="360" w:lineRule="auto"/>
        <w:jc w:val="both"/>
        <w:rPr>
          <w:rFonts w:ascii="Times New Roman" w:hAnsi="Times New Roman"/>
          <w:sz w:val="24"/>
          <w:szCs w:val="24"/>
          <w:lang w:val="es-MX"/>
        </w:rPr>
      </w:pPr>
    </w:p>
    <w:p w:rsidR="0013112D" w:rsidRPr="00B07754" w:rsidRDefault="009B2914"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 xml:space="preserve">Tabla </w:t>
      </w:r>
      <w:r w:rsidR="0013112D" w:rsidRPr="00B07754">
        <w:rPr>
          <w:rFonts w:ascii="Times New Roman" w:hAnsi="Times New Roman"/>
          <w:sz w:val="24"/>
          <w:szCs w:val="24"/>
          <w:lang w:val="es-MX"/>
        </w:rPr>
        <w:t>4</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Cambios Absolutos de la Emisión Monetaria y Tasa de Variación Anual (millones de sucres)</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3BE0BA72" wp14:editId="375D7EB5">
            <wp:extent cx="2655237" cy="134377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969"/>
                    <a:stretch/>
                  </pic:blipFill>
                  <pic:spPr bwMode="auto">
                    <a:xfrm>
                      <a:off x="0" y="0"/>
                      <a:ext cx="2655056" cy="1343679"/>
                    </a:xfrm>
                    <a:prstGeom prst="rect">
                      <a:avLst/>
                    </a:prstGeom>
                    <a:noFill/>
                    <a:ln>
                      <a:noFill/>
                    </a:ln>
                  </pic:spPr>
                </pic:pic>
              </a:graphicData>
            </a:graphic>
          </wp:inline>
        </w:drawing>
      </w:r>
    </w:p>
    <w:p w:rsidR="0013112D" w:rsidRPr="00B07754"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Memoria Anual del Banco Central del Ecuador 1998 y 1999</w:t>
      </w:r>
    </w:p>
    <w:p w:rsidR="0013112D"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784862" w:rsidRPr="00B07754" w:rsidRDefault="00784862" w:rsidP="002B5E62">
      <w:pPr>
        <w:spacing w:line="360" w:lineRule="auto"/>
        <w:rPr>
          <w:rFonts w:ascii="Times New Roman" w:hAnsi="Times New Roman"/>
          <w:sz w:val="24"/>
          <w:szCs w:val="24"/>
          <w:lang w:val="es-MX"/>
        </w:rPr>
      </w:pP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1999 se revierte la tendencia de superávit en la cuenta de capitales en la balanza de pagos y se presenta un déficit lo que crea dudas acerca de la solvencia y sostenibilidad de la cuenta corriente, lo que contribuye a la disminución de la reserva monetaria internacional y se eleva el riesgo cambiario, el cual también se ve afectado por el exceso de liquidez monetaria </w:t>
      </w:r>
      <w:r w:rsidR="0019293F" w:rsidRPr="00B07754">
        <w:rPr>
          <w:rFonts w:ascii="Times New Roman" w:hAnsi="Times New Roman"/>
          <w:sz w:val="24"/>
          <w:szCs w:val="24"/>
          <w:lang w:val="es-MX"/>
        </w:rPr>
        <w:t xml:space="preserve">en sucres </w:t>
      </w:r>
      <w:r w:rsidRPr="00B07754">
        <w:rPr>
          <w:rFonts w:ascii="Times New Roman" w:hAnsi="Times New Roman"/>
          <w:sz w:val="24"/>
          <w:szCs w:val="24"/>
          <w:lang w:val="es-MX"/>
        </w:rPr>
        <w:t xml:space="preserve">provocada por la crisis fiscal y bancaria.  Consecuentemente, otra </w:t>
      </w:r>
      <w:proofErr w:type="spellStart"/>
      <w:r w:rsidRPr="00B07754">
        <w:rPr>
          <w:rFonts w:ascii="Times New Roman" w:hAnsi="Times New Roman"/>
          <w:sz w:val="24"/>
          <w:szCs w:val="24"/>
          <w:lang w:val="es-MX"/>
        </w:rPr>
        <w:t>macrodevaluación</w:t>
      </w:r>
      <w:proofErr w:type="spellEnd"/>
      <w:r w:rsidRPr="00B07754">
        <w:rPr>
          <w:rFonts w:ascii="Times New Roman" w:hAnsi="Times New Roman"/>
          <w:sz w:val="24"/>
          <w:szCs w:val="24"/>
          <w:lang w:val="es-MX"/>
        </w:rPr>
        <w:t xml:space="preserve"> del sucre fue inevitable y se mueve de 53% en 1998 a 196% para 1999, con un nivel de tasa de crecimiento de los precios internos de 60.7% para finalizar 1999. Por su parte, el incremento del crédito del Banco Central -48.9% en el periodo 1995-1997- provoca que la tasa de variación anual de la emisión monetaria presente un incremento de 44.2% en 1998 a 152.1%,  lo que refleja la pérdida del Banco Central de su </w:t>
      </w:r>
      <w:r w:rsidRPr="00B07754">
        <w:rPr>
          <w:rFonts w:ascii="Times New Roman" w:hAnsi="Times New Roman"/>
          <w:sz w:val="24"/>
          <w:szCs w:val="24"/>
          <w:lang w:val="es-MX"/>
        </w:rPr>
        <w:lastRenderedPageBreak/>
        <w:t xml:space="preserve">capacidad de regular y controlar la oferta de dinero en la economía y se transforma en fuente de maduración y precipitación de la crisis financiera. </w:t>
      </w:r>
      <w:sdt>
        <w:sdtPr>
          <w:rPr>
            <w:rFonts w:ascii="Times New Roman" w:hAnsi="Times New Roman"/>
            <w:sz w:val="24"/>
            <w:szCs w:val="24"/>
            <w:lang w:val="es-MX"/>
          </w:rPr>
          <w:id w:val="109143122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Car051 \p 98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(Marchán, 2005, pág. 98)</w:t>
          </w:r>
          <w:r w:rsidRPr="00B07754">
            <w:rPr>
              <w:rFonts w:ascii="Times New Roman" w:hAnsi="Times New Roman"/>
              <w:sz w:val="24"/>
              <w:szCs w:val="24"/>
              <w:lang w:val="es-MX"/>
            </w:rPr>
            <w:fldChar w:fldCharType="end"/>
          </w:r>
        </w:sdtContent>
      </w:sdt>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crisis financiera y económica desembocó en la aceleración de la caída de los depósitos monetarios y en la generación de un mayor aumento en la preferencia a la liquidez por parte del público. Así pues, los depósitos monetarios se reducen en un 60.9%, con respecto a la oferta monetaria en 1997, a 41.04% para 1999, mientras se incrementa la preferencia por la liquidez de los agentes económicos al pasar de 64.19% en 1997 a 143.6% en 1999. </w:t>
      </w:r>
    </w:p>
    <w:p w:rsidR="00784862" w:rsidRDefault="00784862" w:rsidP="002B5E62">
      <w:pPr>
        <w:spacing w:line="360" w:lineRule="auto"/>
        <w:jc w:val="center"/>
        <w:rPr>
          <w:rFonts w:ascii="Times New Roman" w:hAnsi="Times New Roman"/>
          <w:sz w:val="24"/>
          <w:szCs w:val="24"/>
          <w:lang w:val="es-MX"/>
        </w:rPr>
      </w:pPr>
    </w:p>
    <w:p w:rsidR="0013112D" w:rsidRPr="00B07754" w:rsidRDefault="009E6200"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 xml:space="preserve">Tabla </w:t>
      </w:r>
      <w:r w:rsidR="0013112D" w:rsidRPr="00B07754">
        <w:rPr>
          <w:rFonts w:ascii="Times New Roman" w:hAnsi="Times New Roman"/>
          <w:sz w:val="24"/>
          <w:szCs w:val="24"/>
          <w:lang w:val="es-MX"/>
        </w:rPr>
        <w:t>5</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Depósitos Monetarios y Preferencia de Liquidez 1997-1999</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18D2B0AF" wp14:editId="65D0F5A0">
            <wp:extent cx="4863932" cy="113703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67610" cy="1137897"/>
                    </a:xfrm>
                    <a:prstGeom prst="rect">
                      <a:avLst/>
                    </a:prstGeom>
                    <a:noFill/>
                    <a:ln>
                      <a:noFill/>
                    </a:ln>
                  </pic:spPr>
                </pic:pic>
              </a:graphicData>
            </a:graphic>
          </wp:inline>
        </w:drawing>
      </w:r>
    </w:p>
    <w:p w:rsidR="0013112D" w:rsidRPr="00B07754"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Memoria del Banco Central el Ecuador 1998</w:t>
      </w:r>
    </w:p>
    <w:p w:rsidR="0013112D"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784862" w:rsidRPr="00B07754" w:rsidRDefault="00784862" w:rsidP="002B5E62">
      <w:pPr>
        <w:spacing w:line="360" w:lineRule="auto"/>
        <w:rPr>
          <w:rFonts w:ascii="Times New Roman" w:hAnsi="Times New Roman"/>
          <w:sz w:val="24"/>
          <w:szCs w:val="24"/>
          <w:lang w:val="es-MX"/>
        </w:rPr>
      </w:pP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De igual manera, los índices de solvencia y de morosidad, así como la relación de provisiones con la cartera vencida muestran un claro y acelerado deterioro. Prueba de ello es que el índice de morosidad pasa del 9.2% en diciembre de 1998 al 40.2% para el mismo periodo en 1999. Asimismo, a partir de diciembre de 1998 la relación provisiones/cartera vencida se ubica alrededor del 90%.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 mediados de marzo para limitar la presión inflacionaria y evitar nuevas caídas de bancos se decretó un feriado bancario y posteriormente un congelamiento de depósitos en el cual el 50% del saldo de todas las cuentas corrientes y de ahorros fueron congeladas por un año, mientras los depósitos a plazo fueron congelados por un año a partir de la fecha de su vencimiento original. Si bien la medida revirtió temporalmente la depreciación del tipo de cambio y frenó la inflación, ya que para mediados de abril el tipo de cambio se había </w:t>
      </w:r>
      <w:r w:rsidRPr="00B07754">
        <w:rPr>
          <w:rFonts w:ascii="Times New Roman" w:hAnsi="Times New Roman"/>
          <w:sz w:val="24"/>
          <w:szCs w:val="24"/>
          <w:lang w:val="es-MX"/>
        </w:rPr>
        <w:lastRenderedPageBreak/>
        <w:t xml:space="preserve">apreciado a un nivel cercano al que había antes de la flotación, el crédito bancario era casi nulo. Además, conforme la cartera se deterioraba y los índices de morosidad crecían, se reprogramaron los vencimientos de los activos bancarios de manera que se reduzcan las pérdidas de éstas instituciones y dar posibilidad al público de cumplir con sus obligaciones. </w:t>
      </w:r>
    </w:p>
    <w:p w:rsidR="0013112D" w:rsidRPr="00B07754" w:rsidRDefault="0013112D" w:rsidP="002B5E62">
      <w:pPr>
        <w:tabs>
          <w:tab w:val="left" w:pos="4536"/>
        </w:tabs>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julio de 1999, la Superintendencia de Bancos anunció que de los 32 bancos que conformaban el sistema privado y que fueron auditados por empresas internacionales, únicamente 19  fueron calificados categoría A al superar el índice de patrimonio técnico sobre activos ponderados por riesgo establecido legalmente (9%). En la categoría B se ubicaron cuatro bancos cuyo patrimonio técnico oscilaba entre 0%y 9%, y fueron considerados “viables” con apoyo estatal. Las entidades tenían el plazo de un año para arreglar su situación patrimonial y poder seguir operando. Por último en la categoría C fueron colocados aquellos bancos calificados como “inviables” debido a su patrimonio técnico negativo. En esta categoría únicamente se encontraban dos instituciones que poseían el 2.3% del total de activos del sistema. Igualmente, de los seis bancos restantes, dos se encontraban bajo control gubernamental y cuatro en “saneamiento cerrado”. </w:t>
      </w:r>
      <w:sdt>
        <w:sdtPr>
          <w:rPr>
            <w:rFonts w:ascii="Times New Roman" w:hAnsi="Times New Roman"/>
            <w:sz w:val="24"/>
            <w:szCs w:val="24"/>
            <w:lang w:val="es-MX"/>
          </w:rPr>
          <w:id w:val="-891964295"/>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Ped00 \p 29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(Brito, 2000, pág. 29)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Para septiembre de 1999 los bancos que administraban entre el 60 y 70% de los activos totales estaban administrados por el sector público.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Las autoridades aceleraron el proceso de descongelamiento de los depósitos en cuentas corrientes y de ahorros para </w:t>
      </w:r>
      <w:proofErr w:type="spellStart"/>
      <w:r w:rsidRPr="00B07754">
        <w:rPr>
          <w:rFonts w:ascii="Times New Roman" w:hAnsi="Times New Roman"/>
          <w:sz w:val="24"/>
          <w:szCs w:val="24"/>
          <w:lang w:val="es-MX"/>
        </w:rPr>
        <w:t>reestablecer</w:t>
      </w:r>
      <w:proofErr w:type="spellEnd"/>
      <w:r w:rsidRPr="00B07754">
        <w:rPr>
          <w:rFonts w:ascii="Times New Roman" w:hAnsi="Times New Roman"/>
          <w:sz w:val="24"/>
          <w:szCs w:val="24"/>
          <w:lang w:val="es-MX"/>
        </w:rPr>
        <w:t xml:space="preserve"> con mayor rapidez las operaciones bancarias. Asimismo, se estableció un esquema por el cual los depósitos a plazo podían convertirse en “Certificados de Depósito Reprogramados” para ser negociados, mantenidos o utilizados a la par para el pago de préstamos bancarios. Sin embargo, el descongelamiento generó retiros masivos de depósitos. Así pues, entre abril y diciembre se descongelaron 465 millones de dólares en cuentas corrientes y de ahorros –cerca del 3.1% del PIB y el 16% de la oferta monetaria de junio-. Un tercio de este monto se retiró del sistema bancario lo que contribuyó a la fuga de capitales y ejerció presión sobre el tipo de cambio.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Ante esta situación, la única solución viable para el Banco Central fue actuar como prestamista de última instancia de manera que los bancos obtengan la liquidez necesaria para cubrir los retiros de depósitos. Entre 1998 y 1999 se emitieron bonos por casi 1.600 millones de dólares -11% del PIB- para recapitalizar a los bancos que seguían operando y para financiar el pago de la garantía de depósitos de los bancos que cerraron. Los bancos utilizaron un gran porcentaje del apoyo recibido para hacer operaciones de recompra o de </w:t>
      </w:r>
      <w:r w:rsidRPr="00B07754">
        <w:rPr>
          <w:rFonts w:ascii="Times New Roman" w:hAnsi="Times New Roman"/>
          <w:sz w:val="24"/>
          <w:szCs w:val="24"/>
          <w:lang w:val="es-MX"/>
        </w:rPr>
        <w:lastRenderedPageBreak/>
        <w:t xml:space="preserve">redescuento con el Banco Central. Consecuentemente, el Banco Central adquirió alrededor de 1.200 millones de dólares en bonos y la base monetaria creció en 136% durante 1999, con tasas de crecimiento de 101% y 522% en el tercer y cuarto trimestre, respectivamente.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Para noviembre de 1999, la expansión monetaria sumada al creciente retiro de depósitos generó fuertes presiones en el tipo de cambio y en los precios. A finales de noviembre, el Banco Central anunció que contraería la política monetaria y suspendería las inyecciones de liquidez que se requerían para prevenir más caídas de bancos. Este cambio de política tuvo como consecuencia que las tasas de interés interbancarias se elevaran a cifras de tres dígitos, resultando la nueva política inviable. Para absorber la liquidez el Banco Central emitió gran cantidad de papeles de corto plazo con altas tasas de interés. De esta manera, la política monetaria contractiva provocó un efecto negativo ya que a medida que incrementaba las tasas de interés el Banco Central incurría en mayores costos financieros y creaba más dinero. Por lo tanto, las autoridades monetarias perdieron la capacidad de controlar la oferta monetaria, el tipo de cambio y la inflación.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lo que respecta a captaciones y colocaciones, se llega a consolidar la dolarización informal del sistema financiero como respuesta de los agentes económicos a la inseguridad de mantener activos remunerados en moneda nacional. Las </w:t>
      </w:r>
      <w:proofErr w:type="spellStart"/>
      <w:r w:rsidRPr="00B07754">
        <w:rPr>
          <w:rFonts w:ascii="Times New Roman" w:hAnsi="Times New Roman"/>
          <w:sz w:val="24"/>
          <w:szCs w:val="24"/>
          <w:lang w:val="es-MX"/>
        </w:rPr>
        <w:t>macrodevaluaciones</w:t>
      </w:r>
      <w:proofErr w:type="spellEnd"/>
      <w:r w:rsidRPr="00B07754">
        <w:rPr>
          <w:rFonts w:ascii="Times New Roman" w:hAnsi="Times New Roman"/>
          <w:sz w:val="24"/>
          <w:szCs w:val="24"/>
          <w:lang w:val="es-MX"/>
        </w:rPr>
        <w:t xml:space="preserve"> de 1998 y 1999 debilitan la estrategia de los directivos de la banca e instituciones financieras privadas por inclinarse a asumir posiciones en dólares, lo que agravó sus problemas de liquidez y de solvencia; en consecuencia, la desconfianza del público en la fortaleza de las entidades financieras privadas del país se acentúa y prefieren reducir los depósitos en el sistema bancario. </w:t>
      </w:r>
      <w:sdt>
        <w:sdtPr>
          <w:rPr>
            <w:rFonts w:ascii="Times New Roman" w:hAnsi="Times New Roman"/>
            <w:sz w:val="24"/>
            <w:szCs w:val="24"/>
            <w:lang w:val="es-MX"/>
          </w:rPr>
          <w:id w:val="144796852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Car051 \p 107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(Marchán, 2005, pág. 107)</w:t>
          </w:r>
          <w:r w:rsidRPr="00B07754">
            <w:rPr>
              <w:rFonts w:ascii="Times New Roman" w:hAnsi="Times New Roman"/>
              <w:sz w:val="24"/>
              <w:szCs w:val="24"/>
              <w:lang w:val="es-MX"/>
            </w:rPr>
            <w:fldChar w:fldCharType="end"/>
          </w:r>
        </w:sdtContent>
      </w:sdt>
      <w:r w:rsidR="003E78F9" w:rsidRPr="00B07754">
        <w:rPr>
          <w:rFonts w:ascii="Times New Roman" w:hAnsi="Times New Roman"/>
          <w:sz w:val="24"/>
          <w:szCs w:val="24"/>
          <w:lang w:val="es-MX"/>
        </w:rPr>
        <w:t>.</w:t>
      </w:r>
      <w:r w:rsidRPr="00B07754">
        <w:rPr>
          <w:rFonts w:ascii="Times New Roman" w:hAnsi="Times New Roman"/>
          <w:sz w:val="24"/>
          <w:szCs w:val="24"/>
          <w:lang w:val="es-MX"/>
        </w:rPr>
        <w:t xml:space="preserve"> Finalmente, con el sucre de</w:t>
      </w:r>
      <w:r w:rsidR="003E78F9" w:rsidRPr="00B07754">
        <w:rPr>
          <w:rFonts w:ascii="Times New Roman" w:hAnsi="Times New Roman"/>
          <w:sz w:val="24"/>
          <w:szCs w:val="24"/>
          <w:lang w:val="es-MX"/>
        </w:rPr>
        <w:t>valuándose</w:t>
      </w:r>
      <w:r w:rsidRPr="00B07754">
        <w:rPr>
          <w:rFonts w:ascii="Times New Roman" w:hAnsi="Times New Roman"/>
          <w:sz w:val="24"/>
          <w:szCs w:val="24"/>
          <w:lang w:val="es-MX"/>
        </w:rPr>
        <w:t xml:space="preserve"> fuertemente cada día, la única alternativa a la dolarización formal de la economía era la hiperinflación, la cual hubiera terminado de todas formas en dolarización</w:t>
      </w:r>
      <w:r w:rsidR="003E78F9" w:rsidRPr="00B07754">
        <w:rPr>
          <w:rFonts w:ascii="Times New Roman" w:hAnsi="Times New Roman"/>
          <w:sz w:val="24"/>
          <w:szCs w:val="24"/>
          <w:lang w:val="es-MX"/>
        </w:rPr>
        <w:t xml:space="preserve"> </w:t>
      </w:r>
      <w:sdt>
        <w:sdtPr>
          <w:rPr>
            <w:rFonts w:ascii="Times New Roman" w:hAnsi="Times New Roman"/>
            <w:sz w:val="24"/>
            <w:szCs w:val="24"/>
            <w:lang w:val="es-MX"/>
          </w:rPr>
          <w:id w:val="1309901815"/>
          <w:citation/>
        </w:sdtPr>
        <w:sdtEndPr/>
        <w:sdtContent>
          <w:r w:rsidR="003E78F9" w:rsidRPr="00B07754">
            <w:rPr>
              <w:rFonts w:ascii="Times New Roman" w:hAnsi="Times New Roman"/>
              <w:sz w:val="24"/>
              <w:szCs w:val="24"/>
              <w:lang w:val="es-MX"/>
            </w:rPr>
            <w:fldChar w:fldCharType="begin"/>
          </w:r>
          <w:r w:rsidR="003E78F9" w:rsidRPr="00B07754">
            <w:rPr>
              <w:rFonts w:ascii="Times New Roman" w:hAnsi="Times New Roman"/>
              <w:sz w:val="24"/>
              <w:szCs w:val="24"/>
              <w:lang w:val="es-MX"/>
            </w:rPr>
            <w:instrText xml:space="preserve">CITATION Bec03 \p 73-82 \l 2058 </w:instrText>
          </w:r>
          <w:r w:rsidR="003E78F9"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(Beckerman, 2003, págs. 73-82)</w:t>
          </w:r>
          <w:r w:rsidR="003E78F9" w:rsidRPr="00B07754">
            <w:rPr>
              <w:rFonts w:ascii="Times New Roman" w:hAnsi="Times New Roman"/>
              <w:sz w:val="24"/>
              <w:szCs w:val="24"/>
              <w:lang w:val="es-MX"/>
            </w:rPr>
            <w:fldChar w:fldCharType="end"/>
          </w:r>
        </w:sdtContent>
      </w:sdt>
      <w:r w:rsidR="003E78F9" w:rsidRPr="00B07754">
        <w:rPr>
          <w:rFonts w:ascii="Times New Roman" w:hAnsi="Times New Roman"/>
          <w:sz w:val="24"/>
          <w:szCs w:val="24"/>
          <w:lang w:val="es-MX"/>
        </w:rPr>
        <w:t xml:space="preserve"> al estar</w:t>
      </w:r>
      <w:r w:rsidRPr="00B07754">
        <w:rPr>
          <w:rFonts w:ascii="Times New Roman" w:hAnsi="Times New Roman"/>
          <w:sz w:val="24"/>
          <w:szCs w:val="24"/>
          <w:lang w:val="es-MX"/>
        </w:rPr>
        <w:t xml:space="preserve"> </w:t>
      </w:r>
      <w:r w:rsidR="003E78F9" w:rsidRPr="00B07754">
        <w:rPr>
          <w:rFonts w:ascii="Times New Roman" w:hAnsi="Times New Roman"/>
          <w:sz w:val="24"/>
          <w:szCs w:val="24"/>
          <w:lang w:val="es-MX"/>
        </w:rPr>
        <w:t xml:space="preserve">la economía altamente dolarizada de forma informal. </w:t>
      </w:r>
    </w:p>
    <w:p w:rsidR="0013112D" w:rsidRPr="00B07754" w:rsidRDefault="0013112D"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En la tabla 3.</w:t>
      </w:r>
      <w:r w:rsidR="00136A17" w:rsidRPr="00B07754">
        <w:rPr>
          <w:rFonts w:ascii="Times New Roman" w:hAnsi="Times New Roman"/>
          <w:sz w:val="24"/>
          <w:szCs w:val="24"/>
          <w:lang w:val="es-MX"/>
        </w:rPr>
        <w:t>6</w:t>
      </w:r>
      <w:r w:rsidRPr="00B07754">
        <w:rPr>
          <w:rFonts w:ascii="Times New Roman" w:hAnsi="Times New Roman"/>
          <w:sz w:val="24"/>
          <w:szCs w:val="24"/>
          <w:lang w:val="es-MX"/>
        </w:rPr>
        <w:t xml:space="preserve"> se observa la presión inflacionaria desde 1995, se puede apreciar el índice de precios al consumidor (IPC) y las tasas de variación que éste experimento, cuyo incremento fue más alto a partir del año 1999. </w:t>
      </w:r>
      <w:r w:rsidR="00136A17" w:rsidRPr="00B07754">
        <w:rPr>
          <w:rFonts w:ascii="Times New Roman" w:hAnsi="Times New Roman"/>
          <w:sz w:val="24"/>
          <w:szCs w:val="24"/>
          <w:lang w:val="es-MX"/>
        </w:rPr>
        <w:t>A su vez, la tabla 3.7 presenta el tipo de cambio y su variación al final del periodo desde 1980 hasta el año 2000 de la dolarización.</w:t>
      </w:r>
    </w:p>
    <w:p w:rsidR="00CF7D2E" w:rsidRDefault="00CF7D2E" w:rsidP="002B5E62">
      <w:pPr>
        <w:spacing w:line="360" w:lineRule="auto"/>
        <w:jc w:val="both"/>
        <w:rPr>
          <w:rFonts w:ascii="Times New Roman" w:hAnsi="Times New Roman"/>
          <w:sz w:val="24"/>
          <w:szCs w:val="24"/>
          <w:lang w:val="es-MX"/>
        </w:rPr>
      </w:pPr>
    </w:p>
    <w:p w:rsidR="00784862" w:rsidRPr="00B07754" w:rsidRDefault="00784862" w:rsidP="002B5E62">
      <w:pPr>
        <w:spacing w:line="360" w:lineRule="auto"/>
        <w:jc w:val="both"/>
        <w:rPr>
          <w:rFonts w:ascii="Times New Roman" w:hAnsi="Times New Roman"/>
          <w:sz w:val="24"/>
          <w:szCs w:val="24"/>
          <w:lang w:val="es-MX"/>
        </w:rPr>
      </w:pPr>
    </w:p>
    <w:p w:rsidR="0013112D" w:rsidRPr="00B07754" w:rsidRDefault="00CF7D2E"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Tabla 6</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Índice de Precios al Consumidor</w:t>
      </w:r>
    </w:p>
    <w:p w:rsidR="0013112D" w:rsidRPr="00B07754" w:rsidRDefault="0013112D"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1C6BE2FA" wp14:editId="71EF6137">
            <wp:extent cx="2380615" cy="30276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80615" cy="3027680"/>
                    </a:xfrm>
                    <a:prstGeom prst="rect">
                      <a:avLst/>
                    </a:prstGeom>
                    <a:noFill/>
                    <a:ln>
                      <a:noFill/>
                    </a:ln>
                  </pic:spPr>
                </pic:pic>
              </a:graphicData>
            </a:graphic>
          </wp:inline>
        </w:drawing>
      </w:r>
    </w:p>
    <w:p w:rsidR="0013112D" w:rsidRPr="00B07754"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Banco Central del Ecuador, INEC</w:t>
      </w:r>
    </w:p>
    <w:p w:rsidR="0013112D" w:rsidRDefault="0013112D"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784862" w:rsidRDefault="00784862" w:rsidP="002B5E62">
      <w:pPr>
        <w:spacing w:line="360" w:lineRule="auto"/>
        <w:jc w:val="center"/>
        <w:rPr>
          <w:rFonts w:ascii="Times New Roman" w:hAnsi="Times New Roman"/>
          <w:sz w:val="24"/>
          <w:szCs w:val="24"/>
          <w:lang w:val="es-MX"/>
        </w:rPr>
      </w:pPr>
    </w:p>
    <w:p w:rsidR="00941A04" w:rsidRPr="00B07754" w:rsidRDefault="00F37979"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 xml:space="preserve">Tabla </w:t>
      </w:r>
      <w:r w:rsidR="00941A04" w:rsidRPr="00B07754">
        <w:rPr>
          <w:rFonts w:ascii="Times New Roman" w:hAnsi="Times New Roman"/>
          <w:sz w:val="24"/>
          <w:szCs w:val="24"/>
          <w:lang w:val="es-MX"/>
        </w:rPr>
        <w:t>7</w:t>
      </w:r>
    </w:p>
    <w:p w:rsidR="00941A04" w:rsidRPr="00B07754" w:rsidRDefault="00941A04"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Tipo de Cambio en Sucres y su tasa de variación 1980-2000</w:t>
      </w:r>
    </w:p>
    <w:p w:rsidR="0013112D" w:rsidRPr="00B07754" w:rsidRDefault="00F65C9C"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0771775D" wp14:editId="26FCF258">
            <wp:extent cx="2523935" cy="4275117"/>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24009" cy="4275242"/>
                    </a:xfrm>
                    <a:prstGeom prst="rect">
                      <a:avLst/>
                    </a:prstGeom>
                    <a:noFill/>
                    <a:ln>
                      <a:noFill/>
                    </a:ln>
                  </pic:spPr>
                </pic:pic>
              </a:graphicData>
            </a:graphic>
          </wp:inline>
        </w:drawing>
      </w:r>
    </w:p>
    <w:p w:rsidR="00941A04" w:rsidRPr="00B07754" w:rsidRDefault="00941A04"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Banco Central del Ecuador, INEC</w:t>
      </w:r>
    </w:p>
    <w:p w:rsidR="00941A04" w:rsidRPr="00B07754" w:rsidRDefault="00941A04"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192495" w:rsidRPr="00B07754" w:rsidRDefault="0019249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192495" w:rsidRDefault="0019249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F33B2C" w:rsidRPr="00B07754" w:rsidRDefault="00F33B2C"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192495" w:rsidRPr="00B07754" w:rsidRDefault="00192495"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3E0F59" w:rsidRPr="00B07754" w:rsidRDefault="003E0F59" w:rsidP="002B5E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lang w:val="es-MX"/>
        </w:rPr>
      </w:pPr>
    </w:p>
    <w:p w:rsidR="0048264B" w:rsidRDefault="0048264B" w:rsidP="002B5E62">
      <w:pPr>
        <w:spacing w:line="360" w:lineRule="auto"/>
        <w:rPr>
          <w:rFonts w:ascii="Times New Roman" w:hAnsi="Times New Roman"/>
          <w:sz w:val="24"/>
          <w:szCs w:val="24"/>
          <w:lang w:val="es-MX"/>
        </w:rPr>
      </w:pPr>
    </w:p>
    <w:p w:rsidR="00B07754" w:rsidRPr="00B07754" w:rsidRDefault="00B07754" w:rsidP="002B5E62">
      <w:pPr>
        <w:spacing w:line="360" w:lineRule="auto"/>
        <w:rPr>
          <w:rFonts w:ascii="Times New Roman" w:hAnsi="Times New Roman"/>
          <w:sz w:val="24"/>
          <w:szCs w:val="24"/>
          <w:lang w:val="es-MX"/>
        </w:rPr>
      </w:pPr>
    </w:p>
    <w:p w:rsidR="00805FE8" w:rsidRDefault="00805FE8" w:rsidP="002B5E62">
      <w:pPr>
        <w:spacing w:line="360" w:lineRule="auto"/>
        <w:rPr>
          <w:rFonts w:ascii="Times New Roman" w:hAnsi="Times New Roman"/>
          <w:sz w:val="24"/>
          <w:szCs w:val="24"/>
          <w:lang w:val="es-MX"/>
        </w:rPr>
      </w:pPr>
    </w:p>
    <w:p w:rsidR="002B5E62" w:rsidRDefault="002B5E62" w:rsidP="002B5E62">
      <w:pPr>
        <w:spacing w:line="360" w:lineRule="auto"/>
        <w:rPr>
          <w:rFonts w:ascii="Times New Roman" w:hAnsi="Times New Roman"/>
          <w:sz w:val="24"/>
          <w:szCs w:val="24"/>
          <w:lang w:val="es-MX"/>
        </w:rPr>
      </w:pPr>
    </w:p>
    <w:p w:rsidR="002B5E62" w:rsidRPr="00B07754" w:rsidRDefault="002B5E62" w:rsidP="002B5E62">
      <w:pPr>
        <w:spacing w:line="360" w:lineRule="auto"/>
        <w:rPr>
          <w:rFonts w:ascii="Times New Roman" w:hAnsi="Times New Roman"/>
          <w:sz w:val="24"/>
          <w:szCs w:val="24"/>
          <w:lang w:val="es-MX"/>
        </w:rPr>
      </w:pPr>
    </w:p>
    <w:p w:rsidR="00192495" w:rsidRPr="00B07754" w:rsidRDefault="00C12D35" w:rsidP="002B5E62">
      <w:pPr>
        <w:pStyle w:val="Ttulo1"/>
        <w:spacing w:before="0" w:after="200" w:line="360" w:lineRule="auto"/>
        <w:jc w:val="center"/>
        <w:rPr>
          <w:rFonts w:ascii="Times New Roman" w:hAnsi="Times New Roman"/>
          <w:color w:val="auto"/>
          <w:sz w:val="24"/>
          <w:szCs w:val="24"/>
          <w:lang w:val="es-MX"/>
        </w:rPr>
      </w:pPr>
      <w:bookmarkStart w:id="32" w:name="_Toc369637405"/>
      <w:bookmarkStart w:id="33" w:name="_Toc372589975"/>
      <w:r w:rsidRPr="00B07754">
        <w:rPr>
          <w:rFonts w:ascii="Times New Roman" w:hAnsi="Times New Roman"/>
          <w:color w:val="auto"/>
          <w:sz w:val="24"/>
          <w:szCs w:val="24"/>
          <w:lang w:val="es-MX"/>
        </w:rPr>
        <w:t>ESTABLECIMIENTO DE LA RELACIÓN ENTRE COMPETENCIA Y ESTABILIDAD DEL SISTEMA BANCARIO EN EL ECUADOR EN EL PERIODO 2002-2012</w:t>
      </w:r>
      <w:bookmarkEnd w:id="32"/>
      <w:bookmarkEnd w:id="33"/>
    </w:p>
    <w:p w:rsidR="00C12D35" w:rsidRPr="00B07754" w:rsidRDefault="00C12D35" w:rsidP="002B5E62">
      <w:pPr>
        <w:spacing w:line="360" w:lineRule="auto"/>
        <w:rPr>
          <w:rFonts w:ascii="Times New Roman" w:hAnsi="Times New Roman"/>
          <w:sz w:val="24"/>
          <w:szCs w:val="24"/>
          <w:lang w:val="es-MX"/>
        </w:rPr>
      </w:pPr>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modelo a emplear en este estudio se basa en uno desarrollado por Luisa Pérez en su tesis de grado de Magíster en Economía de la Pontifica Universidad Católica de Chile. El modelo teórico en el que se sustenta la investigación es un modelo de competencia </w:t>
      </w:r>
      <w:r w:rsidR="00773374" w:rsidRPr="00B07754">
        <w:rPr>
          <w:rFonts w:ascii="Times New Roman" w:hAnsi="Times New Roman"/>
          <w:sz w:val="24"/>
          <w:szCs w:val="24"/>
          <w:lang w:val="es-MX"/>
        </w:rPr>
        <w:t>de</w:t>
      </w:r>
      <w:r w:rsidRPr="00B07754">
        <w:rPr>
          <w:rFonts w:ascii="Times New Roman" w:hAnsi="Times New Roman"/>
          <w:sz w:val="24"/>
          <w:szCs w:val="24"/>
          <w:lang w:val="es-MX"/>
        </w:rPr>
        <w:t xml:space="preserve"> </w:t>
      </w:r>
      <w:proofErr w:type="spellStart"/>
      <w:r w:rsidRPr="00B07754">
        <w:rPr>
          <w:rFonts w:ascii="Times New Roman" w:hAnsi="Times New Roman"/>
          <w:sz w:val="24"/>
          <w:szCs w:val="24"/>
          <w:lang w:val="es-MX"/>
        </w:rPr>
        <w:t>Cournot</w:t>
      </w:r>
      <w:proofErr w:type="spellEnd"/>
      <w:r w:rsidR="008A0C4C" w:rsidRPr="00B07754">
        <w:rPr>
          <w:rStyle w:val="Refdenotaalpie"/>
          <w:rFonts w:ascii="Times New Roman" w:hAnsi="Times New Roman"/>
          <w:sz w:val="24"/>
          <w:szCs w:val="24"/>
          <w:lang w:val="es-MX"/>
        </w:rPr>
        <w:footnoteReference w:id="27"/>
      </w:r>
      <w:r w:rsidRPr="00B07754">
        <w:rPr>
          <w:rFonts w:ascii="Times New Roman" w:hAnsi="Times New Roman"/>
          <w:sz w:val="24"/>
          <w:szCs w:val="24"/>
          <w:lang w:val="es-MX"/>
        </w:rPr>
        <w:t>, desarrollado por Martínez-Miera y Repullo (2008). Estos autores permiten verificar la forma y dirección de la relación entre el nivel de competencia y la estabilidad del sistema bancario ecuatoriano</w:t>
      </w:r>
      <w:sdt>
        <w:sdtPr>
          <w:rPr>
            <w:rFonts w:ascii="Times New Roman" w:hAnsi="Times New Roman"/>
            <w:sz w:val="24"/>
            <w:szCs w:val="24"/>
            <w:lang w:val="es-MX"/>
          </w:rPr>
          <w:id w:val="866950283"/>
          <w:citation/>
        </w:sdtPr>
        <w:sdtEndPr/>
        <w:sdtContent>
          <w:r w:rsidR="00914B59" w:rsidRPr="00B07754">
            <w:rPr>
              <w:rFonts w:ascii="Times New Roman" w:hAnsi="Times New Roman"/>
              <w:sz w:val="24"/>
              <w:szCs w:val="24"/>
              <w:lang w:val="es-MX"/>
            </w:rPr>
            <w:fldChar w:fldCharType="begin"/>
          </w:r>
          <w:r w:rsidR="00914B59" w:rsidRPr="00B07754">
            <w:rPr>
              <w:rFonts w:ascii="Times New Roman" w:hAnsi="Times New Roman"/>
              <w:sz w:val="24"/>
              <w:szCs w:val="24"/>
              <w:lang w:val="es-MX"/>
            </w:rPr>
            <w:instrText xml:space="preserve">CITATION Lui09 \p 17 \l 2058 </w:instrText>
          </w:r>
          <w:r w:rsidR="00914B59"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17)</w:t>
          </w:r>
          <w:r w:rsidR="00914B59"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92495" w:rsidRPr="00B07754" w:rsidRDefault="00192495" w:rsidP="002B5E62">
      <w:pPr>
        <w:pStyle w:val="Ttulo2"/>
        <w:numPr>
          <w:ilvl w:val="1"/>
          <w:numId w:val="25"/>
        </w:numPr>
        <w:spacing w:before="0" w:after="200" w:line="360" w:lineRule="auto"/>
        <w:ind w:left="0" w:firstLine="0"/>
        <w:jc w:val="both"/>
        <w:rPr>
          <w:rFonts w:ascii="Times New Roman" w:hAnsi="Times New Roman"/>
          <w:color w:val="auto"/>
          <w:sz w:val="24"/>
          <w:szCs w:val="24"/>
          <w:lang w:val="es-MX"/>
        </w:rPr>
      </w:pPr>
      <w:bookmarkStart w:id="34" w:name="_Toc372589976"/>
      <w:r w:rsidRPr="00B07754">
        <w:rPr>
          <w:rFonts w:ascii="Times New Roman" w:hAnsi="Times New Roman"/>
          <w:color w:val="auto"/>
          <w:sz w:val="24"/>
          <w:szCs w:val="24"/>
          <w:lang w:val="es-MX"/>
        </w:rPr>
        <w:t>Modelo Econométrico</w:t>
      </w:r>
      <w:bookmarkEnd w:id="34"/>
    </w:p>
    <w:p w:rsidR="00192495" w:rsidRPr="00B07754" w:rsidRDefault="00D742B0" w:rsidP="002B5E62">
      <w:pPr>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w:t>
      </w:r>
      <w:r w:rsidR="00192495" w:rsidRPr="00B07754">
        <w:rPr>
          <w:rFonts w:ascii="Times New Roman" w:hAnsi="Times New Roman"/>
          <w:sz w:val="24"/>
          <w:szCs w:val="24"/>
          <w:lang w:val="es-MX"/>
        </w:rPr>
        <w:t xml:space="preserve">Del modelo teórico de MMR se obtiene que la especificación general del modelo es: </w:t>
      </w:r>
    </w:p>
    <w:p w:rsidR="00192495" w:rsidRPr="00B07754" w:rsidRDefault="00643B1A" w:rsidP="002B5E62">
      <w:pPr>
        <w:spacing w:line="360" w:lineRule="auto"/>
        <w:jc w:val="right"/>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EF</m:t>
            </m:r>
          </m:e>
          <m:sub>
            <m:r>
              <w:rPr>
                <w:rFonts w:ascii="Cambria Math" w:hAnsi="Cambria Math"/>
                <w:sz w:val="24"/>
                <w:szCs w:val="24"/>
                <w:lang w:val="es-MX"/>
              </w:rPr>
              <m:t>it</m:t>
            </m:r>
          </m:sub>
        </m:sSub>
        <m:r>
          <w:rPr>
            <w:rFonts w:ascii="Cambria Math" w:hAnsi="Cambria Math"/>
            <w:sz w:val="24"/>
            <w:szCs w:val="24"/>
            <w:lang w:val="es-MX"/>
          </w:rPr>
          <m:t>=f(</m:t>
        </m:r>
        <m:sSub>
          <m:sSubPr>
            <m:ctrlPr>
              <w:rPr>
                <w:rFonts w:ascii="Cambria Math" w:hAnsi="Cambria Math"/>
                <w:i/>
                <w:sz w:val="24"/>
                <w:szCs w:val="24"/>
                <w:lang w:val="es-MX"/>
              </w:rPr>
            </m:ctrlPr>
          </m:sSubPr>
          <m:e>
            <m:r>
              <w:rPr>
                <w:rFonts w:ascii="Cambria Math" w:hAnsi="Cambria Math"/>
                <w:sz w:val="24"/>
                <w:szCs w:val="24"/>
                <w:lang w:val="es-MX"/>
              </w:rPr>
              <m:t>Competencia</m:t>
            </m:r>
          </m:e>
          <m:sub>
            <m:r>
              <w:rPr>
                <w:rFonts w:ascii="Cambria Math" w:hAnsi="Cambria Math"/>
                <w:sz w:val="24"/>
                <w:szCs w:val="24"/>
                <w:lang w:val="es-MX"/>
              </w:rPr>
              <m:t>t</m:t>
            </m:r>
          </m:sub>
        </m:sSub>
        <m:r>
          <w:rPr>
            <w:rFonts w:ascii="Cambria Math" w:hAnsi="Cambria Math"/>
            <w:sz w:val="24"/>
            <w:szCs w:val="24"/>
            <w:lang w:val="es-MX"/>
          </w:rPr>
          <m:t>,</m:t>
        </m:r>
        <m:sSub>
          <m:sSubPr>
            <m:ctrlPr>
              <w:rPr>
                <w:rFonts w:ascii="Cambria Math" w:hAnsi="Cambria Math"/>
                <w:i/>
                <w:sz w:val="24"/>
                <w:szCs w:val="24"/>
                <w:lang w:val="es-MX"/>
              </w:rPr>
            </m:ctrlPr>
          </m:sSubPr>
          <m:e>
            <m:sSup>
              <m:sSupPr>
                <m:ctrlPr>
                  <w:rPr>
                    <w:rFonts w:ascii="Cambria Math" w:hAnsi="Cambria Math"/>
                    <w:i/>
                    <w:sz w:val="24"/>
                    <w:szCs w:val="24"/>
                    <w:lang w:val="es-MX"/>
                  </w:rPr>
                </m:ctrlPr>
              </m:sSupPr>
              <m:e>
                <m:r>
                  <w:rPr>
                    <w:rFonts w:ascii="Cambria Math" w:hAnsi="Cambria Math"/>
                    <w:sz w:val="24"/>
                    <w:szCs w:val="24"/>
                    <w:lang w:val="es-MX"/>
                  </w:rPr>
                  <m:t>Competencia</m:t>
                </m:r>
              </m:e>
              <m:sup>
                <m:r>
                  <w:rPr>
                    <w:rFonts w:ascii="Cambria Math" w:hAnsi="Cambria Math"/>
                    <w:sz w:val="24"/>
                    <w:szCs w:val="24"/>
                    <w:lang w:val="es-MX"/>
                  </w:rPr>
                  <m:t>2</m:t>
                </m:r>
              </m:sup>
            </m:sSup>
          </m:e>
          <m:sub>
            <m:r>
              <w:rPr>
                <w:rFonts w:ascii="Cambria Math" w:hAnsi="Cambria Math"/>
                <w:sz w:val="24"/>
                <w:szCs w:val="24"/>
                <w:lang w:val="es-MX"/>
              </w:rPr>
              <m:t>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Mac</m:t>
            </m:r>
          </m:e>
          <m:sub>
            <m:r>
              <w:rPr>
                <w:rFonts w:ascii="Cambria Math" w:hAnsi="Cambria Math"/>
                <w:sz w:val="24"/>
                <w:szCs w:val="24"/>
                <w:lang w:val="es-MX"/>
              </w:rPr>
              <m:t>t</m:t>
            </m:r>
          </m:sub>
        </m:sSub>
        <m:r>
          <w:rPr>
            <w:rFonts w:ascii="Cambria Math" w:hAnsi="Cambria Math"/>
            <w:sz w:val="24"/>
            <w:szCs w:val="24"/>
            <w:lang w:val="es-MX"/>
          </w:rPr>
          <m:t xml:space="preserve">, </m:t>
        </m:r>
        <m:sSub>
          <m:sSubPr>
            <m:ctrlPr>
              <w:rPr>
                <w:rFonts w:ascii="Cambria Math" w:hAnsi="Cambria Math"/>
                <w:i/>
                <w:sz w:val="24"/>
                <w:szCs w:val="24"/>
                <w:lang w:val="es-MX"/>
              </w:rPr>
            </m:ctrlPr>
          </m:sSubPr>
          <m:e>
            <m:r>
              <w:rPr>
                <w:rFonts w:ascii="Cambria Math" w:hAnsi="Cambria Math"/>
                <w:sz w:val="24"/>
                <w:szCs w:val="24"/>
                <w:lang w:val="es-MX"/>
              </w:rPr>
              <m:t>BS</m:t>
            </m:r>
          </m:e>
          <m:sub>
            <m:r>
              <w:rPr>
                <w:rFonts w:ascii="Cambria Math" w:hAnsi="Cambria Math"/>
                <w:sz w:val="24"/>
                <w:szCs w:val="24"/>
                <w:lang w:val="es-MX"/>
              </w:rPr>
              <m:t>it</m:t>
            </m:r>
          </m:sub>
        </m:sSub>
        <m:r>
          <w:rPr>
            <w:rFonts w:ascii="Cambria Math" w:hAnsi="Cambria Math"/>
            <w:sz w:val="24"/>
            <w:szCs w:val="24"/>
            <w:lang w:val="es-MX"/>
          </w:rPr>
          <m:t>)</m:t>
        </m:r>
      </m:oMath>
      <w:r w:rsidR="00192495" w:rsidRPr="00B07754">
        <w:rPr>
          <w:rFonts w:ascii="Times New Roman" w:eastAsiaTheme="minorEastAsia" w:hAnsi="Times New Roman"/>
          <w:sz w:val="24"/>
          <w:szCs w:val="24"/>
          <w:lang w:val="es-MX"/>
        </w:rPr>
        <w:t xml:space="preserve"> </w:t>
      </w:r>
      <w:r w:rsidR="00192495" w:rsidRPr="00B07754">
        <w:rPr>
          <w:rFonts w:ascii="Times New Roman" w:eastAsiaTheme="minorEastAsia" w:hAnsi="Times New Roman"/>
          <w:sz w:val="24"/>
          <w:szCs w:val="24"/>
          <w:lang w:val="es-MX"/>
        </w:rPr>
        <w:tab/>
      </w:r>
      <w:r w:rsidR="00192495" w:rsidRPr="00B07754">
        <w:rPr>
          <w:rFonts w:ascii="Times New Roman" w:eastAsiaTheme="minorEastAsia" w:hAnsi="Times New Roman"/>
          <w:sz w:val="24"/>
          <w:szCs w:val="24"/>
          <w:lang w:val="es-MX"/>
        </w:rPr>
        <w:tab/>
      </w:r>
      <w:r w:rsidR="00192495" w:rsidRPr="00B07754">
        <w:rPr>
          <w:rFonts w:ascii="Times New Roman" w:eastAsiaTheme="minorEastAsia" w:hAnsi="Times New Roman"/>
          <w:sz w:val="24"/>
          <w:szCs w:val="24"/>
          <w:lang w:val="es-MX"/>
        </w:rPr>
        <w:tab/>
      </w:r>
    </w:p>
    <w:p w:rsidR="00192495" w:rsidRPr="00B07754" w:rsidRDefault="00192495" w:rsidP="002B5E62">
      <w:pPr>
        <w:autoSpaceDE w:val="0"/>
        <w:autoSpaceDN w:val="0"/>
        <w:adjustRightInd w:val="0"/>
        <w:spacing w:line="360" w:lineRule="auto"/>
        <w:ind w:firstLine="709"/>
        <w:jc w:val="both"/>
        <w:rPr>
          <w:rFonts w:ascii="Times New Roman" w:hAnsi="Times New Roman"/>
          <w:sz w:val="24"/>
          <w:szCs w:val="24"/>
          <w:lang w:val="es-MX"/>
        </w:rPr>
      </w:pPr>
      <w:proofErr w:type="spellStart"/>
      <w:r w:rsidRPr="00B07754">
        <w:rPr>
          <w:rFonts w:ascii="Times New Roman" w:hAnsi="Times New Roman"/>
          <w:sz w:val="24"/>
          <w:szCs w:val="24"/>
          <w:lang w:val="es-MX"/>
        </w:rPr>
        <w:t>Donde</w:t>
      </w:r>
      <w:proofErr w:type="spellEnd"/>
      <w:r w:rsidRPr="00B07754">
        <w:rPr>
          <w:rFonts w:ascii="Times New Roman" w:hAnsi="Times New Roman"/>
          <w:sz w:val="24"/>
          <w:szCs w:val="24"/>
          <w:lang w:val="es-MX"/>
        </w:rPr>
        <w:t>:</w:t>
      </w:r>
    </w:p>
    <w:p w:rsidR="00192495" w:rsidRPr="00B07754" w:rsidRDefault="00D742B0"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eastAsiaTheme="minorEastAsia" w:hAnsi="Times New Roman"/>
          <w:sz w:val="24"/>
          <w:szCs w:val="24"/>
          <w:lang w:val="es-MX"/>
        </w:rPr>
        <w:tab/>
      </w:r>
      <m:oMath>
        <m:sSub>
          <m:sSubPr>
            <m:ctrlPr>
              <w:rPr>
                <w:rFonts w:ascii="Cambria Math" w:hAnsi="Cambria Math"/>
                <w:i/>
                <w:sz w:val="24"/>
                <w:szCs w:val="24"/>
                <w:lang w:val="es-MX"/>
              </w:rPr>
            </m:ctrlPr>
          </m:sSubPr>
          <m:e>
            <m:r>
              <w:rPr>
                <w:rFonts w:ascii="Cambria Math" w:hAnsi="Cambria Math"/>
                <w:sz w:val="24"/>
                <w:szCs w:val="24"/>
                <w:lang w:val="es-MX"/>
              </w:rPr>
              <m:t>EF</m:t>
            </m:r>
          </m:e>
          <m:sub>
            <m:r>
              <w:rPr>
                <w:rFonts w:ascii="Cambria Math" w:hAnsi="Cambria Math"/>
                <w:sz w:val="24"/>
                <w:szCs w:val="24"/>
                <w:lang w:val="es-MX"/>
              </w:rPr>
              <m:t>it</m:t>
            </m:r>
          </m:sub>
        </m:sSub>
      </m:oMath>
      <w:r w:rsidRPr="00B07754">
        <w:rPr>
          <w:rFonts w:ascii="Times New Roman" w:eastAsiaTheme="minorEastAsia" w:hAnsi="Times New Roman"/>
          <w:sz w:val="24"/>
          <w:szCs w:val="24"/>
          <w:lang w:val="es-MX"/>
        </w:rPr>
        <w:t xml:space="preserve"> </w:t>
      </w:r>
      <w:proofErr w:type="gramStart"/>
      <w:r w:rsidR="00192495" w:rsidRPr="00B07754">
        <w:rPr>
          <w:rFonts w:ascii="Times New Roman" w:hAnsi="Times New Roman"/>
          <w:sz w:val="24"/>
          <w:szCs w:val="24"/>
          <w:lang w:val="es-MX"/>
        </w:rPr>
        <w:t>es</w:t>
      </w:r>
      <w:proofErr w:type="gramEnd"/>
      <w:r w:rsidR="00192495" w:rsidRPr="00B07754">
        <w:rPr>
          <w:rFonts w:ascii="Times New Roman" w:hAnsi="Times New Roman"/>
          <w:sz w:val="24"/>
          <w:szCs w:val="24"/>
          <w:lang w:val="es-MX"/>
        </w:rPr>
        <w:t xml:space="preserve"> la variable que mide la estabilidad</w:t>
      </w:r>
    </w:p>
    <w:p w:rsidR="00192495" w:rsidRPr="00B07754" w:rsidRDefault="00D742B0" w:rsidP="002B5E62">
      <w:pPr>
        <w:autoSpaceDE w:val="0"/>
        <w:autoSpaceDN w:val="0"/>
        <w:adjustRightInd w:val="0"/>
        <w:spacing w:line="360" w:lineRule="auto"/>
        <w:jc w:val="both"/>
        <w:rPr>
          <w:rFonts w:ascii="Times New Roman" w:hAnsi="Times New Roman"/>
          <w:sz w:val="24"/>
          <w:szCs w:val="24"/>
          <w:lang w:val="es-MX"/>
        </w:rPr>
      </w:pPr>
      <m:oMath>
        <m:r>
          <w:rPr>
            <w:rFonts w:ascii="Cambria Math" w:hAnsi="Cambria Math"/>
            <w:sz w:val="24"/>
            <w:szCs w:val="24"/>
            <w:lang w:val="es-MX"/>
          </w:rPr>
          <m:t xml:space="preserve">             </m:t>
        </m:r>
        <m:sSub>
          <m:sSubPr>
            <m:ctrlPr>
              <w:rPr>
                <w:rFonts w:ascii="Cambria Math" w:hAnsi="Cambria Math"/>
                <w:i/>
                <w:sz w:val="24"/>
                <w:szCs w:val="24"/>
                <w:lang w:val="es-MX"/>
              </w:rPr>
            </m:ctrlPr>
          </m:sSubPr>
          <m:e>
            <m:r>
              <w:rPr>
                <w:rFonts w:ascii="Cambria Math" w:hAnsi="Cambria Math"/>
                <w:sz w:val="24"/>
                <w:szCs w:val="24"/>
                <w:lang w:val="es-MX"/>
              </w:rPr>
              <m:t>Competencia</m:t>
            </m:r>
          </m:e>
          <m:sub>
            <m:r>
              <w:rPr>
                <w:rFonts w:ascii="Cambria Math" w:hAnsi="Cambria Math"/>
                <w:sz w:val="24"/>
                <w:szCs w:val="24"/>
                <w:lang w:val="es-MX"/>
              </w:rPr>
              <m:t>t</m:t>
            </m:r>
          </m:sub>
        </m:sSub>
      </m:oMath>
      <w:r w:rsidRPr="00B07754">
        <w:rPr>
          <w:rFonts w:ascii="Times New Roman" w:hAnsi="Times New Roman"/>
          <w:sz w:val="24"/>
          <w:szCs w:val="24"/>
          <w:lang w:val="es-MX"/>
        </w:rPr>
        <w:t xml:space="preserve"> </w:t>
      </w:r>
      <w:proofErr w:type="gramStart"/>
      <w:r w:rsidR="00192495" w:rsidRPr="00B07754">
        <w:rPr>
          <w:rFonts w:ascii="Times New Roman" w:hAnsi="Times New Roman"/>
          <w:sz w:val="24"/>
          <w:szCs w:val="24"/>
          <w:lang w:val="es-MX"/>
        </w:rPr>
        <w:t>es</w:t>
      </w:r>
      <w:proofErr w:type="gramEnd"/>
      <w:r w:rsidR="00192495" w:rsidRPr="00B07754">
        <w:rPr>
          <w:rFonts w:ascii="Times New Roman" w:hAnsi="Times New Roman"/>
          <w:sz w:val="24"/>
          <w:szCs w:val="24"/>
          <w:lang w:val="es-MX"/>
        </w:rPr>
        <w:t xml:space="preserve"> el indicador del nivel de competencia del mercado bancario</w:t>
      </w:r>
    </w:p>
    <w:p w:rsidR="00192495" w:rsidRPr="00B07754" w:rsidRDefault="00643B1A" w:rsidP="002B5E62">
      <w:pPr>
        <w:autoSpaceDE w:val="0"/>
        <w:autoSpaceDN w:val="0"/>
        <w:adjustRightInd w:val="0"/>
        <w:spacing w:line="360" w:lineRule="auto"/>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 xml:space="preserve">             Mac</m:t>
            </m:r>
          </m:e>
          <m:sub>
            <m:r>
              <w:rPr>
                <w:rFonts w:ascii="Cambria Math" w:hAnsi="Cambria Math"/>
                <w:sz w:val="24"/>
                <w:szCs w:val="24"/>
                <w:lang w:val="es-MX"/>
              </w:rPr>
              <m:t>t</m:t>
            </m:r>
          </m:sub>
        </m:sSub>
      </m:oMath>
      <w:r w:rsidR="00192495" w:rsidRPr="00B07754">
        <w:rPr>
          <w:rFonts w:ascii="Times New Roman" w:eastAsiaTheme="minorEastAsia" w:hAnsi="Times New Roman"/>
          <w:sz w:val="24"/>
          <w:szCs w:val="24"/>
          <w:lang w:val="es-MX"/>
        </w:rPr>
        <w:t xml:space="preserve"> </w:t>
      </w:r>
      <w:r w:rsidR="00D742B0" w:rsidRPr="00B07754">
        <w:rPr>
          <w:rFonts w:ascii="Times New Roman" w:eastAsiaTheme="minorEastAsia" w:hAnsi="Times New Roman"/>
          <w:sz w:val="24"/>
          <w:szCs w:val="24"/>
          <w:lang w:val="es-MX"/>
        </w:rPr>
        <w:tab/>
      </w:r>
      <w:proofErr w:type="gramStart"/>
      <w:r w:rsidR="00192495" w:rsidRPr="00B07754">
        <w:rPr>
          <w:rFonts w:ascii="Times New Roman" w:hAnsi="Times New Roman"/>
          <w:sz w:val="24"/>
          <w:szCs w:val="24"/>
          <w:lang w:val="es-MX"/>
        </w:rPr>
        <w:t>representa</w:t>
      </w:r>
      <w:proofErr w:type="gramEnd"/>
      <w:r w:rsidR="00192495" w:rsidRPr="00B07754">
        <w:rPr>
          <w:rFonts w:ascii="Times New Roman" w:hAnsi="Times New Roman"/>
          <w:sz w:val="24"/>
          <w:szCs w:val="24"/>
          <w:lang w:val="es-MX"/>
        </w:rPr>
        <w:t xml:space="preserve"> las variables macroeconómicas que afectan la estabilidad; y,</w:t>
      </w:r>
    </w:p>
    <w:p w:rsidR="00192495" w:rsidRPr="00B07754" w:rsidRDefault="00D742B0" w:rsidP="002B5E62">
      <w:pPr>
        <w:autoSpaceDE w:val="0"/>
        <w:autoSpaceDN w:val="0"/>
        <w:adjustRightInd w:val="0"/>
        <w:spacing w:line="360" w:lineRule="auto"/>
        <w:jc w:val="both"/>
        <w:rPr>
          <w:rFonts w:ascii="Times New Roman" w:hAnsi="Times New Roman"/>
          <w:sz w:val="24"/>
          <w:szCs w:val="24"/>
          <w:lang w:val="es-MX"/>
        </w:rPr>
      </w:pPr>
      <m:oMath>
        <m:r>
          <w:rPr>
            <w:rFonts w:ascii="Cambria Math" w:hAnsi="Cambria Math"/>
            <w:sz w:val="24"/>
            <w:szCs w:val="24"/>
            <w:lang w:val="es-MX"/>
          </w:rPr>
          <m:t xml:space="preserve">             </m:t>
        </m:r>
        <m:sSub>
          <m:sSubPr>
            <m:ctrlPr>
              <w:rPr>
                <w:rFonts w:ascii="Cambria Math" w:hAnsi="Cambria Math"/>
                <w:i/>
                <w:sz w:val="24"/>
                <w:szCs w:val="24"/>
                <w:lang w:val="es-MX"/>
              </w:rPr>
            </m:ctrlPr>
          </m:sSubPr>
          <m:e>
            <m:r>
              <w:rPr>
                <w:rFonts w:ascii="Cambria Math" w:hAnsi="Cambria Math"/>
                <w:sz w:val="24"/>
                <w:szCs w:val="24"/>
                <w:lang w:val="es-MX"/>
              </w:rPr>
              <m:t>BS</m:t>
            </m:r>
          </m:e>
          <m:sub>
            <m:r>
              <w:rPr>
                <w:rFonts w:ascii="Cambria Math" w:hAnsi="Cambria Math"/>
                <w:sz w:val="24"/>
                <w:szCs w:val="24"/>
                <w:lang w:val="es-MX"/>
              </w:rPr>
              <m:t>it</m:t>
            </m:r>
          </m:sub>
        </m:sSub>
      </m:oMath>
      <w:r w:rsidR="00192495" w:rsidRPr="00B07754">
        <w:rPr>
          <w:rFonts w:ascii="Times New Roman" w:hAnsi="Times New Roman"/>
          <w:sz w:val="24"/>
          <w:szCs w:val="24"/>
          <w:lang w:val="es-MX"/>
        </w:rPr>
        <w:t xml:space="preserve"> </w:t>
      </w:r>
      <w:proofErr w:type="gramStart"/>
      <w:r w:rsidR="00192495" w:rsidRPr="00B07754">
        <w:rPr>
          <w:rFonts w:ascii="Times New Roman" w:hAnsi="Times New Roman"/>
          <w:sz w:val="24"/>
          <w:szCs w:val="24"/>
          <w:lang w:val="es-MX"/>
        </w:rPr>
        <w:t>son</w:t>
      </w:r>
      <w:proofErr w:type="gramEnd"/>
      <w:r w:rsidR="00192495" w:rsidRPr="00B07754">
        <w:rPr>
          <w:rFonts w:ascii="Times New Roman" w:hAnsi="Times New Roman"/>
          <w:sz w:val="24"/>
          <w:szCs w:val="24"/>
          <w:lang w:val="es-MX"/>
        </w:rPr>
        <w:t xml:space="preserve"> variables especí</w:t>
      </w:r>
      <w:proofErr w:type="spellStart"/>
      <w:r w:rsidR="00446266" w:rsidRPr="00B07754">
        <w:rPr>
          <w:rFonts w:ascii="Times New Roman" w:hAnsi="Times New Roman"/>
          <w:sz w:val="24"/>
          <w:szCs w:val="24"/>
          <w:lang w:val="es-MX"/>
        </w:rPr>
        <w:t>ficas</w:t>
      </w:r>
      <w:proofErr w:type="spellEnd"/>
      <w:r w:rsidR="00192495" w:rsidRPr="00B07754">
        <w:rPr>
          <w:rFonts w:ascii="Times New Roman" w:hAnsi="Times New Roman"/>
          <w:sz w:val="24"/>
          <w:szCs w:val="24"/>
          <w:lang w:val="es-MX"/>
        </w:rPr>
        <w:t xml:space="preserve"> de cada banco </w:t>
      </w:r>
    </w:p>
    <w:p w:rsidR="00192495" w:rsidRPr="00B07754" w:rsidRDefault="00192495"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 xml:space="preserve">El término al cuadrado se introduce para identificar si presenta forma de U la relación </w:t>
      </w:r>
      <w:r w:rsidR="00F55DAE" w:rsidRPr="00B07754">
        <w:rPr>
          <w:rFonts w:ascii="Times New Roman" w:hAnsi="Times New Roman"/>
          <w:sz w:val="24"/>
          <w:szCs w:val="24"/>
          <w:lang w:val="es-MX"/>
        </w:rPr>
        <w:t>entre competencia y estabilidad.”</w:t>
      </w:r>
      <w:sdt>
        <w:sdtPr>
          <w:rPr>
            <w:rFonts w:ascii="Times New Roman" w:hAnsi="Times New Roman"/>
            <w:sz w:val="24"/>
            <w:szCs w:val="24"/>
            <w:lang w:val="es-MX"/>
          </w:rPr>
          <w:id w:val="-1011910769"/>
          <w:citation/>
        </w:sdtPr>
        <w:sdtEndPr/>
        <w:sdtContent>
          <w:r w:rsidR="00F55DAE" w:rsidRPr="00B07754">
            <w:rPr>
              <w:rFonts w:ascii="Times New Roman" w:hAnsi="Times New Roman"/>
              <w:sz w:val="24"/>
              <w:szCs w:val="24"/>
              <w:lang w:val="es-MX"/>
            </w:rPr>
            <w:fldChar w:fldCharType="begin"/>
          </w:r>
          <w:r w:rsidR="00F55DAE" w:rsidRPr="00B07754">
            <w:rPr>
              <w:rFonts w:ascii="Times New Roman" w:hAnsi="Times New Roman"/>
              <w:sz w:val="24"/>
              <w:szCs w:val="24"/>
              <w:lang w:val="es-MX"/>
            </w:rPr>
            <w:instrText xml:space="preserve">CITATION Lui09 \p 14 \l 2058 </w:instrText>
          </w:r>
          <w:r w:rsidR="00F55DAE"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14)</w:t>
          </w:r>
          <w:r w:rsidR="00F55DAE" w:rsidRPr="00B07754">
            <w:rPr>
              <w:rFonts w:ascii="Times New Roman" w:hAnsi="Times New Roman"/>
              <w:sz w:val="24"/>
              <w:szCs w:val="24"/>
              <w:lang w:val="es-MX"/>
            </w:rPr>
            <w:fldChar w:fldCharType="end"/>
          </w:r>
        </w:sdtContent>
      </w:sdt>
    </w:p>
    <w:p w:rsidR="00F55DAE" w:rsidRPr="00B07754" w:rsidRDefault="00F55DAE"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Además, de comprobarse la relación en forma de U entre el nivel de competencia y la estabilidad en el sistema bancario, el término cuadrático permitiría conocer la aceleración que presenta</w:t>
      </w:r>
      <w:r w:rsidR="00F00055" w:rsidRPr="00B07754">
        <w:rPr>
          <w:rFonts w:ascii="Times New Roman" w:hAnsi="Times New Roman"/>
          <w:sz w:val="24"/>
          <w:szCs w:val="24"/>
          <w:lang w:val="es-MX"/>
        </w:rPr>
        <w:t xml:space="preserve"> el indicador de estabilidad;</w:t>
      </w:r>
      <w:r w:rsidRPr="00B07754">
        <w:rPr>
          <w:rFonts w:ascii="Times New Roman" w:hAnsi="Times New Roman"/>
          <w:sz w:val="24"/>
          <w:szCs w:val="24"/>
          <w:lang w:val="es-MX"/>
        </w:rPr>
        <w:t xml:space="preserve"> </w:t>
      </w:r>
      <w:r w:rsidR="00F00055" w:rsidRPr="00B07754">
        <w:rPr>
          <w:rFonts w:ascii="Times New Roman" w:hAnsi="Times New Roman"/>
          <w:sz w:val="24"/>
          <w:szCs w:val="24"/>
          <w:lang w:val="es-MX"/>
        </w:rPr>
        <w:t>e</w:t>
      </w:r>
      <w:r w:rsidRPr="00B07754">
        <w:rPr>
          <w:rFonts w:ascii="Times New Roman" w:hAnsi="Times New Roman"/>
          <w:sz w:val="24"/>
          <w:szCs w:val="24"/>
          <w:lang w:val="es-MX"/>
        </w:rPr>
        <w:t>s decir</w:t>
      </w:r>
      <w:r w:rsidR="00F00055" w:rsidRPr="00B07754">
        <w:rPr>
          <w:rFonts w:ascii="Times New Roman" w:hAnsi="Times New Roman"/>
          <w:sz w:val="24"/>
          <w:szCs w:val="24"/>
          <w:lang w:val="es-MX"/>
        </w:rPr>
        <w:t>,</w:t>
      </w:r>
      <w:r w:rsidRPr="00B07754">
        <w:rPr>
          <w:rFonts w:ascii="Times New Roman" w:hAnsi="Times New Roman"/>
          <w:sz w:val="24"/>
          <w:szCs w:val="24"/>
          <w:lang w:val="es-MX"/>
        </w:rPr>
        <w:t xml:space="preserve"> la magnitud de su cambio por unidad de tiempo. De igual manera, la primera derivada de la ecuación indicaría el punto de inflexión en el cual la relación cambia de sentido (de negativa a positiva) por lo que se podría obtener el nivel óptimo de competencia. </w:t>
      </w:r>
    </w:p>
    <w:p w:rsidR="00192495" w:rsidRPr="00B07754" w:rsidRDefault="0077583D"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w:t>
      </w:r>
      <w:r w:rsidR="00192495" w:rsidRPr="00B07754">
        <w:rPr>
          <w:rFonts w:ascii="Times New Roman" w:hAnsi="Times New Roman"/>
          <w:sz w:val="24"/>
          <w:szCs w:val="24"/>
          <w:lang w:val="es-MX"/>
        </w:rPr>
        <w:t xml:space="preserve">Se incluyen variables de control macroeconómicas y específicas de los bancos puesto que la estabilidad del sistema bancario depende  de las condiciones de la economía a la que pertenece, así como las características específicas de las </w:t>
      </w:r>
      <w:r w:rsidR="00D05A39" w:rsidRPr="00B07754">
        <w:rPr>
          <w:rFonts w:ascii="Times New Roman" w:hAnsi="Times New Roman"/>
          <w:sz w:val="24"/>
          <w:szCs w:val="24"/>
          <w:lang w:val="es-MX"/>
        </w:rPr>
        <w:t>i</w:t>
      </w:r>
      <w:r w:rsidR="00192495" w:rsidRPr="00B07754">
        <w:rPr>
          <w:rFonts w:ascii="Times New Roman" w:hAnsi="Times New Roman"/>
          <w:sz w:val="24"/>
          <w:szCs w:val="24"/>
          <w:lang w:val="es-MX"/>
        </w:rPr>
        <w:t>nstituciones bancarias que lo componen.</w:t>
      </w:r>
    </w:p>
    <w:p w:rsidR="00192495" w:rsidRPr="00B07754" w:rsidRDefault="00192495" w:rsidP="002B5E62">
      <w:pPr>
        <w:autoSpaceDE w:val="0"/>
        <w:autoSpaceDN w:val="0"/>
        <w:adjustRightInd w:val="0"/>
        <w:spacing w:line="360" w:lineRule="auto"/>
        <w:ind w:firstLine="709"/>
        <w:jc w:val="both"/>
        <w:rPr>
          <w:rFonts w:ascii="Times New Roman" w:eastAsiaTheme="minorEastAsia" w:hAnsi="Times New Roman"/>
          <w:sz w:val="24"/>
          <w:szCs w:val="24"/>
          <w:lang w:val="es-MX"/>
        </w:rPr>
      </w:pPr>
      <w:r w:rsidRPr="00B07754">
        <w:rPr>
          <w:rFonts w:ascii="Times New Roman" w:hAnsi="Times New Roman"/>
          <w:sz w:val="24"/>
          <w:szCs w:val="24"/>
          <w:lang w:val="es-MX"/>
        </w:rPr>
        <w:t xml:space="preserve">Por tanto, la ecuación a estimar se especifica de la siguiente manera: </w:t>
      </w:r>
    </w:p>
    <w:p w:rsidR="00192495" w:rsidRPr="00B07754" w:rsidRDefault="00643B1A" w:rsidP="002B5E62">
      <w:pPr>
        <w:autoSpaceDE w:val="0"/>
        <w:autoSpaceDN w:val="0"/>
        <w:adjustRightInd w:val="0"/>
        <w:spacing w:line="360" w:lineRule="auto"/>
        <w:jc w:val="right"/>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NPL</m:t>
            </m:r>
          </m:e>
          <m:sub>
            <m:r>
              <w:rPr>
                <w:rFonts w:ascii="Cambria Math" w:hAnsi="Cambria Math"/>
                <w:sz w:val="24"/>
                <w:szCs w:val="24"/>
                <w:lang w:val="es-MX"/>
              </w:rPr>
              <m:t>it</m:t>
            </m:r>
          </m:sub>
        </m:sSub>
        <m:r>
          <w:rPr>
            <w:rFonts w:ascii="Cambria Math" w:hAnsi="Cambria Math"/>
            <w:sz w:val="24"/>
            <w:szCs w:val="24"/>
            <w:lang w:val="es-MX"/>
          </w:rPr>
          <m:t>=α+</m:t>
        </m:r>
        <m:sSub>
          <m:sSubPr>
            <m:ctrlPr>
              <w:rPr>
                <w:rFonts w:ascii="Cambria Math" w:hAnsi="Cambria Math"/>
                <w:i/>
                <w:sz w:val="24"/>
                <w:szCs w:val="24"/>
                <w:lang w:val="es-MX"/>
              </w:rPr>
            </m:ctrlPr>
          </m:sSubPr>
          <m:e>
            <m:r>
              <w:rPr>
                <w:rFonts w:ascii="Cambria Math" w:hAnsi="Cambria Math"/>
                <w:sz w:val="24"/>
                <w:szCs w:val="24"/>
                <w:lang w:val="es-MX"/>
              </w:rPr>
              <m:t>BNPL</m:t>
            </m:r>
          </m:e>
          <m:sub>
            <m:r>
              <w:rPr>
                <w:rFonts w:ascii="Cambria Math" w:hAnsi="Cambria Math"/>
                <w:sz w:val="24"/>
                <w:szCs w:val="24"/>
                <w:lang w:val="es-MX"/>
              </w:rPr>
              <m:t>i,t-1</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φ</m:t>
            </m:r>
          </m:e>
          <m:sub>
            <m:r>
              <w:rPr>
                <w:rFonts w:ascii="Cambria Math" w:hAnsi="Cambria Math"/>
                <w:sz w:val="24"/>
                <w:szCs w:val="24"/>
                <w:lang w:val="es-MX"/>
              </w:rPr>
              <m:t>1</m:t>
            </m:r>
          </m:sub>
        </m:sSub>
        <m:sSub>
          <m:sSubPr>
            <m:ctrlPr>
              <w:rPr>
                <w:rFonts w:ascii="Cambria Math" w:hAnsi="Cambria Math"/>
                <w:i/>
                <w:sz w:val="24"/>
                <w:szCs w:val="24"/>
                <w:lang w:val="es-MX"/>
              </w:rPr>
            </m:ctrlPr>
          </m:sSubPr>
          <m:e>
            <m:r>
              <w:rPr>
                <w:rFonts w:ascii="Cambria Math" w:hAnsi="Cambria Math"/>
                <w:sz w:val="24"/>
                <w:szCs w:val="24"/>
                <w:lang w:val="es-MX"/>
              </w:rPr>
              <m:t>H</m:t>
            </m:r>
          </m:e>
          <m:sub>
            <m:r>
              <w:rPr>
                <w:rFonts w:ascii="Cambria Math" w:hAnsi="Cambria Math"/>
                <w:sz w:val="24"/>
                <w:szCs w:val="24"/>
                <w:lang w:val="es-MX"/>
              </w:rPr>
              <m:t>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φ</m:t>
            </m:r>
          </m:e>
          <m:sub>
            <m:r>
              <w:rPr>
                <w:rFonts w:ascii="Cambria Math" w:hAnsi="Cambria Math"/>
                <w:sz w:val="24"/>
                <w:szCs w:val="24"/>
                <w:lang w:val="es-MX"/>
              </w:rPr>
              <m:t>2</m:t>
            </m:r>
          </m:sub>
        </m:sSub>
        <m:sSub>
          <m:sSubPr>
            <m:ctrlPr>
              <w:rPr>
                <w:rFonts w:ascii="Cambria Math" w:hAnsi="Cambria Math"/>
                <w:i/>
                <w:sz w:val="24"/>
                <w:szCs w:val="24"/>
                <w:lang w:val="es-MX"/>
              </w:rPr>
            </m:ctrlPr>
          </m:sSubPr>
          <m:e>
            <m:sSup>
              <m:sSupPr>
                <m:ctrlPr>
                  <w:rPr>
                    <w:rFonts w:ascii="Cambria Math" w:hAnsi="Cambria Math"/>
                    <w:i/>
                    <w:sz w:val="24"/>
                    <w:szCs w:val="24"/>
                    <w:lang w:val="es-MX"/>
                  </w:rPr>
                </m:ctrlPr>
              </m:sSupPr>
              <m:e>
                <m:r>
                  <w:rPr>
                    <w:rFonts w:ascii="Cambria Math" w:hAnsi="Cambria Math"/>
                    <w:sz w:val="24"/>
                    <w:szCs w:val="24"/>
                    <w:lang w:val="es-MX"/>
                  </w:rPr>
                  <m:t>H</m:t>
                </m:r>
              </m:e>
              <m:sup>
                <m:r>
                  <w:rPr>
                    <w:rFonts w:ascii="Cambria Math" w:hAnsi="Cambria Math"/>
                    <w:sz w:val="24"/>
                    <w:szCs w:val="24"/>
                    <w:lang w:val="es-MX"/>
                  </w:rPr>
                  <m:t>2</m:t>
                </m:r>
              </m:sup>
            </m:sSup>
          </m:e>
          <m:sub>
            <m:r>
              <w:rPr>
                <w:rFonts w:ascii="Cambria Math" w:hAnsi="Cambria Math"/>
                <w:sz w:val="24"/>
                <w:szCs w:val="24"/>
                <w:lang w:val="es-MX"/>
              </w:rPr>
              <m:t>t</m:t>
            </m:r>
          </m:sub>
        </m:sSub>
        <m:r>
          <w:rPr>
            <w:rFonts w:ascii="Cambria Math" w:hAnsi="Cambria Math"/>
            <w:sz w:val="24"/>
            <w:szCs w:val="24"/>
            <w:lang w:val="es-MX"/>
          </w:rPr>
          <m:t>+θ</m:t>
        </m:r>
        <m:sSub>
          <m:sSubPr>
            <m:ctrlPr>
              <w:rPr>
                <w:rFonts w:ascii="Cambria Math" w:hAnsi="Cambria Math"/>
                <w:i/>
                <w:sz w:val="24"/>
                <w:szCs w:val="24"/>
                <w:lang w:val="es-MX"/>
              </w:rPr>
            </m:ctrlPr>
          </m:sSubPr>
          <m:e>
            <m:r>
              <w:rPr>
                <w:rFonts w:ascii="Cambria Math" w:hAnsi="Cambria Math"/>
                <w:sz w:val="24"/>
                <w:szCs w:val="24"/>
                <w:lang w:val="es-MX"/>
              </w:rPr>
              <m:t>Pib</m:t>
            </m:r>
          </m:e>
          <m:sub>
            <m:r>
              <w:rPr>
                <w:rFonts w:ascii="Cambria Math" w:hAnsi="Cambria Math"/>
                <w:sz w:val="24"/>
                <w:szCs w:val="24"/>
                <w:lang w:val="es-MX"/>
              </w:rPr>
              <m:t>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1</m:t>
            </m:r>
          </m:sub>
        </m:sSub>
        <m:sSub>
          <m:sSubPr>
            <m:ctrlPr>
              <w:rPr>
                <w:rFonts w:ascii="Cambria Math" w:hAnsi="Cambria Math"/>
                <w:i/>
                <w:sz w:val="24"/>
                <w:szCs w:val="24"/>
                <w:lang w:val="es-MX"/>
              </w:rPr>
            </m:ctrlPr>
          </m:sSubPr>
          <m:e>
            <m:r>
              <w:rPr>
                <w:rFonts w:ascii="Cambria Math" w:hAnsi="Cambria Math"/>
                <w:sz w:val="24"/>
                <w:szCs w:val="24"/>
                <w:lang w:val="es-MX"/>
              </w:rPr>
              <m:t>CIR</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2</m:t>
            </m:r>
          </m:sub>
        </m:sSub>
        <m:sSub>
          <m:sSubPr>
            <m:ctrlPr>
              <w:rPr>
                <w:rFonts w:ascii="Cambria Math" w:hAnsi="Cambria Math"/>
                <w:i/>
                <w:sz w:val="24"/>
                <w:szCs w:val="24"/>
                <w:lang w:val="es-MX"/>
              </w:rPr>
            </m:ctrlPr>
          </m:sSubPr>
          <m:e>
            <m:r>
              <w:rPr>
                <w:rFonts w:ascii="Cambria Math" w:hAnsi="Cambria Math"/>
                <w:sz w:val="24"/>
                <w:szCs w:val="24"/>
                <w:lang w:val="es-MX"/>
              </w:rPr>
              <m:t>CA</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3</m:t>
            </m:r>
          </m:sub>
        </m:sSub>
        <m:sSub>
          <m:sSubPr>
            <m:ctrlPr>
              <w:rPr>
                <w:rFonts w:ascii="Cambria Math" w:hAnsi="Cambria Math"/>
                <w:i/>
                <w:sz w:val="24"/>
                <w:szCs w:val="24"/>
                <w:lang w:val="es-MX"/>
              </w:rPr>
            </m:ctrlPr>
          </m:sSubPr>
          <m:e>
            <m:r>
              <w:rPr>
                <w:rFonts w:ascii="Cambria Math" w:hAnsi="Cambria Math"/>
                <w:sz w:val="24"/>
                <w:szCs w:val="24"/>
                <w:lang w:val="es-MX"/>
              </w:rPr>
              <m:t>LC</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4</m:t>
            </m:r>
          </m:sub>
        </m:sSub>
        <m:sSub>
          <m:sSubPr>
            <m:ctrlPr>
              <w:rPr>
                <w:rFonts w:ascii="Cambria Math" w:hAnsi="Cambria Math"/>
                <w:i/>
                <w:sz w:val="24"/>
                <w:szCs w:val="24"/>
                <w:lang w:val="es-MX"/>
              </w:rPr>
            </m:ctrlPr>
          </m:sSubPr>
          <m:e>
            <m:r>
              <w:rPr>
                <w:rFonts w:ascii="Cambria Math" w:hAnsi="Cambria Math"/>
                <w:sz w:val="24"/>
                <w:szCs w:val="24"/>
                <w:lang w:val="es-MX"/>
              </w:rPr>
              <m:t>CVC</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5</m:t>
            </m:r>
          </m:sub>
        </m:sSub>
        <m:sSub>
          <m:sSubPr>
            <m:ctrlPr>
              <w:rPr>
                <w:rFonts w:ascii="Cambria Math" w:hAnsi="Cambria Math"/>
                <w:i/>
                <w:sz w:val="24"/>
                <w:szCs w:val="24"/>
                <w:lang w:val="es-MX"/>
              </w:rPr>
            </m:ctrlPr>
          </m:sSubPr>
          <m:e>
            <m:r>
              <w:rPr>
                <w:rFonts w:ascii="Cambria Math" w:hAnsi="Cambria Math"/>
                <w:sz w:val="24"/>
                <w:szCs w:val="24"/>
                <w:lang w:val="es-MX"/>
              </w:rPr>
              <m:t>EO</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μ</m:t>
            </m:r>
          </m:e>
          <m:sub>
            <m:r>
              <w:rPr>
                <w:rFonts w:ascii="Cambria Math" w:hAnsi="Cambria Math"/>
                <w:sz w:val="24"/>
                <w:szCs w:val="24"/>
                <w:lang w:val="es-MX"/>
              </w:rPr>
              <m:t>i</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ε</m:t>
            </m:r>
          </m:e>
          <m:sub>
            <m:r>
              <w:rPr>
                <w:rFonts w:ascii="Cambria Math" w:hAnsi="Cambria Math"/>
                <w:sz w:val="24"/>
                <w:szCs w:val="24"/>
                <w:lang w:val="es-MX"/>
              </w:rPr>
              <m:t>it</m:t>
            </m:r>
          </m:sub>
        </m:sSub>
      </m:oMath>
      <w:r w:rsidR="0072491F" w:rsidRPr="00B07754">
        <w:rPr>
          <w:rFonts w:ascii="Times New Roman" w:eastAsiaTheme="minorEastAsia" w:hAnsi="Times New Roman"/>
          <w:sz w:val="24"/>
          <w:szCs w:val="24"/>
          <w:lang w:val="es-MX"/>
        </w:rPr>
        <w:t xml:space="preserve"> </w:t>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t>(</w:t>
      </w:r>
      <w:r w:rsidR="00192495" w:rsidRPr="00B07754">
        <w:rPr>
          <w:rFonts w:ascii="Times New Roman" w:eastAsiaTheme="minorEastAsia" w:hAnsi="Times New Roman"/>
          <w:sz w:val="24"/>
          <w:szCs w:val="24"/>
          <w:lang w:val="es-MX"/>
        </w:rPr>
        <w:t>1)</w:t>
      </w:r>
    </w:p>
    <w:p w:rsidR="00192495" w:rsidRPr="00B07754" w:rsidRDefault="00192495" w:rsidP="002B5E62">
      <w:pPr>
        <w:autoSpaceDE w:val="0"/>
        <w:autoSpaceDN w:val="0"/>
        <w:adjustRightInd w:val="0"/>
        <w:spacing w:line="360" w:lineRule="auto"/>
        <w:ind w:firstLine="709"/>
        <w:jc w:val="both"/>
        <w:rPr>
          <w:rFonts w:ascii="Times New Roman" w:hAnsi="Times New Roman"/>
          <w:sz w:val="24"/>
          <w:szCs w:val="24"/>
          <w:lang w:val="es-MX"/>
        </w:rPr>
      </w:pPr>
      <w:proofErr w:type="spellStart"/>
      <w:r w:rsidRPr="00B07754">
        <w:rPr>
          <w:rFonts w:ascii="Times New Roman" w:hAnsi="Times New Roman"/>
          <w:sz w:val="24"/>
          <w:szCs w:val="24"/>
          <w:lang w:val="es-MX"/>
        </w:rPr>
        <w:t>Donde</w:t>
      </w:r>
      <w:proofErr w:type="spellEnd"/>
      <w:r w:rsidRPr="00B07754">
        <w:rPr>
          <w:rFonts w:ascii="Times New Roman" w:hAnsi="Times New Roman"/>
          <w:sz w:val="24"/>
          <w:szCs w:val="24"/>
          <w:lang w:val="es-MX"/>
        </w:rPr>
        <w:t>:</w:t>
      </w:r>
    </w:p>
    <w:p w:rsidR="00192495" w:rsidRPr="00B07754" w:rsidRDefault="00643B1A" w:rsidP="002B5E62">
      <w:pPr>
        <w:autoSpaceDE w:val="0"/>
        <w:autoSpaceDN w:val="0"/>
        <w:adjustRightInd w:val="0"/>
        <w:spacing w:line="360" w:lineRule="auto"/>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 xml:space="preserve">              NPL</m:t>
            </m:r>
          </m:e>
          <m:sub>
            <m:r>
              <w:rPr>
                <w:rFonts w:ascii="Cambria Math" w:hAnsi="Cambria Math"/>
                <w:sz w:val="24"/>
                <w:szCs w:val="24"/>
                <w:lang w:val="es-MX"/>
              </w:rPr>
              <m:t xml:space="preserve">it </m:t>
            </m:r>
          </m:sub>
        </m:sSub>
      </m:oMath>
      <w:r w:rsidR="00192495" w:rsidRPr="00B07754">
        <w:rPr>
          <w:rFonts w:ascii="Times New Roman" w:eastAsiaTheme="minorEastAsia" w:hAnsi="Times New Roman"/>
          <w:sz w:val="24"/>
          <w:szCs w:val="24"/>
          <w:lang w:val="es-MX"/>
        </w:rPr>
        <w:t xml:space="preserve"> </w:t>
      </w:r>
      <w:proofErr w:type="gramStart"/>
      <w:r w:rsidR="00192495" w:rsidRPr="00B07754">
        <w:rPr>
          <w:rFonts w:ascii="Times New Roman" w:hAnsi="Times New Roman"/>
          <w:sz w:val="24"/>
          <w:szCs w:val="24"/>
          <w:lang w:val="es-MX"/>
        </w:rPr>
        <w:t>es</w:t>
      </w:r>
      <w:proofErr w:type="gramEnd"/>
      <w:r w:rsidR="00192495" w:rsidRPr="00B07754">
        <w:rPr>
          <w:rFonts w:ascii="Times New Roman" w:hAnsi="Times New Roman"/>
          <w:sz w:val="24"/>
          <w:szCs w:val="24"/>
          <w:lang w:val="es-MX"/>
        </w:rPr>
        <w:t xml:space="preserve"> el indicador de estabilidad </w:t>
      </w:r>
    </w:p>
    <w:p w:rsidR="00DC62F4" w:rsidRPr="00B07754" w:rsidRDefault="00643B1A" w:rsidP="002B5E62">
      <w:pPr>
        <w:tabs>
          <w:tab w:val="left" w:pos="7035"/>
        </w:tabs>
        <w:autoSpaceDE w:val="0"/>
        <w:autoSpaceDN w:val="0"/>
        <w:adjustRightInd w:val="0"/>
        <w:spacing w:line="360" w:lineRule="auto"/>
        <w:ind w:left="709"/>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H</m:t>
            </m:r>
          </m:e>
          <m:sub>
            <m:r>
              <w:rPr>
                <w:rFonts w:ascii="Cambria Math" w:hAnsi="Cambria Math"/>
                <w:sz w:val="24"/>
                <w:szCs w:val="24"/>
                <w:lang w:val="es-MX"/>
              </w:rPr>
              <m:t>t</m:t>
            </m:r>
          </m:sub>
        </m:sSub>
        <m:r>
          <w:rPr>
            <w:rFonts w:ascii="Cambria Math" w:hAnsi="Cambria Math"/>
            <w:sz w:val="24"/>
            <w:szCs w:val="24"/>
            <w:lang w:val="es-MX"/>
          </w:rPr>
          <m:t xml:space="preserve"> </m:t>
        </m:r>
      </m:oMath>
      <w:proofErr w:type="gramStart"/>
      <w:r w:rsidR="00192495" w:rsidRPr="00B07754">
        <w:rPr>
          <w:rFonts w:ascii="Times New Roman" w:hAnsi="Times New Roman"/>
          <w:sz w:val="24"/>
          <w:szCs w:val="24"/>
          <w:lang w:val="es-MX"/>
        </w:rPr>
        <w:t>es</w:t>
      </w:r>
      <w:proofErr w:type="gramEnd"/>
      <w:r w:rsidR="00192495" w:rsidRPr="00B07754">
        <w:rPr>
          <w:rFonts w:ascii="Times New Roman" w:hAnsi="Times New Roman"/>
          <w:sz w:val="24"/>
          <w:szCs w:val="24"/>
          <w:lang w:val="es-MX"/>
        </w:rPr>
        <w:t xml:space="preserve"> el estadístico H de poder de mercado</w:t>
      </w:r>
      <w:r w:rsidR="00DC62F4" w:rsidRPr="00B07754">
        <w:rPr>
          <w:rFonts w:ascii="Times New Roman" w:hAnsi="Times New Roman"/>
          <w:sz w:val="24"/>
          <w:szCs w:val="24"/>
          <w:lang w:val="es-MX"/>
        </w:rPr>
        <w:t>”</w:t>
      </w:r>
      <w:sdt>
        <w:sdtPr>
          <w:rPr>
            <w:rFonts w:ascii="Times New Roman" w:hAnsi="Times New Roman"/>
            <w:sz w:val="24"/>
            <w:szCs w:val="24"/>
            <w:lang w:val="es-MX"/>
          </w:rPr>
          <w:id w:val="-1625692082"/>
          <w:citation/>
        </w:sdtPr>
        <w:sdtEndPr/>
        <w:sdtContent>
          <w:r w:rsidR="00DC62F4" w:rsidRPr="00B07754">
            <w:rPr>
              <w:rFonts w:ascii="Times New Roman" w:hAnsi="Times New Roman"/>
              <w:sz w:val="24"/>
              <w:szCs w:val="24"/>
              <w:lang w:val="es-MX"/>
            </w:rPr>
            <w:fldChar w:fldCharType="begin"/>
          </w:r>
          <w:r w:rsidR="00DC62F4" w:rsidRPr="00B07754">
            <w:rPr>
              <w:rFonts w:ascii="Times New Roman" w:hAnsi="Times New Roman"/>
              <w:sz w:val="24"/>
              <w:szCs w:val="24"/>
              <w:lang w:val="es-MX"/>
            </w:rPr>
            <w:instrText xml:space="preserve">CITATION Lui09 \p 15 \l 2058 </w:instrText>
          </w:r>
          <w:r w:rsidR="00DC62F4"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15)</w:t>
          </w:r>
          <w:r w:rsidR="00DC62F4" w:rsidRPr="00B07754">
            <w:rPr>
              <w:rFonts w:ascii="Times New Roman" w:hAnsi="Times New Roman"/>
              <w:sz w:val="24"/>
              <w:szCs w:val="24"/>
              <w:lang w:val="es-MX"/>
            </w:rPr>
            <w:fldChar w:fldCharType="end"/>
          </w:r>
        </w:sdtContent>
      </w:sdt>
      <w:r w:rsidR="00543DC2" w:rsidRPr="00B07754">
        <w:rPr>
          <w:rFonts w:ascii="Times New Roman" w:hAnsi="Times New Roman"/>
          <w:sz w:val="24"/>
          <w:szCs w:val="24"/>
          <w:lang w:val="es-MX"/>
        </w:rPr>
        <w:t xml:space="preserve"> </w:t>
      </w:r>
    </w:p>
    <w:p w:rsidR="00192495" w:rsidRPr="00B07754" w:rsidRDefault="00DC62F4" w:rsidP="002B5E62">
      <w:pPr>
        <w:tabs>
          <w:tab w:val="left" w:pos="7035"/>
        </w:tabs>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estadístico H fue </w:t>
      </w:r>
      <w:r w:rsidR="00543DC2" w:rsidRPr="00B07754">
        <w:rPr>
          <w:rFonts w:ascii="Times New Roman" w:hAnsi="Times New Roman"/>
          <w:sz w:val="24"/>
          <w:szCs w:val="24"/>
          <w:lang w:val="es-MX"/>
        </w:rPr>
        <w:t>calculado a partir de la informaci</w:t>
      </w:r>
      <w:r w:rsidRPr="00B07754">
        <w:rPr>
          <w:rFonts w:ascii="Times New Roman" w:hAnsi="Times New Roman"/>
          <w:sz w:val="24"/>
          <w:szCs w:val="24"/>
          <w:lang w:val="es-MX"/>
        </w:rPr>
        <w:t>ón</w:t>
      </w:r>
      <w:r w:rsidR="00543DC2" w:rsidRPr="00B07754">
        <w:rPr>
          <w:rFonts w:ascii="Times New Roman" w:hAnsi="Times New Roman"/>
          <w:sz w:val="24"/>
          <w:szCs w:val="24"/>
          <w:lang w:val="es-MX"/>
        </w:rPr>
        <w:t xml:space="preserve"> obtenida del balance de los bancos para el periodo analizado. En las siguientes secciones se explicará la metodología de cálculo y el modelo econométrico empleado para este efecto. </w:t>
      </w:r>
      <w:r w:rsidR="00C760DD" w:rsidRPr="00B07754">
        <w:rPr>
          <w:rFonts w:ascii="Times New Roman" w:hAnsi="Times New Roman"/>
          <w:sz w:val="24"/>
          <w:szCs w:val="24"/>
          <w:lang w:val="es-MX"/>
        </w:rPr>
        <w:tab/>
      </w:r>
    </w:p>
    <w:p w:rsidR="00192495" w:rsidRPr="00B07754" w:rsidRDefault="00643B1A" w:rsidP="002B5E62">
      <w:pPr>
        <w:autoSpaceDE w:val="0"/>
        <w:autoSpaceDN w:val="0"/>
        <w:adjustRightInd w:val="0"/>
        <w:spacing w:line="360" w:lineRule="auto"/>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 xml:space="preserve">             "Pib</m:t>
            </m:r>
          </m:e>
          <m:sub>
            <m:r>
              <w:rPr>
                <w:rFonts w:ascii="Cambria Math" w:hAnsi="Cambria Math"/>
                <w:sz w:val="24"/>
                <w:szCs w:val="24"/>
                <w:lang w:val="es-MX"/>
              </w:rPr>
              <m:t>t</m:t>
            </m:r>
          </m:sub>
        </m:sSub>
      </m:oMath>
      <w:r w:rsidR="00192495" w:rsidRPr="00B07754">
        <w:rPr>
          <w:rFonts w:ascii="Times New Roman" w:hAnsi="Times New Roman"/>
          <w:sz w:val="24"/>
          <w:szCs w:val="24"/>
          <w:lang w:val="es-MX"/>
        </w:rPr>
        <w:t xml:space="preserve"> </w:t>
      </w:r>
      <w:proofErr w:type="gramStart"/>
      <w:r w:rsidR="00192495" w:rsidRPr="00B07754">
        <w:rPr>
          <w:rFonts w:ascii="Times New Roman" w:hAnsi="Times New Roman"/>
          <w:sz w:val="24"/>
          <w:szCs w:val="24"/>
          <w:lang w:val="es-MX"/>
        </w:rPr>
        <w:t>es</w:t>
      </w:r>
      <w:proofErr w:type="gramEnd"/>
      <w:r w:rsidR="00192495" w:rsidRPr="00B07754">
        <w:rPr>
          <w:rFonts w:ascii="Times New Roman" w:hAnsi="Times New Roman"/>
          <w:sz w:val="24"/>
          <w:szCs w:val="24"/>
          <w:lang w:val="es-MX"/>
        </w:rPr>
        <w:t xml:space="preserve"> la tasa de crecimiento de Producto Interno Bruto Real del Ecuador; y, </w:t>
      </w:r>
    </w:p>
    <w:p w:rsidR="00192495" w:rsidRPr="00B07754" w:rsidRDefault="00643B1A" w:rsidP="002B5E62">
      <w:pPr>
        <w:autoSpaceDE w:val="0"/>
        <w:autoSpaceDN w:val="0"/>
        <w:adjustRightInd w:val="0"/>
        <w:spacing w:line="360" w:lineRule="auto"/>
        <w:ind w:left="709"/>
        <w:jc w:val="both"/>
        <w:rPr>
          <w:rFonts w:ascii="Times New Roman" w:hAnsi="Times New Roman"/>
          <w:sz w:val="24"/>
          <w:szCs w:val="24"/>
          <w:lang w:val="es-MX"/>
        </w:rPr>
      </w:pPr>
      <m:oMath>
        <m:sSub>
          <m:sSubPr>
            <m:ctrlPr>
              <w:rPr>
                <w:rFonts w:ascii="Cambria Math" w:hAnsi="Cambria Math"/>
                <w:i/>
                <w:sz w:val="24"/>
                <w:szCs w:val="24"/>
                <w:lang w:val="es-MX"/>
              </w:rPr>
            </m:ctrlPr>
          </m:sSubPr>
          <m:e>
            <m:sSub>
              <m:sSubPr>
                <m:ctrlPr>
                  <w:rPr>
                    <w:rFonts w:ascii="Cambria Math" w:hAnsi="Cambria Math"/>
                    <w:i/>
                    <w:sz w:val="24"/>
                    <w:szCs w:val="24"/>
                    <w:lang w:val="es-MX"/>
                  </w:rPr>
                </m:ctrlPr>
              </m:sSubPr>
              <m:e>
                <m:r>
                  <w:rPr>
                    <w:rFonts w:ascii="Cambria Math" w:hAnsi="Cambria Math"/>
                    <w:sz w:val="24"/>
                    <w:szCs w:val="24"/>
                    <w:lang w:val="es-MX"/>
                  </w:rPr>
                  <m:t xml:space="preserve"> CIR</m:t>
                </m:r>
              </m:e>
              <m:sub>
                <m:r>
                  <w:rPr>
                    <w:rFonts w:ascii="Cambria Math" w:hAnsi="Cambria Math"/>
                    <w:sz w:val="24"/>
                    <w:szCs w:val="24"/>
                    <w:lang w:val="es-MX"/>
                  </w:rPr>
                  <m:t>it</m:t>
                </m:r>
              </m:sub>
            </m:sSub>
            <m:r>
              <w:rPr>
                <w:rFonts w:ascii="Cambria Math" w:hAnsi="Cambria Math"/>
                <w:sz w:val="24"/>
                <w:szCs w:val="24"/>
                <w:lang w:val="es-MX"/>
              </w:rPr>
              <m:t>, CA</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LC</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CVC</m:t>
            </m:r>
          </m:e>
          <m:sub>
            <m:r>
              <w:rPr>
                <w:rFonts w:ascii="Cambria Math" w:hAnsi="Cambria Math"/>
                <w:sz w:val="24"/>
                <w:szCs w:val="24"/>
                <w:lang w:val="es-MX"/>
              </w:rPr>
              <m:t>it</m:t>
            </m:r>
          </m:sub>
        </m:sSub>
      </m:oMath>
      <w:r w:rsidR="00192495" w:rsidRPr="00B07754">
        <w:rPr>
          <w:rFonts w:ascii="Times New Roman" w:hAnsi="Times New Roman"/>
          <w:sz w:val="24"/>
          <w:szCs w:val="24"/>
          <w:lang w:val="es-MX"/>
        </w:rPr>
        <w:t xml:space="preserve"> </w:t>
      </w:r>
      <w:proofErr w:type="gramStart"/>
      <w:r w:rsidR="00192495" w:rsidRPr="00B07754">
        <w:rPr>
          <w:rFonts w:ascii="Times New Roman" w:hAnsi="Times New Roman"/>
          <w:sz w:val="24"/>
          <w:szCs w:val="24"/>
          <w:lang w:val="es-MX"/>
        </w:rPr>
        <w:t>y</w:t>
      </w:r>
      <w:proofErr w:type="gramEnd"/>
      <w:r w:rsidR="00192495" w:rsidRPr="00B07754">
        <w:rPr>
          <w:rFonts w:ascii="Times New Roman" w:hAnsi="Times New Roman"/>
          <w:sz w:val="24"/>
          <w:szCs w:val="24"/>
          <w:lang w:val="es-MX"/>
        </w:rPr>
        <w:t xml:space="preserve"> </w:t>
      </w:r>
      <m:oMath>
        <m:sSub>
          <m:sSubPr>
            <m:ctrlPr>
              <w:rPr>
                <w:rFonts w:ascii="Cambria Math" w:hAnsi="Cambria Math"/>
                <w:i/>
                <w:sz w:val="24"/>
                <w:szCs w:val="24"/>
                <w:lang w:val="es-MX"/>
              </w:rPr>
            </m:ctrlPr>
          </m:sSubPr>
          <m:e>
            <m:r>
              <w:rPr>
                <w:rFonts w:ascii="Cambria Math" w:hAnsi="Cambria Math"/>
                <w:sz w:val="24"/>
                <w:szCs w:val="24"/>
                <w:lang w:val="es-MX"/>
              </w:rPr>
              <m:t>EO</m:t>
            </m:r>
          </m:e>
          <m:sub>
            <m:r>
              <w:rPr>
                <w:rFonts w:ascii="Cambria Math" w:hAnsi="Cambria Math"/>
                <w:sz w:val="24"/>
                <w:szCs w:val="24"/>
                <w:lang w:val="es-MX"/>
              </w:rPr>
              <m:t>it</m:t>
            </m:r>
          </m:sub>
        </m:sSub>
      </m:oMath>
      <w:r w:rsidR="00192495" w:rsidRPr="00B07754">
        <w:rPr>
          <w:rFonts w:ascii="Times New Roman" w:hAnsi="Times New Roman"/>
          <w:sz w:val="24"/>
          <w:szCs w:val="24"/>
          <w:lang w:val="es-MX"/>
        </w:rPr>
        <w:t xml:space="preserve"> son variables de control bancarias que miden la </w:t>
      </w:r>
      <w:r w:rsidR="00D742B0" w:rsidRPr="00B07754">
        <w:rPr>
          <w:rFonts w:ascii="Times New Roman" w:hAnsi="Times New Roman"/>
          <w:sz w:val="24"/>
          <w:szCs w:val="24"/>
          <w:lang w:val="es-MX"/>
        </w:rPr>
        <w:t xml:space="preserve"> participación de mercado en términos de créditos, </w:t>
      </w:r>
      <w:r w:rsidR="00192495" w:rsidRPr="00B07754">
        <w:rPr>
          <w:rFonts w:ascii="Times New Roman" w:hAnsi="Times New Roman"/>
          <w:sz w:val="24"/>
          <w:szCs w:val="24"/>
          <w:lang w:val="es-MX"/>
        </w:rPr>
        <w:t>proporción de activos productivos, liquidez, proporción de la cartera de créditos en incumplimiento de pago y eficiencia financiera, respectivamente.</w:t>
      </w:r>
    </w:p>
    <w:p w:rsidR="00595CC6" w:rsidRPr="00B07754" w:rsidRDefault="00192495"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Una vez que se obtengan los resultados del modelo, si el sistema bancario del Ecuador presenta una relación directa entre competencia y estabilidad - hipótesis competencia –estabilidad-, el coeficiente asociado a la variable de competencia tendrá signo positivo. Por el contrario, si la relación es inversa se esperará signo negativo - hipótesis competencia – fragilidad-. Si además la relación entre competencia y estabilidad tiene forma de U se esperaría que el coeficiente asociado al término de competencia lineal </w:t>
      </w:r>
      <m:oMath>
        <m:sSub>
          <m:sSubPr>
            <m:ctrlPr>
              <w:rPr>
                <w:rFonts w:ascii="Cambria Math" w:hAnsi="Cambria Math"/>
                <w:i/>
                <w:sz w:val="24"/>
                <w:szCs w:val="24"/>
                <w:lang w:val="es-MX"/>
              </w:rPr>
            </m:ctrlPr>
          </m:sSubPr>
          <m:e>
            <m:r>
              <w:rPr>
                <w:rFonts w:ascii="Cambria Math" w:hAnsi="Cambria Math"/>
                <w:sz w:val="24"/>
                <w:szCs w:val="24"/>
                <w:lang w:val="es-MX"/>
              </w:rPr>
              <m:t>H</m:t>
            </m:r>
          </m:e>
          <m:sub>
            <m:r>
              <w:rPr>
                <w:rFonts w:ascii="Cambria Math" w:hAnsi="Cambria Math"/>
                <w:sz w:val="24"/>
                <w:szCs w:val="24"/>
                <w:lang w:val="es-MX"/>
              </w:rPr>
              <m:t>t</m:t>
            </m:r>
          </m:sub>
        </m:sSub>
      </m:oMath>
      <w:r w:rsidRPr="00B07754">
        <w:rPr>
          <w:rFonts w:ascii="Times New Roman" w:hAnsi="Times New Roman"/>
          <w:sz w:val="24"/>
          <w:szCs w:val="24"/>
          <w:lang w:val="es-MX"/>
        </w:rPr>
        <w:t xml:space="preserve"> sea positivo, mientras el asociado al cuadrático </w:t>
      </w:r>
      <m:oMath>
        <m:sSub>
          <m:sSubPr>
            <m:ctrlPr>
              <w:rPr>
                <w:rFonts w:ascii="Cambria Math" w:hAnsi="Cambria Math"/>
                <w:i/>
                <w:sz w:val="24"/>
                <w:szCs w:val="24"/>
                <w:lang w:val="es-MX"/>
              </w:rPr>
            </m:ctrlPr>
          </m:sSubPr>
          <m:e>
            <m:sSup>
              <m:sSupPr>
                <m:ctrlPr>
                  <w:rPr>
                    <w:rFonts w:ascii="Cambria Math" w:hAnsi="Cambria Math"/>
                    <w:i/>
                    <w:sz w:val="24"/>
                    <w:szCs w:val="24"/>
                    <w:lang w:val="es-MX"/>
                  </w:rPr>
                </m:ctrlPr>
              </m:sSupPr>
              <m:e>
                <m:r>
                  <w:rPr>
                    <w:rFonts w:ascii="Cambria Math" w:hAnsi="Cambria Math"/>
                    <w:sz w:val="24"/>
                    <w:szCs w:val="24"/>
                    <w:lang w:val="es-MX"/>
                  </w:rPr>
                  <m:t>H</m:t>
                </m:r>
              </m:e>
              <m:sup>
                <m:r>
                  <w:rPr>
                    <w:rFonts w:ascii="Cambria Math" w:hAnsi="Cambria Math"/>
                    <w:sz w:val="24"/>
                    <w:szCs w:val="24"/>
                    <w:lang w:val="es-MX"/>
                  </w:rPr>
                  <m:t>2</m:t>
                </m:r>
              </m:sup>
            </m:sSup>
          </m:e>
          <m:sub>
            <m:r>
              <w:rPr>
                <w:rFonts w:ascii="Cambria Math" w:hAnsi="Cambria Math"/>
                <w:sz w:val="24"/>
                <w:szCs w:val="24"/>
                <w:lang w:val="es-MX"/>
              </w:rPr>
              <m:t>t</m:t>
            </m:r>
          </m:sub>
        </m:sSub>
      </m:oMath>
      <w:r w:rsidRPr="00B07754">
        <w:rPr>
          <w:rFonts w:ascii="Times New Roman" w:hAnsi="Times New Roman"/>
          <w:sz w:val="24"/>
          <w:szCs w:val="24"/>
          <w:lang w:val="es-MX"/>
        </w:rPr>
        <w:t xml:space="preserve"> sea negativo.</w:t>
      </w:r>
      <w:r w:rsidR="00595CC6" w:rsidRPr="00B07754">
        <w:rPr>
          <w:rFonts w:ascii="Times New Roman" w:hAnsi="Times New Roman"/>
          <w:sz w:val="24"/>
          <w:szCs w:val="24"/>
          <w:lang w:val="es-MX"/>
        </w:rPr>
        <w:t>”</w:t>
      </w:r>
      <w:sdt>
        <w:sdtPr>
          <w:rPr>
            <w:rFonts w:ascii="Times New Roman" w:hAnsi="Times New Roman"/>
            <w:sz w:val="24"/>
            <w:szCs w:val="24"/>
            <w:lang w:val="es-MX"/>
          </w:rPr>
          <w:id w:val="-292906002"/>
          <w:citation/>
        </w:sdtPr>
        <w:sdtEndPr/>
        <w:sdtContent>
          <w:r w:rsidR="00595CC6" w:rsidRPr="00B07754">
            <w:rPr>
              <w:rFonts w:ascii="Times New Roman" w:hAnsi="Times New Roman"/>
              <w:sz w:val="24"/>
              <w:szCs w:val="24"/>
              <w:lang w:val="es-MX"/>
            </w:rPr>
            <w:fldChar w:fldCharType="begin"/>
          </w:r>
          <w:r w:rsidR="00DC62F4" w:rsidRPr="00B07754">
            <w:rPr>
              <w:rFonts w:ascii="Times New Roman" w:hAnsi="Times New Roman"/>
              <w:sz w:val="24"/>
              <w:szCs w:val="24"/>
              <w:lang w:val="es-MX"/>
            </w:rPr>
            <w:instrText xml:space="preserve">CITATION Lui09 \p 15 \l 2058 </w:instrText>
          </w:r>
          <w:r w:rsidR="00595CC6"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15)</w:t>
          </w:r>
          <w:r w:rsidR="00595CC6"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 forma de U implica que hasta cierto punto de la curva (en donde la curva cambia de sentido) la relación entre competencia y estabilidad sería inversa y cuando cambia de sentido –punto de inflexión de la curva- la relación sería positiva. Es importante conocer si la relación entre competencia y estabilidad presenta forma de U de manera que los hacedores de política conozcan en que parte de la curva se encuentra el sistema bancario y puedan tomar decisiones efectivas de acuerdo al tipo de relación que se esté presentando –positiva o inversa-. </w:t>
      </w:r>
      <w:r w:rsidR="00036BD8" w:rsidRPr="00B07754">
        <w:rPr>
          <w:rFonts w:ascii="Times New Roman" w:hAnsi="Times New Roman"/>
          <w:sz w:val="24"/>
          <w:szCs w:val="24"/>
          <w:lang w:val="es-MX"/>
        </w:rPr>
        <w:t xml:space="preserve">De esta manera, si la relación es negativa las políticas de competencia deben ir encaminadas a su restricción, en otras palabras a evitar que nuevos competidores ingresen al mercado. Por el contrario, si la relación es positiva las autoridades deben supervisar y regular prudencialmente las acciones que emprendan las instituciones bancarias, más no emitir </w:t>
      </w:r>
      <w:r w:rsidR="00DB7130" w:rsidRPr="00B07754">
        <w:rPr>
          <w:rFonts w:ascii="Times New Roman" w:hAnsi="Times New Roman"/>
          <w:sz w:val="24"/>
          <w:szCs w:val="24"/>
          <w:lang w:val="es-MX"/>
        </w:rPr>
        <w:t xml:space="preserve">pronunciamientos que limiten de alguna manera el nivel de competencia, ya que éste además de mejorar la eficiencia en el sector garantizará mayor estabilidad. </w:t>
      </w:r>
    </w:p>
    <w:p w:rsidR="00192495" w:rsidRPr="00B07754" w:rsidRDefault="00192495" w:rsidP="002B5E62">
      <w:pPr>
        <w:pStyle w:val="Ttulo2"/>
        <w:numPr>
          <w:ilvl w:val="1"/>
          <w:numId w:val="25"/>
        </w:numPr>
        <w:spacing w:before="0" w:after="200" w:line="360" w:lineRule="auto"/>
        <w:ind w:left="0" w:firstLine="0"/>
        <w:jc w:val="both"/>
        <w:rPr>
          <w:rFonts w:ascii="Times New Roman" w:hAnsi="Times New Roman"/>
          <w:color w:val="auto"/>
          <w:sz w:val="24"/>
          <w:szCs w:val="24"/>
          <w:lang w:val="es-MX"/>
        </w:rPr>
      </w:pPr>
      <w:bookmarkStart w:id="35" w:name="_Toc372589977"/>
      <w:r w:rsidRPr="00B07754">
        <w:rPr>
          <w:rFonts w:ascii="Times New Roman" w:hAnsi="Times New Roman"/>
          <w:color w:val="auto"/>
          <w:sz w:val="24"/>
          <w:szCs w:val="24"/>
          <w:lang w:val="es-MX"/>
        </w:rPr>
        <w:t>Descripción de Datos</w:t>
      </w:r>
      <w:bookmarkEnd w:id="35"/>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Se considera la información de los bancos comerciales que operaron en el Ecuador durante el periodo 2002 – 2012. Para ello se empleó información trimestral contenida en los Estados de Situación Financiera y de Resultados, publicados por la Superintendencia de Bancos y Seguros. Los índices de concentración fueron calculados en relación al total de colocaciones y del sistema</w:t>
      </w:r>
      <w:r w:rsidR="00795E06" w:rsidRPr="00B07754">
        <w:rPr>
          <w:rStyle w:val="Refdenotaalpie"/>
          <w:rFonts w:ascii="Times New Roman" w:hAnsi="Times New Roman"/>
          <w:sz w:val="24"/>
          <w:szCs w:val="24"/>
          <w:lang w:val="es-MX"/>
        </w:rPr>
        <w:footnoteReference w:id="28"/>
      </w:r>
      <w:r w:rsidRPr="00B07754">
        <w:rPr>
          <w:rFonts w:ascii="Times New Roman" w:hAnsi="Times New Roman"/>
          <w:sz w:val="24"/>
          <w:szCs w:val="24"/>
          <w:lang w:val="es-MX"/>
        </w:rPr>
        <w:t xml:space="preserve">. El resto de las variables utilizadas en las estimaciones fueron calculadas a partir de los datos que se encuentran en dichos estados. La serie del Producto Interno Bruto Real proviene de las publicaciones estadísticas del Banco Central del Ecuador. Las definiciones de las variables se presentan en el Anexo 1. </w:t>
      </w:r>
    </w:p>
    <w:p w:rsidR="00192495" w:rsidRPr="00B07754" w:rsidRDefault="00192495" w:rsidP="002B5E62">
      <w:pPr>
        <w:pStyle w:val="Ttulo2"/>
        <w:numPr>
          <w:ilvl w:val="1"/>
          <w:numId w:val="25"/>
        </w:numPr>
        <w:spacing w:before="0" w:after="200" w:line="360" w:lineRule="auto"/>
        <w:ind w:left="0" w:firstLine="0"/>
        <w:rPr>
          <w:rFonts w:ascii="Times New Roman" w:hAnsi="Times New Roman"/>
          <w:color w:val="auto"/>
          <w:sz w:val="24"/>
          <w:szCs w:val="24"/>
          <w:lang w:val="es-MX"/>
        </w:rPr>
      </w:pPr>
      <w:bookmarkStart w:id="36" w:name="_Toc372589978"/>
      <w:r w:rsidRPr="00B07754">
        <w:rPr>
          <w:rFonts w:ascii="Times New Roman" w:hAnsi="Times New Roman"/>
          <w:color w:val="auto"/>
          <w:sz w:val="24"/>
          <w:szCs w:val="24"/>
          <w:lang w:val="es-MX"/>
        </w:rPr>
        <w:lastRenderedPageBreak/>
        <w:t>Indicadores de Concentración</w:t>
      </w:r>
      <w:bookmarkEnd w:id="36"/>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Los indicadores de concentración son importantes ya que permiten obtener las características estructurales del mercado y reflejar los cambios en la concentración producto de las entradas, salidas o fusiones de las instituciones bancarias. El presente estudio utiliza las medidas estándar de concentración calculadas para colocaciones, captaciones, cartera de créditos y depósitos totales del sistema bancario del Ecuador</w:t>
      </w:r>
      <w:sdt>
        <w:sdtPr>
          <w:rPr>
            <w:rFonts w:ascii="Times New Roman" w:hAnsi="Times New Roman"/>
            <w:sz w:val="24"/>
            <w:szCs w:val="24"/>
            <w:lang w:val="es-MX"/>
          </w:rPr>
          <w:id w:val="1241068086"/>
          <w:citation/>
        </w:sdtPr>
        <w:sdtEndPr/>
        <w:sdtContent>
          <w:r w:rsidR="00381C3A" w:rsidRPr="00B07754">
            <w:rPr>
              <w:rFonts w:ascii="Times New Roman" w:hAnsi="Times New Roman"/>
              <w:sz w:val="24"/>
              <w:szCs w:val="24"/>
              <w:lang w:val="es-MX"/>
            </w:rPr>
            <w:fldChar w:fldCharType="begin"/>
          </w:r>
          <w:r w:rsidR="00381C3A" w:rsidRPr="00B07754">
            <w:rPr>
              <w:rFonts w:ascii="Times New Roman" w:hAnsi="Times New Roman"/>
              <w:sz w:val="24"/>
              <w:szCs w:val="24"/>
              <w:lang w:val="es-MX"/>
            </w:rPr>
            <w:instrText xml:space="preserve">CITATION Lui09 \p 15 \l 2058 </w:instrText>
          </w:r>
          <w:r w:rsidR="00381C3A"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15)</w:t>
          </w:r>
          <w:r w:rsidR="00381C3A"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92495" w:rsidRPr="00B07754" w:rsidRDefault="00192495" w:rsidP="002B5E62">
      <w:pPr>
        <w:pStyle w:val="Ttulo3"/>
        <w:numPr>
          <w:ilvl w:val="2"/>
          <w:numId w:val="25"/>
        </w:numPr>
        <w:spacing w:before="0" w:after="200" w:line="360" w:lineRule="auto"/>
        <w:ind w:left="0" w:firstLine="0"/>
        <w:jc w:val="both"/>
        <w:rPr>
          <w:rFonts w:ascii="Times New Roman" w:hAnsi="Times New Roman"/>
          <w:b w:val="0"/>
          <w:i/>
          <w:color w:val="auto"/>
          <w:sz w:val="24"/>
          <w:szCs w:val="24"/>
          <w:lang w:val="es-MX"/>
        </w:rPr>
      </w:pPr>
      <w:bookmarkStart w:id="37" w:name="_Toc372589979"/>
      <w:r w:rsidRPr="00B07754">
        <w:rPr>
          <w:rFonts w:ascii="Times New Roman" w:hAnsi="Times New Roman"/>
          <w:b w:val="0"/>
          <w:i/>
          <w:color w:val="auto"/>
          <w:sz w:val="24"/>
          <w:szCs w:val="24"/>
          <w:lang w:val="es-MX"/>
        </w:rPr>
        <w:t xml:space="preserve">Índice de Concentración </w:t>
      </w:r>
      <w:proofErr w:type="spellStart"/>
      <w:r w:rsidRPr="00B07754">
        <w:rPr>
          <w:rFonts w:ascii="Times New Roman" w:hAnsi="Times New Roman"/>
          <w:b w:val="0"/>
          <w:i/>
          <w:color w:val="auto"/>
          <w:sz w:val="24"/>
          <w:szCs w:val="24"/>
          <w:lang w:val="es-MX"/>
        </w:rPr>
        <w:t>CR</w:t>
      </w:r>
      <w:r w:rsidRPr="00B07754">
        <w:rPr>
          <w:rFonts w:ascii="Times New Roman" w:hAnsi="Times New Roman"/>
          <w:b w:val="0"/>
          <w:i/>
          <w:color w:val="auto"/>
          <w:sz w:val="24"/>
          <w:szCs w:val="24"/>
          <w:vertAlign w:val="subscript"/>
          <w:lang w:val="es-MX"/>
        </w:rPr>
        <w:t>k</w:t>
      </w:r>
      <w:bookmarkEnd w:id="37"/>
      <w:proofErr w:type="spellEnd"/>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Este indicador es el más utilizado puesto que de acuerdo a su resultado es posible determinar si el comportamiento del mercado está dominado por un pequeño número de grandes bancos. Este indicador se calcula como la suma de las cuotas o participaciones de mercado de las k firmas más importantes de la industria. </w:t>
      </w:r>
    </w:p>
    <w:p w:rsidR="00C760DD" w:rsidRPr="00B07754" w:rsidRDefault="00643B1A" w:rsidP="002B5E62">
      <w:pPr>
        <w:spacing w:line="360" w:lineRule="auto"/>
        <w:jc w:val="right"/>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CR</m:t>
            </m:r>
          </m:e>
          <m:sub>
            <m:r>
              <w:rPr>
                <w:rFonts w:ascii="Cambria Math" w:hAnsi="Cambria Math"/>
                <w:sz w:val="24"/>
                <w:szCs w:val="24"/>
                <w:lang w:val="es-MX"/>
              </w:rPr>
              <m:t>k</m:t>
            </m:r>
          </m:sub>
        </m:sSub>
        <m:r>
          <w:rPr>
            <w:rFonts w:ascii="Cambria Math" w:hAnsi="Cambria Math"/>
            <w:sz w:val="24"/>
            <w:szCs w:val="24"/>
            <w:lang w:val="es-MX"/>
          </w:rPr>
          <m:t>=</m:t>
        </m:r>
        <m:nary>
          <m:naryPr>
            <m:chr m:val="∑"/>
            <m:limLoc m:val="subSup"/>
            <m:ctrlPr>
              <w:rPr>
                <w:rFonts w:ascii="Cambria Math" w:hAnsi="Cambria Math"/>
                <w:i/>
                <w:sz w:val="24"/>
                <w:szCs w:val="24"/>
                <w:lang w:val="es-MX"/>
              </w:rPr>
            </m:ctrlPr>
          </m:naryPr>
          <m:sub>
            <m:r>
              <w:rPr>
                <w:rFonts w:ascii="Cambria Math" w:hAnsi="Cambria Math"/>
                <w:sz w:val="24"/>
                <w:szCs w:val="24"/>
                <w:lang w:val="es-MX"/>
              </w:rPr>
              <m:t>i=1</m:t>
            </m:r>
          </m:sub>
          <m:sup>
            <m:r>
              <w:rPr>
                <w:rFonts w:ascii="Cambria Math" w:hAnsi="Cambria Math"/>
                <w:sz w:val="24"/>
                <w:szCs w:val="24"/>
                <w:lang w:val="es-MX"/>
              </w:rPr>
              <m:t>k</m:t>
            </m:r>
          </m:sup>
          <m:e>
            <m:sSub>
              <m:sSubPr>
                <m:ctrlPr>
                  <w:rPr>
                    <w:rFonts w:ascii="Cambria Math" w:hAnsi="Cambria Math"/>
                    <w:i/>
                    <w:sz w:val="24"/>
                    <w:szCs w:val="24"/>
                    <w:lang w:val="es-MX"/>
                  </w:rPr>
                </m:ctrlPr>
              </m:sSubPr>
              <m:e>
                <m:r>
                  <w:rPr>
                    <w:rFonts w:ascii="Cambria Math" w:hAnsi="Cambria Math"/>
                    <w:sz w:val="24"/>
                    <w:szCs w:val="24"/>
                    <w:lang w:val="es-MX"/>
                  </w:rPr>
                  <m:t>S</m:t>
                </m:r>
              </m:e>
              <m:sub>
                <m:r>
                  <w:rPr>
                    <w:rFonts w:ascii="Cambria Math" w:hAnsi="Cambria Math"/>
                    <w:sz w:val="24"/>
                    <w:szCs w:val="24"/>
                    <w:lang w:val="es-MX"/>
                  </w:rPr>
                  <m:t>i</m:t>
                </m:r>
              </m:sub>
            </m:sSub>
          </m:e>
        </m:nary>
      </m:oMath>
      <w:r w:rsidR="00C760DD" w:rsidRPr="00B07754">
        <w:rPr>
          <w:rFonts w:ascii="Times New Roman" w:eastAsiaTheme="minorEastAsia" w:hAnsi="Times New Roman"/>
          <w:sz w:val="24"/>
          <w:szCs w:val="24"/>
          <w:lang w:val="es-MX"/>
        </w:rPr>
        <w:t xml:space="preserve"> </w:t>
      </w:r>
      <w:r w:rsidR="00C760DD" w:rsidRPr="00B07754">
        <w:rPr>
          <w:rFonts w:ascii="Times New Roman" w:eastAsiaTheme="minorEastAsia" w:hAnsi="Times New Roman"/>
          <w:sz w:val="24"/>
          <w:szCs w:val="24"/>
          <w:lang w:val="es-MX"/>
        </w:rPr>
        <w:tab/>
      </w:r>
      <w:r w:rsidR="00C760DD" w:rsidRPr="00B07754">
        <w:rPr>
          <w:rFonts w:ascii="Times New Roman" w:eastAsiaTheme="minorEastAsia" w:hAnsi="Times New Roman"/>
          <w:sz w:val="24"/>
          <w:szCs w:val="24"/>
          <w:lang w:val="es-MX"/>
        </w:rPr>
        <w:tab/>
      </w:r>
      <w:r w:rsidR="00C760DD" w:rsidRPr="00B07754">
        <w:rPr>
          <w:rFonts w:ascii="Times New Roman" w:eastAsiaTheme="minorEastAsia" w:hAnsi="Times New Roman"/>
          <w:sz w:val="24"/>
          <w:szCs w:val="24"/>
          <w:lang w:val="es-MX"/>
        </w:rPr>
        <w:tab/>
      </w:r>
      <w:r w:rsidR="00C760DD" w:rsidRPr="00B07754">
        <w:rPr>
          <w:rFonts w:ascii="Times New Roman" w:eastAsiaTheme="minorEastAsia" w:hAnsi="Times New Roman"/>
          <w:sz w:val="24"/>
          <w:szCs w:val="24"/>
          <w:lang w:val="es-MX"/>
        </w:rPr>
        <w:tab/>
        <w:t xml:space="preserve"> </w:t>
      </w:r>
      <w:r w:rsidR="00C760DD"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w:t>
      </w:r>
      <w:r w:rsidR="00C760DD" w:rsidRPr="00B07754">
        <w:rPr>
          <w:rFonts w:ascii="Times New Roman" w:eastAsiaTheme="minorEastAsia" w:hAnsi="Times New Roman"/>
          <w:sz w:val="24"/>
          <w:szCs w:val="24"/>
          <w:lang w:val="es-MX"/>
        </w:rPr>
        <w:t>2)</w:t>
      </w:r>
    </w:p>
    <w:p w:rsidR="00192495" w:rsidRPr="00B07754" w:rsidRDefault="00192495" w:rsidP="002B5E62">
      <w:pPr>
        <w:spacing w:line="360" w:lineRule="auto"/>
        <w:ind w:left="3545" w:firstLine="709"/>
        <w:rPr>
          <w:rFonts w:ascii="Times New Roman" w:eastAsiaTheme="minorEastAsia" w:hAnsi="Times New Roman"/>
          <w:sz w:val="24"/>
          <w:szCs w:val="24"/>
          <w:lang w:val="es-MX"/>
        </w:rPr>
      </w:pPr>
      <m:oMathPara>
        <m:oMathParaPr>
          <m:jc m:val="left"/>
        </m:oMathParaPr>
        <m:oMath>
          <m:r>
            <w:rPr>
              <w:rFonts w:ascii="Cambria Math" w:eastAsiaTheme="minorEastAsia" w:hAnsi="Cambria Math"/>
              <w:sz w:val="24"/>
              <w:szCs w:val="24"/>
              <w:lang w:val="es-MX"/>
            </w:rPr>
            <m:t>0≤</m:t>
          </m:r>
          <m:sSub>
            <m:sSubPr>
              <m:ctrlPr>
                <w:rPr>
                  <w:rFonts w:ascii="Cambria Math" w:hAnsi="Cambria Math"/>
                  <w:i/>
                  <w:sz w:val="24"/>
                  <w:szCs w:val="24"/>
                  <w:lang w:val="es-MX"/>
                </w:rPr>
              </m:ctrlPr>
            </m:sSubPr>
            <m:e>
              <m:r>
                <w:rPr>
                  <w:rFonts w:ascii="Cambria Math" w:hAnsi="Cambria Math"/>
                  <w:sz w:val="24"/>
                  <w:szCs w:val="24"/>
                  <w:lang w:val="es-MX"/>
                </w:rPr>
                <m:t>CR</m:t>
              </m:r>
            </m:e>
            <m:sub>
              <m:r>
                <w:rPr>
                  <w:rFonts w:ascii="Cambria Math" w:hAnsi="Cambria Math"/>
                  <w:sz w:val="24"/>
                  <w:szCs w:val="24"/>
                  <w:lang w:val="es-MX"/>
                </w:rPr>
                <m:t>k</m:t>
              </m:r>
            </m:sub>
          </m:sSub>
          <m:r>
            <w:rPr>
              <w:rFonts w:ascii="Cambria Math" w:eastAsiaTheme="minorEastAsia" w:hAnsi="Cambria Math"/>
              <w:sz w:val="24"/>
              <w:szCs w:val="24"/>
              <w:lang w:val="es-MX"/>
            </w:rPr>
            <m:t>≤1</m:t>
          </m:r>
        </m:oMath>
      </m:oMathPara>
    </w:p>
    <w:p w:rsidR="00192495" w:rsidRPr="00B07754" w:rsidRDefault="00192495" w:rsidP="002B5E62">
      <w:pPr>
        <w:spacing w:line="360" w:lineRule="auto"/>
        <w:jc w:val="both"/>
        <w:rPr>
          <w:rFonts w:ascii="Times New Roman" w:eastAsiaTheme="minorEastAsia" w:hAnsi="Times New Roman"/>
          <w:sz w:val="24"/>
          <w:szCs w:val="24"/>
          <w:lang w:val="es-MX"/>
        </w:rPr>
      </w:pPr>
      <w:r w:rsidRPr="00B07754">
        <w:rPr>
          <w:rFonts w:ascii="Times New Roman" w:eastAsiaTheme="minorEastAsia" w:hAnsi="Times New Roman"/>
          <w:sz w:val="24"/>
          <w:szCs w:val="24"/>
          <w:lang w:val="es-MX"/>
        </w:rPr>
        <w:t xml:space="preserve">La fórmula arriba mencionada se obtiene si se considera que </w:t>
      </w:r>
      <m:oMath>
        <m:r>
          <w:rPr>
            <w:rFonts w:ascii="Cambria Math" w:eastAsiaTheme="minorEastAsia" w:hAnsi="Cambria Math"/>
            <w:sz w:val="24"/>
            <w:szCs w:val="24"/>
            <w:lang w:val="es-MX"/>
          </w:rPr>
          <m:t>VT=</m:t>
        </m:r>
        <m:nary>
          <m:naryPr>
            <m:chr m:val="∑"/>
            <m:limLoc m:val="subSup"/>
            <m:ctrlPr>
              <w:rPr>
                <w:rFonts w:ascii="Cambria Math" w:hAnsi="Cambria Math"/>
                <w:i/>
                <w:sz w:val="24"/>
                <w:szCs w:val="24"/>
                <w:lang w:val="es-MX"/>
              </w:rPr>
            </m:ctrlPr>
          </m:naryPr>
          <m:sub>
            <m:r>
              <w:rPr>
                <w:rFonts w:ascii="Cambria Math" w:hAnsi="Cambria Math"/>
                <w:sz w:val="24"/>
                <w:szCs w:val="24"/>
                <w:lang w:val="es-MX"/>
              </w:rPr>
              <m:t>i=1</m:t>
            </m:r>
          </m:sub>
          <m:sup>
            <m:r>
              <w:rPr>
                <w:rFonts w:ascii="Cambria Math" w:hAnsi="Cambria Math"/>
                <w:sz w:val="24"/>
                <w:szCs w:val="24"/>
                <w:lang w:val="es-MX"/>
              </w:rPr>
              <m:t>k</m:t>
            </m:r>
          </m:sup>
          <m:e>
            <m:sSub>
              <m:sSubPr>
                <m:ctrlPr>
                  <w:rPr>
                    <w:rFonts w:ascii="Cambria Math" w:hAnsi="Cambria Math"/>
                    <w:i/>
                    <w:sz w:val="24"/>
                    <w:szCs w:val="24"/>
                    <w:lang w:val="es-MX"/>
                  </w:rPr>
                </m:ctrlPr>
              </m:sSubPr>
              <m:e>
                <m:r>
                  <w:rPr>
                    <w:rFonts w:ascii="Cambria Math" w:hAnsi="Cambria Math"/>
                    <w:sz w:val="24"/>
                    <w:szCs w:val="24"/>
                    <w:lang w:val="es-MX"/>
                  </w:rPr>
                  <m:t>x</m:t>
                </m:r>
              </m:e>
              <m:sub>
                <m:r>
                  <w:rPr>
                    <w:rFonts w:ascii="Cambria Math" w:hAnsi="Cambria Math"/>
                    <w:sz w:val="24"/>
                    <w:szCs w:val="24"/>
                    <w:lang w:val="es-MX"/>
                  </w:rPr>
                  <m:t>i</m:t>
                </m:r>
              </m:sub>
            </m:sSub>
          </m:e>
        </m:nary>
      </m:oMath>
      <w:r w:rsidRPr="00B07754">
        <w:rPr>
          <w:rFonts w:ascii="Times New Roman" w:eastAsiaTheme="minorEastAsia" w:hAnsi="Times New Roman"/>
          <w:sz w:val="24"/>
          <w:szCs w:val="24"/>
          <w:lang w:val="es-MX"/>
        </w:rPr>
        <w:t xml:space="preserve"> es el valor total de mercado de la variable considerada, </w:t>
      </w:r>
      <m:oMath>
        <m:sSub>
          <m:sSubPr>
            <m:ctrlPr>
              <w:rPr>
                <w:rFonts w:ascii="Cambria Math" w:hAnsi="Cambria Math"/>
                <w:i/>
                <w:sz w:val="24"/>
                <w:szCs w:val="24"/>
                <w:lang w:val="es-MX"/>
              </w:rPr>
            </m:ctrlPr>
          </m:sSubPr>
          <m:e>
            <m:r>
              <w:rPr>
                <w:rFonts w:ascii="Cambria Math" w:hAnsi="Cambria Math"/>
                <w:sz w:val="24"/>
                <w:szCs w:val="24"/>
                <w:lang w:val="es-MX"/>
              </w:rPr>
              <m:t>x</m:t>
            </m:r>
          </m:e>
          <m:sub>
            <m:r>
              <w:rPr>
                <w:rFonts w:ascii="Cambria Math" w:hAnsi="Cambria Math"/>
                <w:sz w:val="24"/>
                <w:szCs w:val="24"/>
                <w:lang w:val="es-MX"/>
              </w:rPr>
              <m:t>i</m:t>
            </m:r>
          </m:sub>
        </m:sSub>
      </m:oMath>
      <w:r w:rsidRPr="00B07754">
        <w:rPr>
          <w:rFonts w:ascii="Times New Roman" w:eastAsiaTheme="minorEastAsia" w:hAnsi="Times New Roman"/>
          <w:sz w:val="24"/>
          <w:szCs w:val="24"/>
          <w:lang w:val="es-MX"/>
        </w:rPr>
        <w:t xml:space="preserve"> es el valor de la variable considerada para cada firma y, por tanto, </w:t>
      </w:r>
      <m:oMath>
        <m:sSub>
          <m:sSubPr>
            <m:ctrlPr>
              <w:rPr>
                <w:rFonts w:ascii="Cambria Math" w:eastAsiaTheme="minorEastAsia" w:hAnsi="Cambria Math"/>
                <w:i/>
                <w:sz w:val="24"/>
                <w:szCs w:val="24"/>
                <w:lang w:val="es-MX"/>
              </w:rPr>
            </m:ctrlPr>
          </m:sSubPr>
          <m:e>
            <m:r>
              <w:rPr>
                <w:rFonts w:ascii="Cambria Math" w:eastAsiaTheme="minorEastAsia" w:hAnsi="Cambria Math"/>
                <w:sz w:val="24"/>
                <w:szCs w:val="24"/>
                <w:lang w:val="es-MX"/>
              </w:rPr>
              <m:t>S</m:t>
            </m:r>
          </m:e>
          <m:sub>
            <m:r>
              <w:rPr>
                <w:rFonts w:ascii="Cambria Math" w:eastAsiaTheme="minorEastAsia" w:hAnsi="Cambria Math"/>
                <w:sz w:val="24"/>
                <w:szCs w:val="24"/>
                <w:lang w:val="es-MX"/>
              </w:rPr>
              <m:t>i</m:t>
            </m:r>
          </m:sub>
        </m:sSub>
        <m:r>
          <w:rPr>
            <w:rFonts w:ascii="Cambria Math" w:eastAsiaTheme="minorEastAsia" w:hAnsi="Cambria Math"/>
            <w:sz w:val="24"/>
            <w:szCs w:val="24"/>
            <w:lang w:val="es-MX"/>
          </w:rPr>
          <m:t>=</m:t>
        </m:r>
        <m:f>
          <m:fPr>
            <m:ctrlPr>
              <w:rPr>
                <w:rFonts w:ascii="Cambria Math" w:eastAsiaTheme="minorEastAsia" w:hAnsi="Cambria Math"/>
                <w:i/>
                <w:sz w:val="24"/>
                <w:szCs w:val="24"/>
                <w:lang w:val="es-MX"/>
              </w:rPr>
            </m:ctrlPr>
          </m:fPr>
          <m:num>
            <m:sSub>
              <m:sSubPr>
                <m:ctrlPr>
                  <w:rPr>
                    <w:rFonts w:ascii="Cambria Math" w:eastAsiaTheme="minorEastAsia" w:hAnsi="Cambria Math"/>
                    <w:i/>
                    <w:sz w:val="24"/>
                    <w:szCs w:val="24"/>
                    <w:lang w:val="es-MX"/>
                  </w:rPr>
                </m:ctrlPr>
              </m:sSubPr>
              <m:e>
                <m:r>
                  <w:rPr>
                    <w:rFonts w:ascii="Cambria Math" w:eastAsiaTheme="minorEastAsia" w:hAnsi="Cambria Math"/>
                    <w:sz w:val="24"/>
                    <w:szCs w:val="24"/>
                    <w:lang w:val="es-MX"/>
                  </w:rPr>
                  <m:t>x</m:t>
                </m:r>
              </m:e>
              <m:sub>
                <m:r>
                  <w:rPr>
                    <w:rFonts w:ascii="Cambria Math" w:eastAsiaTheme="minorEastAsia" w:hAnsi="Cambria Math"/>
                    <w:sz w:val="24"/>
                    <w:szCs w:val="24"/>
                    <w:lang w:val="es-MX"/>
                  </w:rPr>
                  <m:t>i</m:t>
                </m:r>
              </m:sub>
            </m:sSub>
          </m:num>
          <m:den>
            <m:r>
              <w:rPr>
                <w:rFonts w:ascii="Cambria Math" w:eastAsiaTheme="minorEastAsia" w:hAnsi="Cambria Math"/>
                <w:sz w:val="24"/>
                <w:szCs w:val="24"/>
                <w:lang w:val="es-MX"/>
              </w:rPr>
              <m:t>VT</m:t>
            </m:r>
          </m:den>
        </m:f>
      </m:oMath>
      <w:r w:rsidRPr="00B07754">
        <w:rPr>
          <w:rFonts w:ascii="Times New Roman" w:eastAsiaTheme="minorEastAsia" w:hAnsi="Times New Roman"/>
          <w:sz w:val="24"/>
          <w:szCs w:val="24"/>
          <w:lang w:val="es-MX"/>
        </w:rPr>
        <w:t xml:space="preserve"> corresponde a la participación de mercado del banco i</w:t>
      </w:r>
      <w:sdt>
        <w:sdtPr>
          <w:rPr>
            <w:rFonts w:ascii="Times New Roman" w:eastAsiaTheme="minorEastAsia" w:hAnsi="Times New Roman"/>
            <w:sz w:val="24"/>
            <w:szCs w:val="24"/>
            <w:lang w:val="es-MX"/>
          </w:rPr>
          <w:id w:val="1547644057"/>
          <w:citation/>
        </w:sdtPr>
        <w:sdtEndPr/>
        <w:sdtContent>
          <w:r w:rsidR="00BD2DFC" w:rsidRPr="00B07754">
            <w:rPr>
              <w:rFonts w:ascii="Times New Roman" w:eastAsiaTheme="minorEastAsia" w:hAnsi="Times New Roman"/>
              <w:sz w:val="24"/>
              <w:szCs w:val="24"/>
              <w:lang w:val="es-MX"/>
            </w:rPr>
            <w:fldChar w:fldCharType="begin"/>
          </w:r>
          <w:r w:rsidR="00BD2DFC" w:rsidRPr="00B07754">
            <w:rPr>
              <w:rFonts w:ascii="Times New Roman" w:eastAsiaTheme="minorEastAsia" w:hAnsi="Times New Roman"/>
              <w:sz w:val="24"/>
              <w:szCs w:val="24"/>
              <w:lang w:val="es-MX"/>
            </w:rPr>
            <w:instrText xml:space="preserve">CITATION Lui09 \p 15 \l 2058 </w:instrText>
          </w:r>
          <w:r w:rsidR="00BD2DFC" w:rsidRPr="00B07754">
            <w:rPr>
              <w:rFonts w:ascii="Times New Roman" w:eastAsiaTheme="minorEastAsia" w:hAnsi="Times New Roman"/>
              <w:sz w:val="24"/>
              <w:szCs w:val="24"/>
              <w:lang w:val="es-MX"/>
            </w:rPr>
            <w:fldChar w:fldCharType="separate"/>
          </w:r>
          <w:r w:rsidR="008A6D1D" w:rsidRPr="00B07754">
            <w:rPr>
              <w:rFonts w:ascii="Times New Roman" w:eastAsiaTheme="minorEastAsia" w:hAnsi="Times New Roman"/>
              <w:noProof/>
              <w:sz w:val="24"/>
              <w:szCs w:val="24"/>
              <w:lang w:val="es-MX"/>
            </w:rPr>
            <w:t xml:space="preserve"> (Pérez, 2009, pág. 15)</w:t>
          </w:r>
          <w:r w:rsidR="00BD2DFC" w:rsidRPr="00B07754">
            <w:rPr>
              <w:rFonts w:ascii="Times New Roman" w:eastAsiaTheme="minorEastAsia" w:hAnsi="Times New Roman"/>
              <w:sz w:val="24"/>
              <w:szCs w:val="24"/>
              <w:lang w:val="es-MX"/>
            </w:rPr>
            <w:fldChar w:fldCharType="end"/>
          </w:r>
        </w:sdtContent>
      </w:sdt>
      <w:r w:rsidRPr="00B07754">
        <w:rPr>
          <w:rFonts w:ascii="Times New Roman" w:eastAsiaTheme="minorEastAsia" w:hAnsi="Times New Roman"/>
          <w:sz w:val="24"/>
          <w:szCs w:val="24"/>
          <w:lang w:val="es-MX"/>
        </w:rPr>
        <w:t xml:space="preserve">. </w:t>
      </w:r>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Este indicador puede tomar valores entre 0 (totalmente desconcentrado) y 100 (totalmente concentrado). Su principal ventaja es su fácil cálculo e interpretación, pero su principal desventaja es que no analiza la estructura completa del sistema y tampoco existe una regla para decidir el número de bancos a considerar por lo que </w:t>
      </w:r>
      <w:r w:rsidRPr="00B07754">
        <w:rPr>
          <w:rFonts w:ascii="Times New Roman" w:hAnsi="Times New Roman"/>
          <w:i/>
          <w:sz w:val="24"/>
          <w:szCs w:val="24"/>
          <w:lang w:val="es-MX"/>
        </w:rPr>
        <w:t>k</w:t>
      </w:r>
      <w:r w:rsidRPr="00B07754">
        <w:rPr>
          <w:rFonts w:ascii="Times New Roman" w:hAnsi="Times New Roman"/>
          <w:sz w:val="24"/>
          <w:szCs w:val="24"/>
          <w:lang w:val="es-MX"/>
        </w:rPr>
        <w:t xml:space="preserve"> se selecciona de manera arbitraria. </w:t>
      </w:r>
      <w:sdt>
        <w:sdtPr>
          <w:rPr>
            <w:rFonts w:ascii="Times New Roman" w:hAnsi="Times New Roman"/>
            <w:sz w:val="24"/>
            <w:szCs w:val="24"/>
            <w:lang w:val="es-MX"/>
          </w:rPr>
          <w:id w:val="4511728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Lui09 \p 15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(Pérez, 2009, pág. 15)</w:t>
          </w:r>
          <w:r w:rsidRPr="00B07754">
            <w:rPr>
              <w:rFonts w:ascii="Times New Roman" w:hAnsi="Times New Roman"/>
              <w:sz w:val="24"/>
              <w:szCs w:val="24"/>
              <w:lang w:val="es-MX"/>
            </w:rPr>
            <w:fldChar w:fldCharType="end"/>
          </w:r>
        </w:sdtContent>
      </w:sdt>
      <w:sdt>
        <w:sdtPr>
          <w:rPr>
            <w:rFonts w:ascii="Times New Roman" w:hAnsi="Times New Roman"/>
            <w:sz w:val="24"/>
            <w:szCs w:val="24"/>
            <w:lang w:val="es-MX"/>
          </w:rPr>
          <w:id w:val="45669092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 CITATION Ale09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(Peralta, 2009)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Para este estudio se empleará el </w:t>
      </w:r>
      <w:r w:rsidRPr="00B07754">
        <w:rPr>
          <w:rFonts w:ascii="Times New Roman" w:hAnsi="Times New Roman"/>
          <w:i/>
          <w:sz w:val="24"/>
          <w:szCs w:val="24"/>
          <w:lang w:val="es-MX"/>
        </w:rPr>
        <w:t>CR</w:t>
      </w:r>
      <w:r w:rsidRPr="00B07754">
        <w:rPr>
          <w:rFonts w:ascii="Times New Roman" w:hAnsi="Times New Roman"/>
          <w:i/>
          <w:sz w:val="24"/>
          <w:szCs w:val="24"/>
          <w:vertAlign w:val="subscript"/>
          <w:lang w:val="es-MX"/>
        </w:rPr>
        <w:t xml:space="preserve">3 </w:t>
      </w:r>
      <w:r w:rsidRPr="00B07754">
        <w:rPr>
          <w:rFonts w:ascii="Times New Roman" w:hAnsi="Times New Roman"/>
          <w:sz w:val="24"/>
          <w:szCs w:val="24"/>
          <w:lang w:val="es-MX"/>
        </w:rPr>
        <w:t xml:space="preserve">y </w:t>
      </w:r>
      <w:r w:rsidRPr="00B07754">
        <w:rPr>
          <w:rFonts w:ascii="Times New Roman" w:hAnsi="Times New Roman"/>
          <w:i/>
          <w:sz w:val="24"/>
          <w:szCs w:val="24"/>
          <w:lang w:val="es-MX"/>
        </w:rPr>
        <w:t>CR</w:t>
      </w:r>
      <w:r w:rsidRPr="00B07754">
        <w:rPr>
          <w:rFonts w:ascii="Times New Roman" w:hAnsi="Times New Roman"/>
          <w:i/>
          <w:sz w:val="24"/>
          <w:szCs w:val="24"/>
          <w:vertAlign w:val="subscript"/>
          <w:lang w:val="es-MX"/>
        </w:rPr>
        <w:t xml:space="preserve">4. </w:t>
      </w:r>
      <w:r w:rsidRPr="00B07754">
        <w:rPr>
          <w:rFonts w:ascii="Times New Roman" w:hAnsi="Times New Roman"/>
          <w:sz w:val="24"/>
          <w:szCs w:val="24"/>
          <w:lang w:val="es-MX"/>
        </w:rPr>
        <w:t xml:space="preserve">Ambos indicadores se emplean en el estudio base para esta investigación además que el </w:t>
      </w:r>
      <w:r w:rsidRPr="00B07754">
        <w:rPr>
          <w:rFonts w:ascii="Times New Roman" w:hAnsi="Times New Roman"/>
          <w:i/>
          <w:sz w:val="24"/>
          <w:szCs w:val="24"/>
          <w:lang w:val="es-MX"/>
        </w:rPr>
        <w:t>CR</w:t>
      </w:r>
      <w:r w:rsidRPr="00B07754">
        <w:rPr>
          <w:rFonts w:ascii="Times New Roman" w:hAnsi="Times New Roman"/>
          <w:i/>
          <w:sz w:val="24"/>
          <w:szCs w:val="24"/>
          <w:vertAlign w:val="subscript"/>
          <w:lang w:val="es-MX"/>
        </w:rPr>
        <w:t xml:space="preserve">3 </w:t>
      </w:r>
      <w:r w:rsidRPr="00B07754">
        <w:rPr>
          <w:rFonts w:ascii="Times New Roman" w:hAnsi="Times New Roman"/>
          <w:sz w:val="24"/>
          <w:szCs w:val="24"/>
          <w:lang w:val="es-MX"/>
        </w:rPr>
        <w:t>es la medida más simple de concentración y funciona mejor en países pequeños</w:t>
      </w:r>
      <w:sdt>
        <w:sdtPr>
          <w:rPr>
            <w:rFonts w:ascii="Times New Roman" w:hAnsi="Times New Roman"/>
            <w:sz w:val="24"/>
            <w:szCs w:val="24"/>
            <w:lang w:val="es-MX"/>
          </w:rPr>
          <w:id w:val="756021847"/>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Mic05 \p 4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(Micco &amp; Panizza, 2005, pág. 4)</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92495" w:rsidRPr="00B07754" w:rsidRDefault="00192495" w:rsidP="002B5E62">
      <w:pPr>
        <w:pStyle w:val="Ttulo3"/>
        <w:numPr>
          <w:ilvl w:val="2"/>
          <w:numId w:val="25"/>
        </w:numPr>
        <w:spacing w:before="0" w:after="200" w:line="360" w:lineRule="auto"/>
        <w:ind w:left="0" w:firstLine="0"/>
        <w:jc w:val="both"/>
        <w:rPr>
          <w:rFonts w:ascii="Times New Roman" w:hAnsi="Times New Roman"/>
          <w:b w:val="0"/>
          <w:i/>
          <w:color w:val="auto"/>
          <w:sz w:val="24"/>
          <w:szCs w:val="24"/>
          <w:lang w:val="es-MX"/>
        </w:rPr>
      </w:pPr>
      <w:bookmarkStart w:id="38" w:name="_Toc372589980"/>
      <w:r w:rsidRPr="00B07754">
        <w:rPr>
          <w:rFonts w:ascii="Times New Roman" w:hAnsi="Times New Roman"/>
          <w:b w:val="0"/>
          <w:i/>
          <w:color w:val="auto"/>
          <w:sz w:val="24"/>
          <w:szCs w:val="24"/>
          <w:lang w:val="es-MX"/>
        </w:rPr>
        <w:t xml:space="preserve">Índice </w:t>
      </w:r>
      <w:proofErr w:type="spellStart"/>
      <w:r w:rsidRPr="00B07754">
        <w:rPr>
          <w:rFonts w:ascii="Times New Roman" w:hAnsi="Times New Roman"/>
          <w:b w:val="0"/>
          <w:i/>
          <w:color w:val="auto"/>
          <w:sz w:val="24"/>
          <w:szCs w:val="24"/>
          <w:lang w:val="es-MX"/>
        </w:rPr>
        <w:t>Herfindahl</w:t>
      </w:r>
      <w:proofErr w:type="spellEnd"/>
      <w:r w:rsidRPr="00B07754">
        <w:rPr>
          <w:rFonts w:ascii="Times New Roman" w:hAnsi="Times New Roman"/>
          <w:b w:val="0"/>
          <w:i/>
          <w:color w:val="auto"/>
          <w:sz w:val="24"/>
          <w:szCs w:val="24"/>
          <w:lang w:val="es-MX"/>
        </w:rPr>
        <w:t xml:space="preserve"> – </w:t>
      </w:r>
      <w:proofErr w:type="spellStart"/>
      <w:r w:rsidRPr="00B07754">
        <w:rPr>
          <w:rFonts w:ascii="Times New Roman" w:hAnsi="Times New Roman"/>
          <w:b w:val="0"/>
          <w:i/>
          <w:color w:val="auto"/>
          <w:sz w:val="24"/>
          <w:szCs w:val="24"/>
          <w:lang w:val="es-MX"/>
        </w:rPr>
        <w:t>Hirschman</w:t>
      </w:r>
      <w:proofErr w:type="spellEnd"/>
      <w:r w:rsidRPr="00B07754">
        <w:rPr>
          <w:rFonts w:ascii="Times New Roman" w:hAnsi="Times New Roman"/>
          <w:b w:val="0"/>
          <w:i/>
          <w:color w:val="auto"/>
          <w:sz w:val="24"/>
          <w:szCs w:val="24"/>
          <w:lang w:val="es-MX"/>
        </w:rPr>
        <w:t xml:space="preserve"> (IHH)</w:t>
      </w:r>
      <w:bookmarkEnd w:id="38"/>
    </w:p>
    <w:p w:rsidR="00192495" w:rsidRPr="00B07754" w:rsidRDefault="00F832F3"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w:t>
      </w:r>
      <w:r w:rsidR="00192495" w:rsidRPr="00B07754">
        <w:rPr>
          <w:rFonts w:ascii="Times New Roman" w:hAnsi="Times New Roman"/>
          <w:sz w:val="24"/>
          <w:szCs w:val="24"/>
          <w:lang w:val="es-MX"/>
        </w:rPr>
        <w:t xml:space="preserve">Este índice considera el total de bancos que componen la industria y resalta la importancia de los más grandes asignándoles mayor ponderación que a los bancos </w:t>
      </w:r>
      <w:r w:rsidR="00192495" w:rsidRPr="00B07754">
        <w:rPr>
          <w:rFonts w:ascii="Times New Roman" w:hAnsi="Times New Roman"/>
          <w:sz w:val="24"/>
          <w:szCs w:val="24"/>
          <w:lang w:val="es-MX"/>
        </w:rPr>
        <w:lastRenderedPageBreak/>
        <w:t>pequeños. Su método de cálculo es la suma de los cuadrados de las participaciones de cada banco.</w:t>
      </w:r>
    </w:p>
    <w:p w:rsidR="00672A1B" w:rsidRPr="00B07754" w:rsidRDefault="00192495" w:rsidP="002B5E62">
      <w:pPr>
        <w:autoSpaceDE w:val="0"/>
        <w:autoSpaceDN w:val="0"/>
        <w:adjustRightInd w:val="0"/>
        <w:spacing w:line="360" w:lineRule="auto"/>
        <w:jc w:val="right"/>
        <w:rPr>
          <w:rFonts w:ascii="Times New Roman" w:eastAsiaTheme="minorEastAsia" w:hAnsi="Times New Roman"/>
          <w:sz w:val="24"/>
          <w:szCs w:val="24"/>
          <w:lang w:val="es-MX"/>
        </w:rPr>
      </w:pPr>
      <m:oMath>
        <m:r>
          <w:rPr>
            <w:rFonts w:ascii="Cambria Math" w:hAnsi="Cambria Math"/>
            <w:sz w:val="24"/>
            <w:szCs w:val="24"/>
            <w:lang w:val="es-MX"/>
          </w:rPr>
          <m:t>IHH=</m:t>
        </m:r>
        <m:nary>
          <m:naryPr>
            <m:chr m:val="∑"/>
            <m:limLoc m:val="subSup"/>
            <m:ctrlPr>
              <w:rPr>
                <w:rFonts w:ascii="Cambria Math" w:hAnsi="Cambria Math"/>
                <w:i/>
                <w:sz w:val="24"/>
                <w:szCs w:val="24"/>
                <w:lang w:val="es-MX"/>
              </w:rPr>
            </m:ctrlPr>
          </m:naryPr>
          <m:sub>
            <m:r>
              <w:rPr>
                <w:rFonts w:ascii="Cambria Math" w:hAnsi="Cambria Math"/>
                <w:sz w:val="24"/>
                <w:szCs w:val="24"/>
                <w:lang w:val="es-MX"/>
              </w:rPr>
              <m:t>i=1</m:t>
            </m:r>
          </m:sub>
          <m:sup>
            <m:r>
              <w:rPr>
                <w:rFonts w:ascii="Cambria Math" w:hAnsi="Cambria Math"/>
                <w:sz w:val="24"/>
                <w:szCs w:val="24"/>
                <w:lang w:val="es-MX"/>
              </w:rPr>
              <m:t>n</m:t>
            </m:r>
          </m:sup>
          <m:e>
            <m:sSub>
              <m:sSubPr>
                <m:ctrlPr>
                  <w:rPr>
                    <w:rFonts w:ascii="Cambria Math" w:hAnsi="Cambria Math"/>
                    <w:i/>
                    <w:sz w:val="24"/>
                    <w:szCs w:val="24"/>
                    <w:lang w:val="es-MX"/>
                  </w:rPr>
                </m:ctrlPr>
              </m:sSubPr>
              <m:e>
                <m:sSup>
                  <m:sSupPr>
                    <m:ctrlPr>
                      <w:rPr>
                        <w:rFonts w:ascii="Cambria Math" w:hAnsi="Cambria Math"/>
                        <w:i/>
                        <w:sz w:val="24"/>
                        <w:szCs w:val="24"/>
                        <w:lang w:val="es-MX"/>
                      </w:rPr>
                    </m:ctrlPr>
                  </m:sSupPr>
                  <m:e>
                    <m:r>
                      <w:rPr>
                        <w:rFonts w:ascii="Cambria Math" w:hAnsi="Cambria Math"/>
                        <w:sz w:val="24"/>
                        <w:szCs w:val="24"/>
                        <w:lang w:val="es-MX"/>
                      </w:rPr>
                      <m:t>S</m:t>
                    </m:r>
                  </m:e>
                  <m:sup>
                    <m:r>
                      <w:rPr>
                        <w:rFonts w:ascii="Cambria Math" w:hAnsi="Cambria Math"/>
                        <w:sz w:val="24"/>
                        <w:szCs w:val="24"/>
                        <w:lang w:val="es-MX"/>
                      </w:rPr>
                      <m:t>2</m:t>
                    </m:r>
                  </m:sup>
                </m:sSup>
              </m:e>
              <m:sub>
                <m:r>
                  <w:rPr>
                    <w:rFonts w:ascii="Cambria Math" w:hAnsi="Cambria Math"/>
                    <w:sz w:val="24"/>
                    <w:szCs w:val="24"/>
                    <w:lang w:val="es-MX"/>
                  </w:rPr>
                  <m:t>i</m:t>
                </m:r>
              </m:sub>
            </m:sSub>
          </m:e>
        </m:nary>
      </m:oMath>
      <w:r w:rsidR="0072491F" w:rsidRPr="00B07754">
        <w:rPr>
          <w:rFonts w:ascii="Times New Roman" w:eastAsiaTheme="minorEastAsia" w:hAnsi="Times New Roman"/>
          <w:sz w:val="24"/>
          <w:szCs w:val="24"/>
          <w:lang w:val="es-MX"/>
        </w:rPr>
        <w:t xml:space="preserve"> </w:t>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t>(</w:t>
      </w:r>
      <w:r w:rsidR="00672A1B" w:rsidRPr="00B07754">
        <w:rPr>
          <w:rFonts w:ascii="Times New Roman" w:eastAsiaTheme="minorEastAsia" w:hAnsi="Times New Roman"/>
          <w:sz w:val="24"/>
          <w:szCs w:val="24"/>
          <w:lang w:val="es-MX"/>
        </w:rPr>
        <w:t>3)</w:t>
      </w:r>
    </w:p>
    <w:p w:rsidR="00192495" w:rsidRPr="00B07754" w:rsidRDefault="00643B1A" w:rsidP="002B5E62">
      <w:pPr>
        <w:autoSpaceDE w:val="0"/>
        <w:autoSpaceDN w:val="0"/>
        <w:adjustRightInd w:val="0"/>
        <w:spacing w:line="360" w:lineRule="auto"/>
        <w:ind w:left="2836" w:firstLine="709"/>
        <w:rPr>
          <w:rFonts w:ascii="Times New Roman" w:eastAsiaTheme="minorEastAsia" w:hAnsi="Times New Roman"/>
          <w:sz w:val="24"/>
          <w:szCs w:val="24"/>
          <w:lang w:val="es-MX"/>
        </w:rPr>
      </w:pPr>
      <m:oMath>
        <m:f>
          <m:fPr>
            <m:ctrlPr>
              <w:rPr>
                <w:rFonts w:ascii="Cambria Math" w:hAnsi="Cambria Math"/>
                <w:i/>
                <w:sz w:val="24"/>
                <w:szCs w:val="24"/>
                <w:lang w:val="es-MX"/>
              </w:rPr>
            </m:ctrlPr>
          </m:fPr>
          <m:num>
            <m:r>
              <w:rPr>
                <w:rFonts w:ascii="Cambria Math" w:hAnsi="Cambria Math"/>
                <w:sz w:val="24"/>
                <w:szCs w:val="24"/>
                <w:lang w:val="es-MX"/>
              </w:rPr>
              <m:t>1</m:t>
            </m:r>
          </m:num>
          <m:den>
            <m:r>
              <w:rPr>
                <w:rFonts w:ascii="Cambria Math" w:hAnsi="Cambria Math"/>
                <w:sz w:val="24"/>
                <w:szCs w:val="24"/>
                <w:lang w:val="es-MX"/>
              </w:rPr>
              <m:t>n</m:t>
            </m:r>
          </m:den>
        </m:f>
        <m:r>
          <w:rPr>
            <w:rFonts w:ascii="Cambria Math" w:eastAsiaTheme="minorEastAsia" w:hAnsi="Cambria Math"/>
            <w:sz w:val="24"/>
            <w:szCs w:val="24"/>
            <w:lang w:val="es-MX"/>
          </w:rPr>
          <m:t>≤IHH≤1</m:t>
        </m:r>
      </m:oMath>
      <w:r w:rsidR="00672A1B" w:rsidRPr="00B07754">
        <w:rPr>
          <w:rFonts w:ascii="Times New Roman" w:eastAsiaTheme="minorEastAsia" w:hAnsi="Times New Roman"/>
          <w:sz w:val="24"/>
          <w:szCs w:val="24"/>
          <w:lang w:val="es-MX"/>
        </w:rPr>
        <w:tab/>
      </w:r>
      <w:r w:rsidR="00672A1B" w:rsidRPr="00B07754">
        <w:rPr>
          <w:rFonts w:ascii="Times New Roman" w:eastAsiaTheme="minorEastAsia" w:hAnsi="Times New Roman"/>
          <w:sz w:val="24"/>
          <w:szCs w:val="24"/>
          <w:lang w:val="es-MX"/>
        </w:rPr>
        <w:tab/>
      </w:r>
      <w:r w:rsidR="00672A1B" w:rsidRPr="00B07754">
        <w:rPr>
          <w:rFonts w:ascii="Times New Roman" w:eastAsiaTheme="minorEastAsia" w:hAnsi="Times New Roman"/>
          <w:sz w:val="24"/>
          <w:szCs w:val="24"/>
          <w:lang w:val="es-MX"/>
        </w:rPr>
        <w:tab/>
      </w:r>
      <w:r w:rsidR="00672A1B" w:rsidRPr="00B07754">
        <w:rPr>
          <w:rFonts w:ascii="Times New Roman" w:eastAsiaTheme="minorEastAsia" w:hAnsi="Times New Roman"/>
          <w:sz w:val="24"/>
          <w:szCs w:val="24"/>
          <w:lang w:val="es-MX"/>
        </w:rPr>
        <w:tab/>
      </w:r>
    </w:p>
    <w:p w:rsidR="00192495" w:rsidRPr="00B07754" w:rsidRDefault="00192495"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El límite inferior del índice es aquel en el que todos los bancos presentan igual tamaño y toma el valor de 1 en un mercado totalmente concentrado</w:t>
      </w:r>
      <w:r w:rsidR="00F832F3" w:rsidRPr="00B07754">
        <w:rPr>
          <w:rFonts w:ascii="Times New Roman" w:hAnsi="Times New Roman"/>
          <w:sz w:val="24"/>
          <w:szCs w:val="24"/>
          <w:lang w:val="es-MX"/>
        </w:rPr>
        <w:t>”</w:t>
      </w:r>
      <w:sdt>
        <w:sdtPr>
          <w:rPr>
            <w:rFonts w:ascii="Times New Roman" w:hAnsi="Times New Roman"/>
            <w:sz w:val="24"/>
            <w:szCs w:val="24"/>
            <w:lang w:val="es-MX"/>
          </w:rPr>
          <w:id w:val="1984661010"/>
          <w:citation/>
        </w:sdtPr>
        <w:sdtEndPr/>
        <w:sdtContent>
          <w:r w:rsidR="00F832F3" w:rsidRPr="00B07754">
            <w:rPr>
              <w:rFonts w:ascii="Times New Roman" w:hAnsi="Times New Roman"/>
              <w:sz w:val="24"/>
              <w:szCs w:val="24"/>
              <w:lang w:val="es-MX"/>
            </w:rPr>
            <w:fldChar w:fldCharType="begin"/>
          </w:r>
          <w:r w:rsidR="00F832F3" w:rsidRPr="00B07754">
            <w:rPr>
              <w:rFonts w:ascii="Times New Roman" w:hAnsi="Times New Roman"/>
              <w:sz w:val="24"/>
              <w:szCs w:val="24"/>
              <w:lang w:val="es-MX"/>
            </w:rPr>
            <w:instrText xml:space="preserve">CITATION Lui09 \p 16 \l 2058 </w:instrText>
          </w:r>
          <w:r w:rsidR="00F832F3"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16)</w:t>
          </w:r>
          <w:r w:rsidR="00F832F3"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410BC4" w:rsidRPr="00B07754" w:rsidRDefault="00410BC4"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Este índice al elevar las participaciones de mercado al cuadrado pondera o da mayor relevancia a aquellas instituciones que mayor p</w:t>
      </w:r>
      <w:r w:rsidR="006237DB" w:rsidRPr="00B07754">
        <w:rPr>
          <w:rFonts w:ascii="Times New Roman" w:hAnsi="Times New Roman"/>
          <w:sz w:val="24"/>
          <w:szCs w:val="24"/>
          <w:lang w:val="es-MX"/>
        </w:rPr>
        <w:t>articipación</w:t>
      </w:r>
      <w:r w:rsidRPr="00B07754">
        <w:rPr>
          <w:rFonts w:ascii="Times New Roman" w:hAnsi="Times New Roman"/>
          <w:sz w:val="24"/>
          <w:szCs w:val="24"/>
          <w:lang w:val="es-MX"/>
        </w:rPr>
        <w:t xml:space="preserve"> de mercado posean, tratando de esta manera de reflejar con mayor precisión el nivel de concentración de la industria que se esté analizando. Este indicador tiende a uno conforme más concentrado sea puesto que la mayor concentración que este puede alcanzar es del 100% de todo el mercado. </w:t>
      </w:r>
    </w:p>
    <w:p w:rsidR="00192495" w:rsidRPr="00B07754" w:rsidRDefault="006237DB"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Si se desea se puede emplear al</w:t>
      </w:r>
      <w:r w:rsidR="00192495" w:rsidRPr="00B07754">
        <w:rPr>
          <w:rFonts w:ascii="Times New Roman" w:hAnsi="Times New Roman"/>
          <w:sz w:val="24"/>
          <w:szCs w:val="24"/>
          <w:lang w:val="es-MX"/>
        </w:rPr>
        <w:t xml:space="preserve"> índice de concentración IHH como una medida de poder de mercado conforme lo indica el Departamento de Justicia de los Estados Unidos, mismo que</w:t>
      </w:r>
      <w:r w:rsidRPr="00B07754">
        <w:rPr>
          <w:rFonts w:ascii="Times New Roman" w:hAnsi="Times New Roman"/>
          <w:sz w:val="24"/>
          <w:szCs w:val="24"/>
          <w:lang w:val="es-MX"/>
        </w:rPr>
        <w:t xml:space="preserve"> utiliza al índice IHH en miles –al valor en porcentajes obtenido empleando la fórmula 4.3 se lo multiplica por 1.000-.</w:t>
      </w:r>
      <w:r w:rsidR="00192495" w:rsidRPr="00B07754">
        <w:rPr>
          <w:rFonts w:ascii="Times New Roman" w:hAnsi="Times New Roman"/>
          <w:sz w:val="24"/>
          <w:szCs w:val="24"/>
          <w:lang w:val="es-MX"/>
        </w:rPr>
        <w:t xml:space="preserve"> </w:t>
      </w:r>
      <w:r w:rsidRPr="00B07754">
        <w:rPr>
          <w:rFonts w:ascii="Times New Roman" w:hAnsi="Times New Roman"/>
          <w:sz w:val="24"/>
          <w:szCs w:val="24"/>
          <w:lang w:val="es-MX"/>
        </w:rPr>
        <w:t>Así pues, s</w:t>
      </w:r>
      <w:r w:rsidR="00192495" w:rsidRPr="00B07754">
        <w:rPr>
          <w:rFonts w:ascii="Times New Roman" w:hAnsi="Times New Roman"/>
          <w:sz w:val="24"/>
          <w:szCs w:val="24"/>
          <w:lang w:val="es-MX"/>
        </w:rPr>
        <w:t>u valor se acercará a 0 cuando el mercado esté conformado por un gran número de firmas de tamaño similar y alcanza su máximo de 10.000 si el mercado es controlado por una sola firma. Así pues, un incremento del índice IHH puede ser explicado por la disminución del número de firmas así como con el aumento en la disparidad en el tamaño de las firmas.</w:t>
      </w:r>
      <w:r w:rsidRPr="00B07754">
        <w:rPr>
          <w:rFonts w:ascii="Times New Roman" w:hAnsi="Times New Roman"/>
          <w:sz w:val="24"/>
          <w:szCs w:val="24"/>
          <w:lang w:val="es-MX"/>
        </w:rPr>
        <w:t xml:space="preserve"> </w:t>
      </w:r>
      <w:r w:rsidR="00192495" w:rsidRPr="00B07754">
        <w:rPr>
          <w:rFonts w:ascii="Times New Roman" w:hAnsi="Times New Roman"/>
          <w:sz w:val="24"/>
          <w:szCs w:val="24"/>
          <w:lang w:val="es-MX"/>
        </w:rPr>
        <w:t>Por lo general, si el índice se encuentra entre 1.500 y 2.500 puntos el mercado es moderadamente concentrado y si excede a los 2.500 puntos es altamente concentrado. De igual manera, las transacciones que incrementan el índice en un 20% refuerzan el poder de mercado de las firmas</w:t>
      </w:r>
      <w:sdt>
        <w:sdtPr>
          <w:rPr>
            <w:rFonts w:ascii="Times New Roman" w:hAnsi="Times New Roman"/>
            <w:sz w:val="24"/>
            <w:szCs w:val="24"/>
            <w:lang w:val="es-MX"/>
          </w:rPr>
          <w:id w:val="673539538"/>
          <w:citation/>
        </w:sdtPr>
        <w:sdtEndPr/>
        <w:sdtContent>
          <w:r w:rsidR="00192495" w:rsidRPr="00B07754">
            <w:rPr>
              <w:rFonts w:ascii="Times New Roman" w:hAnsi="Times New Roman"/>
              <w:sz w:val="24"/>
              <w:szCs w:val="24"/>
              <w:lang w:val="es-MX"/>
            </w:rPr>
            <w:fldChar w:fldCharType="begin"/>
          </w:r>
          <w:r w:rsidR="00192495" w:rsidRPr="00B07754">
            <w:rPr>
              <w:rFonts w:ascii="Times New Roman" w:hAnsi="Times New Roman"/>
              <w:sz w:val="24"/>
              <w:szCs w:val="24"/>
              <w:lang w:val="es-MX"/>
            </w:rPr>
            <w:instrText xml:space="preserve"> CITATION Dep13 \l 2058 </w:instrText>
          </w:r>
          <w:r w:rsidR="00192495"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(Departamento de Justicia de los Estados Unidos)</w:t>
          </w:r>
          <w:r w:rsidR="00192495" w:rsidRPr="00B07754">
            <w:rPr>
              <w:rFonts w:ascii="Times New Roman" w:hAnsi="Times New Roman"/>
              <w:sz w:val="24"/>
              <w:szCs w:val="24"/>
              <w:lang w:val="es-MX"/>
            </w:rPr>
            <w:fldChar w:fldCharType="end"/>
          </w:r>
        </w:sdtContent>
      </w:sdt>
      <w:r w:rsidR="00192495" w:rsidRPr="00B07754">
        <w:rPr>
          <w:rFonts w:ascii="Times New Roman" w:hAnsi="Times New Roman"/>
          <w:sz w:val="24"/>
          <w:szCs w:val="24"/>
          <w:lang w:val="es-MX"/>
        </w:rPr>
        <w:t xml:space="preserve">. </w:t>
      </w:r>
    </w:p>
    <w:p w:rsidR="00192495" w:rsidRPr="00B07754" w:rsidRDefault="00192495" w:rsidP="002B5E62">
      <w:pPr>
        <w:pStyle w:val="Ttulo3"/>
        <w:numPr>
          <w:ilvl w:val="2"/>
          <w:numId w:val="25"/>
        </w:numPr>
        <w:spacing w:before="0" w:after="200" w:line="360" w:lineRule="auto"/>
        <w:ind w:left="0" w:firstLine="0"/>
        <w:jc w:val="both"/>
        <w:rPr>
          <w:rFonts w:ascii="Times New Roman" w:hAnsi="Times New Roman"/>
          <w:b w:val="0"/>
          <w:i/>
          <w:color w:val="auto"/>
          <w:sz w:val="24"/>
          <w:szCs w:val="24"/>
          <w:lang w:val="es-MX"/>
        </w:rPr>
      </w:pPr>
      <w:bookmarkStart w:id="39" w:name="_Toc372589981"/>
      <w:r w:rsidRPr="00B07754">
        <w:rPr>
          <w:rFonts w:ascii="Times New Roman" w:hAnsi="Times New Roman"/>
          <w:b w:val="0"/>
          <w:i/>
          <w:color w:val="auto"/>
          <w:sz w:val="24"/>
          <w:szCs w:val="24"/>
          <w:lang w:val="es-MX"/>
        </w:rPr>
        <w:t>Resultados</w:t>
      </w:r>
      <w:bookmarkEnd w:id="39"/>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Los resultados de los indicadores de concentración CR</w:t>
      </w:r>
      <w:r w:rsidRPr="00B07754">
        <w:rPr>
          <w:rFonts w:ascii="Times New Roman" w:hAnsi="Times New Roman"/>
          <w:sz w:val="24"/>
          <w:szCs w:val="24"/>
          <w:vertAlign w:val="subscript"/>
          <w:lang w:val="es-MX"/>
        </w:rPr>
        <w:t>3</w:t>
      </w:r>
      <w:r w:rsidRPr="00B07754">
        <w:rPr>
          <w:rFonts w:ascii="Times New Roman" w:hAnsi="Times New Roman"/>
          <w:sz w:val="24"/>
          <w:szCs w:val="24"/>
          <w:lang w:val="es-MX"/>
        </w:rPr>
        <w:t xml:space="preserve"> y CR</w:t>
      </w:r>
      <w:r w:rsidRPr="00B07754">
        <w:rPr>
          <w:rFonts w:ascii="Times New Roman" w:hAnsi="Times New Roman"/>
          <w:sz w:val="24"/>
          <w:szCs w:val="24"/>
          <w:vertAlign w:val="subscript"/>
          <w:lang w:val="es-MX"/>
        </w:rPr>
        <w:t>4</w:t>
      </w:r>
      <w:r w:rsidR="00E25CA0" w:rsidRPr="00B07754">
        <w:rPr>
          <w:rFonts w:ascii="Times New Roman" w:hAnsi="Times New Roman"/>
          <w:sz w:val="24"/>
          <w:szCs w:val="24"/>
          <w:vertAlign w:val="subscript"/>
          <w:lang w:val="es-MX"/>
        </w:rPr>
        <w:t xml:space="preserve"> </w:t>
      </w:r>
      <w:r w:rsidRPr="00B07754">
        <w:rPr>
          <w:rFonts w:ascii="Times New Roman" w:hAnsi="Times New Roman"/>
          <w:sz w:val="24"/>
          <w:szCs w:val="24"/>
          <w:vertAlign w:val="subscript"/>
          <w:lang w:val="es-MX"/>
        </w:rPr>
        <w:t xml:space="preserve"> </w:t>
      </w:r>
      <w:r w:rsidRPr="00B07754">
        <w:rPr>
          <w:rFonts w:ascii="Times New Roman" w:hAnsi="Times New Roman"/>
          <w:sz w:val="24"/>
          <w:szCs w:val="24"/>
          <w:lang w:val="es-MX"/>
        </w:rPr>
        <w:t xml:space="preserve">reflejan que en el periodo de estudio, el mercado bancario en captaciones y colocaciones se encuentra altamente concentrado en los cuatro bancos más grandes (Pichincha, Pacífico, Guayaquil y </w:t>
      </w:r>
      <w:proofErr w:type="spellStart"/>
      <w:r w:rsidRPr="00B07754">
        <w:rPr>
          <w:rFonts w:ascii="Times New Roman" w:hAnsi="Times New Roman"/>
          <w:sz w:val="24"/>
          <w:szCs w:val="24"/>
          <w:lang w:val="es-MX"/>
        </w:rPr>
        <w:t>Produbanco</w:t>
      </w:r>
      <w:proofErr w:type="spellEnd"/>
      <w:r w:rsidRPr="00B07754">
        <w:rPr>
          <w:rFonts w:ascii="Times New Roman" w:hAnsi="Times New Roman"/>
          <w:sz w:val="24"/>
          <w:szCs w:val="24"/>
          <w:lang w:val="es-MX"/>
        </w:rPr>
        <w:t xml:space="preserve">) los cuales, en promedio, han mantenido el 63% y 62% del total de captaciones y colocaciones del sistema bancario ecuatoriano, respectivamente. En </w:t>
      </w:r>
      <w:r w:rsidRPr="00B07754">
        <w:rPr>
          <w:rFonts w:ascii="Times New Roman" w:hAnsi="Times New Roman"/>
          <w:sz w:val="24"/>
          <w:szCs w:val="24"/>
          <w:lang w:val="es-MX"/>
        </w:rPr>
        <w:lastRenderedPageBreak/>
        <w:t>consecuencia, el resto de instituciones integrantes del mercado, alrededor de unas 25 en el periodo analizado, poseen tan solo el 37% del total de captaciones y el 32% en lo que respecta a l</w:t>
      </w:r>
      <w:r w:rsidR="009E411A" w:rsidRPr="00B07754">
        <w:rPr>
          <w:rFonts w:ascii="Times New Roman" w:hAnsi="Times New Roman"/>
          <w:sz w:val="24"/>
          <w:szCs w:val="24"/>
          <w:lang w:val="es-MX"/>
        </w:rPr>
        <w:t xml:space="preserve">as colocaciones. Si utilizamos </w:t>
      </w:r>
      <w:r w:rsidRPr="00B07754">
        <w:rPr>
          <w:rFonts w:ascii="Times New Roman" w:hAnsi="Times New Roman"/>
          <w:sz w:val="24"/>
          <w:szCs w:val="24"/>
          <w:lang w:val="es-MX"/>
        </w:rPr>
        <w:t>el índice IHH, encontramos que tanto  colocaciones como para ca</w:t>
      </w:r>
      <w:r w:rsidR="00327EE6" w:rsidRPr="00B07754">
        <w:rPr>
          <w:rFonts w:ascii="Times New Roman" w:hAnsi="Times New Roman"/>
          <w:sz w:val="24"/>
          <w:szCs w:val="24"/>
          <w:lang w:val="es-MX"/>
        </w:rPr>
        <w:t>ptaciones se sitúa alrededor de 1400 puntos (</w:t>
      </w:r>
      <w:r w:rsidRPr="00B07754">
        <w:rPr>
          <w:rFonts w:ascii="Times New Roman" w:hAnsi="Times New Roman"/>
          <w:sz w:val="24"/>
          <w:szCs w:val="24"/>
          <w:lang w:val="es-MX"/>
        </w:rPr>
        <w:t>14%</w:t>
      </w:r>
      <w:r w:rsidR="00327EE6" w:rsidRPr="00B07754">
        <w:rPr>
          <w:rFonts w:ascii="Times New Roman" w:hAnsi="Times New Roman"/>
          <w:sz w:val="24"/>
          <w:szCs w:val="24"/>
          <w:lang w:val="es-MX"/>
        </w:rPr>
        <w:t>)</w:t>
      </w:r>
      <w:r w:rsidRPr="00B07754">
        <w:rPr>
          <w:rFonts w:ascii="Times New Roman" w:hAnsi="Times New Roman"/>
          <w:sz w:val="24"/>
          <w:szCs w:val="24"/>
          <w:lang w:val="es-MX"/>
        </w:rPr>
        <w:t xml:space="preserve">, es decir que de acuerdo a los estándares del Departamento de Justicia Norteamericano, se trataría de un mercado no concentrado. </w:t>
      </w:r>
    </w:p>
    <w:p w:rsidR="005A2BF4" w:rsidRPr="00B07754" w:rsidRDefault="00E25CA0"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En el Ecuador, los índices de concentración más relevantes para tomar en consideración al momento de elaborar política son el CR</w:t>
      </w:r>
      <w:r w:rsidRPr="00B07754">
        <w:rPr>
          <w:rFonts w:ascii="Times New Roman" w:hAnsi="Times New Roman"/>
          <w:sz w:val="24"/>
          <w:szCs w:val="24"/>
          <w:vertAlign w:val="subscript"/>
          <w:lang w:val="es-MX"/>
        </w:rPr>
        <w:t>3</w:t>
      </w:r>
      <w:r w:rsidRPr="00B07754">
        <w:rPr>
          <w:rFonts w:ascii="Times New Roman" w:hAnsi="Times New Roman"/>
          <w:sz w:val="24"/>
          <w:szCs w:val="24"/>
          <w:lang w:val="es-MX"/>
        </w:rPr>
        <w:t xml:space="preserve"> y CR</w:t>
      </w:r>
      <w:r w:rsidRPr="00B07754">
        <w:rPr>
          <w:rFonts w:ascii="Times New Roman" w:hAnsi="Times New Roman"/>
          <w:sz w:val="24"/>
          <w:szCs w:val="24"/>
          <w:vertAlign w:val="subscript"/>
          <w:lang w:val="es-MX"/>
        </w:rPr>
        <w:t>4</w:t>
      </w:r>
      <w:r w:rsidR="005A2BF4" w:rsidRPr="00B07754">
        <w:rPr>
          <w:rFonts w:ascii="Times New Roman" w:hAnsi="Times New Roman"/>
          <w:sz w:val="24"/>
          <w:szCs w:val="24"/>
          <w:vertAlign w:val="subscript"/>
          <w:lang w:val="es-MX"/>
        </w:rPr>
        <w:t xml:space="preserve"> </w:t>
      </w:r>
      <w:r w:rsidR="005A2BF4" w:rsidRPr="00B07754">
        <w:rPr>
          <w:rFonts w:ascii="Times New Roman" w:hAnsi="Times New Roman"/>
          <w:sz w:val="24"/>
          <w:szCs w:val="24"/>
          <w:lang w:val="es-MX"/>
        </w:rPr>
        <w:t xml:space="preserve">ya que la mayoría </w:t>
      </w:r>
      <w:r w:rsidRPr="00B07754">
        <w:rPr>
          <w:rFonts w:ascii="Times New Roman" w:hAnsi="Times New Roman"/>
          <w:sz w:val="24"/>
          <w:szCs w:val="24"/>
          <w:lang w:val="es-MX"/>
        </w:rPr>
        <w:t>de colocaciones y captaciones se encuentran distribuidos en</w:t>
      </w:r>
      <w:r w:rsidR="005A2BF4" w:rsidRPr="00B07754">
        <w:rPr>
          <w:rFonts w:ascii="Times New Roman" w:hAnsi="Times New Roman"/>
          <w:sz w:val="24"/>
          <w:szCs w:val="24"/>
          <w:lang w:val="es-MX"/>
        </w:rPr>
        <w:t>tre</w:t>
      </w:r>
      <w:r w:rsidRPr="00B07754">
        <w:rPr>
          <w:rFonts w:ascii="Times New Roman" w:hAnsi="Times New Roman"/>
          <w:sz w:val="24"/>
          <w:szCs w:val="24"/>
          <w:lang w:val="es-MX"/>
        </w:rPr>
        <w:t xml:space="preserve"> los cuatros bancos más grandes</w:t>
      </w:r>
      <w:r w:rsidR="005A2BF4" w:rsidRPr="00B07754">
        <w:rPr>
          <w:rFonts w:ascii="Times New Roman" w:hAnsi="Times New Roman"/>
          <w:sz w:val="24"/>
          <w:szCs w:val="24"/>
          <w:lang w:val="es-MX"/>
        </w:rPr>
        <w:t xml:space="preserve">. Así pues, </w:t>
      </w:r>
      <w:r w:rsidRPr="00B07754">
        <w:rPr>
          <w:rFonts w:ascii="Times New Roman" w:hAnsi="Times New Roman"/>
          <w:sz w:val="24"/>
          <w:szCs w:val="24"/>
          <w:lang w:val="es-MX"/>
        </w:rPr>
        <w:t xml:space="preserve">el momento que uno de ellos </w:t>
      </w:r>
      <w:r w:rsidR="005A2BF4" w:rsidRPr="00B07754">
        <w:rPr>
          <w:rFonts w:ascii="Times New Roman" w:hAnsi="Times New Roman"/>
          <w:sz w:val="24"/>
          <w:szCs w:val="24"/>
          <w:lang w:val="es-MX"/>
        </w:rPr>
        <w:t xml:space="preserve">presente problemas, éstos repercutirán </w:t>
      </w:r>
      <w:r w:rsidR="00CD25FA" w:rsidRPr="00B07754">
        <w:rPr>
          <w:rFonts w:ascii="Times New Roman" w:hAnsi="Times New Roman"/>
          <w:sz w:val="24"/>
          <w:szCs w:val="24"/>
          <w:lang w:val="es-MX"/>
        </w:rPr>
        <w:t>en</w:t>
      </w:r>
      <w:r w:rsidR="005A2BF4" w:rsidRPr="00B07754">
        <w:rPr>
          <w:rFonts w:ascii="Times New Roman" w:hAnsi="Times New Roman"/>
          <w:sz w:val="24"/>
          <w:szCs w:val="24"/>
          <w:lang w:val="es-MX"/>
        </w:rPr>
        <w:t xml:space="preserve"> toda la economía, empezando por la pérdida de confianza del público. Es importante analizar de manera periódica si éste índice varía con el tiempo; es decir</w:t>
      </w:r>
      <w:r w:rsidR="00CD25FA" w:rsidRPr="00B07754">
        <w:rPr>
          <w:rFonts w:ascii="Times New Roman" w:hAnsi="Times New Roman"/>
          <w:sz w:val="24"/>
          <w:szCs w:val="24"/>
          <w:lang w:val="es-MX"/>
        </w:rPr>
        <w:t>,</w:t>
      </w:r>
      <w:r w:rsidR="005A2BF4" w:rsidRPr="00B07754">
        <w:rPr>
          <w:rFonts w:ascii="Times New Roman" w:hAnsi="Times New Roman"/>
          <w:sz w:val="24"/>
          <w:szCs w:val="24"/>
          <w:lang w:val="es-MX"/>
        </w:rPr>
        <w:t xml:space="preserve"> si aumenta o disminuye la concentración como consecuencia de cambios en la estructura del mercado –mayor o menor competencia- o en la efectividad de las estrategias empleadas por los competidores. </w:t>
      </w:r>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Para el año 2002 la concentración de mercado CR</w:t>
      </w:r>
      <w:r w:rsidRPr="00B07754">
        <w:rPr>
          <w:rFonts w:ascii="Times New Roman" w:hAnsi="Times New Roman"/>
          <w:sz w:val="24"/>
          <w:szCs w:val="24"/>
          <w:vertAlign w:val="subscript"/>
          <w:lang w:val="es-MX"/>
        </w:rPr>
        <w:t xml:space="preserve">4 </w:t>
      </w:r>
      <w:r w:rsidRPr="00B07754">
        <w:rPr>
          <w:rFonts w:ascii="Times New Roman" w:hAnsi="Times New Roman"/>
          <w:sz w:val="24"/>
          <w:szCs w:val="24"/>
          <w:lang w:val="es-MX"/>
        </w:rPr>
        <w:t xml:space="preserve">fue del 62% tanto para captaciones como colocaciones, mientras que el índice IHH se encuentra alrededor del 14%. Los años 2002 y 2003 presentan una mayor concentración del índice IHH, del 17% en promedio para captaciones y colocaciones. Sin embargo, para el año 2004 este indicador presenta una disminución considerable del 32% en captaciones y del 34% en colocaciones. Este hecho puede ser atribuido a que en noviembre del 2003 el Oleoducto de Crudos Pesados (OCP) inició sus operaciones y el precio del crudo subió en un 32% del año 2003 al 2004; consecuentemente, las exportaciones petroleras crecieron en un 63% para el año 2004. Así pues, el crecimiento en las exportaciones se ve reflejado en un aumento de los ingresos y por tanto, del dinero en la economía ecuatoriana, otorgando a los bancos pequeños la oportunidad por competir por más colocaciones y captaciones.  </w:t>
      </w:r>
    </w:p>
    <w:p w:rsidR="00E0399F" w:rsidRPr="00B07754" w:rsidRDefault="00E0399F" w:rsidP="002B5E62">
      <w:pPr>
        <w:spacing w:line="360" w:lineRule="auto"/>
        <w:jc w:val="both"/>
        <w:rPr>
          <w:rFonts w:ascii="Times New Roman" w:hAnsi="Times New Roman"/>
          <w:sz w:val="24"/>
          <w:szCs w:val="24"/>
          <w:lang w:val="es-MX"/>
        </w:rPr>
      </w:pPr>
    </w:p>
    <w:p w:rsidR="00C12D35" w:rsidRPr="00B07754" w:rsidRDefault="00C12D35" w:rsidP="002B5E62">
      <w:pPr>
        <w:spacing w:line="360" w:lineRule="auto"/>
        <w:jc w:val="center"/>
        <w:rPr>
          <w:rFonts w:ascii="Times New Roman" w:hAnsi="Times New Roman"/>
          <w:sz w:val="24"/>
          <w:szCs w:val="24"/>
          <w:lang w:val="es-MX"/>
        </w:rPr>
      </w:pPr>
    </w:p>
    <w:p w:rsidR="00C12D35" w:rsidRPr="00B07754" w:rsidRDefault="00C12D35" w:rsidP="002B5E62">
      <w:pPr>
        <w:spacing w:line="360" w:lineRule="auto"/>
        <w:jc w:val="center"/>
        <w:rPr>
          <w:rFonts w:ascii="Times New Roman" w:hAnsi="Times New Roman"/>
          <w:sz w:val="24"/>
          <w:szCs w:val="24"/>
          <w:lang w:val="es-MX"/>
        </w:rPr>
      </w:pPr>
    </w:p>
    <w:p w:rsidR="00C12D35" w:rsidRPr="00B07754" w:rsidRDefault="00C12D35" w:rsidP="002B5E62">
      <w:pPr>
        <w:spacing w:line="360" w:lineRule="auto"/>
        <w:jc w:val="center"/>
        <w:rPr>
          <w:rFonts w:ascii="Times New Roman" w:hAnsi="Times New Roman"/>
          <w:sz w:val="24"/>
          <w:szCs w:val="24"/>
          <w:lang w:val="es-MX"/>
        </w:rPr>
      </w:pPr>
    </w:p>
    <w:p w:rsidR="00C12D35" w:rsidRPr="00B07754" w:rsidRDefault="00C12D35" w:rsidP="002B5E62">
      <w:pPr>
        <w:spacing w:line="360" w:lineRule="auto"/>
        <w:jc w:val="center"/>
        <w:rPr>
          <w:rFonts w:ascii="Times New Roman" w:hAnsi="Times New Roman"/>
          <w:sz w:val="24"/>
          <w:szCs w:val="24"/>
          <w:lang w:val="es-MX"/>
        </w:rPr>
      </w:pPr>
    </w:p>
    <w:p w:rsidR="00192495" w:rsidRPr="00B07754" w:rsidRDefault="00192495"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 xml:space="preserve">Tabla </w:t>
      </w:r>
      <w:r w:rsidR="00C12D35" w:rsidRPr="00B07754">
        <w:rPr>
          <w:rFonts w:ascii="Times New Roman" w:hAnsi="Times New Roman"/>
          <w:sz w:val="24"/>
          <w:szCs w:val="24"/>
          <w:lang w:val="es-MX"/>
        </w:rPr>
        <w:t>8</w:t>
      </w:r>
    </w:p>
    <w:p w:rsidR="00192495" w:rsidRPr="00B07754" w:rsidRDefault="00192495" w:rsidP="002B5E62">
      <w:pPr>
        <w:spacing w:line="360" w:lineRule="auto"/>
        <w:jc w:val="center"/>
        <w:rPr>
          <w:rFonts w:ascii="Times New Roman" w:hAnsi="Times New Roman"/>
          <w:sz w:val="24"/>
          <w:szCs w:val="24"/>
          <w:lang w:val="es-MX"/>
        </w:rPr>
      </w:pPr>
      <w:r w:rsidRPr="00B07754">
        <w:rPr>
          <w:rFonts w:ascii="Times New Roman" w:hAnsi="Times New Roman"/>
          <w:sz w:val="24"/>
          <w:szCs w:val="24"/>
          <w:lang w:val="es-MX"/>
        </w:rPr>
        <w:t>Indicadores Concentración para Captaciones y Colocaciones (en porcentajes) para el periodo 2002-2012</w:t>
      </w:r>
    </w:p>
    <w:p w:rsidR="00192495" w:rsidRPr="00B07754" w:rsidRDefault="00C123C8" w:rsidP="002B5E62">
      <w:pPr>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50E9DF5A" wp14:editId="372A612E">
            <wp:extent cx="5049078" cy="2695432"/>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48762" cy="2695263"/>
                    </a:xfrm>
                    <a:prstGeom prst="rect">
                      <a:avLst/>
                    </a:prstGeom>
                    <a:noFill/>
                    <a:ln>
                      <a:noFill/>
                    </a:ln>
                  </pic:spPr>
                </pic:pic>
              </a:graphicData>
            </a:graphic>
          </wp:inline>
        </w:drawing>
      </w:r>
    </w:p>
    <w:p w:rsidR="00192495" w:rsidRPr="00B07754" w:rsidRDefault="00192495"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Fuente: Superintendencia de Bancos y Seguros</w:t>
      </w:r>
    </w:p>
    <w:p w:rsidR="00192495" w:rsidRDefault="00192495"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784862" w:rsidRPr="00B07754" w:rsidRDefault="00784862" w:rsidP="002B5E62">
      <w:pPr>
        <w:spacing w:line="360" w:lineRule="auto"/>
        <w:rPr>
          <w:rFonts w:ascii="Times New Roman" w:hAnsi="Times New Roman"/>
          <w:sz w:val="24"/>
          <w:szCs w:val="24"/>
          <w:lang w:val="es-MX"/>
        </w:rPr>
      </w:pPr>
    </w:p>
    <w:p w:rsidR="00192495" w:rsidRPr="00B07754" w:rsidRDefault="00192495" w:rsidP="002B5E62">
      <w:pPr>
        <w:pStyle w:val="Ttulo2"/>
        <w:numPr>
          <w:ilvl w:val="1"/>
          <w:numId w:val="25"/>
        </w:numPr>
        <w:spacing w:before="0" w:after="200" w:line="360" w:lineRule="auto"/>
        <w:ind w:left="0" w:firstLine="0"/>
        <w:rPr>
          <w:rFonts w:ascii="Times New Roman" w:hAnsi="Times New Roman"/>
          <w:color w:val="auto"/>
          <w:sz w:val="24"/>
          <w:szCs w:val="24"/>
          <w:lang w:val="es-MX"/>
        </w:rPr>
      </w:pPr>
      <w:bookmarkStart w:id="40" w:name="_Toc372589982"/>
      <w:r w:rsidRPr="00B07754">
        <w:rPr>
          <w:rFonts w:ascii="Times New Roman" w:hAnsi="Times New Roman"/>
          <w:color w:val="auto"/>
          <w:sz w:val="24"/>
          <w:szCs w:val="24"/>
          <w:lang w:val="es-MX"/>
        </w:rPr>
        <w:t>Competencia</w:t>
      </w:r>
      <w:bookmarkEnd w:id="40"/>
    </w:p>
    <w:p w:rsidR="00192495" w:rsidRPr="00B07754" w:rsidRDefault="000300B1" w:rsidP="002B5E62">
      <w:pPr>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w:t>
      </w:r>
      <w:r w:rsidR="00192495" w:rsidRPr="00B07754">
        <w:rPr>
          <w:rFonts w:ascii="Times New Roman" w:hAnsi="Times New Roman"/>
          <w:sz w:val="24"/>
          <w:szCs w:val="24"/>
          <w:lang w:val="es-MX"/>
        </w:rPr>
        <w:t xml:space="preserve">El nivel de competencia del sistema bancario ecuatoriano fue calculado con el Estadístico H desarrollado por </w:t>
      </w:r>
      <w:proofErr w:type="spellStart"/>
      <w:r w:rsidR="00192495" w:rsidRPr="00B07754">
        <w:rPr>
          <w:rFonts w:ascii="Times New Roman" w:hAnsi="Times New Roman"/>
          <w:sz w:val="24"/>
          <w:szCs w:val="24"/>
          <w:lang w:val="es-MX"/>
        </w:rPr>
        <w:t>Panzar</w:t>
      </w:r>
      <w:proofErr w:type="spellEnd"/>
      <w:r w:rsidR="00192495" w:rsidRPr="00B07754">
        <w:rPr>
          <w:rFonts w:ascii="Times New Roman" w:hAnsi="Times New Roman"/>
          <w:sz w:val="24"/>
          <w:szCs w:val="24"/>
          <w:lang w:val="es-MX"/>
        </w:rPr>
        <w:t xml:space="preserve"> y Rose (1986). Estos autores desarrollan un modelo en el cual determinan la conducta competitiva de los bancos en base a las propiedades de estática comparativa de una ecuación de ingresos en forma reducida</w:t>
      </w:r>
      <w:sdt>
        <w:sdtPr>
          <w:rPr>
            <w:rFonts w:ascii="Times New Roman" w:hAnsi="Times New Roman"/>
            <w:sz w:val="24"/>
            <w:szCs w:val="24"/>
            <w:lang w:val="es-MX"/>
          </w:rPr>
          <w:id w:val="1059434576"/>
          <w:citation/>
        </w:sdtPr>
        <w:sdtEndPr/>
        <w:sdtContent>
          <w:r w:rsidR="00256D6A" w:rsidRPr="00B07754">
            <w:rPr>
              <w:rFonts w:ascii="Times New Roman" w:hAnsi="Times New Roman"/>
              <w:sz w:val="24"/>
              <w:szCs w:val="24"/>
              <w:lang w:val="es-MX"/>
            </w:rPr>
            <w:fldChar w:fldCharType="begin"/>
          </w:r>
          <w:r w:rsidR="00256D6A" w:rsidRPr="00B07754">
            <w:rPr>
              <w:rFonts w:ascii="Times New Roman" w:hAnsi="Times New Roman"/>
              <w:sz w:val="24"/>
              <w:szCs w:val="24"/>
              <w:lang w:val="es-MX"/>
            </w:rPr>
            <w:instrText xml:space="preserve">CITATION Lui09 \p 17 \l 2058 </w:instrText>
          </w:r>
          <w:r w:rsidR="00256D6A"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17)</w:t>
          </w:r>
          <w:r w:rsidR="00256D6A" w:rsidRPr="00B07754">
            <w:rPr>
              <w:rFonts w:ascii="Times New Roman" w:hAnsi="Times New Roman"/>
              <w:sz w:val="24"/>
              <w:szCs w:val="24"/>
              <w:lang w:val="es-MX"/>
            </w:rPr>
            <w:fldChar w:fldCharType="end"/>
          </w:r>
        </w:sdtContent>
      </w:sdt>
      <w:r w:rsidR="00192495" w:rsidRPr="00B07754">
        <w:rPr>
          <w:rStyle w:val="Refdenotaalpie"/>
          <w:rFonts w:ascii="Times New Roman" w:hAnsi="Times New Roman"/>
          <w:sz w:val="24"/>
          <w:szCs w:val="24"/>
          <w:lang w:val="es-MX"/>
        </w:rPr>
        <w:footnoteReference w:id="29"/>
      </w:r>
      <w:r w:rsidR="00192495" w:rsidRPr="00B07754">
        <w:rPr>
          <w:rFonts w:ascii="Times New Roman" w:hAnsi="Times New Roman"/>
          <w:sz w:val="24"/>
          <w:szCs w:val="24"/>
          <w:lang w:val="es-MX"/>
        </w:rPr>
        <w:t>.</w:t>
      </w:r>
      <w:r w:rsidR="00192495" w:rsidRPr="00B07754">
        <w:rPr>
          <w:rFonts w:ascii="Times New Roman" w:hAnsi="Times New Roman"/>
          <w:sz w:val="24"/>
          <w:szCs w:val="24"/>
          <w:highlight w:val="yellow"/>
          <w:lang w:val="es-MX"/>
        </w:rPr>
        <w:t xml:space="preserve"> </w:t>
      </w:r>
    </w:p>
    <w:p w:rsidR="00192495" w:rsidRPr="00B07754" w:rsidRDefault="00192495" w:rsidP="002B5E62">
      <w:pPr>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Individualmente el banco i maximiza beneficios en el punto en el que el ingreso marginal es igual a su costo marginal:</w:t>
      </w:r>
    </w:p>
    <w:p w:rsidR="00192495" w:rsidRPr="00B07754" w:rsidRDefault="00643B1A" w:rsidP="002B5E62">
      <w:pPr>
        <w:spacing w:line="360" w:lineRule="auto"/>
        <w:ind w:left="2837" w:firstLine="708"/>
        <w:jc w:val="both"/>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R'</m:t>
            </m:r>
          </m:e>
          <m:sub>
            <m:r>
              <w:rPr>
                <w:rFonts w:ascii="Cambria Math" w:hAnsi="Cambria Math"/>
                <w:sz w:val="24"/>
                <w:szCs w:val="24"/>
                <w:lang w:val="es-MX"/>
              </w:rPr>
              <m:t>i</m:t>
            </m:r>
          </m:sub>
        </m:sSub>
        <m:d>
          <m:dPr>
            <m:ctrlPr>
              <w:rPr>
                <w:rFonts w:ascii="Cambria Math" w:hAnsi="Cambria Math"/>
                <w:i/>
                <w:sz w:val="24"/>
                <w:szCs w:val="24"/>
                <w:lang w:val="es-MX"/>
              </w:rPr>
            </m:ctrlPr>
          </m:dPr>
          <m:e>
            <m:sSub>
              <m:sSubPr>
                <m:ctrlPr>
                  <w:rPr>
                    <w:rFonts w:ascii="Cambria Math" w:hAnsi="Cambria Math"/>
                    <w:i/>
                    <w:sz w:val="24"/>
                    <w:szCs w:val="24"/>
                    <w:lang w:val="es-MX"/>
                  </w:rPr>
                </m:ctrlPr>
              </m:sSubPr>
              <m:e>
                <m:r>
                  <w:rPr>
                    <w:rFonts w:ascii="Cambria Math" w:hAnsi="Cambria Math"/>
                    <w:sz w:val="24"/>
                    <w:szCs w:val="24"/>
                    <w:lang w:val="es-MX"/>
                  </w:rPr>
                  <m:t>y</m:t>
                </m:r>
              </m:e>
              <m:sub>
                <m:r>
                  <w:rPr>
                    <w:rFonts w:ascii="Cambria Math" w:hAnsi="Cambria Math"/>
                    <w:sz w:val="24"/>
                    <w:szCs w:val="24"/>
                    <w:lang w:val="es-MX"/>
                  </w:rPr>
                  <m:t>i</m:t>
                </m:r>
              </m:sub>
            </m:sSub>
            <m:r>
              <w:rPr>
                <w:rFonts w:ascii="Cambria Math" w:hAnsi="Cambria Math"/>
                <w:sz w:val="24"/>
                <w:szCs w:val="24"/>
                <w:lang w:val="es-MX"/>
              </w:rPr>
              <m:t>,n,</m:t>
            </m:r>
            <m:sSubSup>
              <m:sSubSupPr>
                <m:ctrlPr>
                  <w:rPr>
                    <w:rFonts w:ascii="Cambria Math" w:hAnsi="Cambria Math"/>
                    <w:i/>
                    <w:sz w:val="24"/>
                    <w:szCs w:val="24"/>
                    <w:lang w:val="es-MX"/>
                  </w:rPr>
                </m:ctrlPr>
              </m:sSubSupPr>
              <m:e>
                <m:r>
                  <w:rPr>
                    <w:rFonts w:ascii="Cambria Math" w:hAnsi="Cambria Math"/>
                    <w:sz w:val="24"/>
                    <w:szCs w:val="24"/>
                    <w:lang w:val="es-MX"/>
                  </w:rPr>
                  <m:t>Z</m:t>
                </m:r>
              </m:e>
              <m:sub>
                <m:r>
                  <w:rPr>
                    <w:rFonts w:ascii="Cambria Math" w:hAnsi="Cambria Math"/>
                    <w:sz w:val="24"/>
                    <w:szCs w:val="24"/>
                    <w:lang w:val="es-MX"/>
                  </w:rPr>
                  <m:t>r</m:t>
                </m:r>
              </m:sub>
              <m:sup>
                <m:r>
                  <w:rPr>
                    <w:rFonts w:ascii="Cambria Math" w:hAnsi="Cambria Math"/>
                    <w:sz w:val="24"/>
                    <w:szCs w:val="24"/>
                    <w:lang w:val="es-MX"/>
                  </w:rPr>
                  <m:t>R</m:t>
                </m:r>
              </m:sup>
            </m:sSubSup>
          </m:e>
        </m:d>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C'</m:t>
            </m:r>
          </m:e>
          <m:sub>
            <m:r>
              <w:rPr>
                <w:rFonts w:ascii="Cambria Math" w:hAnsi="Cambria Math"/>
                <w:sz w:val="24"/>
                <w:szCs w:val="24"/>
                <w:lang w:val="es-MX"/>
              </w:rPr>
              <m:t>i</m:t>
            </m:r>
          </m:sub>
        </m:sSub>
        <m:d>
          <m:dPr>
            <m:ctrlPr>
              <w:rPr>
                <w:rFonts w:ascii="Cambria Math" w:hAnsi="Cambria Math"/>
                <w:i/>
                <w:sz w:val="24"/>
                <w:szCs w:val="24"/>
                <w:lang w:val="es-MX"/>
              </w:rPr>
            </m:ctrlPr>
          </m:dPr>
          <m:e>
            <m:sSub>
              <m:sSubPr>
                <m:ctrlPr>
                  <w:rPr>
                    <w:rFonts w:ascii="Cambria Math" w:hAnsi="Cambria Math"/>
                    <w:i/>
                    <w:sz w:val="24"/>
                    <w:szCs w:val="24"/>
                    <w:lang w:val="es-MX"/>
                  </w:rPr>
                </m:ctrlPr>
              </m:sSubPr>
              <m:e>
                <m:r>
                  <w:rPr>
                    <w:rFonts w:ascii="Cambria Math" w:hAnsi="Cambria Math"/>
                    <w:sz w:val="24"/>
                    <w:szCs w:val="24"/>
                    <w:lang w:val="es-MX"/>
                  </w:rPr>
                  <m:t>y</m:t>
                </m:r>
              </m:e>
              <m:sub>
                <m:r>
                  <w:rPr>
                    <w:rFonts w:ascii="Cambria Math" w:hAnsi="Cambria Math"/>
                    <w:sz w:val="24"/>
                    <w:szCs w:val="24"/>
                    <w:lang w:val="es-MX"/>
                  </w:rPr>
                  <m:t>i</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w</m:t>
                </m:r>
              </m:e>
              <m:sub>
                <m:r>
                  <w:rPr>
                    <w:rFonts w:ascii="Cambria Math" w:hAnsi="Cambria Math"/>
                    <w:sz w:val="24"/>
                    <w:szCs w:val="24"/>
                    <w:lang w:val="es-MX"/>
                  </w:rPr>
                  <m:t>i</m:t>
                </m:r>
              </m:sub>
            </m:sSub>
            <m:r>
              <w:rPr>
                <w:rFonts w:ascii="Cambria Math" w:hAnsi="Cambria Math"/>
                <w:sz w:val="24"/>
                <w:szCs w:val="24"/>
                <w:lang w:val="es-MX"/>
              </w:rPr>
              <m:t>,</m:t>
            </m:r>
            <m:sSubSup>
              <m:sSubSupPr>
                <m:ctrlPr>
                  <w:rPr>
                    <w:rFonts w:ascii="Cambria Math" w:hAnsi="Cambria Math"/>
                    <w:i/>
                    <w:sz w:val="24"/>
                    <w:szCs w:val="24"/>
                    <w:lang w:val="es-MX"/>
                  </w:rPr>
                </m:ctrlPr>
              </m:sSubSupPr>
              <m:e>
                <m:r>
                  <w:rPr>
                    <w:rFonts w:ascii="Cambria Math" w:hAnsi="Cambria Math"/>
                    <w:sz w:val="24"/>
                    <w:szCs w:val="24"/>
                    <w:lang w:val="es-MX"/>
                  </w:rPr>
                  <m:t>Z</m:t>
                </m:r>
              </m:e>
              <m:sub>
                <m:r>
                  <w:rPr>
                    <w:rFonts w:ascii="Cambria Math" w:hAnsi="Cambria Math"/>
                    <w:sz w:val="24"/>
                    <w:szCs w:val="24"/>
                    <w:lang w:val="es-MX"/>
                  </w:rPr>
                  <m:t>r</m:t>
                </m:r>
              </m:sub>
              <m:sup>
                <m:r>
                  <w:rPr>
                    <w:rFonts w:ascii="Cambria Math" w:hAnsi="Cambria Math"/>
                    <w:sz w:val="24"/>
                    <w:szCs w:val="24"/>
                    <w:lang w:val="es-MX"/>
                  </w:rPr>
                  <m:t>C</m:t>
                </m:r>
              </m:sup>
            </m:sSubSup>
          </m:e>
        </m:d>
      </m:oMath>
      <w:r w:rsidR="00192495" w:rsidRPr="00B07754">
        <w:rPr>
          <w:rFonts w:ascii="Times New Roman" w:eastAsiaTheme="minorEastAsia" w:hAnsi="Times New Roman"/>
          <w:sz w:val="24"/>
          <w:szCs w:val="24"/>
          <w:lang w:val="es-MX"/>
        </w:rPr>
        <w:t xml:space="preserve"> </w:t>
      </w:r>
      <w:r w:rsidR="00192495" w:rsidRPr="00B07754">
        <w:rPr>
          <w:rFonts w:ascii="Times New Roman" w:eastAsiaTheme="minorEastAsia" w:hAnsi="Times New Roman"/>
          <w:sz w:val="24"/>
          <w:szCs w:val="24"/>
          <w:lang w:val="es-MX"/>
        </w:rPr>
        <w:tab/>
        <w:t xml:space="preserve">          </w:t>
      </w:r>
      <w:r w:rsidR="00401EEE"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 xml:space="preserve">     </w:t>
      </w:r>
      <w:r w:rsidR="0072491F" w:rsidRPr="00B07754">
        <w:rPr>
          <w:rFonts w:ascii="Times New Roman" w:eastAsiaTheme="minorEastAsia" w:hAnsi="Times New Roman"/>
          <w:sz w:val="24"/>
          <w:szCs w:val="24"/>
          <w:lang w:val="es-MX"/>
        </w:rPr>
        <w:tab/>
        <w:t>(</w:t>
      </w:r>
      <w:r w:rsidR="001C1DB5" w:rsidRPr="00B07754">
        <w:rPr>
          <w:rFonts w:ascii="Times New Roman" w:eastAsiaTheme="minorEastAsia" w:hAnsi="Times New Roman"/>
          <w:sz w:val="24"/>
          <w:szCs w:val="24"/>
          <w:lang w:val="es-MX"/>
        </w:rPr>
        <w:t>4</w:t>
      </w:r>
      <w:r w:rsidR="00192495" w:rsidRPr="00B07754">
        <w:rPr>
          <w:rFonts w:ascii="Times New Roman" w:eastAsiaTheme="minorEastAsia" w:hAnsi="Times New Roman"/>
          <w:sz w:val="24"/>
          <w:szCs w:val="24"/>
          <w:lang w:val="es-MX"/>
        </w:rPr>
        <w:t>)</w:t>
      </w:r>
    </w:p>
    <w:p w:rsidR="00192495" w:rsidRPr="00B07754" w:rsidRDefault="00192495" w:rsidP="002B5E62">
      <w:pPr>
        <w:spacing w:line="360" w:lineRule="auto"/>
        <w:ind w:firstLine="709"/>
        <w:jc w:val="both"/>
        <w:rPr>
          <w:rFonts w:ascii="Times New Roman" w:eastAsiaTheme="minorEastAsia" w:hAnsi="Times New Roman"/>
          <w:sz w:val="24"/>
          <w:szCs w:val="24"/>
          <w:lang w:val="es-MX"/>
        </w:rPr>
      </w:pPr>
      <w:proofErr w:type="spellStart"/>
      <w:r w:rsidRPr="00B07754">
        <w:rPr>
          <w:rFonts w:ascii="Times New Roman" w:eastAsiaTheme="minorEastAsia" w:hAnsi="Times New Roman"/>
          <w:sz w:val="24"/>
          <w:szCs w:val="24"/>
          <w:lang w:val="es-MX"/>
        </w:rPr>
        <w:t>Donde</w:t>
      </w:r>
      <w:proofErr w:type="spellEnd"/>
      <w:r w:rsidRPr="00B07754">
        <w:rPr>
          <w:rFonts w:ascii="Times New Roman" w:eastAsiaTheme="minorEastAsia" w:hAnsi="Times New Roman"/>
          <w:sz w:val="24"/>
          <w:szCs w:val="24"/>
          <w:lang w:val="es-MX"/>
        </w:rPr>
        <w:t>:</w:t>
      </w:r>
    </w:p>
    <w:p w:rsidR="00192495" w:rsidRPr="00B07754" w:rsidRDefault="00643B1A" w:rsidP="002B5E62">
      <w:pPr>
        <w:spacing w:line="360" w:lineRule="auto"/>
        <w:ind w:firstLine="709"/>
        <w:jc w:val="both"/>
        <w:rPr>
          <w:rFonts w:ascii="Times New Roman" w:eastAsiaTheme="minorEastAsia" w:hAnsi="Times New Roman"/>
          <w:sz w:val="24"/>
          <w:szCs w:val="24"/>
          <w:lang w:val="es-MX"/>
        </w:rPr>
      </w:pPr>
      <m:oMath>
        <m:sSup>
          <m:sSupPr>
            <m:ctrlPr>
              <w:rPr>
                <w:rFonts w:ascii="Cambria Math" w:hAnsi="Cambria Math"/>
                <w:i/>
                <w:sz w:val="24"/>
                <w:szCs w:val="24"/>
                <w:lang w:val="es-MX"/>
              </w:rPr>
            </m:ctrlPr>
          </m:sSupPr>
          <m:e>
            <m:r>
              <w:rPr>
                <w:rFonts w:ascii="Cambria Math" w:hAnsi="Cambria Math"/>
                <w:sz w:val="24"/>
                <w:szCs w:val="24"/>
                <w:lang w:val="es-MX"/>
              </w:rPr>
              <m:t>R</m:t>
            </m:r>
          </m:e>
          <m:sup>
            <m:r>
              <w:rPr>
                <w:rFonts w:ascii="Cambria Math" w:hAnsi="Cambria Math"/>
                <w:sz w:val="24"/>
                <w:szCs w:val="24"/>
                <w:lang w:val="es-MX"/>
              </w:rPr>
              <m:t>'</m:t>
            </m:r>
          </m:sup>
        </m:sSup>
        <m:r>
          <w:rPr>
            <w:rFonts w:ascii="Cambria Math" w:hAnsi="Cambria Math"/>
            <w:sz w:val="24"/>
            <w:szCs w:val="24"/>
            <w:lang w:val="es-MX"/>
          </w:rPr>
          <m:t>i</m:t>
        </m:r>
      </m:oMath>
      <w:r w:rsidR="00192495" w:rsidRPr="00B07754">
        <w:rPr>
          <w:rFonts w:ascii="Times New Roman" w:eastAsiaTheme="minorEastAsia" w:hAnsi="Times New Roman"/>
          <w:sz w:val="24"/>
          <w:szCs w:val="24"/>
          <w:lang w:val="es-MX"/>
        </w:rPr>
        <w:t xml:space="preserve"> </w:t>
      </w:r>
      <w:proofErr w:type="gramStart"/>
      <w:r w:rsidR="00192495" w:rsidRPr="00B07754">
        <w:rPr>
          <w:rFonts w:ascii="Times New Roman" w:eastAsiaTheme="minorEastAsia" w:hAnsi="Times New Roman"/>
          <w:sz w:val="24"/>
          <w:szCs w:val="24"/>
          <w:lang w:val="es-MX"/>
        </w:rPr>
        <w:t>es</w:t>
      </w:r>
      <w:proofErr w:type="gramEnd"/>
      <w:r w:rsidR="00192495" w:rsidRPr="00B07754">
        <w:rPr>
          <w:rFonts w:ascii="Times New Roman" w:eastAsiaTheme="minorEastAsia" w:hAnsi="Times New Roman"/>
          <w:sz w:val="24"/>
          <w:szCs w:val="24"/>
          <w:lang w:val="es-MX"/>
        </w:rPr>
        <w:t xml:space="preserve"> la función de ingreso marginal </w:t>
      </w:r>
    </w:p>
    <w:p w:rsidR="00192495" w:rsidRPr="00B07754" w:rsidRDefault="00643B1A" w:rsidP="002B5E62">
      <w:pPr>
        <w:spacing w:line="360" w:lineRule="auto"/>
        <w:ind w:firstLine="709"/>
        <w:jc w:val="both"/>
        <w:rPr>
          <w:rFonts w:ascii="Times New Roman" w:eastAsiaTheme="minorEastAsia" w:hAnsi="Times New Roman"/>
          <w:sz w:val="24"/>
          <w:szCs w:val="24"/>
          <w:lang w:val="es-MX"/>
        </w:rPr>
      </w:pPr>
      <m:oMath>
        <m:sSup>
          <m:sSupPr>
            <m:ctrlPr>
              <w:rPr>
                <w:rFonts w:ascii="Cambria Math" w:hAnsi="Cambria Math"/>
                <w:i/>
                <w:sz w:val="24"/>
                <w:szCs w:val="24"/>
                <w:lang w:val="es-MX"/>
              </w:rPr>
            </m:ctrlPr>
          </m:sSupPr>
          <m:e>
            <m:r>
              <w:rPr>
                <w:rFonts w:ascii="Cambria Math" w:hAnsi="Cambria Math"/>
                <w:sz w:val="24"/>
                <w:szCs w:val="24"/>
                <w:lang w:val="es-MX"/>
              </w:rPr>
              <m:t>C</m:t>
            </m:r>
          </m:e>
          <m:sup>
            <m:r>
              <w:rPr>
                <w:rFonts w:ascii="Cambria Math" w:hAnsi="Cambria Math"/>
                <w:sz w:val="24"/>
                <w:szCs w:val="24"/>
                <w:lang w:val="es-MX"/>
              </w:rPr>
              <m:t>'</m:t>
            </m:r>
          </m:sup>
        </m:sSup>
        <m:r>
          <w:rPr>
            <w:rFonts w:ascii="Cambria Math" w:hAnsi="Cambria Math"/>
            <w:sz w:val="24"/>
            <w:szCs w:val="24"/>
            <w:lang w:val="es-MX"/>
          </w:rPr>
          <m:t>i</m:t>
        </m:r>
      </m:oMath>
      <w:r w:rsidR="00192495" w:rsidRPr="00B07754">
        <w:rPr>
          <w:rFonts w:ascii="Times New Roman" w:eastAsiaTheme="minorEastAsia" w:hAnsi="Times New Roman"/>
          <w:sz w:val="24"/>
          <w:szCs w:val="24"/>
          <w:lang w:val="es-MX"/>
        </w:rPr>
        <w:t xml:space="preserve"> </w:t>
      </w:r>
      <w:proofErr w:type="gramStart"/>
      <w:r w:rsidR="00192495" w:rsidRPr="00B07754">
        <w:rPr>
          <w:rFonts w:ascii="Times New Roman" w:eastAsiaTheme="minorEastAsia" w:hAnsi="Times New Roman"/>
          <w:sz w:val="24"/>
          <w:szCs w:val="24"/>
          <w:lang w:val="es-MX"/>
        </w:rPr>
        <w:t>es</w:t>
      </w:r>
      <w:proofErr w:type="gramEnd"/>
      <w:r w:rsidR="00192495" w:rsidRPr="00B07754">
        <w:rPr>
          <w:rFonts w:ascii="Times New Roman" w:eastAsiaTheme="minorEastAsia" w:hAnsi="Times New Roman"/>
          <w:sz w:val="24"/>
          <w:szCs w:val="24"/>
          <w:lang w:val="es-MX"/>
        </w:rPr>
        <w:t xml:space="preserve"> la función de costo marginal </w:t>
      </w:r>
    </w:p>
    <w:p w:rsidR="00192495" w:rsidRPr="00B07754" w:rsidRDefault="00643B1A" w:rsidP="002B5E62">
      <w:pPr>
        <w:spacing w:line="360" w:lineRule="auto"/>
        <w:ind w:left="709"/>
        <w:jc w:val="both"/>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y</m:t>
            </m:r>
          </m:e>
          <m:sub>
            <m:r>
              <w:rPr>
                <w:rFonts w:ascii="Cambria Math" w:hAnsi="Cambria Math"/>
                <w:sz w:val="24"/>
                <w:szCs w:val="24"/>
                <w:lang w:val="es-MX"/>
              </w:rPr>
              <m:t>i</m:t>
            </m:r>
          </m:sub>
        </m:sSub>
      </m:oMath>
      <w:r w:rsidR="00192495" w:rsidRPr="00B07754">
        <w:rPr>
          <w:rFonts w:ascii="Times New Roman" w:eastAsiaTheme="minorEastAsia" w:hAnsi="Times New Roman"/>
          <w:sz w:val="24"/>
          <w:szCs w:val="24"/>
          <w:lang w:val="es-MX"/>
        </w:rPr>
        <w:t xml:space="preserve"> </w:t>
      </w:r>
      <w:proofErr w:type="gramStart"/>
      <w:r w:rsidR="00192495" w:rsidRPr="00B07754">
        <w:rPr>
          <w:rFonts w:ascii="Times New Roman" w:eastAsiaTheme="minorEastAsia" w:hAnsi="Times New Roman"/>
          <w:sz w:val="24"/>
          <w:szCs w:val="24"/>
          <w:lang w:val="es-MX"/>
        </w:rPr>
        <w:t>es</w:t>
      </w:r>
      <w:proofErr w:type="gramEnd"/>
      <w:r w:rsidR="00192495" w:rsidRPr="00B07754">
        <w:rPr>
          <w:rFonts w:ascii="Times New Roman" w:eastAsiaTheme="minorEastAsia" w:hAnsi="Times New Roman"/>
          <w:sz w:val="24"/>
          <w:szCs w:val="24"/>
          <w:lang w:val="es-MX"/>
        </w:rPr>
        <w:t xml:space="preserve"> el producto del banco i, es decir el monto involucrado en los servicios de intermediación, principalmente la cartera de créditos  </w:t>
      </w:r>
    </w:p>
    <w:p w:rsidR="00192495" w:rsidRPr="00B07754" w:rsidRDefault="00192495" w:rsidP="002B5E62">
      <w:pPr>
        <w:spacing w:line="360" w:lineRule="auto"/>
        <w:ind w:left="709"/>
        <w:jc w:val="both"/>
        <w:rPr>
          <w:rFonts w:ascii="Times New Roman" w:eastAsiaTheme="minorEastAsia" w:hAnsi="Times New Roman"/>
          <w:sz w:val="24"/>
          <w:szCs w:val="24"/>
          <w:lang w:val="es-MX"/>
        </w:rPr>
      </w:pPr>
      <w:proofErr w:type="gramStart"/>
      <w:r w:rsidRPr="00B07754">
        <w:rPr>
          <w:rFonts w:ascii="Times New Roman" w:eastAsiaTheme="minorEastAsia" w:hAnsi="Times New Roman"/>
          <w:i/>
          <w:sz w:val="24"/>
          <w:szCs w:val="24"/>
          <w:lang w:val="es-MX"/>
        </w:rPr>
        <w:t>n</w:t>
      </w:r>
      <w:proofErr w:type="gramEnd"/>
      <w:r w:rsidRPr="00B07754">
        <w:rPr>
          <w:rFonts w:ascii="Times New Roman" w:eastAsiaTheme="minorEastAsia" w:hAnsi="Times New Roman"/>
          <w:i/>
          <w:sz w:val="24"/>
          <w:szCs w:val="24"/>
          <w:lang w:val="es-MX"/>
        </w:rPr>
        <w:t xml:space="preserve"> </w:t>
      </w:r>
      <w:r w:rsidRPr="00B07754">
        <w:rPr>
          <w:rFonts w:ascii="Times New Roman" w:eastAsiaTheme="minorEastAsia" w:hAnsi="Times New Roman"/>
          <w:sz w:val="24"/>
          <w:szCs w:val="24"/>
          <w:lang w:val="es-MX"/>
        </w:rPr>
        <w:t xml:space="preserve">es el número de bancos, </w:t>
      </w:r>
      <m:oMath>
        <m:sSubSup>
          <m:sSubSupPr>
            <m:ctrlPr>
              <w:rPr>
                <w:rFonts w:ascii="Cambria Math" w:hAnsi="Cambria Math"/>
                <w:i/>
                <w:sz w:val="24"/>
                <w:szCs w:val="24"/>
                <w:lang w:val="es-MX"/>
              </w:rPr>
            </m:ctrlPr>
          </m:sSubSupPr>
          <m:e>
            <m:r>
              <w:rPr>
                <w:rFonts w:ascii="Cambria Math" w:hAnsi="Cambria Math"/>
                <w:sz w:val="24"/>
                <w:szCs w:val="24"/>
                <w:lang w:val="es-MX"/>
              </w:rPr>
              <m:t>Z</m:t>
            </m:r>
          </m:e>
          <m:sub>
            <m:r>
              <w:rPr>
                <w:rFonts w:ascii="Cambria Math" w:hAnsi="Cambria Math"/>
                <w:sz w:val="24"/>
                <w:szCs w:val="24"/>
                <w:lang w:val="es-MX"/>
              </w:rPr>
              <m:t>r</m:t>
            </m:r>
          </m:sub>
          <m:sup>
            <m:r>
              <w:rPr>
                <w:rFonts w:ascii="Cambria Math" w:hAnsi="Cambria Math"/>
                <w:sz w:val="24"/>
                <w:szCs w:val="24"/>
                <w:lang w:val="es-MX"/>
              </w:rPr>
              <m:t>R</m:t>
            </m:r>
          </m:sup>
        </m:sSubSup>
      </m:oMath>
      <w:r w:rsidRPr="00B07754">
        <w:rPr>
          <w:rFonts w:ascii="Times New Roman" w:eastAsiaTheme="minorEastAsia" w:hAnsi="Times New Roman"/>
          <w:sz w:val="24"/>
          <w:szCs w:val="24"/>
          <w:lang w:val="es-MX"/>
        </w:rPr>
        <w:t xml:space="preserve"> y </w:t>
      </w:r>
      <m:oMath>
        <m:sSubSup>
          <m:sSubSupPr>
            <m:ctrlPr>
              <w:rPr>
                <w:rFonts w:ascii="Cambria Math" w:hAnsi="Cambria Math"/>
                <w:i/>
                <w:sz w:val="24"/>
                <w:szCs w:val="24"/>
                <w:lang w:val="es-MX"/>
              </w:rPr>
            </m:ctrlPr>
          </m:sSubSupPr>
          <m:e>
            <m:r>
              <w:rPr>
                <w:rFonts w:ascii="Cambria Math" w:hAnsi="Cambria Math"/>
                <w:sz w:val="24"/>
                <w:szCs w:val="24"/>
                <w:lang w:val="es-MX"/>
              </w:rPr>
              <m:t>Z</m:t>
            </m:r>
          </m:e>
          <m:sub>
            <m:r>
              <w:rPr>
                <w:rFonts w:ascii="Cambria Math" w:hAnsi="Cambria Math"/>
                <w:sz w:val="24"/>
                <w:szCs w:val="24"/>
                <w:lang w:val="es-MX"/>
              </w:rPr>
              <m:t>r</m:t>
            </m:r>
          </m:sub>
          <m:sup>
            <m:r>
              <w:rPr>
                <w:rFonts w:ascii="Cambria Math" w:hAnsi="Cambria Math"/>
                <w:sz w:val="24"/>
                <w:szCs w:val="24"/>
                <w:lang w:val="es-MX"/>
              </w:rPr>
              <m:t>C</m:t>
            </m:r>
          </m:sup>
        </m:sSubSup>
      </m:oMath>
      <w:r w:rsidRPr="00B07754">
        <w:rPr>
          <w:rFonts w:ascii="Times New Roman" w:eastAsiaTheme="minorEastAsia" w:hAnsi="Times New Roman"/>
          <w:sz w:val="24"/>
          <w:szCs w:val="24"/>
          <w:lang w:val="es-MX"/>
        </w:rPr>
        <w:t xml:space="preserve"> son variables exógenas que afectan las funciones de ingreso y costo, respectivamente; y, </w:t>
      </w:r>
    </w:p>
    <w:p w:rsidR="00192495" w:rsidRPr="00B07754" w:rsidRDefault="00643B1A" w:rsidP="002B5E62">
      <w:pPr>
        <w:spacing w:line="360" w:lineRule="auto"/>
        <w:ind w:firstLine="709"/>
        <w:jc w:val="both"/>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w</m:t>
            </m:r>
          </m:e>
          <m:sub>
            <m:r>
              <w:rPr>
                <w:rFonts w:ascii="Cambria Math" w:hAnsi="Cambria Math"/>
                <w:sz w:val="24"/>
                <w:szCs w:val="24"/>
                <w:lang w:val="es-MX"/>
              </w:rPr>
              <m:t>i</m:t>
            </m:r>
          </m:sub>
        </m:sSub>
      </m:oMath>
      <w:r w:rsidR="00192495" w:rsidRPr="00B07754">
        <w:rPr>
          <w:rFonts w:ascii="Times New Roman" w:eastAsiaTheme="minorEastAsia" w:hAnsi="Times New Roman"/>
          <w:sz w:val="24"/>
          <w:szCs w:val="24"/>
          <w:lang w:val="es-MX"/>
        </w:rPr>
        <w:t xml:space="preserve"> </w:t>
      </w:r>
      <w:proofErr w:type="gramStart"/>
      <w:r w:rsidR="00192495" w:rsidRPr="00B07754">
        <w:rPr>
          <w:rFonts w:ascii="Times New Roman" w:eastAsiaTheme="minorEastAsia" w:hAnsi="Times New Roman"/>
          <w:sz w:val="24"/>
          <w:szCs w:val="24"/>
          <w:lang w:val="es-MX"/>
        </w:rPr>
        <w:t>es</w:t>
      </w:r>
      <w:proofErr w:type="gramEnd"/>
      <w:r w:rsidR="00192495" w:rsidRPr="00B07754">
        <w:rPr>
          <w:rFonts w:ascii="Times New Roman" w:eastAsiaTheme="minorEastAsia" w:hAnsi="Times New Roman"/>
          <w:sz w:val="24"/>
          <w:szCs w:val="24"/>
          <w:lang w:val="es-MX"/>
        </w:rPr>
        <w:t xml:space="preserve"> el vector de precios de insumos del banco i. </w:t>
      </w:r>
    </w:p>
    <w:p w:rsidR="00192495" w:rsidRPr="00B07754" w:rsidRDefault="00192495" w:rsidP="002B5E62">
      <w:pPr>
        <w:spacing w:line="360" w:lineRule="auto"/>
        <w:ind w:left="709"/>
        <w:jc w:val="both"/>
        <w:rPr>
          <w:rFonts w:ascii="Times New Roman" w:eastAsiaTheme="minorEastAsia" w:hAnsi="Times New Roman"/>
          <w:sz w:val="24"/>
          <w:szCs w:val="24"/>
          <w:lang w:val="es-MX"/>
        </w:rPr>
      </w:pPr>
      <w:r w:rsidRPr="00B07754">
        <w:rPr>
          <w:rFonts w:ascii="Times New Roman" w:eastAsiaTheme="minorEastAsia" w:hAnsi="Times New Roman"/>
          <w:sz w:val="24"/>
          <w:szCs w:val="24"/>
          <w:lang w:val="es-MX"/>
        </w:rPr>
        <w:t xml:space="preserve">La condición de </w:t>
      </w:r>
      <w:proofErr w:type="spellStart"/>
      <w:r w:rsidRPr="00B07754">
        <w:rPr>
          <w:rFonts w:ascii="Times New Roman" w:eastAsiaTheme="minorEastAsia" w:hAnsi="Times New Roman"/>
          <w:sz w:val="24"/>
          <w:szCs w:val="24"/>
          <w:lang w:val="es-MX"/>
        </w:rPr>
        <w:t>optimalidad</w:t>
      </w:r>
      <w:proofErr w:type="spellEnd"/>
      <w:r w:rsidRPr="00B07754">
        <w:rPr>
          <w:rFonts w:ascii="Times New Roman" w:eastAsiaTheme="minorEastAsia" w:hAnsi="Times New Roman"/>
          <w:sz w:val="24"/>
          <w:szCs w:val="24"/>
          <w:lang w:val="es-MX"/>
        </w:rPr>
        <w:t xml:space="preserve"> en la industria implica que el ingreso marginal sea igual al costo marginal (</w:t>
      </w:r>
      <w:proofErr w:type="spellStart"/>
      <w:r w:rsidRPr="00B07754">
        <w:rPr>
          <w:rFonts w:ascii="Times New Roman" w:eastAsiaTheme="minorEastAsia" w:hAnsi="Times New Roman"/>
          <w:sz w:val="24"/>
          <w:szCs w:val="24"/>
          <w:lang w:val="es-MX"/>
        </w:rPr>
        <w:t>IMg</w:t>
      </w:r>
      <w:proofErr w:type="spellEnd"/>
      <w:r w:rsidRPr="00B07754">
        <w:rPr>
          <w:rFonts w:ascii="Times New Roman" w:eastAsiaTheme="minorEastAsia" w:hAnsi="Times New Roman"/>
          <w:sz w:val="24"/>
          <w:szCs w:val="24"/>
          <w:lang w:val="es-MX"/>
        </w:rPr>
        <w:t>=</w:t>
      </w:r>
      <w:proofErr w:type="spellStart"/>
      <w:r w:rsidRPr="00B07754">
        <w:rPr>
          <w:rFonts w:ascii="Times New Roman" w:eastAsiaTheme="minorEastAsia" w:hAnsi="Times New Roman"/>
          <w:sz w:val="24"/>
          <w:szCs w:val="24"/>
          <w:lang w:val="es-MX"/>
        </w:rPr>
        <w:t>CMg</w:t>
      </w:r>
      <w:proofErr w:type="spellEnd"/>
      <w:r w:rsidRPr="00B07754">
        <w:rPr>
          <w:rFonts w:ascii="Times New Roman" w:eastAsiaTheme="minorEastAsia" w:hAnsi="Times New Roman"/>
          <w:sz w:val="24"/>
          <w:szCs w:val="24"/>
          <w:lang w:val="es-MX"/>
        </w:rPr>
        <w:t xml:space="preserve">), por lo que para valores de equilibrio se cumple que </w:t>
      </w:r>
    </w:p>
    <w:p w:rsidR="00192495" w:rsidRPr="00B07754" w:rsidRDefault="00643B1A" w:rsidP="002B5E62">
      <w:pPr>
        <w:spacing w:line="360" w:lineRule="auto"/>
        <w:ind w:left="2832"/>
        <w:jc w:val="both"/>
        <w:rPr>
          <w:rFonts w:ascii="Times New Roman" w:eastAsiaTheme="minorEastAsia" w:hAnsi="Times New Roman"/>
          <w:sz w:val="24"/>
          <w:szCs w:val="24"/>
          <w:lang w:val="es-MX"/>
        </w:rPr>
      </w:pPr>
      <m:oMath>
        <m:sSubSup>
          <m:sSubSupPr>
            <m:ctrlPr>
              <w:rPr>
                <w:rFonts w:ascii="Cambria Math" w:hAnsi="Cambria Math"/>
                <w:i/>
                <w:sz w:val="24"/>
                <w:szCs w:val="24"/>
                <w:lang w:val="es-MX"/>
              </w:rPr>
            </m:ctrlPr>
          </m:sSubSupPr>
          <m:e>
            <m:r>
              <w:rPr>
                <w:rFonts w:ascii="Cambria Math" w:hAnsi="Cambria Math"/>
                <w:sz w:val="24"/>
                <w:szCs w:val="24"/>
                <w:lang w:val="es-MX"/>
              </w:rPr>
              <m:t>R</m:t>
            </m:r>
          </m:e>
          <m:sub>
            <m:r>
              <w:rPr>
                <w:rFonts w:ascii="Cambria Math" w:hAnsi="Cambria Math"/>
                <w:sz w:val="24"/>
                <w:szCs w:val="24"/>
                <w:lang w:val="es-MX"/>
              </w:rPr>
              <m:t>i</m:t>
            </m:r>
          </m:sub>
          <m:sup>
            <m:r>
              <w:rPr>
                <w:rFonts w:ascii="Cambria Math" w:hAnsi="Cambria Math"/>
                <w:sz w:val="24"/>
                <w:szCs w:val="24"/>
                <w:lang w:val="es-MX"/>
              </w:rPr>
              <m:t>*</m:t>
            </m:r>
          </m:sup>
        </m:sSubSup>
        <m:d>
          <m:dPr>
            <m:ctrlPr>
              <w:rPr>
                <w:rFonts w:ascii="Cambria Math" w:hAnsi="Cambria Math"/>
                <w:i/>
                <w:sz w:val="24"/>
                <w:szCs w:val="24"/>
                <w:lang w:val="es-MX"/>
              </w:rPr>
            </m:ctrlPr>
          </m:dPr>
          <m:e>
            <m:sSubSup>
              <m:sSubSupPr>
                <m:ctrlPr>
                  <w:rPr>
                    <w:rFonts w:ascii="Cambria Math" w:hAnsi="Cambria Math"/>
                    <w:i/>
                    <w:sz w:val="24"/>
                    <w:szCs w:val="24"/>
                    <w:lang w:val="es-MX"/>
                  </w:rPr>
                </m:ctrlPr>
              </m:sSubSupPr>
              <m:e>
                <m:r>
                  <w:rPr>
                    <w:rFonts w:ascii="Cambria Math" w:hAnsi="Cambria Math"/>
                    <w:sz w:val="24"/>
                    <w:szCs w:val="24"/>
                    <w:lang w:val="es-MX"/>
                  </w:rPr>
                  <m:t>y</m:t>
                </m:r>
              </m:e>
              <m:sub>
                <m:r>
                  <w:rPr>
                    <w:rFonts w:ascii="Cambria Math" w:hAnsi="Cambria Math"/>
                    <w:sz w:val="24"/>
                    <w:szCs w:val="24"/>
                    <w:lang w:val="es-MX"/>
                  </w:rPr>
                  <m:t>i</m:t>
                </m:r>
              </m:sub>
              <m:sup>
                <m:r>
                  <w:rPr>
                    <w:rFonts w:ascii="Cambria Math" w:hAnsi="Cambria Math"/>
                    <w:sz w:val="24"/>
                    <w:szCs w:val="24"/>
                    <w:lang w:val="es-MX"/>
                  </w:rPr>
                  <m:t>*</m:t>
                </m:r>
              </m:sup>
            </m:sSubSup>
            <m:r>
              <w:rPr>
                <w:rFonts w:ascii="Cambria Math" w:hAnsi="Cambria Math"/>
                <w:sz w:val="24"/>
                <w:szCs w:val="24"/>
                <w:lang w:val="es-MX"/>
              </w:rPr>
              <m:t>,</m:t>
            </m:r>
            <m:sSup>
              <m:sSupPr>
                <m:ctrlPr>
                  <w:rPr>
                    <w:rFonts w:ascii="Cambria Math" w:hAnsi="Cambria Math"/>
                    <w:i/>
                    <w:sz w:val="24"/>
                    <w:szCs w:val="24"/>
                    <w:lang w:val="es-MX"/>
                  </w:rPr>
                </m:ctrlPr>
              </m:sSupPr>
              <m:e>
                <m:r>
                  <w:rPr>
                    <w:rFonts w:ascii="Cambria Math" w:hAnsi="Cambria Math"/>
                    <w:sz w:val="24"/>
                    <w:szCs w:val="24"/>
                    <w:lang w:val="es-MX"/>
                  </w:rPr>
                  <m:t>n</m:t>
                </m:r>
              </m:e>
              <m:sup>
                <m:r>
                  <w:rPr>
                    <w:rFonts w:ascii="Cambria Math" w:hAnsi="Cambria Math"/>
                    <w:sz w:val="24"/>
                    <w:szCs w:val="24"/>
                    <w:lang w:val="es-MX"/>
                  </w:rPr>
                  <m:t>*</m:t>
                </m:r>
              </m:sup>
            </m:sSup>
            <m:r>
              <w:rPr>
                <w:rFonts w:ascii="Cambria Math" w:hAnsi="Cambria Math"/>
                <w:sz w:val="24"/>
                <w:szCs w:val="24"/>
                <w:lang w:val="es-MX"/>
              </w:rPr>
              <m:t>,</m:t>
            </m:r>
            <m:sSubSup>
              <m:sSubSupPr>
                <m:ctrlPr>
                  <w:rPr>
                    <w:rFonts w:ascii="Cambria Math" w:hAnsi="Cambria Math"/>
                    <w:i/>
                    <w:sz w:val="24"/>
                    <w:szCs w:val="24"/>
                    <w:lang w:val="es-MX"/>
                  </w:rPr>
                </m:ctrlPr>
              </m:sSubSupPr>
              <m:e>
                <m:r>
                  <w:rPr>
                    <w:rFonts w:ascii="Cambria Math" w:hAnsi="Cambria Math"/>
                    <w:sz w:val="24"/>
                    <w:szCs w:val="24"/>
                    <w:lang w:val="es-MX"/>
                  </w:rPr>
                  <m:t>Z</m:t>
                </m:r>
              </m:e>
              <m:sub>
                <m:r>
                  <w:rPr>
                    <w:rFonts w:ascii="Cambria Math" w:hAnsi="Cambria Math"/>
                    <w:sz w:val="24"/>
                    <w:szCs w:val="24"/>
                    <w:lang w:val="es-MX"/>
                  </w:rPr>
                  <m:t>r</m:t>
                </m:r>
              </m:sub>
              <m:sup>
                <m:r>
                  <w:rPr>
                    <w:rFonts w:ascii="Cambria Math" w:hAnsi="Cambria Math"/>
                    <w:sz w:val="24"/>
                    <w:szCs w:val="24"/>
                    <w:lang w:val="es-MX"/>
                  </w:rPr>
                  <m:t>R</m:t>
                </m:r>
              </m:sup>
            </m:sSubSup>
          </m:e>
        </m:d>
        <m:r>
          <w:rPr>
            <w:rFonts w:ascii="Cambria Math" w:hAnsi="Cambria Math"/>
            <w:sz w:val="24"/>
            <w:szCs w:val="24"/>
            <w:lang w:val="es-MX"/>
          </w:rPr>
          <m:t>=</m:t>
        </m:r>
        <m:sSubSup>
          <m:sSubSupPr>
            <m:ctrlPr>
              <w:rPr>
                <w:rFonts w:ascii="Cambria Math" w:hAnsi="Cambria Math"/>
                <w:i/>
                <w:sz w:val="24"/>
                <w:szCs w:val="24"/>
                <w:lang w:val="es-MX"/>
              </w:rPr>
            </m:ctrlPr>
          </m:sSubSupPr>
          <m:e>
            <m:r>
              <w:rPr>
                <w:rFonts w:ascii="Cambria Math" w:hAnsi="Cambria Math"/>
                <w:sz w:val="24"/>
                <w:szCs w:val="24"/>
                <w:lang w:val="es-MX"/>
              </w:rPr>
              <m:t>C</m:t>
            </m:r>
          </m:e>
          <m:sub>
            <m:r>
              <w:rPr>
                <w:rFonts w:ascii="Cambria Math" w:hAnsi="Cambria Math"/>
                <w:sz w:val="24"/>
                <w:szCs w:val="24"/>
                <w:lang w:val="es-MX"/>
              </w:rPr>
              <m:t>i</m:t>
            </m:r>
          </m:sub>
          <m:sup>
            <m:r>
              <w:rPr>
                <w:rFonts w:ascii="Cambria Math" w:hAnsi="Cambria Math"/>
                <w:sz w:val="24"/>
                <w:szCs w:val="24"/>
                <w:lang w:val="es-MX"/>
              </w:rPr>
              <m:t>*</m:t>
            </m:r>
          </m:sup>
        </m:sSubSup>
        <m:d>
          <m:dPr>
            <m:ctrlPr>
              <w:rPr>
                <w:rFonts w:ascii="Cambria Math" w:hAnsi="Cambria Math"/>
                <w:i/>
                <w:sz w:val="24"/>
                <w:szCs w:val="24"/>
                <w:lang w:val="es-MX"/>
              </w:rPr>
            </m:ctrlPr>
          </m:dPr>
          <m:e>
            <m:sSubSup>
              <m:sSubSupPr>
                <m:ctrlPr>
                  <w:rPr>
                    <w:rFonts w:ascii="Cambria Math" w:hAnsi="Cambria Math"/>
                    <w:i/>
                    <w:sz w:val="24"/>
                    <w:szCs w:val="24"/>
                    <w:lang w:val="es-MX"/>
                  </w:rPr>
                </m:ctrlPr>
              </m:sSubSupPr>
              <m:e>
                <m:r>
                  <w:rPr>
                    <w:rFonts w:ascii="Cambria Math" w:hAnsi="Cambria Math"/>
                    <w:sz w:val="24"/>
                    <w:szCs w:val="24"/>
                    <w:lang w:val="es-MX"/>
                  </w:rPr>
                  <m:t>y</m:t>
                </m:r>
              </m:e>
              <m:sub>
                <m:r>
                  <w:rPr>
                    <w:rFonts w:ascii="Cambria Math" w:hAnsi="Cambria Math"/>
                    <w:sz w:val="24"/>
                    <w:szCs w:val="24"/>
                    <w:lang w:val="es-MX"/>
                  </w:rPr>
                  <m:t>i</m:t>
                </m:r>
              </m:sub>
              <m:sup>
                <m:r>
                  <w:rPr>
                    <w:rFonts w:ascii="Cambria Math" w:hAnsi="Cambria Math"/>
                    <w:sz w:val="24"/>
                    <w:szCs w:val="24"/>
                    <w:lang w:val="es-MX"/>
                  </w:rPr>
                  <m:t>*</m:t>
                </m:r>
              </m:sup>
            </m:sSubSup>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w</m:t>
                </m:r>
              </m:e>
              <m:sub>
                <m:r>
                  <w:rPr>
                    <w:rFonts w:ascii="Cambria Math" w:hAnsi="Cambria Math"/>
                    <w:sz w:val="24"/>
                    <w:szCs w:val="24"/>
                    <w:lang w:val="es-MX"/>
                  </w:rPr>
                  <m:t>i</m:t>
                </m:r>
              </m:sub>
            </m:sSub>
            <m:r>
              <w:rPr>
                <w:rFonts w:ascii="Cambria Math" w:hAnsi="Cambria Math"/>
                <w:sz w:val="24"/>
                <w:szCs w:val="24"/>
                <w:lang w:val="es-MX"/>
              </w:rPr>
              <m:t>,</m:t>
            </m:r>
            <m:sSubSup>
              <m:sSubSupPr>
                <m:ctrlPr>
                  <w:rPr>
                    <w:rFonts w:ascii="Cambria Math" w:hAnsi="Cambria Math"/>
                    <w:i/>
                    <w:sz w:val="24"/>
                    <w:szCs w:val="24"/>
                    <w:lang w:val="es-MX"/>
                  </w:rPr>
                </m:ctrlPr>
              </m:sSubSupPr>
              <m:e>
                <m:r>
                  <w:rPr>
                    <w:rFonts w:ascii="Cambria Math" w:hAnsi="Cambria Math"/>
                    <w:sz w:val="24"/>
                    <w:szCs w:val="24"/>
                    <w:lang w:val="es-MX"/>
                  </w:rPr>
                  <m:t>Z</m:t>
                </m:r>
              </m:e>
              <m:sub>
                <m:r>
                  <w:rPr>
                    <w:rFonts w:ascii="Cambria Math" w:hAnsi="Cambria Math"/>
                    <w:sz w:val="24"/>
                    <w:szCs w:val="24"/>
                    <w:lang w:val="es-MX"/>
                  </w:rPr>
                  <m:t>r</m:t>
                </m:r>
              </m:sub>
              <m:sup>
                <m:r>
                  <w:rPr>
                    <w:rFonts w:ascii="Cambria Math" w:hAnsi="Cambria Math"/>
                    <w:sz w:val="24"/>
                    <w:szCs w:val="24"/>
                    <w:lang w:val="es-MX"/>
                  </w:rPr>
                  <m:t>C</m:t>
                </m:r>
              </m:sup>
            </m:sSubSup>
          </m:e>
        </m:d>
      </m:oMath>
      <w:r w:rsidR="00192495" w:rsidRPr="00B07754">
        <w:rPr>
          <w:rFonts w:ascii="Times New Roman" w:eastAsiaTheme="minorEastAsia" w:hAnsi="Times New Roman"/>
          <w:sz w:val="24"/>
          <w:szCs w:val="24"/>
          <w:lang w:val="es-MX"/>
        </w:rPr>
        <w:t xml:space="preserve"> </w:t>
      </w:r>
      <w:r w:rsidR="00192495" w:rsidRPr="00B07754">
        <w:rPr>
          <w:rFonts w:ascii="Times New Roman" w:eastAsiaTheme="minorEastAsia" w:hAnsi="Times New Roman"/>
          <w:sz w:val="24"/>
          <w:szCs w:val="24"/>
          <w:lang w:val="es-MX"/>
        </w:rPr>
        <w:tab/>
      </w:r>
      <w:r w:rsidR="00401EEE"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t>(</w:t>
      </w:r>
      <w:r w:rsidR="001C1DB5" w:rsidRPr="00B07754">
        <w:rPr>
          <w:rFonts w:ascii="Times New Roman" w:eastAsiaTheme="minorEastAsia" w:hAnsi="Times New Roman"/>
          <w:sz w:val="24"/>
          <w:szCs w:val="24"/>
          <w:lang w:val="es-MX"/>
        </w:rPr>
        <w:t>5</w:t>
      </w:r>
      <w:r w:rsidR="00192495" w:rsidRPr="00B07754">
        <w:rPr>
          <w:rFonts w:ascii="Times New Roman" w:eastAsiaTheme="minorEastAsia" w:hAnsi="Times New Roman"/>
          <w:sz w:val="24"/>
          <w:szCs w:val="24"/>
          <w:lang w:val="es-MX"/>
        </w:rPr>
        <w:t>)</w:t>
      </w:r>
    </w:p>
    <w:p w:rsidR="00192495" w:rsidRPr="00B07754" w:rsidRDefault="00192495" w:rsidP="002B5E62">
      <w:pPr>
        <w:spacing w:line="360" w:lineRule="auto"/>
        <w:ind w:left="709"/>
        <w:jc w:val="both"/>
        <w:rPr>
          <w:rFonts w:ascii="Times New Roman" w:eastAsiaTheme="minorEastAsia" w:hAnsi="Times New Roman"/>
          <w:sz w:val="24"/>
          <w:szCs w:val="24"/>
          <w:lang w:val="es-MX"/>
        </w:rPr>
      </w:pPr>
      <w:r w:rsidRPr="00B07754">
        <w:rPr>
          <w:rFonts w:ascii="Times New Roman" w:eastAsiaTheme="minorEastAsia" w:hAnsi="Times New Roman"/>
          <w:sz w:val="24"/>
          <w:szCs w:val="24"/>
          <w:lang w:val="es-MX"/>
        </w:rPr>
        <w:t xml:space="preserve">Por tanto, </w:t>
      </w:r>
      <w:proofErr w:type="spellStart"/>
      <w:r w:rsidRPr="00B07754">
        <w:rPr>
          <w:rFonts w:ascii="Times New Roman" w:eastAsiaTheme="minorEastAsia" w:hAnsi="Times New Roman"/>
          <w:sz w:val="24"/>
          <w:szCs w:val="24"/>
          <w:lang w:val="es-MX"/>
        </w:rPr>
        <w:t>Panzar</w:t>
      </w:r>
      <w:proofErr w:type="spellEnd"/>
      <w:r w:rsidRPr="00B07754">
        <w:rPr>
          <w:rFonts w:ascii="Times New Roman" w:eastAsiaTheme="minorEastAsia" w:hAnsi="Times New Roman"/>
          <w:sz w:val="24"/>
          <w:szCs w:val="24"/>
          <w:lang w:val="es-MX"/>
        </w:rPr>
        <w:t xml:space="preserve"> y Rose definen al estadístico H como la suma de las elasticidades del ingreso total respecto al precio de los insumos. </w:t>
      </w:r>
    </w:p>
    <w:p w:rsidR="00192495" w:rsidRPr="00B07754" w:rsidRDefault="00192495" w:rsidP="002B5E62">
      <w:pPr>
        <w:spacing w:line="360" w:lineRule="auto"/>
        <w:ind w:left="2832" w:firstLine="708"/>
        <w:rPr>
          <w:rFonts w:ascii="Times New Roman" w:eastAsiaTheme="minorEastAsia" w:hAnsi="Times New Roman"/>
          <w:sz w:val="24"/>
          <w:szCs w:val="24"/>
          <w:lang w:val="es-MX"/>
        </w:rPr>
      </w:pPr>
      <m:oMath>
        <m:r>
          <w:rPr>
            <w:rFonts w:ascii="Cambria Math" w:eastAsiaTheme="minorEastAsia" w:hAnsi="Cambria Math"/>
            <w:sz w:val="24"/>
            <w:szCs w:val="24"/>
            <w:lang w:val="es-MX"/>
          </w:rPr>
          <m:t>H=</m:t>
        </m:r>
        <m:nary>
          <m:naryPr>
            <m:chr m:val="∑"/>
            <m:limLoc m:val="subSup"/>
            <m:ctrlPr>
              <w:rPr>
                <w:rFonts w:ascii="Cambria Math" w:eastAsiaTheme="minorEastAsia" w:hAnsi="Cambria Math"/>
                <w:i/>
                <w:sz w:val="24"/>
                <w:szCs w:val="24"/>
                <w:lang w:val="es-MX"/>
              </w:rPr>
            </m:ctrlPr>
          </m:naryPr>
          <m:sub>
            <m:r>
              <w:rPr>
                <w:rFonts w:ascii="Cambria Math" w:eastAsiaTheme="minorEastAsia" w:hAnsi="Cambria Math"/>
                <w:sz w:val="24"/>
                <w:szCs w:val="24"/>
                <w:lang w:val="es-MX"/>
              </w:rPr>
              <m:t>k=1</m:t>
            </m:r>
          </m:sub>
          <m:sup>
            <m:r>
              <w:rPr>
                <w:rFonts w:ascii="Cambria Math" w:eastAsiaTheme="minorEastAsia" w:hAnsi="Cambria Math"/>
                <w:sz w:val="24"/>
                <w:szCs w:val="24"/>
                <w:lang w:val="es-MX"/>
              </w:rPr>
              <m:t>K</m:t>
            </m:r>
          </m:sup>
          <m:e>
            <m:r>
              <w:rPr>
                <w:rFonts w:ascii="Cambria Math" w:eastAsiaTheme="minorEastAsia" w:hAnsi="Cambria Math"/>
                <w:sz w:val="24"/>
                <w:szCs w:val="24"/>
                <w:lang w:val="es-MX"/>
              </w:rPr>
              <m:t>(</m:t>
            </m:r>
            <m:f>
              <m:fPr>
                <m:ctrlPr>
                  <w:rPr>
                    <w:rFonts w:ascii="Cambria Math" w:eastAsiaTheme="minorEastAsia" w:hAnsi="Cambria Math"/>
                    <w:i/>
                    <w:sz w:val="24"/>
                    <w:szCs w:val="24"/>
                    <w:lang w:val="es-MX"/>
                  </w:rPr>
                </m:ctrlPr>
              </m:fPr>
              <m:num>
                <m:r>
                  <w:rPr>
                    <w:rFonts w:ascii="Cambria Math" w:eastAsiaTheme="minorEastAsia" w:hAnsi="Cambria Math"/>
                    <w:sz w:val="24"/>
                    <w:szCs w:val="24"/>
                    <w:lang w:val="es-MX"/>
                  </w:rPr>
                  <m:t>∂</m:t>
                </m:r>
                <m:sSubSup>
                  <m:sSubSupPr>
                    <m:ctrlPr>
                      <w:rPr>
                        <w:rFonts w:ascii="Cambria Math" w:eastAsiaTheme="minorEastAsia" w:hAnsi="Cambria Math"/>
                        <w:i/>
                        <w:sz w:val="24"/>
                        <w:szCs w:val="24"/>
                        <w:lang w:val="es-MX"/>
                      </w:rPr>
                    </m:ctrlPr>
                  </m:sSubSupPr>
                  <m:e>
                    <m:r>
                      <w:rPr>
                        <w:rFonts w:ascii="Cambria Math" w:eastAsiaTheme="minorEastAsia" w:hAnsi="Cambria Math"/>
                        <w:sz w:val="24"/>
                        <w:szCs w:val="24"/>
                        <w:lang w:val="es-MX"/>
                      </w:rPr>
                      <m:t>R</m:t>
                    </m:r>
                  </m:e>
                  <m:sub>
                    <m:r>
                      <w:rPr>
                        <w:rFonts w:ascii="Cambria Math" w:eastAsiaTheme="minorEastAsia" w:hAnsi="Cambria Math"/>
                        <w:sz w:val="24"/>
                        <w:szCs w:val="24"/>
                        <w:lang w:val="es-MX"/>
                      </w:rPr>
                      <m:t>i</m:t>
                    </m:r>
                  </m:sub>
                  <m:sup>
                    <m:r>
                      <w:rPr>
                        <w:rFonts w:ascii="Cambria Math" w:eastAsiaTheme="minorEastAsia" w:hAnsi="Cambria Math"/>
                        <w:sz w:val="24"/>
                        <w:szCs w:val="24"/>
                        <w:lang w:val="es-MX"/>
                      </w:rPr>
                      <m:t>*</m:t>
                    </m:r>
                  </m:sup>
                </m:sSubSup>
              </m:num>
              <m:den>
                <m:r>
                  <w:rPr>
                    <w:rFonts w:ascii="Cambria Math" w:eastAsiaTheme="minorEastAsia" w:hAnsi="Cambria Math"/>
                    <w:sz w:val="24"/>
                    <w:szCs w:val="24"/>
                    <w:lang w:val="es-MX"/>
                  </w:rPr>
                  <m:t>∂</m:t>
                </m:r>
                <m:sSub>
                  <m:sSubPr>
                    <m:ctrlPr>
                      <w:rPr>
                        <w:rFonts w:ascii="Cambria Math" w:eastAsiaTheme="minorEastAsia" w:hAnsi="Cambria Math"/>
                        <w:i/>
                        <w:sz w:val="24"/>
                        <w:szCs w:val="24"/>
                        <w:lang w:val="es-MX"/>
                      </w:rPr>
                    </m:ctrlPr>
                  </m:sSubPr>
                  <m:e>
                    <m:r>
                      <w:rPr>
                        <w:rFonts w:ascii="Cambria Math" w:eastAsiaTheme="minorEastAsia" w:hAnsi="Cambria Math"/>
                        <w:sz w:val="24"/>
                        <w:szCs w:val="24"/>
                        <w:lang w:val="es-MX"/>
                      </w:rPr>
                      <m:t>w</m:t>
                    </m:r>
                  </m:e>
                  <m:sub>
                    <m:r>
                      <w:rPr>
                        <w:rFonts w:ascii="Cambria Math" w:eastAsiaTheme="minorEastAsia" w:hAnsi="Cambria Math"/>
                        <w:sz w:val="24"/>
                        <w:szCs w:val="24"/>
                        <w:lang w:val="es-MX"/>
                      </w:rPr>
                      <m:t>ki</m:t>
                    </m:r>
                  </m:sub>
                </m:sSub>
              </m:den>
            </m:f>
          </m:e>
        </m:nary>
        <m:r>
          <w:rPr>
            <w:rFonts w:ascii="Cambria Math" w:eastAsiaTheme="minorEastAsia" w:hAnsi="Cambria Math"/>
            <w:sz w:val="24"/>
            <w:szCs w:val="24"/>
            <w:lang w:val="es-MX"/>
          </w:rPr>
          <m:t>*</m:t>
        </m:r>
        <m:f>
          <m:fPr>
            <m:ctrlPr>
              <w:rPr>
                <w:rFonts w:ascii="Cambria Math" w:eastAsiaTheme="minorEastAsia" w:hAnsi="Cambria Math"/>
                <w:i/>
                <w:sz w:val="24"/>
                <w:szCs w:val="24"/>
                <w:lang w:val="es-MX"/>
              </w:rPr>
            </m:ctrlPr>
          </m:fPr>
          <m:num>
            <m:sSub>
              <m:sSubPr>
                <m:ctrlPr>
                  <w:rPr>
                    <w:rFonts w:ascii="Cambria Math" w:eastAsiaTheme="minorEastAsia" w:hAnsi="Cambria Math"/>
                    <w:i/>
                    <w:sz w:val="24"/>
                    <w:szCs w:val="24"/>
                    <w:lang w:val="es-MX"/>
                  </w:rPr>
                </m:ctrlPr>
              </m:sSubPr>
              <m:e>
                <m:r>
                  <w:rPr>
                    <w:rFonts w:ascii="Cambria Math" w:eastAsiaTheme="minorEastAsia" w:hAnsi="Cambria Math"/>
                    <w:sz w:val="24"/>
                    <w:szCs w:val="24"/>
                    <w:lang w:val="es-MX"/>
                  </w:rPr>
                  <m:t>w</m:t>
                </m:r>
              </m:e>
              <m:sub>
                <m:r>
                  <w:rPr>
                    <w:rFonts w:ascii="Cambria Math" w:eastAsiaTheme="minorEastAsia" w:hAnsi="Cambria Math"/>
                    <w:sz w:val="24"/>
                    <w:szCs w:val="24"/>
                    <w:lang w:val="es-MX"/>
                  </w:rPr>
                  <m:t>ki</m:t>
                </m:r>
              </m:sub>
            </m:sSub>
          </m:num>
          <m:den>
            <m:sSubSup>
              <m:sSubSupPr>
                <m:ctrlPr>
                  <w:rPr>
                    <w:rFonts w:ascii="Cambria Math" w:eastAsiaTheme="minorEastAsia" w:hAnsi="Cambria Math"/>
                    <w:i/>
                    <w:sz w:val="24"/>
                    <w:szCs w:val="24"/>
                    <w:lang w:val="es-MX"/>
                  </w:rPr>
                </m:ctrlPr>
              </m:sSubSupPr>
              <m:e>
                <m:r>
                  <w:rPr>
                    <w:rFonts w:ascii="Cambria Math" w:eastAsiaTheme="minorEastAsia" w:hAnsi="Cambria Math"/>
                    <w:sz w:val="24"/>
                    <w:szCs w:val="24"/>
                    <w:lang w:val="es-MX"/>
                  </w:rPr>
                  <m:t>R</m:t>
                </m:r>
              </m:e>
              <m:sub>
                <m:r>
                  <w:rPr>
                    <w:rFonts w:ascii="Cambria Math" w:eastAsiaTheme="minorEastAsia" w:hAnsi="Cambria Math"/>
                    <w:sz w:val="24"/>
                    <w:szCs w:val="24"/>
                    <w:lang w:val="es-MX"/>
                  </w:rPr>
                  <m:t>i</m:t>
                </m:r>
              </m:sub>
              <m:sup>
                <m:r>
                  <w:rPr>
                    <w:rFonts w:ascii="Cambria Math" w:eastAsiaTheme="minorEastAsia" w:hAnsi="Cambria Math"/>
                    <w:sz w:val="24"/>
                    <w:szCs w:val="24"/>
                    <w:lang w:val="es-MX"/>
                  </w:rPr>
                  <m:t>*</m:t>
                </m:r>
              </m:sup>
            </m:sSubSup>
          </m:den>
        </m:f>
        <m:r>
          <w:rPr>
            <w:rFonts w:ascii="Cambria Math" w:eastAsiaTheme="minorEastAsia" w:hAnsi="Cambria Math"/>
            <w:sz w:val="24"/>
            <w:szCs w:val="24"/>
            <w:lang w:val="es-MX"/>
          </w:rPr>
          <m:t>)</m:t>
        </m:r>
      </m:oMath>
      <w:r w:rsidR="0072491F" w:rsidRPr="00B07754">
        <w:rPr>
          <w:rFonts w:ascii="Times New Roman" w:eastAsiaTheme="minorEastAsia" w:hAnsi="Times New Roman"/>
          <w:sz w:val="24"/>
          <w:szCs w:val="24"/>
          <w:lang w:val="es-MX"/>
        </w:rPr>
        <w:t xml:space="preserve"> </w:t>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t>(</w:t>
      </w:r>
      <w:r w:rsidR="001C1DB5" w:rsidRPr="00B07754">
        <w:rPr>
          <w:rFonts w:ascii="Times New Roman" w:eastAsiaTheme="minorEastAsia" w:hAnsi="Times New Roman"/>
          <w:sz w:val="24"/>
          <w:szCs w:val="24"/>
          <w:lang w:val="es-MX"/>
        </w:rPr>
        <w:t>6</w:t>
      </w:r>
      <w:r w:rsidRPr="00B07754">
        <w:rPr>
          <w:rFonts w:ascii="Times New Roman" w:eastAsiaTheme="minorEastAsia" w:hAnsi="Times New Roman"/>
          <w:sz w:val="24"/>
          <w:szCs w:val="24"/>
          <w:lang w:val="es-MX"/>
        </w:rPr>
        <w:t>)</w:t>
      </w:r>
    </w:p>
    <w:p w:rsidR="006E5F19" w:rsidRPr="00B07754" w:rsidRDefault="00192495"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sz w:val="24"/>
          <w:szCs w:val="24"/>
          <w:lang w:val="es-MX"/>
        </w:rPr>
        <w:t>Conforme el cálculo del estadístico H emplea las propiedades de estática comparativa, en la cual se analizan</w:t>
      </w:r>
      <w:r w:rsidR="000300B1" w:rsidRPr="00B07754">
        <w:rPr>
          <w:rFonts w:ascii="Times New Roman" w:hAnsi="Times New Roman"/>
          <w:sz w:val="24"/>
          <w:szCs w:val="24"/>
          <w:lang w:val="es-MX"/>
        </w:rPr>
        <w:t xml:space="preserve"> dos situaciones de equilibrio, e</w:t>
      </w:r>
      <w:r w:rsidRPr="00B07754">
        <w:rPr>
          <w:rFonts w:ascii="Times New Roman" w:hAnsi="Times New Roman"/>
          <w:sz w:val="24"/>
          <w:szCs w:val="24"/>
          <w:lang w:val="es-MX"/>
        </w:rPr>
        <w:t>s necesario que para el cálculo de este estadístico se suponga que los bancos operan en sus niveles de equilibrio de largo plazo por lo que el número de bancos debe ser endógeno. Además se asume una elasticidad precio de la demanda constante, mayor a uno y una estructura de costos homogénea</w:t>
      </w:r>
      <w:r w:rsidR="006E5F19" w:rsidRPr="00B07754">
        <w:rPr>
          <w:rFonts w:ascii="Times New Roman" w:hAnsi="Times New Roman"/>
          <w:sz w:val="24"/>
          <w:szCs w:val="24"/>
          <w:lang w:val="es-MX"/>
        </w:rPr>
        <w:t>”</w:t>
      </w:r>
      <w:r w:rsidRPr="00B07754">
        <w:rPr>
          <w:rFonts w:ascii="Times New Roman" w:hAnsi="Times New Roman"/>
          <w:sz w:val="24"/>
          <w:szCs w:val="24"/>
          <w:lang w:val="es-MX"/>
        </w:rPr>
        <w:t xml:space="preserve">. </w:t>
      </w:r>
      <w:sdt>
        <w:sdtPr>
          <w:rPr>
            <w:rFonts w:ascii="Times New Roman" w:hAnsi="Times New Roman"/>
            <w:sz w:val="24"/>
            <w:szCs w:val="24"/>
            <w:lang w:val="es-MX"/>
          </w:rPr>
          <w:id w:val="-1402822803"/>
          <w:citation/>
        </w:sdtPr>
        <w:sdtEndPr/>
        <w:sdtContent>
          <w:r w:rsidR="000300B1" w:rsidRPr="00B07754">
            <w:rPr>
              <w:rFonts w:ascii="Times New Roman" w:hAnsi="Times New Roman"/>
              <w:sz w:val="24"/>
              <w:szCs w:val="24"/>
              <w:lang w:val="es-MX"/>
            </w:rPr>
            <w:fldChar w:fldCharType="begin"/>
          </w:r>
          <w:r w:rsidR="000300B1" w:rsidRPr="00B07754">
            <w:rPr>
              <w:rFonts w:ascii="Times New Roman" w:hAnsi="Times New Roman"/>
              <w:sz w:val="24"/>
              <w:szCs w:val="24"/>
              <w:lang w:val="es-MX"/>
            </w:rPr>
            <w:instrText xml:space="preserve">CITATION Lui09 \p 17 \l 2058 </w:instrText>
          </w:r>
          <w:r w:rsidR="000300B1"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(Pérez, 2009, pág. 17)</w:t>
          </w:r>
          <w:r w:rsidR="000300B1" w:rsidRPr="00B07754">
            <w:rPr>
              <w:rFonts w:ascii="Times New Roman" w:hAnsi="Times New Roman"/>
              <w:sz w:val="24"/>
              <w:szCs w:val="24"/>
              <w:lang w:val="es-MX"/>
            </w:rPr>
            <w:fldChar w:fldCharType="end"/>
          </w:r>
        </w:sdtContent>
      </w:sdt>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Para el sistema bancario ecuatoriano, estos supuestos son válidos puesto que las decisiones </w:t>
      </w:r>
      <w:r w:rsidR="006E5F19" w:rsidRPr="00B07754">
        <w:rPr>
          <w:rFonts w:ascii="Times New Roman" w:hAnsi="Times New Roman"/>
          <w:sz w:val="24"/>
          <w:szCs w:val="24"/>
          <w:lang w:val="es-MX"/>
        </w:rPr>
        <w:t>d</w:t>
      </w:r>
      <w:r w:rsidRPr="00B07754">
        <w:rPr>
          <w:rFonts w:ascii="Times New Roman" w:hAnsi="Times New Roman"/>
          <w:sz w:val="24"/>
          <w:szCs w:val="24"/>
          <w:lang w:val="es-MX"/>
        </w:rPr>
        <w:t>e los agentes económicos con relación al ahorro y la inversión se verán influenciadas por la tasa de interés; asimismo, la estructura de cos</w:t>
      </w:r>
      <w:r w:rsidR="000E3539" w:rsidRPr="00B07754">
        <w:rPr>
          <w:rFonts w:ascii="Times New Roman" w:hAnsi="Times New Roman"/>
          <w:sz w:val="24"/>
          <w:szCs w:val="24"/>
          <w:lang w:val="es-MX"/>
        </w:rPr>
        <w:t>tos para cada banco es la misma</w:t>
      </w:r>
      <w:r w:rsidRPr="00B07754">
        <w:rPr>
          <w:rFonts w:ascii="Times New Roman" w:hAnsi="Times New Roman"/>
          <w:sz w:val="24"/>
          <w:szCs w:val="24"/>
          <w:lang w:val="es-MX"/>
        </w:rPr>
        <w:t xml:space="preserve">.  En lo que respecta a la situación de equilibrio, este supuesto es cuestionado por las entradas y salidas de las instituciones del mercado, por lo que se calculará el modelo utilizando como medidas alternativas de ingresos los indicadores de Rentabilidad sobre Activos (ROA) y Rentabilidad Financiera (ROE por sus siglas en inglés). Si el modelo refleja equilibrio de largo plazo H=0. </w:t>
      </w:r>
      <w:sdt>
        <w:sdtPr>
          <w:rPr>
            <w:rFonts w:ascii="Times New Roman" w:hAnsi="Times New Roman"/>
            <w:sz w:val="24"/>
            <w:szCs w:val="24"/>
            <w:lang w:val="es-MX"/>
          </w:rPr>
          <w:id w:val="-1046372629"/>
          <w:citation/>
        </w:sdtPr>
        <w:sdtEndPr/>
        <w:sdtContent>
          <w:r w:rsidRPr="00B07754">
            <w:rPr>
              <w:rFonts w:ascii="Times New Roman" w:hAnsi="Times New Roman"/>
              <w:sz w:val="24"/>
              <w:szCs w:val="24"/>
              <w:lang w:val="es-MX"/>
            </w:rPr>
            <w:fldChar w:fldCharType="begin"/>
          </w:r>
          <w:r w:rsidR="000300B1" w:rsidRPr="00B07754">
            <w:rPr>
              <w:rFonts w:ascii="Times New Roman" w:hAnsi="Times New Roman"/>
              <w:sz w:val="24"/>
              <w:szCs w:val="24"/>
              <w:lang w:val="es-MX"/>
            </w:rPr>
            <w:instrText xml:space="preserve">CITATION Lui09 \p 17-19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(Pérez, 2009, págs. 17-19)</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w:t>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lastRenderedPageBreak/>
        <w:t xml:space="preserve">Para la realización de este estudio se emplea el enfoque de intermediación, según el cual los bancos producen únicamente servicios de intermediación usando como insumos trabajo, capital físico y capital financiero, con una tecnología de retornos constantes a escala del tipo </w:t>
      </w:r>
      <w:proofErr w:type="spellStart"/>
      <w:r w:rsidRPr="00B07754">
        <w:rPr>
          <w:rFonts w:ascii="Times New Roman" w:hAnsi="Times New Roman"/>
          <w:sz w:val="24"/>
          <w:szCs w:val="24"/>
          <w:lang w:val="es-MX"/>
        </w:rPr>
        <w:t>Cobb</w:t>
      </w:r>
      <w:proofErr w:type="spellEnd"/>
      <w:r w:rsidRPr="00B07754">
        <w:rPr>
          <w:rFonts w:ascii="Times New Roman" w:hAnsi="Times New Roman"/>
          <w:sz w:val="24"/>
          <w:szCs w:val="24"/>
          <w:lang w:val="es-MX"/>
        </w:rPr>
        <w:t xml:space="preserve"> – Douglas. Este estadístico puede ser utilizado para identificar tres estructuras de mercado: monopolio, competencia monopolística y competencia perfecta. </w:t>
      </w:r>
      <w:sdt>
        <w:sdtPr>
          <w:rPr>
            <w:rFonts w:ascii="Times New Roman" w:hAnsi="Times New Roman"/>
            <w:sz w:val="24"/>
            <w:szCs w:val="24"/>
            <w:lang w:val="es-MX"/>
          </w:rPr>
          <w:id w:val="-1886169148"/>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Lui09 \p 17,18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(Pérez, 2009, págs. 17,18)</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Así pues Si H ≤ 0, la industria es monopólica, 0 &lt; H &lt;1, es competencia monopolística y H =1 corresponde a competencia perfecta. </w:t>
      </w:r>
    </w:p>
    <w:p w:rsidR="00192495" w:rsidRPr="00B07754" w:rsidRDefault="00192495" w:rsidP="002B5E62">
      <w:pPr>
        <w:autoSpaceDE w:val="0"/>
        <w:autoSpaceDN w:val="0"/>
        <w:adjustRightInd w:val="0"/>
        <w:spacing w:line="360" w:lineRule="auto"/>
        <w:ind w:left="708"/>
        <w:jc w:val="both"/>
        <w:rPr>
          <w:rFonts w:ascii="Times New Roman" w:hAnsi="Times New Roman"/>
          <w:sz w:val="24"/>
          <w:szCs w:val="24"/>
          <w:lang w:val="es-MX"/>
        </w:rPr>
      </w:pPr>
      <w:r w:rsidRPr="00B07754">
        <w:rPr>
          <w:rFonts w:ascii="Times New Roman" w:hAnsi="Times New Roman"/>
          <w:sz w:val="24"/>
          <w:szCs w:val="24"/>
          <w:lang w:val="es-MX"/>
        </w:rPr>
        <w:t xml:space="preserve">“Las estructuras de mercado extremas son útiles para entender la intuición subyacente en la construcción del indicador H. Cuando la estructura de mercado es perfectamente competitiva, un cambio en los precios de los factores resulta en un cambio en la misma proporción en los costos medio y marginal. El nivel de producto no se ve afectado (los ajustes se realizan a través de la salida de empresas del mercado) y el nivel de precios se eleva en la misma proporción de los costos marginales. En este caso, el estadístico H toma el valor de uno, debido que los ingresos aumentan en la misma proporción que el aumento de los precios de los factores. En el extremo opuesto, en una estructura de mercado monopólica un aumento en los precios de los insumos se reflejaría, al igual que en competencia perfecta, en un incremento de los costos marginales que en este caso enfrenta el monopolista, y en consecuencia, en precios más elevados. No obstante, dado que el monopolio siempre opera en la parte elástica de su curva de demanda, el nuevo ingreso sería inferior al que se tenía cuando los costos eran menores. Así, el aumento en el precio de los insumos se traduciría en una caída de los ingresos y en un indicador H negativo. En el caso intermedio de oligopolio se supone que los servicios financieros son diferenciados y la empresa tiene cierto poder de mercado, por lo que el precio de equilibrio es mayor que el costo marginal. Así, un incremento en el precio de los insumos se traduce en un aumento menos que proporcional en la función de ingresos, por lo que el indicador H resulta positivo, pero menor que la unidad.” </w:t>
      </w:r>
      <w:sdt>
        <w:sdtPr>
          <w:rPr>
            <w:rFonts w:ascii="Times New Roman" w:hAnsi="Times New Roman"/>
            <w:sz w:val="24"/>
            <w:szCs w:val="24"/>
            <w:lang w:val="es-MX"/>
          </w:rPr>
          <w:id w:val="-125781484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 CITATION Dur09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(Durán Víquez, Quirós Solano, &amp; Rojas Sánchez, 2009)</w:t>
          </w:r>
          <w:r w:rsidRPr="00B07754">
            <w:rPr>
              <w:rFonts w:ascii="Times New Roman" w:hAnsi="Times New Roman"/>
              <w:sz w:val="24"/>
              <w:szCs w:val="24"/>
              <w:lang w:val="es-MX"/>
            </w:rPr>
            <w:fldChar w:fldCharType="end"/>
          </w:r>
        </w:sdtContent>
      </w:sdt>
    </w:p>
    <w:p w:rsidR="00192495" w:rsidRPr="00B07754" w:rsidRDefault="00192495" w:rsidP="002B5E62">
      <w:pPr>
        <w:pStyle w:val="Ttulo3"/>
        <w:numPr>
          <w:ilvl w:val="2"/>
          <w:numId w:val="25"/>
        </w:numPr>
        <w:spacing w:before="0" w:after="200" w:line="360" w:lineRule="auto"/>
        <w:ind w:left="0" w:firstLine="0"/>
        <w:rPr>
          <w:rFonts w:ascii="Times New Roman" w:eastAsiaTheme="minorHAnsi" w:hAnsi="Times New Roman"/>
          <w:b w:val="0"/>
          <w:i/>
          <w:color w:val="auto"/>
          <w:sz w:val="24"/>
          <w:szCs w:val="24"/>
          <w:lang w:val="es-MX"/>
        </w:rPr>
      </w:pPr>
      <w:bookmarkStart w:id="41" w:name="_Toc372589983"/>
      <w:r w:rsidRPr="00B07754">
        <w:rPr>
          <w:rFonts w:ascii="Times New Roman" w:hAnsi="Times New Roman"/>
          <w:b w:val="0"/>
          <w:i/>
          <w:color w:val="auto"/>
          <w:sz w:val="24"/>
          <w:szCs w:val="24"/>
          <w:lang w:val="es-MX"/>
        </w:rPr>
        <w:t>Resultados</w:t>
      </w:r>
      <w:bookmarkEnd w:id="41"/>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datos para la elaboración del modelo tienen la característica que se encuentran organizados no solo por año sino también por banco, por lo que el valor del estadístico H depende no solo del tiempo sino también de las características propias de cada banco. </w:t>
      </w:r>
      <w:r w:rsidR="00E73670" w:rsidRPr="00B07754">
        <w:rPr>
          <w:rFonts w:ascii="Times New Roman" w:hAnsi="Times New Roman"/>
          <w:sz w:val="24"/>
          <w:szCs w:val="24"/>
          <w:lang w:val="es-MX"/>
        </w:rPr>
        <w:t>S</w:t>
      </w:r>
      <w:r w:rsidRPr="00B07754">
        <w:rPr>
          <w:rFonts w:ascii="Times New Roman" w:hAnsi="Times New Roman"/>
          <w:sz w:val="24"/>
          <w:szCs w:val="24"/>
          <w:lang w:val="es-MX"/>
        </w:rPr>
        <w:t xml:space="preserve">e </w:t>
      </w:r>
      <w:r w:rsidR="00E73670" w:rsidRPr="00B07754">
        <w:rPr>
          <w:rFonts w:ascii="Times New Roman" w:hAnsi="Times New Roman"/>
          <w:sz w:val="24"/>
          <w:szCs w:val="24"/>
          <w:lang w:val="es-MX"/>
        </w:rPr>
        <w:t xml:space="preserve"> </w:t>
      </w:r>
      <w:r w:rsidR="00E73670" w:rsidRPr="00B07754">
        <w:rPr>
          <w:rFonts w:ascii="Times New Roman" w:hAnsi="Times New Roman"/>
          <w:sz w:val="24"/>
          <w:szCs w:val="24"/>
          <w:lang w:val="es-MX"/>
        </w:rPr>
        <w:lastRenderedPageBreak/>
        <w:t>emplea</w:t>
      </w:r>
      <w:r w:rsidRPr="00B07754">
        <w:rPr>
          <w:rFonts w:ascii="Times New Roman" w:hAnsi="Times New Roman"/>
          <w:sz w:val="24"/>
          <w:szCs w:val="24"/>
          <w:lang w:val="es-MX"/>
        </w:rPr>
        <w:t xml:space="preserve"> un modelo de </w:t>
      </w:r>
      <w:r w:rsidR="00E73670" w:rsidRPr="00B07754">
        <w:rPr>
          <w:rFonts w:ascii="Times New Roman" w:hAnsi="Times New Roman"/>
          <w:sz w:val="24"/>
          <w:szCs w:val="24"/>
          <w:lang w:val="es-MX"/>
        </w:rPr>
        <w:t>efectos fijos</w:t>
      </w:r>
      <w:r w:rsidR="006A77EB" w:rsidRPr="00B07754">
        <w:rPr>
          <w:rStyle w:val="Refdenotaalpie"/>
          <w:rFonts w:ascii="Times New Roman" w:hAnsi="Times New Roman"/>
          <w:sz w:val="24"/>
          <w:szCs w:val="24"/>
          <w:lang w:val="es-MX"/>
        </w:rPr>
        <w:footnoteReference w:id="30"/>
      </w:r>
      <w:r w:rsidR="00E73670" w:rsidRPr="00B07754">
        <w:rPr>
          <w:rFonts w:ascii="Times New Roman" w:hAnsi="Times New Roman"/>
          <w:sz w:val="24"/>
          <w:szCs w:val="24"/>
          <w:lang w:val="es-MX"/>
        </w:rPr>
        <w:t xml:space="preserve"> en datos de panel porque sus estimadores han demostrado ser más consistentes y los </w:t>
      </w:r>
      <w:proofErr w:type="spellStart"/>
      <w:r w:rsidR="00E73670" w:rsidRPr="00B07754">
        <w:rPr>
          <w:rFonts w:ascii="Times New Roman" w:hAnsi="Times New Roman"/>
          <w:sz w:val="24"/>
          <w:szCs w:val="24"/>
          <w:lang w:val="es-MX"/>
        </w:rPr>
        <w:t>tests</w:t>
      </w:r>
      <w:proofErr w:type="spellEnd"/>
      <w:r w:rsidR="00E73670" w:rsidRPr="00B07754">
        <w:rPr>
          <w:rFonts w:ascii="Times New Roman" w:hAnsi="Times New Roman"/>
          <w:sz w:val="24"/>
          <w:szCs w:val="24"/>
          <w:lang w:val="es-MX"/>
        </w:rPr>
        <w:t xml:space="preserve"> correspondientes así los demuestran.</w:t>
      </w:r>
      <w:r w:rsidRPr="00B07754">
        <w:rPr>
          <w:rFonts w:ascii="Times New Roman" w:hAnsi="Times New Roman"/>
          <w:sz w:val="24"/>
          <w:szCs w:val="24"/>
          <w:lang w:val="es-MX"/>
        </w:rPr>
        <w:t xml:space="preserve"> El panel es desbalanceado puesto que para el periodo analizado no todos los bancos poseen información completa para todos los años como consecuencia de su ingreso o salida del mercado. En primer lugar se efectuó el test de </w:t>
      </w:r>
      <w:proofErr w:type="spellStart"/>
      <w:r w:rsidRPr="00B07754">
        <w:rPr>
          <w:rFonts w:ascii="Times New Roman" w:hAnsi="Times New Roman"/>
          <w:sz w:val="24"/>
          <w:szCs w:val="24"/>
          <w:lang w:val="es-MX"/>
        </w:rPr>
        <w:t>Breusch</w:t>
      </w:r>
      <w:proofErr w:type="spellEnd"/>
      <w:r w:rsidRPr="00B07754">
        <w:rPr>
          <w:rFonts w:ascii="Times New Roman" w:hAnsi="Times New Roman"/>
          <w:sz w:val="24"/>
          <w:szCs w:val="24"/>
          <w:lang w:val="es-MX"/>
        </w:rPr>
        <w:t xml:space="preserve"> y Pagan para efectos aleatorios, el cual arrojó un p-</w:t>
      </w:r>
      <w:proofErr w:type="spellStart"/>
      <w:r w:rsidRPr="00B07754">
        <w:rPr>
          <w:rFonts w:ascii="Times New Roman" w:hAnsi="Times New Roman"/>
          <w:sz w:val="24"/>
          <w:szCs w:val="24"/>
          <w:lang w:val="es-MX"/>
        </w:rPr>
        <w:t>value</w:t>
      </w:r>
      <w:proofErr w:type="spellEnd"/>
      <w:r w:rsidRPr="00B07754">
        <w:rPr>
          <w:rFonts w:ascii="Times New Roman" w:hAnsi="Times New Roman"/>
          <w:sz w:val="24"/>
          <w:szCs w:val="24"/>
          <w:lang w:val="es-MX"/>
        </w:rPr>
        <w:t xml:space="preserve"> de 0.000 por lo que se rechaza la hipótesis nula de Var=0 y se prefiere el modelo de efectos aleatorios a la regresión agrupada. En segundo lugar, se realizó el test de especificación de </w:t>
      </w:r>
      <w:proofErr w:type="spellStart"/>
      <w:r w:rsidRPr="00B07754">
        <w:rPr>
          <w:rFonts w:ascii="Times New Roman" w:hAnsi="Times New Roman"/>
          <w:sz w:val="24"/>
          <w:szCs w:val="24"/>
          <w:lang w:val="es-MX"/>
        </w:rPr>
        <w:t>Hausman</w:t>
      </w:r>
      <w:proofErr w:type="spellEnd"/>
      <w:r w:rsidRPr="00B07754">
        <w:rPr>
          <w:rFonts w:ascii="Times New Roman" w:hAnsi="Times New Roman"/>
          <w:sz w:val="24"/>
          <w:szCs w:val="24"/>
          <w:lang w:val="es-MX"/>
        </w:rPr>
        <w:t xml:space="preserve"> para conocer si las diferencias son sistemáticas y significativas entre dos estimaciones. Este test se emplea para dos cosas: a) saber si un estimador es consistente; y b) saber si una variables es o no relevante.</w:t>
      </w:r>
      <w:sdt>
        <w:sdtPr>
          <w:rPr>
            <w:rFonts w:ascii="Times New Roman" w:hAnsi="Times New Roman"/>
            <w:sz w:val="24"/>
            <w:szCs w:val="24"/>
            <w:lang w:val="es-MX"/>
          </w:rPr>
          <w:id w:val="-157350227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Rob05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(Montero R. , 2005)</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En ambos casos el p-</w:t>
      </w:r>
      <w:proofErr w:type="spellStart"/>
      <w:r w:rsidRPr="00B07754">
        <w:rPr>
          <w:rFonts w:ascii="Times New Roman" w:hAnsi="Times New Roman"/>
          <w:sz w:val="24"/>
          <w:szCs w:val="24"/>
          <w:lang w:val="es-MX"/>
        </w:rPr>
        <w:t>value</w:t>
      </w:r>
      <w:proofErr w:type="spellEnd"/>
      <w:r w:rsidRPr="00B07754">
        <w:rPr>
          <w:rFonts w:ascii="Times New Roman" w:hAnsi="Times New Roman"/>
          <w:sz w:val="24"/>
          <w:szCs w:val="24"/>
          <w:lang w:val="es-MX"/>
        </w:rPr>
        <w:t xml:space="preserve"> del test fue de 0.000 por lo que se rechaza la hipótesis nula de diferencias no sistemáticas entre estimadores por lo que se escoge el modelo de efectos fijos, ya que sus estimadores son más consistentes. Una vez seleccionado el modelo se realizaron los test de </w:t>
      </w:r>
      <w:proofErr w:type="spellStart"/>
      <w:r w:rsidRPr="00B07754">
        <w:rPr>
          <w:rFonts w:ascii="Times New Roman" w:hAnsi="Times New Roman"/>
          <w:sz w:val="24"/>
          <w:szCs w:val="24"/>
          <w:lang w:val="es-MX"/>
        </w:rPr>
        <w:t>autocorrelación</w:t>
      </w:r>
      <w:proofErr w:type="spellEnd"/>
      <w:r w:rsidRPr="00B07754">
        <w:rPr>
          <w:rFonts w:ascii="Times New Roman" w:hAnsi="Times New Roman"/>
          <w:sz w:val="24"/>
          <w:szCs w:val="24"/>
          <w:lang w:val="es-MX"/>
        </w:rPr>
        <w:t xml:space="preserve"> y </w:t>
      </w:r>
      <w:proofErr w:type="spellStart"/>
      <w:r w:rsidRPr="00B07754">
        <w:rPr>
          <w:rFonts w:ascii="Times New Roman" w:hAnsi="Times New Roman"/>
          <w:sz w:val="24"/>
          <w:szCs w:val="24"/>
          <w:lang w:val="es-MX"/>
        </w:rPr>
        <w:t>heteroscedasticidad</w:t>
      </w:r>
      <w:proofErr w:type="spellEnd"/>
      <w:r w:rsidRPr="00B07754">
        <w:rPr>
          <w:rFonts w:ascii="Times New Roman" w:hAnsi="Times New Roman"/>
          <w:sz w:val="24"/>
          <w:szCs w:val="24"/>
          <w:lang w:val="es-MX"/>
        </w:rPr>
        <w:t xml:space="preserve">, los cuales reflejan la presencia de ambas. Por esta razón se procedió a corregirlas, la </w:t>
      </w:r>
      <w:proofErr w:type="spellStart"/>
      <w:r w:rsidRPr="00B07754">
        <w:rPr>
          <w:rFonts w:ascii="Times New Roman" w:hAnsi="Times New Roman"/>
          <w:sz w:val="24"/>
          <w:szCs w:val="24"/>
          <w:lang w:val="es-MX"/>
        </w:rPr>
        <w:t>autocorrelación</w:t>
      </w:r>
      <w:proofErr w:type="spellEnd"/>
      <w:r w:rsidRPr="00B07754">
        <w:rPr>
          <w:rFonts w:ascii="Times New Roman" w:hAnsi="Times New Roman"/>
          <w:sz w:val="24"/>
          <w:szCs w:val="24"/>
          <w:lang w:val="es-MX"/>
        </w:rPr>
        <w:t xml:space="preserve"> a través de una regresión </w:t>
      </w:r>
      <w:proofErr w:type="spellStart"/>
      <w:r w:rsidRPr="00B07754">
        <w:rPr>
          <w:rFonts w:ascii="Times New Roman" w:hAnsi="Times New Roman"/>
          <w:sz w:val="24"/>
          <w:szCs w:val="24"/>
          <w:lang w:val="es-MX"/>
        </w:rPr>
        <w:t>Prais-Winsten</w:t>
      </w:r>
      <w:proofErr w:type="spellEnd"/>
      <w:r w:rsidRPr="00B07754">
        <w:rPr>
          <w:rFonts w:ascii="Times New Roman" w:hAnsi="Times New Roman"/>
          <w:sz w:val="24"/>
          <w:szCs w:val="24"/>
          <w:lang w:val="es-MX"/>
        </w:rPr>
        <w:t xml:space="preserve"> y la </w:t>
      </w:r>
      <w:proofErr w:type="spellStart"/>
      <w:r w:rsidRPr="00B07754">
        <w:rPr>
          <w:rFonts w:ascii="Times New Roman" w:hAnsi="Times New Roman"/>
          <w:sz w:val="24"/>
          <w:szCs w:val="24"/>
          <w:lang w:val="es-MX"/>
        </w:rPr>
        <w:t>heteroscedasticidad</w:t>
      </w:r>
      <w:proofErr w:type="spellEnd"/>
      <w:r w:rsidRPr="00B07754">
        <w:rPr>
          <w:rFonts w:ascii="Times New Roman" w:hAnsi="Times New Roman"/>
          <w:sz w:val="24"/>
          <w:szCs w:val="24"/>
          <w:lang w:val="es-MX"/>
        </w:rPr>
        <w:t xml:space="preserve"> a través de Errores Estándar Corregidos para Panel. </w:t>
      </w:r>
    </w:p>
    <w:p w:rsidR="00C34336"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Las variables utilizadas son estadísticamente significativas y el modelo estimado presenta un buen ajuste a los datos. (Ver Anexo 2 para los resultados completos de la estimación). Los resultados de la aplicación del modelo determinan que en el período 2002 – 2012 el estadístico “H” osciló entre valores de 0 y 1, es decir entre monopolio perfecto y competencia perfecta, sin embargo, para los años 2002, 2010 y 2011 no puede rechazarse la hipótesis que el estadístico “H” sea igual a 1, lo que es un indicador que en estos años el sistema bancario nacional tendió </w:t>
      </w:r>
      <w:r w:rsidR="00C34336" w:rsidRPr="00B07754">
        <w:rPr>
          <w:rFonts w:ascii="Times New Roman" w:hAnsi="Times New Roman"/>
          <w:sz w:val="24"/>
          <w:szCs w:val="24"/>
          <w:lang w:val="es-MX"/>
        </w:rPr>
        <w:t xml:space="preserve">a ser perfectamente competitivo, las razones por las cuales el sistema bancario se comportó de esta manera en estos años se explican a continuación: </w:t>
      </w:r>
    </w:p>
    <w:p w:rsidR="00C34336" w:rsidRPr="00B07754" w:rsidRDefault="00C34336" w:rsidP="002B5E62">
      <w:pPr>
        <w:pStyle w:val="Prrafodelista"/>
        <w:numPr>
          <w:ilvl w:val="0"/>
          <w:numId w:val="1"/>
        </w:num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2002: E</w:t>
      </w:r>
      <w:r w:rsidR="00CE2475" w:rsidRPr="00B07754">
        <w:rPr>
          <w:rFonts w:ascii="Times New Roman" w:hAnsi="Times New Roman"/>
          <w:sz w:val="24"/>
          <w:szCs w:val="24"/>
          <w:lang w:val="es-MX"/>
        </w:rPr>
        <w:t xml:space="preserve">n este año es más evidente la recuperación de la economía ecuatoriana tras la crisis de 1999. </w:t>
      </w:r>
      <w:r w:rsidR="00094D79" w:rsidRPr="00B07754">
        <w:rPr>
          <w:rFonts w:ascii="Times New Roman" w:hAnsi="Times New Roman"/>
          <w:sz w:val="24"/>
          <w:szCs w:val="24"/>
          <w:lang w:val="es-MX"/>
        </w:rPr>
        <w:t>L</w:t>
      </w:r>
      <w:r w:rsidR="00CE2475" w:rsidRPr="00B07754">
        <w:rPr>
          <w:rFonts w:ascii="Times New Roman" w:hAnsi="Times New Roman"/>
          <w:sz w:val="24"/>
          <w:szCs w:val="24"/>
          <w:lang w:val="es-MX"/>
        </w:rPr>
        <w:t>as colocaciones y captaciones se expand</w:t>
      </w:r>
      <w:r w:rsidR="00094D79" w:rsidRPr="00B07754">
        <w:rPr>
          <w:rFonts w:ascii="Times New Roman" w:hAnsi="Times New Roman"/>
          <w:sz w:val="24"/>
          <w:szCs w:val="24"/>
          <w:lang w:val="es-MX"/>
        </w:rPr>
        <w:t>ieron</w:t>
      </w:r>
      <w:r w:rsidR="00CE2475" w:rsidRPr="00B07754">
        <w:rPr>
          <w:rFonts w:ascii="Times New Roman" w:hAnsi="Times New Roman"/>
          <w:sz w:val="24"/>
          <w:szCs w:val="24"/>
          <w:lang w:val="es-MX"/>
        </w:rPr>
        <w:t xml:space="preserve">, especialmente las captaciones que llegan a exceder a las colocaciones –reflejo de más confianza en el sistema por parte de público-. </w:t>
      </w:r>
      <w:sdt>
        <w:sdtPr>
          <w:rPr>
            <w:rFonts w:ascii="Times New Roman" w:hAnsi="Times New Roman"/>
            <w:sz w:val="24"/>
            <w:szCs w:val="24"/>
            <w:lang w:val="es-MX"/>
          </w:rPr>
          <w:id w:val="1786855811"/>
          <w:citation/>
        </w:sdtPr>
        <w:sdtEndPr/>
        <w:sdtContent>
          <w:r w:rsidR="00CE2475" w:rsidRPr="00B07754">
            <w:rPr>
              <w:rFonts w:ascii="Times New Roman" w:hAnsi="Times New Roman"/>
              <w:sz w:val="24"/>
              <w:szCs w:val="24"/>
              <w:lang w:val="es-MX"/>
            </w:rPr>
            <w:fldChar w:fldCharType="begin"/>
          </w:r>
          <w:r w:rsidR="00CE2475" w:rsidRPr="00B07754">
            <w:rPr>
              <w:rFonts w:ascii="Times New Roman" w:hAnsi="Times New Roman"/>
              <w:sz w:val="24"/>
              <w:szCs w:val="24"/>
              <w:lang w:val="es-MX"/>
            </w:rPr>
            <w:instrText xml:space="preserve">CITATION Lóp03 \p 21 \l 2058 </w:instrText>
          </w:r>
          <w:r w:rsidR="00CE2475"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(López Olivares &amp; Villamar David, 2003, pág. 21)</w:t>
          </w:r>
          <w:r w:rsidR="00CE2475" w:rsidRPr="00B07754">
            <w:rPr>
              <w:rFonts w:ascii="Times New Roman" w:hAnsi="Times New Roman"/>
              <w:sz w:val="24"/>
              <w:szCs w:val="24"/>
              <w:lang w:val="es-MX"/>
            </w:rPr>
            <w:fldChar w:fldCharType="end"/>
          </w:r>
        </w:sdtContent>
      </w:sdt>
      <w:r w:rsidR="00A46468" w:rsidRPr="00B07754">
        <w:rPr>
          <w:rFonts w:ascii="Times New Roman" w:hAnsi="Times New Roman"/>
          <w:sz w:val="24"/>
          <w:szCs w:val="24"/>
          <w:lang w:val="es-MX"/>
        </w:rPr>
        <w:t xml:space="preserve">. </w:t>
      </w:r>
      <w:r w:rsidR="00A46468" w:rsidRPr="00B07754">
        <w:rPr>
          <w:rFonts w:ascii="Times New Roman" w:hAnsi="Times New Roman"/>
          <w:sz w:val="24"/>
          <w:szCs w:val="24"/>
          <w:lang w:val="es-MX"/>
        </w:rPr>
        <w:lastRenderedPageBreak/>
        <w:t>Luego de la crisis las instituciones financieras que quedaron en el sistema, especialmente las más frágiles</w:t>
      </w:r>
      <w:r w:rsidR="00D45398" w:rsidRPr="00B07754">
        <w:rPr>
          <w:rFonts w:ascii="Times New Roman" w:hAnsi="Times New Roman"/>
          <w:sz w:val="24"/>
          <w:szCs w:val="24"/>
          <w:lang w:val="es-MX"/>
        </w:rPr>
        <w:t>,</w:t>
      </w:r>
      <w:r w:rsidR="00A46468" w:rsidRPr="00B07754">
        <w:rPr>
          <w:rFonts w:ascii="Times New Roman" w:hAnsi="Times New Roman"/>
          <w:sz w:val="24"/>
          <w:szCs w:val="24"/>
          <w:lang w:val="es-MX"/>
        </w:rPr>
        <w:t xml:space="preserve"> se vieron obligadas a competir m</w:t>
      </w:r>
      <w:r w:rsidR="00D45398" w:rsidRPr="00B07754">
        <w:rPr>
          <w:rFonts w:ascii="Times New Roman" w:hAnsi="Times New Roman"/>
          <w:sz w:val="24"/>
          <w:szCs w:val="24"/>
          <w:lang w:val="es-MX"/>
        </w:rPr>
        <w:t>ás para captar y colocar recursos para recuperarse financieramente, además de generar confianza en sus futuros y actuales clientes</w:t>
      </w:r>
      <w:r w:rsidR="00D628CD" w:rsidRPr="00B07754">
        <w:rPr>
          <w:rFonts w:ascii="Times New Roman" w:hAnsi="Times New Roman"/>
          <w:sz w:val="24"/>
          <w:szCs w:val="24"/>
          <w:lang w:val="es-MX"/>
        </w:rPr>
        <w:t>.</w:t>
      </w:r>
    </w:p>
    <w:p w:rsidR="00B13581" w:rsidRPr="00B07754" w:rsidRDefault="00C34336" w:rsidP="002B5E62">
      <w:pPr>
        <w:pStyle w:val="Prrafodelista"/>
        <w:numPr>
          <w:ilvl w:val="0"/>
          <w:numId w:val="1"/>
        </w:numPr>
        <w:autoSpaceDE w:val="0"/>
        <w:autoSpaceDN w:val="0"/>
        <w:adjustRightInd w:val="0"/>
        <w:spacing w:line="360" w:lineRule="auto"/>
        <w:ind w:left="703" w:hanging="357"/>
        <w:jc w:val="both"/>
        <w:rPr>
          <w:rFonts w:ascii="Times New Roman" w:hAnsi="Times New Roman"/>
          <w:sz w:val="24"/>
          <w:szCs w:val="24"/>
          <w:lang w:val="es-MX"/>
        </w:rPr>
      </w:pPr>
      <w:r w:rsidRPr="00B07754">
        <w:rPr>
          <w:rFonts w:ascii="Times New Roman" w:eastAsiaTheme="minorHAnsi" w:hAnsi="Times New Roman"/>
          <w:color w:val="000000"/>
          <w:sz w:val="24"/>
          <w:szCs w:val="24"/>
          <w:lang w:val="es-MX"/>
        </w:rPr>
        <w:t>2010:</w:t>
      </w:r>
      <w:r w:rsidR="00D32E8A" w:rsidRPr="00B07754">
        <w:rPr>
          <w:rFonts w:ascii="Times New Roman" w:eastAsiaTheme="minorHAnsi" w:hAnsi="Times New Roman"/>
          <w:color w:val="000000"/>
          <w:sz w:val="24"/>
          <w:szCs w:val="24"/>
          <w:lang w:val="es-MX"/>
        </w:rPr>
        <w:t xml:space="preserve"> E</w:t>
      </w:r>
      <w:r w:rsidRPr="00B07754">
        <w:rPr>
          <w:rFonts w:ascii="Times New Roman" w:eastAsiaTheme="minorHAnsi" w:hAnsi="Times New Roman"/>
          <w:color w:val="000000"/>
          <w:sz w:val="24"/>
          <w:szCs w:val="24"/>
          <w:lang w:val="es-MX"/>
        </w:rPr>
        <w:t>l sistema bancario ecuatoriano experimentó un</w:t>
      </w:r>
      <w:r w:rsidR="00D32E8A" w:rsidRPr="00B07754">
        <w:rPr>
          <w:rFonts w:ascii="Times New Roman" w:eastAsiaTheme="minorHAnsi" w:hAnsi="Times New Roman"/>
          <w:color w:val="000000"/>
          <w:sz w:val="24"/>
          <w:szCs w:val="24"/>
          <w:lang w:val="es-MX"/>
        </w:rPr>
        <w:t xml:space="preserve">a reducción en sus colocaciones en 2009 como </w:t>
      </w:r>
      <w:r w:rsidRPr="00B07754">
        <w:rPr>
          <w:rFonts w:ascii="Times New Roman" w:eastAsiaTheme="minorHAnsi" w:hAnsi="Times New Roman"/>
          <w:color w:val="000000"/>
          <w:sz w:val="24"/>
          <w:szCs w:val="24"/>
          <w:lang w:val="es-MX"/>
        </w:rPr>
        <w:t>consecuencia de la crisis financiera internacional que generó un clima de</w:t>
      </w:r>
      <w:r w:rsidR="00D32E8A"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incertidumbre.</w:t>
      </w:r>
      <w:r w:rsidR="00D32E8A" w:rsidRPr="00B07754">
        <w:rPr>
          <w:rFonts w:ascii="Times New Roman" w:eastAsiaTheme="minorHAnsi" w:hAnsi="Times New Roman"/>
          <w:color w:val="000000"/>
          <w:sz w:val="24"/>
          <w:szCs w:val="24"/>
          <w:lang w:val="es-MX"/>
        </w:rPr>
        <w:t xml:space="preserve"> Por esta razón, e</w:t>
      </w:r>
      <w:r w:rsidRPr="00B07754">
        <w:rPr>
          <w:rFonts w:ascii="Times New Roman" w:eastAsiaTheme="minorHAnsi" w:hAnsi="Times New Roman"/>
          <w:color w:val="000000"/>
          <w:sz w:val="24"/>
          <w:szCs w:val="24"/>
          <w:lang w:val="es-MX"/>
        </w:rPr>
        <w:t xml:space="preserve">l sistema bancario </w:t>
      </w:r>
      <w:r w:rsidR="00D32E8A" w:rsidRPr="00B07754">
        <w:rPr>
          <w:rFonts w:ascii="Times New Roman" w:eastAsiaTheme="minorHAnsi" w:hAnsi="Times New Roman"/>
          <w:color w:val="000000"/>
          <w:sz w:val="24"/>
          <w:szCs w:val="24"/>
          <w:lang w:val="es-MX"/>
        </w:rPr>
        <w:t>presentó una</w:t>
      </w:r>
      <w:r w:rsidRPr="00B07754">
        <w:rPr>
          <w:rFonts w:ascii="Times New Roman" w:eastAsiaTheme="minorHAnsi" w:hAnsi="Times New Roman"/>
          <w:color w:val="000000"/>
          <w:sz w:val="24"/>
          <w:szCs w:val="24"/>
          <w:lang w:val="es-MX"/>
        </w:rPr>
        <w:t xml:space="preserve"> desacelera</w:t>
      </w:r>
      <w:r w:rsidR="00D32E8A" w:rsidRPr="00B07754">
        <w:rPr>
          <w:rFonts w:ascii="Times New Roman" w:eastAsiaTheme="minorHAnsi" w:hAnsi="Times New Roman"/>
          <w:color w:val="000000"/>
          <w:sz w:val="24"/>
          <w:szCs w:val="24"/>
          <w:lang w:val="es-MX"/>
        </w:rPr>
        <w:t xml:space="preserve">ción de sus captaciones en dicho año, lo que incidió en el </w:t>
      </w:r>
      <w:r w:rsidRPr="00B07754">
        <w:rPr>
          <w:rFonts w:ascii="Times New Roman" w:eastAsiaTheme="minorHAnsi" w:hAnsi="Times New Roman"/>
          <w:color w:val="000000"/>
          <w:sz w:val="24"/>
          <w:szCs w:val="24"/>
          <w:lang w:val="es-MX"/>
        </w:rPr>
        <w:t>ritmo de crecimiento que venían manteniendo las colocaciones</w:t>
      </w:r>
      <w:r w:rsidR="00094D79" w:rsidRPr="00B07754">
        <w:rPr>
          <w:rFonts w:ascii="Times New Roman" w:eastAsiaTheme="minorHAnsi" w:hAnsi="Times New Roman"/>
          <w:color w:val="000000"/>
          <w:sz w:val="24"/>
          <w:szCs w:val="24"/>
          <w:lang w:val="es-MX"/>
        </w:rPr>
        <w:t xml:space="preserve">. </w:t>
      </w:r>
      <w:r w:rsidR="00F10DD5" w:rsidRPr="00B07754">
        <w:rPr>
          <w:rFonts w:ascii="Times New Roman" w:eastAsiaTheme="minorHAnsi" w:hAnsi="Times New Roman"/>
          <w:color w:val="000000"/>
          <w:sz w:val="24"/>
          <w:szCs w:val="24"/>
          <w:lang w:val="es-MX"/>
        </w:rPr>
        <w:t xml:space="preserve">Además de lo antes señalado, la crisis financiera internacional provocó que </w:t>
      </w:r>
      <w:r w:rsidRPr="00B07754">
        <w:rPr>
          <w:rFonts w:ascii="Times New Roman" w:eastAsiaTheme="minorHAnsi" w:hAnsi="Times New Roman"/>
          <w:color w:val="000000"/>
          <w:sz w:val="24"/>
          <w:szCs w:val="24"/>
          <w:lang w:val="es-MX"/>
        </w:rPr>
        <w:t xml:space="preserve">los depósitos </w:t>
      </w:r>
      <w:r w:rsidR="00F10DD5" w:rsidRPr="00B07754">
        <w:rPr>
          <w:rFonts w:ascii="Times New Roman" w:eastAsiaTheme="minorHAnsi" w:hAnsi="Times New Roman"/>
          <w:color w:val="000000"/>
          <w:sz w:val="24"/>
          <w:szCs w:val="24"/>
          <w:lang w:val="es-MX"/>
        </w:rPr>
        <w:t>presenten una</w:t>
      </w:r>
      <w:r w:rsidRPr="00B07754">
        <w:rPr>
          <w:rFonts w:ascii="Times New Roman" w:eastAsiaTheme="minorHAnsi" w:hAnsi="Times New Roman"/>
          <w:color w:val="000000"/>
          <w:sz w:val="24"/>
          <w:szCs w:val="24"/>
          <w:lang w:val="es-MX"/>
        </w:rPr>
        <w:t xml:space="preserve"> tendencia decreciente</w:t>
      </w:r>
      <w:r w:rsidR="00F10DD5" w:rsidRPr="00B07754">
        <w:rPr>
          <w:rFonts w:ascii="Times New Roman" w:eastAsiaTheme="minorHAnsi" w:hAnsi="Times New Roman"/>
          <w:color w:val="000000"/>
          <w:sz w:val="24"/>
          <w:szCs w:val="24"/>
          <w:lang w:val="es-MX"/>
        </w:rPr>
        <w:t xml:space="preserve"> del finales del 2008. </w:t>
      </w:r>
      <w:r w:rsidR="00094D79" w:rsidRPr="00B07754">
        <w:rPr>
          <w:rFonts w:ascii="Times New Roman" w:eastAsiaTheme="minorHAnsi" w:hAnsi="Times New Roman"/>
          <w:color w:val="000000"/>
          <w:sz w:val="24"/>
          <w:szCs w:val="24"/>
          <w:lang w:val="es-MX"/>
        </w:rPr>
        <w:t>A</w:t>
      </w:r>
      <w:r w:rsidRPr="00B07754">
        <w:rPr>
          <w:rFonts w:ascii="Times New Roman" w:eastAsiaTheme="minorHAnsi" w:hAnsi="Times New Roman"/>
          <w:color w:val="000000"/>
          <w:sz w:val="24"/>
          <w:szCs w:val="24"/>
          <w:lang w:val="es-MX"/>
        </w:rPr>
        <w:t>nte este comportamiento la mayoría de las entidades bancarias tomaron una</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política conservadora que privilegió mantener sus posiciones de liquidez a través de la desaceleración</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 xml:space="preserve">de las colocaciones y mayor eficiencia en la recuperación de los créditos. </w:t>
      </w:r>
      <w:r w:rsidR="00B97116" w:rsidRPr="00B07754">
        <w:rPr>
          <w:rFonts w:ascii="Times New Roman" w:eastAsiaTheme="minorHAnsi" w:hAnsi="Times New Roman"/>
          <w:color w:val="000000"/>
          <w:sz w:val="24"/>
          <w:szCs w:val="24"/>
          <w:lang w:val="es-MX"/>
        </w:rPr>
        <w:t xml:space="preserve">En junio </w:t>
      </w:r>
      <w:r w:rsidR="00F10DD5" w:rsidRPr="00B07754">
        <w:rPr>
          <w:rFonts w:ascii="Times New Roman" w:eastAsiaTheme="minorHAnsi" w:hAnsi="Times New Roman"/>
          <w:color w:val="000000"/>
          <w:sz w:val="24"/>
          <w:szCs w:val="24"/>
          <w:lang w:val="es-MX"/>
        </w:rPr>
        <w:t xml:space="preserve">de 2009 con la </w:t>
      </w:r>
      <w:r w:rsidRPr="00B07754">
        <w:rPr>
          <w:rFonts w:ascii="Times New Roman" w:eastAsiaTheme="minorHAnsi" w:hAnsi="Times New Roman"/>
          <w:color w:val="000000"/>
          <w:sz w:val="24"/>
          <w:szCs w:val="24"/>
          <w:lang w:val="es-MX"/>
        </w:rPr>
        <w:t>recuperación de la liquidez</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 xml:space="preserve">de la economía se dinamizaron nuevamente las operaciones. </w:t>
      </w:r>
      <w:r w:rsidR="00F10DD5" w:rsidRPr="00B07754">
        <w:rPr>
          <w:rFonts w:ascii="Times New Roman" w:eastAsiaTheme="minorHAnsi" w:hAnsi="Times New Roman"/>
          <w:color w:val="000000"/>
          <w:sz w:val="24"/>
          <w:szCs w:val="24"/>
          <w:lang w:val="es-MX"/>
        </w:rPr>
        <w:t xml:space="preserve">Por otra parte, la búsqueda por más captaciones se debe también a que </w:t>
      </w:r>
      <w:r w:rsidRPr="00B07754">
        <w:rPr>
          <w:rFonts w:ascii="Times New Roman" w:eastAsiaTheme="minorHAnsi" w:hAnsi="Times New Roman"/>
          <w:color w:val="000000"/>
          <w:sz w:val="24"/>
          <w:szCs w:val="24"/>
          <w:lang w:val="es-MX"/>
        </w:rPr>
        <w:t>el Gobierno dispuso que las instituciones públicas que forman</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parte del sector público no financiero solamente podrán invertir sus recursos en instituciones financieras</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públicas. Adicionalmente, se puede mencionar que durante el año 2009 se presentaron cambios</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normativos en la que se estableció la</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reducción o eliminación de las tarifas de algunos servicios que prestaban las entidades financieras a los</w:t>
      </w:r>
      <w:r w:rsidR="00F10DD5"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 xml:space="preserve">usuarios. De igual manera, </w:t>
      </w:r>
      <w:r w:rsidR="00B97116" w:rsidRPr="00B07754">
        <w:rPr>
          <w:rFonts w:ascii="Times New Roman" w:eastAsiaTheme="minorHAnsi" w:hAnsi="Times New Roman"/>
          <w:color w:val="000000"/>
          <w:sz w:val="24"/>
          <w:szCs w:val="24"/>
          <w:lang w:val="es-MX"/>
        </w:rPr>
        <w:t xml:space="preserve">el Banco Central de Ecuador </w:t>
      </w:r>
      <w:r w:rsidRPr="00B07754">
        <w:rPr>
          <w:rFonts w:ascii="Times New Roman" w:eastAsiaTheme="minorHAnsi" w:hAnsi="Times New Roman"/>
          <w:color w:val="000000"/>
          <w:sz w:val="24"/>
          <w:szCs w:val="24"/>
          <w:lang w:val="es-MX"/>
        </w:rPr>
        <w:t>decidió</w:t>
      </w:r>
      <w:r w:rsidR="002347EE"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 xml:space="preserve">disminuir el encaje bancario de las instituciones </w:t>
      </w:r>
      <w:r w:rsidR="00B97116" w:rsidRPr="00B07754">
        <w:rPr>
          <w:rFonts w:ascii="Times New Roman" w:eastAsiaTheme="minorHAnsi" w:hAnsi="Times New Roman"/>
          <w:color w:val="000000"/>
          <w:sz w:val="24"/>
          <w:szCs w:val="24"/>
          <w:lang w:val="es-MX"/>
        </w:rPr>
        <w:t xml:space="preserve">privadas del 4.00% al 2.00%. </w:t>
      </w:r>
      <w:r w:rsidRPr="00B07754">
        <w:rPr>
          <w:rFonts w:ascii="Times New Roman" w:eastAsiaTheme="minorHAnsi" w:hAnsi="Times New Roman"/>
          <w:color w:val="000000"/>
          <w:sz w:val="24"/>
          <w:szCs w:val="24"/>
          <w:lang w:val="es-MX"/>
        </w:rPr>
        <w:t>Todas las</w:t>
      </w:r>
      <w:r w:rsidR="002347EE"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regulaciones mencionadas de una u otra manera tuvieron un efecto directo en los estados financieros</w:t>
      </w:r>
      <w:r w:rsidR="002347EE"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de las entidades bancarias al reducir sus niveles de ingresos, motivo por el cual las instituciones, para</w:t>
      </w:r>
      <w:r w:rsidR="002347EE"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compensar estos rubros, se vieron obligadas a implementar nuevas líneas de negocio y diversificar sus</w:t>
      </w:r>
      <w:r w:rsidR="002347EE" w:rsidRPr="00B07754">
        <w:rPr>
          <w:rFonts w:ascii="Times New Roman" w:eastAsiaTheme="minorHAnsi" w:hAnsi="Times New Roman"/>
          <w:color w:val="000000"/>
          <w:sz w:val="24"/>
          <w:szCs w:val="24"/>
          <w:lang w:val="es-MX"/>
        </w:rPr>
        <w:t xml:space="preserve"> </w:t>
      </w:r>
      <w:r w:rsidRPr="00B07754">
        <w:rPr>
          <w:rFonts w:ascii="Times New Roman" w:eastAsiaTheme="minorHAnsi" w:hAnsi="Times New Roman"/>
          <w:color w:val="000000"/>
          <w:sz w:val="24"/>
          <w:szCs w:val="24"/>
          <w:lang w:val="es-MX"/>
        </w:rPr>
        <w:t>productos</w:t>
      </w:r>
      <w:sdt>
        <w:sdtPr>
          <w:rPr>
            <w:rFonts w:ascii="Times New Roman" w:eastAsiaTheme="minorHAnsi" w:hAnsi="Times New Roman"/>
            <w:color w:val="000000"/>
            <w:sz w:val="24"/>
            <w:szCs w:val="24"/>
            <w:lang w:val="es-MX"/>
          </w:rPr>
          <w:id w:val="-2079204825"/>
          <w:citation/>
        </w:sdtPr>
        <w:sdtEndPr/>
        <w:sdtContent>
          <w:r w:rsidR="00CB4FF9" w:rsidRPr="00B07754">
            <w:rPr>
              <w:rFonts w:ascii="Times New Roman" w:eastAsiaTheme="minorHAnsi" w:hAnsi="Times New Roman"/>
              <w:color w:val="000000"/>
              <w:sz w:val="24"/>
              <w:szCs w:val="24"/>
              <w:lang w:val="es-MX"/>
            </w:rPr>
            <w:fldChar w:fldCharType="begin"/>
          </w:r>
          <w:r w:rsidR="009C1A2A" w:rsidRPr="00B07754">
            <w:rPr>
              <w:rFonts w:ascii="Times New Roman" w:eastAsiaTheme="minorHAnsi" w:hAnsi="Times New Roman"/>
              <w:color w:val="000000"/>
              <w:sz w:val="24"/>
              <w:szCs w:val="24"/>
              <w:lang w:val="es-MX"/>
            </w:rPr>
            <w:instrText xml:space="preserve">CITATION Pac10 \p 2,3 \l 2058 </w:instrText>
          </w:r>
          <w:r w:rsidR="00CB4FF9" w:rsidRPr="00B07754">
            <w:rPr>
              <w:rFonts w:ascii="Times New Roman" w:eastAsiaTheme="minorHAnsi" w:hAnsi="Times New Roman"/>
              <w:color w:val="000000"/>
              <w:sz w:val="24"/>
              <w:szCs w:val="24"/>
              <w:lang w:val="es-MX"/>
            </w:rPr>
            <w:fldChar w:fldCharType="separate"/>
          </w:r>
          <w:r w:rsidR="008A6D1D" w:rsidRPr="00B07754">
            <w:rPr>
              <w:rFonts w:ascii="Times New Roman" w:eastAsiaTheme="minorHAnsi" w:hAnsi="Times New Roman"/>
              <w:noProof/>
              <w:color w:val="000000"/>
              <w:sz w:val="24"/>
              <w:szCs w:val="24"/>
              <w:lang w:val="es-MX"/>
            </w:rPr>
            <w:t xml:space="preserve"> (Delgado, 2010, págs. 2,3)</w:t>
          </w:r>
          <w:r w:rsidR="00CB4FF9" w:rsidRPr="00B07754">
            <w:rPr>
              <w:rFonts w:ascii="Times New Roman" w:eastAsiaTheme="minorHAnsi" w:hAnsi="Times New Roman"/>
              <w:color w:val="000000"/>
              <w:sz w:val="24"/>
              <w:szCs w:val="24"/>
              <w:lang w:val="es-MX"/>
            </w:rPr>
            <w:fldChar w:fldCharType="end"/>
          </w:r>
        </w:sdtContent>
      </w:sdt>
      <w:r w:rsidRPr="00B07754">
        <w:rPr>
          <w:rFonts w:ascii="Times New Roman" w:eastAsiaTheme="minorHAnsi" w:hAnsi="Times New Roman"/>
          <w:color w:val="000000"/>
          <w:sz w:val="24"/>
          <w:szCs w:val="24"/>
          <w:lang w:val="es-MX"/>
        </w:rPr>
        <w:t>.</w:t>
      </w:r>
    </w:p>
    <w:p w:rsidR="00880F79" w:rsidRPr="00880F79" w:rsidRDefault="00B13581" w:rsidP="002B5E62">
      <w:pPr>
        <w:pStyle w:val="NormalWeb"/>
        <w:numPr>
          <w:ilvl w:val="0"/>
          <w:numId w:val="1"/>
        </w:numPr>
        <w:shd w:val="clear" w:color="auto" w:fill="FFFFFF"/>
        <w:spacing w:before="0" w:beforeAutospacing="0" w:after="200" w:afterAutospacing="0" w:line="360" w:lineRule="auto"/>
        <w:ind w:left="703" w:hanging="357"/>
        <w:jc w:val="both"/>
        <w:rPr>
          <w:rFonts w:eastAsiaTheme="minorHAnsi"/>
          <w:color w:val="000000"/>
          <w:lang w:eastAsia="en-US"/>
        </w:rPr>
      </w:pPr>
      <w:r w:rsidRPr="00B07754">
        <w:rPr>
          <w:rFonts w:eastAsiaTheme="minorHAnsi"/>
          <w:color w:val="000000"/>
          <w:lang w:eastAsia="en-US"/>
        </w:rPr>
        <w:t xml:space="preserve">2011: </w:t>
      </w:r>
      <w:r w:rsidR="00A466BD" w:rsidRPr="00B07754">
        <w:rPr>
          <w:rFonts w:eastAsiaTheme="minorHAnsi"/>
          <w:color w:val="000000"/>
          <w:lang w:eastAsia="en-US"/>
        </w:rPr>
        <w:t xml:space="preserve">En este año, se </w:t>
      </w:r>
      <w:r w:rsidR="00880F79" w:rsidRPr="00B07754">
        <w:rPr>
          <w:rFonts w:eastAsiaTheme="minorHAnsi"/>
          <w:color w:val="000000"/>
          <w:lang w:eastAsia="en-US"/>
        </w:rPr>
        <w:t>regi</w:t>
      </w:r>
      <w:r w:rsidR="00F06A32" w:rsidRPr="00B07754">
        <w:rPr>
          <w:rFonts w:eastAsiaTheme="minorHAnsi"/>
          <w:color w:val="000000"/>
          <w:lang w:eastAsia="en-US"/>
        </w:rPr>
        <w:t>str</w:t>
      </w:r>
      <w:r w:rsidR="00A466BD" w:rsidRPr="00B07754">
        <w:rPr>
          <w:rFonts w:eastAsiaTheme="minorHAnsi"/>
          <w:color w:val="000000"/>
          <w:lang w:eastAsia="en-US"/>
        </w:rPr>
        <w:t xml:space="preserve">aron mayores niveles de liquidez, especialmente en el mes de mayo, en la economía como consecuencia de </w:t>
      </w:r>
      <w:r w:rsidR="00880F79" w:rsidRPr="00B07754">
        <w:rPr>
          <w:rFonts w:eastAsiaTheme="minorHAnsi"/>
          <w:color w:val="000000"/>
          <w:lang w:eastAsia="en-US"/>
        </w:rPr>
        <w:t>operaciones con el sector externo</w:t>
      </w:r>
      <w:r w:rsidR="00A466BD" w:rsidRPr="00B07754">
        <w:rPr>
          <w:rFonts w:eastAsiaTheme="minorHAnsi"/>
          <w:color w:val="000000"/>
          <w:lang w:eastAsia="en-US"/>
        </w:rPr>
        <w:t xml:space="preserve"> (35.3%)</w:t>
      </w:r>
      <w:r w:rsidR="00880F79" w:rsidRPr="00B07754">
        <w:rPr>
          <w:rFonts w:eastAsiaTheme="minorHAnsi"/>
          <w:color w:val="000000"/>
          <w:lang w:eastAsia="en-US"/>
        </w:rPr>
        <w:t>, privado (25.7%) y</w:t>
      </w:r>
      <w:r w:rsidR="00A466BD" w:rsidRPr="00B07754">
        <w:rPr>
          <w:rFonts w:eastAsiaTheme="minorHAnsi"/>
          <w:color w:val="000000"/>
          <w:lang w:eastAsia="en-US"/>
        </w:rPr>
        <w:t xml:space="preserve"> público</w:t>
      </w:r>
      <w:r w:rsidR="00880F79" w:rsidRPr="00B07754">
        <w:rPr>
          <w:rFonts w:eastAsiaTheme="minorHAnsi"/>
          <w:color w:val="000000"/>
          <w:lang w:eastAsia="en-US"/>
        </w:rPr>
        <w:t xml:space="preserve"> (16.7%).</w:t>
      </w:r>
      <w:r w:rsidR="00A466BD" w:rsidRPr="00B07754">
        <w:rPr>
          <w:rFonts w:eastAsiaTheme="minorHAnsi"/>
          <w:color w:val="000000"/>
          <w:lang w:eastAsia="en-US"/>
        </w:rPr>
        <w:t xml:space="preserve"> L</w:t>
      </w:r>
      <w:r w:rsidR="00880F79" w:rsidRPr="00880F79">
        <w:rPr>
          <w:rFonts w:eastAsiaTheme="minorHAnsi"/>
          <w:color w:val="000000"/>
          <w:lang w:eastAsia="en-US"/>
        </w:rPr>
        <w:t>as principales fuentes de la liquidez del sistema financiero tuvieron su origen en l</w:t>
      </w:r>
      <w:r w:rsidR="00A466BD" w:rsidRPr="00B07754">
        <w:rPr>
          <w:rFonts w:eastAsiaTheme="minorHAnsi"/>
          <w:color w:val="000000"/>
          <w:lang w:eastAsia="en-US"/>
        </w:rPr>
        <w:t>a d</w:t>
      </w:r>
      <w:r w:rsidR="00880F79" w:rsidRPr="00880F79">
        <w:rPr>
          <w:rFonts w:eastAsiaTheme="minorHAnsi"/>
          <w:color w:val="000000"/>
          <w:lang w:eastAsia="en-US"/>
        </w:rPr>
        <w:t>isminución de las reservas internacionales</w:t>
      </w:r>
      <w:r w:rsidR="00A466BD" w:rsidRPr="00B07754">
        <w:rPr>
          <w:rFonts w:eastAsiaTheme="minorHAnsi"/>
          <w:color w:val="000000"/>
          <w:lang w:eastAsia="en-US"/>
        </w:rPr>
        <w:t>, i</w:t>
      </w:r>
      <w:r w:rsidR="00880F79" w:rsidRPr="00880F79">
        <w:rPr>
          <w:rFonts w:eastAsiaTheme="minorHAnsi"/>
          <w:color w:val="000000"/>
          <w:lang w:eastAsia="en-US"/>
        </w:rPr>
        <w:t>ncremento de las captaciones del sector privado</w:t>
      </w:r>
      <w:r w:rsidR="00A466BD" w:rsidRPr="00B07754">
        <w:rPr>
          <w:rFonts w:eastAsiaTheme="minorHAnsi"/>
          <w:color w:val="000000"/>
          <w:lang w:eastAsia="en-US"/>
        </w:rPr>
        <w:t>, el a</w:t>
      </w:r>
      <w:r w:rsidR="00880F79" w:rsidRPr="00880F79">
        <w:rPr>
          <w:rFonts w:eastAsiaTheme="minorHAnsi"/>
          <w:color w:val="000000"/>
          <w:lang w:eastAsia="en-US"/>
        </w:rPr>
        <w:t>umento de los activos netos no clasificados</w:t>
      </w:r>
      <w:r w:rsidR="00A466BD" w:rsidRPr="00B07754">
        <w:rPr>
          <w:rFonts w:eastAsiaTheme="minorHAnsi"/>
          <w:color w:val="000000"/>
          <w:lang w:eastAsia="en-US"/>
        </w:rPr>
        <w:t xml:space="preserve">, </w:t>
      </w:r>
      <w:r w:rsidR="00880F79" w:rsidRPr="00880F79">
        <w:rPr>
          <w:rFonts w:eastAsiaTheme="minorHAnsi"/>
          <w:color w:val="000000"/>
          <w:lang w:eastAsia="en-US"/>
        </w:rPr>
        <w:t>entre otros</w:t>
      </w:r>
      <w:sdt>
        <w:sdtPr>
          <w:rPr>
            <w:rFonts w:eastAsiaTheme="minorHAnsi"/>
            <w:color w:val="000000"/>
            <w:lang w:eastAsia="en-US"/>
          </w:rPr>
          <w:id w:val="1701740547"/>
          <w:citation/>
        </w:sdtPr>
        <w:sdtEndPr/>
        <w:sdtContent>
          <w:r w:rsidR="00A466BD" w:rsidRPr="00B07754">
            <w:rPr>
              <w:rFonts w:eastAsiaTheme="minorHAnsi"/>
              <w:color w:val="000000"/>
              <w:lang w:eastAsia="en-US"/>
            </w:rPr>
            <w:fldChar w:fldCharType="begin"/>
          </w:r>
          <w:r w:rsidR="00A466BD" w:rsidRPr="00B07754">
            <w:rPr>
              <w:rFonts w:eastAsiaTheme="minorHAnsi"/>
              <w:color w:val="000000"/>
              <w:lang w:eastAsia="en-US"/>
            </w:rPr>
            <w:instrText xml:space="preserve"> CITATION Enm11 \l 2058 </w:instrText>
          </w:r>
          <w:r w:rsidR="00A466BD" w:rsidRPr="00B07754">
            <w:rPr>
              <w:rFonts w:eastAsiaTheme="minorHAnsi"/>
              <w:color w:val="000000"/>
              <w:lang w:eastAsia="en-US"/>
            </w:rPr>
            <w:fldChar w:fldCharType="separate"/>
          </w:r>
          <w:r w:rsidR="008A6D1D" w:rsidRPr="00B07754">
            <w:rPr>
              <w:rFonts w:eastAsiaTheme="minorHAnsi"/>
              <w:noProof/>
              <w:color w:val="000000"/>
              <w:lang w:eastAsia="en-US"/>
            </w:rPr>
            <w:t xml:space="preserve"> (En mayo de 2011 el sistema financiero </w:t>
          </w:r>
          <w:r w:rsidR="008A6D1D" w:rsidRPr="00B07754">
            <w:rPr>
              <w:rFonts w:eastAsiaTheme="minorHAnsi"/>
              <w:noProof/>
              <w:color w:val="000000"/>
              <w:lang w:eastAsia="en-US"/>
            </w:rPr>
            <w:lastRenderedPageBreak/>
            <w:t>registró niveles de liquidez por USD 810.5 millones, 2011)</w:t>
          </w:r>
          <w:r w:rsidR="00A466BD" w:rsidRPr="00B07754">
            <w:rPr>
              <w:rFonts w:eastAsiaTheme="minorHAnsi"/>
              <w:color w:val="000000"/>
              <w:lang w:eastAsia="en-US"/>
            </w:rPr>
            <w:fldChar w:fldCharType="end"/>
          </w:r>
        </w:sdtContent>
      </w:sdt>
      <w:r w:rsidR="00880F79" w:rsidRPr="00880F79">
        <w:rPr>
          <w:rFonts w:eastAsiaTheme="minorHAnsi"/>
          <w:color w:val="000000"/>
          <w:lang w:eastAsia="en-US"/>
        </w:rPr>
        <w:t>.</w:t>
      </w:r>
      <w:r w:rsidR="00A466BD" w:rsidRPr="00B07754">
        <w:rPr>
          <w:rFonts w:eastAsiaTheme="minorHAnsi"/>
          <w:color w:val="000000"/>
          <w:lang w:eastAsia="en-US"/>
        </w:rPr>
        <w:t xml:space="preserve"> Mayor liquidez implica que en la economía existe más dinero lo que hace que los bancos, especialmente los más pequeños, compitan para captar dichos recursos y transformarlos en créditos. </w:t>
      </w:r>
    </w:p>
    <w:p w:rsidR="00195D02" w:rsidRDefault="009B43E9"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Para realizar el test para conocer si los bancos operan en situaciones de equilibrio se calcula de nuevo y por dos ocasiones el modelo de efectos fijos para datos de panel desbalanceado empleado para obtener el estadístico H. Esto se lo realiza ya que es necesario ejecutar el modelo con el ROE y el ROA como indicadores alternativos de ingresos y de manera individual.  Las </w:t>
      </w:r>
      <w:r w:rsidR="00192495" w:rsidRPr="00B07754">
        <w:rPr>
          <w:rFonts w:ascii="Times New Roman" w:hAnsi="Times New Roman"/>
          <w:sz w:val="24"/>
          <w:szCs w:val="24"/>
          <w:lang w:val="es-MX"/>
        </w:rPr>
        <w:t xml:space="preserve">estimaciones del estadístico H empleando el ROE y el ROA </w:t>
      </w:r>
      <w:r w:rsidRPr="00B07754">
        <w:rPr>
          <w:rFonts w:ascii="Times New Roman" w:hAnsi="Times New Roman"/>
          <w:sz w:val="24"/>
          <w:szCs w:val="24"/>
          <w:lang w:val="es-MX"/>
        </w:rPr>
        <w:t>presentaron</w:t>
      </w:r>
      <w:r w:rsidR="00192495" w:rsidRPr="00B07754">
        <w:rPr>
          <w:rFonts w:ascii="Times New Roman" w:hAnsi="Times New Roman"/>
          <w:sz w:val="24"/>
          <w:szCs w:val="24"/>
          <w:lang w:val="es-MX"/>
        </w:rPr>
        <w:t xml:space="preserve"> coeficientes estadísticamente significativos</w:t>
      </w:r>
      <w:r w:rsidRPr="00B07754">
        <w:rPr>
          <w:rFonts w:ascii="Times New Roman" w:hAnsi="Times New Roman"/>
          <w:sz w:val="24"/>
          <w:szCs w:val="24"/>
          <w:lang w:val="es-MX"/>
        </w:rPr>
        <w:t>, además que al realizar el test de equilibrio</w:t>
      </w:r>
      <w:r w:rsidR="00192495" w:rsidRPr="00B07754">
        <w:rPr>
          <w:rFonts w:ascii="Times New Roman" w:hAnsi="Times New Roman"/>
          <w:sz w:val="24"/>
          <w:szCs w:val="24"/>
          <w:lang w:val="es-MX"/>
        </w:rPr>
        <w:t xml:space="preserve"> se acepta </w:t>
      </w:r>
      <w:r w:rsidRPr="00B07754">
        <w:rPr>
          <w:rFonts w:ascii="Times New Roman" w:hAnsi="Times New Roman"/>
          <w:sz w:val="24"/>
          <w:szCs w:val="24"/>
          <w:lang w:val="es-MX"/>
        </w:rPr>
        <w:t>su</w:t>
      </w:r>
      <w:r w:rsidR="00192495" w:rsidRPr="00B07754">
        <w:rPr>
          <w:rFonts w:ascii="Times New Roman" w:hAnsi="Times New Roman"/>
          <w:sz w:val="24"/>
          <w:szCs w:val="24"/>
          <w:lang w:val="es-MX"/>
        </w:rPr>
        <w:t xml:space="preserve"> hipótesis H=0, corroborando la validez de los resultados obtenidos para este indicador. </w:t>
      </w:r>
    </w:p>
    <w:p w:rsidR="00784862" w:rsidRPr="00B07754" w:rsidRDefault="00784862" w:rsidP="002B5E62">
      <w:pPr>
        <w:autoSpaceDE w:val="0"/>
        <w:autoSpaceDN w:val="0"/>
        <w:adjustRightInd w:val="0"/>
        <w:spacing w:line="360" w:lineRule="auto"/>
        <w:jc w:val="both"/>
        <w:rPr>
          <w:rFonts w:ascii="Times New Roman" w:hAnsi="Times New Roman"/>
          <w:sz w:val="24"/>
          <w:szCs w:val="24"/>
          <w:lang w:val="es-MX"/>
        </w:rPr>
      </w:pPr>
    </w:p>
    <w:p w:rsidR="00192495" w:rsidRPr="00B07754" w:rsidRDefault="00676AB0"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Tabla 9</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Resultados de la Estimación del Estadístico H</w:t>
      </w:r>
    </w:p>
    <w:p w:rsidR="00192495" w:rsidRPr="00B07754" w:rsidRDefault="00446FB6"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6FDEE13F" wp14:editId="54742F49">
            <wp:extent cx="5580380" cy="2299412"/>
            <wp:effectExtent l="0" t="0" r="1270"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0380" cy="2299412"/>
                    </a:xfrm>
                    <a:prstGeom prst="rect">
                      <a:avLst/>
                    </a:prstGeom>
                    <a:noFill/>
                    <a:ln>
                      <a:noFill/>
                    </a:ln>
                  </pic:spPr>
                </pic:pic>
              </a:graphicData>
            </a:graphic>
          </wp:inline>
        </w:drawing>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Elaboración propia a partir de las estimaciones en </w:t>
      </w:r>
      <w:proofErr w:type="spellStart"/>
      <w:r w:rsidRPr="00B07754">
        <w:rPr>
          <w:rFonts w:ascii="Times New Roman" w:hAnsi="Times New Roman"/>
          <w:sz w:val="24"/>
          <w:szCs w:val="24"/>
          <w:lang w:val="es-MX"/>
        </w:rPr>
        <w:t>Stata</w:t>
      </w:r>
      <w:proofErr w:type="spellEnd"/>
    </w:p>
    <w:p w:rsidR="00DF6655" w:rsidRDefault="00DF6655" w:rsidP="002B5E62">
      <w:pPr>
        <w:autoSpaceDE w:val="0"/>
        <w:autoSpaceDN w:val="0"/>
        <w:adjustRightInd w:val="0"/>
        <w:spacing w:line="360" w:lineRule="auto"/>
        <w:jc w:val="center"/>
        <w:rPr>
          <w:rFonts w:ascii="Times New Roman" w:hAnsi="Times New Roman"/>
          <w:sz w:val="24"/>
          <w:szCs w:val="24"/>
          <w:lang w:val="es-MX"/>
        </w:rPr>
      </w:pPr>
    </w:p>
    <w:p w:rsidR="00044670" w:rsidRPr="00B07754" w:rsidRDefault="00044670" w:rsidP="002B5E62">
      <w:pPr>
        <w:autoSpaceDE w:val="0"/>
        <w:autoSpaceDN w:val="0"/>
        <w:adjustRightInd w:val="0"/>
        <w:spacing w:line="360" w:lineRule="auto"/>
        <w:jc w:val="center"/>
        <w:rPr>
          <w:rFonts w:ascii="Times New Roman" w:hAnsi="Times New Roman"/>
          <w:sz w:val="24"/>
          <w:szCs w:val="24"/>
          <w:lang w:val="es-MX"/>
        </w:rPr>
      </w:pPr>
    </w:p>
    <w:p w:rsidR="00DF6655" w:rsidRPr="00B07754" w:rsidRDefault="00DF6655" w:rsidP="002B5E62">
      <w:pPr>
        <w:autoSpaceDE w:val="0"/>
        <w:autoSpaceDN w:val="0"/>
        <w:adjustRightInd w:val="0"/>
        <w:spacing w:line="360" w:lineRule="auto"/>
        <w:jc w:val="center"/>
        <w:rPr>
          <w:rFonts w:ascii="Times New Roman" w:hAnsi="Times New Roman"/>
          <w:sz w:val="24"/>
          <w:szCs w:val="24"/>
          <w:lang w:val="es-MX"/>
        </w:rPr>
      </w:pPr>
    </w:p>
    <w:p w:rsidR="00784862" w:rsidRDefault="00784862" w:rsidP="002B5E62">
      <w:pPr>
        <w:autoSpaceDE w:val="0"/>
        <w:autoSpaceDN w:val="0"/>
        <w:adjustRightInd w:val="0"/>
        <w:spacing w:line="360" w:lineRule="auto"/>
        <w:jc w:val="center"/>
        <w:rPr>
          <w:rFonts w:ascii="Times New Roman" w:hAnsi="Times New Roman"/>
          <w:sz w:val="24"/>
          <w:szCs w:val="24"/>
          <w:lang w:val="es-MX"/>
        </w:rPr>
      </w:pPr>
    </w:p>
    <w:p w:rsidR="00192495" w:rsidRPr="00B07754" w:rsidRDefault="00676AB0"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Tabla 10</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Prueba de Equilibrio Estadístico H</w:t>
      </w:r>
      <w:r w:rsidR="005A323C" w:rsidRPr="00B07754">
        <w:rPr>
          <w:rFonts w:ascii="Times New Roman" w:hAnsi="Times New Roman"/>
          <w:sz w:val="24"/>
          <w:szCs w:val="24"/>
          <w:lang w:val="es-MX"/>
        </w:rPr>
        <w:t>,</w:t>
      </w:r>
      <w:r w:rsidRPr="00B07754">
        <w:rPr>
          <w:rFonts w:ascii="Times New Roman" w:hAnsi="Times New Roman"/>
          <w:sz w:val="24"/>
          <w:szCs w:val="24"/>
          <w:lang w:val="es-MX"/>
        </w:rPr>
        <w:t xml:space="preserve"> ROE</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0846F809" wp14:editId="25A6360E">
            <wp:extent cx="2679590" cy="122094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61608"/>
                    <a:stretch/>
                  </pic:blipFill>
                  <pic:spPr bwMode="auto">
                    <a:xfrm>
                      <a:off x="0" y="0"/>
                      <a:ext cx="2679671" cy="1220980"/>
                    </a:xfrm>
                    <a:prstGeom prst="rect">
                      <a:avLst/>
                    </a:prstGeom>
                    <a:noFill/>
                    <a:ln>
                      <a:noFill/>
                    </a:ln>
                    <a:extLst>
                      <a:ext uri="{53640926-AAD7-44D8-BBD7-CCE9431645EC}">
                        <a14:shadowObscured xmlns:a14="http://schemas.microsoft.com/office/drawing/2010/main"/>
                      </a:ext>
                    </a:extLst>
                  </pic:spPr>
                </pic:pic>
              </a:graphicData>
            </a:graphic>
          </wp:inline>
        </w:drawing>
      </w:r>
    </w:p>
    <w:p w:rsidR="003E0F59"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Fuente: </w:t>
      </w:r>
      <w:proofErr w:type="spellStart"/>
      <w:r w:rsidRPr="00B07754">
        <w:rPr>
          <w:rFonts w:ascii="Times New Roman" w:hAnsi="Times New Roman"/>
          <w:sz w:val="24"/>
          <w:szCs w:val="24"/>
          <w:lang w:val="es-MX"/>
        </w:rPr>
        <w:t>Stata</w:t>
      </w:r>
      <w:proofErr w:type="spellEnd"/>
    </w:p>
    <w:p w:rsidR="00784862" w:rsidRDefault="00784862" w:rsidP="002B5E62">
      <w:pPr>
        <w:autoSpaceDE w:val="0"/>
        <w:autoSpaceDN w:val="0"/>
        <w:adjustRightInd w:val="0"/>
        <w:spacing w:line="360" w:lineRule="auto"/>
        <w:jc w:val="both"/>
        <w:rPr>
          <w:rFonts w:ascii="Times New Roman" w:hAnsi="Times New Roman"/>
          <w:sz w:val="24"/>
          <w:szCs w:val="24"/>
          <w:lang w:val="es-MX"/>
        </w:rPr>
      </w:pP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 xml:space="preserve">Tabla </w:t>
      </w:r>
      <w:r w:rsidR="00F34B6D" w:rsidRPr="00B07754">
        <w:rPr>
          <w:rFonts w:ascii="Times New Roman" w:hAnsi="Times New Roman"/>
          <w:sz w:val="24"/>
          <w:szCs w:val="24"/>
          <w:lang w:val="es-MX"/>
        </w:rPr>
        <w:t>11</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Prueba</w:t>
      </w:r>
      <w:r w:rsidR="00401EEE" w:rsidRPr="00B07754">
        <w:rPr>
          <w:rFonts w:ascii="Times New Roman" w:hAnsi="Times New Roman"/>
          <w:sz w:val="24"/>
          <w:szCs w:val="24"/>
          <w:lang w:val="es-MX"/>
        </w:rPr>
        <w:t xml:space="preserve"> de Equilibrio Estadístico H</w:t>
      </w:r>
      <w:r w:rsidR="005A323C" w:rsidRPr="00B07754">
        <w:rPr>
          <w:rFonts w:ascii="Times New Roman" w:hAnsi="Times New Roman"/>
          <w:sz w:val="24"/>
          <w:szCs w:val="24"/>
          <w:lang w:val="es-MX"/>
        </w:rPr>
        <w:t xml:space="preserve">, </w:t>
      </w:r>
      <w:r w:rsidR="00401EEE" w:rsidRPr="00B07754">
        <w:rPr>
          <w:rFonts w:ascii="Times New Roman" w:hAnsi="Times New Roman"/>
          <w:sz w:val="24"/>
          <w:szCs w:val="24"/>
          <w:lang w:val="es-MX"/>
        </w:rPr>
        <w:t>ROA</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7474872E" wp14:editId="3572F695">
            <wp:extent cx="2544792" cy="114570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61239"/>
                    <a:stretch/>
                  </pic:blipFill>
                  <pic:spPr bwMode="auto">
                    <a:xfrm>
                      <a:off x="0" y="0"/>
                      <a:ext cx="2545098" cy="1145845"/>
                    </a:xfrm>
                    <a:prstGeom prst="rect">
                      <a:avLst/>
                    </a:prstGeom>
                    <a:noFill/>
                    <a:ln>
                      <a:noFill/>
                    </a:ln>
                    <a:extLst>
                      <a:ext uri="{53640926-AAD7-44D8-BBD7-CCE9431645EC}">
                        <a14:shadowObscured xmlns:a14="http://schemas.microsoft.com/office/drawing/2010/main"/>
                      </a:ext>
                    </a:extLst>
                  </pic:spPr>
                </pic:pic>
              </a:graphicData>
            </a:graphic>
          </wp:inline>
        </w:drawing>
      </w:r>
    </w:p>
    <w:p w:rsidR="00192495"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Fuente: </w:t>
      </w:r>
      <w:proofErr w:type="spellStart"/>
      <w:r w:rsidRPr="00B07754">
        <w:rPr>
          <w:rFonts w:ascii="Times New Roman" w:hAnsi="Times New Roman"/>
          <w:sz w:val="24"/>
          <w:szCs w:val="24"/>
          <w:lang w:val="es-MX"/>
        </w:rPr>
        <w:t>Stata</w:t>
      </w:r>
      <w:proofErr w:type="spellEnd"/>
    </w:p>
    <w:p w:rsidR="00784862" w:rsidRPr="00B07754" w:rsidRDefault="00784862" w:rsidP="002B5E62">
      <w:pPr>
        <w:autoSpaceDE w:val="0"/>
        <w:autoSpaceDN w:val="0"/>
        <w:adjustRightInd w:val="0"/>
        <w:spacing w:line="360" w:lineRule="auto"/>
        <w:jc w:val="both"/>
        <w:rPr>
          <w:rFonts w:ascii="Times New Roman" w:hAnsi="Times New Roman"/>
          <w:sz w:val="24"/>
          <w:szCs w:val="24"/>
          <w:lang w:val="es-MX"/>
        </w:rPr>
      </w:pP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La estimación global del modelo refleja un cierto grado de poder de mercado en la banca ecuatoriana, no obstante las diferencias en el estadístico H se pueden evidenciar a través del análisis anual en el cual se reflejan los cambios de estructura en la banca que pueden haber sido inducidos parcialmente por entradas y salidas de instituciones y/o por políticas regulatorias. La estructura de competencia monopolística ha estado presente desde el año 2002 hasta el 2009, cambiando a competencia perfecta los años 2010 y 2011</w:t>
      </w:r>
      <w:r w:rsidR="00CF0DA1" w:rsidRPr="00B07754">
        <w:rPr>
          <w:rFonts w:ascii="Times New Roman" w:hAnsi="Times New Roman"/>
          <w:sz w:val="24"/>
          <w:szCs w:val="24"/>
          <w:lang w:val="es-MX"/>
        </w:rPr>
        <w:t>.</w:t>
      </w:r>
      <w:r w:rsidRPr="00B07754">
        <w:rPr>
          <w:rFonts w:ascii="Times New Roman" w:hAnsi="Times New Roman"/>
          <w:sz w:val="24"/>
          <w:szCs w:val="24"/>
          <w:lang w:val="es-MX"/>
        </w:rPr>
        <w:t xml:space="preserve"> Para el 2012 esta tendencia se revierte y el sistema bancario presenta de nuevo una estructura de competencia monopolística. </w:t>
      </w:r>
      <w:r w:rsidR="00CF0DA1" w:rsidRPr="00B07754">
        <w:rPr>
          <w:rFonts w:ascii="Times New Roman" w:hAnsi="Times New Roman"/>
          <w:sz w:val="24"/>
          <w:szCs w:val="24"/>
          <w:lang w:val="es-MX"/>
        </w:rPr>
        <w:t xml:space="preserve">Estos cambios en los niveles de competencia se sustentan en que a partir </w:t>
      </w:r>
      <w:r w:rsidR="009F5A65" w:rsidRPr="00B07754">
        <w:rPr>
          <w:rFonts w:ascii="Times New Roman" w:hAnsi="Times New Roman"/>
          <w:sz w:val="24"/>
          <w:szCs w:val="24"/>
          <w:lang w:val="es-MX"/>
        </w:rPr>
        <w:t>de</w:t>
      </w:r>
      <w:r w:rsidR="00CF0DA1" w:rsidRPr="00B07754">
        <w:rPr>
          <w:rFonts w:ascii="Times New Roman" w:hAnsi="Times New Roman"/>
          <w:sz w:val="24"/>
          <w:szCs w:val="24"/>
          <w:lang w:val="es-MX"/>
        </w:rPr>
        <w:t xml:space="preserve"> la</w:t>
      </w:r>
      <w:r w:rsidR="009F5A65" w:rsidRPr="00B07754">
        <w:rPr>
          <w:rFonts w:ascii="Times New Roman" w:hAnsi="Times New Roman"/>
          <w:sz w:val="24"/>
          <w:szCs w:val="24"/>
          <w:lang w:val="es-MX"/>
        </w:rPr>
        <w:t xml:space="preserve"> crisis financiera de 1999 la </w:t>
      </w:r>
      <w:r w:rsidR="00CF0DA1" w:rsidRPr="00B07754">
        <w:rPr>
          <w:rFonts w:ascii="Times New Roman" w:hAnsi="Times New Roman"/>
          <w:sz w:val="24"/>
          <w:szCs w:val="24"/>
          <w:lang w:val="es-MX"/>
        </w:rPr>
        <w:t xml:space="preserve">confianza del público </w:t>
      </w:r>
      <w:r w:rsidR="009F5A65" w:rsidRPr="00B07754">
        <w:rPr>
          <w:rFonts w:ascii="Times New Roman" w:hAnsi="Times New Roman"/>
          <w:sz w:val="24"/>
          <w:szCs w:val="24"/>
          <w:lang w:val="es-MX"/>
        </w:rPr>
        <w:t xml:space="preserve">en el sistema disminuyó </w:t>
      </w:r>
      <w:r w:rsidR="00CF0DA1" w:rsidRPr="00B07754">
        <w:rPr>
          <w:rFonts w:ascii="Times New Roman" w:hAnsi="Times New Roman"/>
          <w:sz w:val="24"/>
          <w:szCs w:val="24"/>
          <w:lang w:val="es-MX"/>
        </w:rPr>
        <w:t>por lo que, incluso en la actualidad, éste prefiere entregar y obtener recursos de los bancos más grandes</w:t>
      </w:r>
      <w:r w:rsidR="000074D6" w:rsidRPr="00B07754">
        <w:rPr>
          <w:rFonts w:ascii="Times New Roman" w:hAnsi="Times New Roman"/>
          <w:sz w:val="24"/>
          <w:szCs w:val="24"/>
          <w:lang w:val="es-MX"/>
        </w:rPr>
        <w:t xml:space="preserve">, otorgándoles una ventaja sobre sus competidores. Empero, estos bancos </w:t>
      </w:r>
      <w:r w:rsidR="000074D6" w:rsidRPr="00B07754">
        <w:rPr>
          <w:rFonts w:ascii="Times New Roman" w:hAnsi="Times New Roman"/>
          <w:sz w:val="24"/>
          <w:szCs w:val="24"/>
          <w:lang w:val="es-MX"/>
        </w:rPr>
        <w:lastRenderedPageBreak/>
        <w:t xml:space="preserve">poseen inversiones en el exterior y con el surgimiento de la crisis de 2008 </w:t>
      </w:r>
      <w:r w:rsidR="009F5A65" w:rsidRPr="00B07754">
        <w:rPr>
          <w:rFonts w:ascii="Times New Roman" w:hAnsi="Times New Roman"/>
          <w:sz w:val="24"/>
          <w:szCs w:val="24"/>
          <w:lang w:val="es-MX"/>
        </w:rPr>
        <w:t xml:space="preserve">tuvieron mayor preferencia por </w:t>
      </w:r>
      <w:r w:rsidR="000074D6" w:rsidRPr="00B07754">
        <w:rPr>
          <w:rFonts w:ascii="Times New Roman" w:hAnsi="Times New Roman"/>
          <w:sz w:val="24"/>
          <w:szCs w:val="24"/>
          <w:lang w:val="es-MX"/>
        </w:rPr>
        <w:t>liquidez y disminuyeron su crecimiento en colocaciones. Este hecho representó una oportunidad para los bancos pequeños</w:t>
      </w:r>
      <w:r w:rsidR="009F5A65" w:rsidRPr="00B07754">
        <w:rPr>
          <w:rFonts w:ascii="Times New Roman" w:hAnsi="Times New Roman"/>
          <w:sz w:val="24"/>
          <w:szCs w:val="24"/>
          <w:lang w:val="es-MX"/>
        </w:rPr>
        <w:t>, sin inversiones en el exterior, para aprovechar el mercado al que los bancos grandes no estaban llegando y así colocar más recursos</w:t>
      </w:r>
      <w:r w:rsidR="00DE1A0E" w:rsidRPr="00B07754">
        <w:rPr>
          <w:rFonts w:ascii="Times New Roman" w:hAnsi="Times New Roman"/>
          <w:sz w:val="24"/>
          <w:szCs w:val="24"/>
          <w:lang w:val="es-MX"/>
        </w:rPr>
        <w:t xml:space="preserve"> y ganar de participación de mercado</w:t>
      </w:r>
      <w:r w:rsidR="009F5A65" w:rsidRPr="00B07754">
        <w:rPr>
          <w:rFonts w:ascii="Times New Roman" w:hAnsi="Times New Roman"/>
          <w:sz w:val="24"/>
          <w:szCs w:val="24"/>
          <w:lang w:val="es-MX"/>
        </w:rPr>
        <w:t xml:space="preserve">. </w:t>
      </w:r>
      <w:r w:rsidR="002C7F3F" w:rsidRPr="00B07754">
        <w:rPr>
          <w:rFonts w:ascii="Times New Roman" w:hAnsi="Times New Roman"/>
          <w:sz w:val="24"/>
          <w:szCs w:val="24"/>
          <w:lang w:val="es-MX"/>
        </w:rPr>
        <w:t>Con la recuperación de la economía mundial los bancos grandes buscaron para el 2012 incrementar su crecimiento por lo que sus estrategias de competencia posiblemente fueron m</w:t>
      </w:r>
      <w:r w:rsidR="0019043C" w:rsidRPr="00B07754">
        <w:rPr>
          <w:rFonts w:ascii="Times New Roman" w:hAnsi="Times New Roman"/>
          <w:sz w:val="24"/>
          <w:szCs w:val="24"/>
          <w:lang w:val="es-MX"/>
        </w:rPr>
        <w:t xml:space="preserve">ás fuertes </w:t>
      </w:r>
      <w:r w:rsidR="00BC5ED9" w:rsidRPr="00B07754">
        <w:rPr>
          <w:rFonts w:ascii="Times New Roman" w:hAnsi="Times New Roman"/>
          <w:sz w:val="24"/>
          <w:szCs w:val="24"/>
          <w:lang w:val="es-MX"/>
        </w:rPr>
        <w:t>y</w:t>
      </w:r>
      <w:r w:rsidR="0019043C" w:rsidRPr="00B07754">
        <w:rPr>
          <w:rFonts w:ascii="Times New Roman" w:hAnsi="Times New Roman"/>
          <w:sz w:val="24"/>
          <w:szCs w:val="24"/>
          <w:lang w:val="es-MX"/>
        </w:rPr>
        <w:t xml:space="preserve"> el nivel de competencia volvió a comportarse como competencia monopolística. </w:t>
      </w:r>
    </w:p>
    <w:p w:rsidR="00192495"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Es muy importante resaltar que la relación existente entre el estadístico H y los indicadores de concentración para captaciones y colocaciones, es alta y positiva, por lo que puede afirmarse que en el sistema bancario ecuatoriano, un nivel de concentración de mercado elevado se corresponde con alto grado de competencia, es decir que los principales actores del mercado no llegan a acuerdos sino que compiten por captar recursos y colocar crédito. </w:t>
      </w:r>
      <w:r w:rsidR="008D6481" w:rsidRPr="00B07754">
        <w:rPr>
          <w:rFonts w:ascii="Times New Roman" w:hAnsi="Times New Roman"/>
          <w:sz w:val="24"/>
          <w:szCs w:val="24"/>
          <w:lang w:val="es-MX"/>
        </w:rPr>
        <w:t>Esto se evidencia en la estructura de captaciones y colocaciones durante el periodo analizado en la que se observa que los cuatro bancos con mayor participaci</w:t>
      </w:r>
      <w:r w:rsidR="00B561EB" w:rsidRPr="00B07754">
        <w:rPr>
          <w:rFonts w:ascii="Times New Roman" w:hAnsi="Times New Roman"/>
          <w:sz w:val="24"/>
          <w:szCs w:val="24"/>
          <w:lang w:val="es-MX"/>
        </w:rPr>
        <w:t>ón pueden variar, pueden</w:t>
      </w:r>
      <w:r w:rsidR="008D6481" w:rsidRPr="00B07754">
        <w:rPr>
          <w:rFonts w:ascii="Times New Roman" w:hAnsi="Times New Roman"/>
          <w:sz w:val="24"/>
          <w:szCs w:val="24"/>
          <w:lang w:val="es-MX"/>
        </w:rPr>
        <w:t xml:space="preserve"> no s</w:t>
      </w:r>
      <w:r w:rsidR="00B561EB" w:rsidRPr="00B07754">
        <w:rPr>
          <w:rFonts w:ascii="Times New Roman" w:hAnsi="Times New Roman"/>
          <w:sz w:val="24"/>
          <w:szCs w:val="24"/>
          <w:lang w:val="es-MX"/>
        </w:rPr>
        <w:t>er</w:t>
      </w:r>
      <w:r w:rsidR="008D6481" w:rsidRPr="00B07754">
        <w:rPr>
          <w:rFonts w:ascii="Times New Roman" w:hAnsi="Times New Roman"/>
          <w:sz w:val="24"/>
          <w:szCs w:val="24"/>
          <w:lang w:val="es-MX"/>
        </w:rPr>
        <w:t xml:space="preserve"> los mismos </w:t>
      </w:r>
      <w:r w:rsidR="00B561EB" w:rsidRPr="00B07754">
        <w:rPr>
          <w:rFonts w:ascii="Times New Roman" w:hAnsi="Times New Roman"/>
          <w:sz w:val="24"/>
          <w:szCs w:val="24"/>
          <w:lang w:val="es-MX"/>
        </w:rPr>
        <w:t xml:space="preserve">año tras año </w:t>
      </w:r>
      <w:r w:rsidR="008D6481" w:rsidRPr="00B07754">
        <w:rPr>
          <w:rFonts w:ascii="Times New Roman" w:hAnsi="Times New Roman"/>
          <w:sz w:val="24"/>
          <w:szCs w:val="24"/>
          <w:lang w:val="es-MX"/>
        </w:rPr>
        <w:t>o mantienen la misma participación tanto en captaciones como en colocaciones. Se evidencia además que su participación de mercado, al igual que la de los bancos de todo el sistema, varía de periodo a periodo –aumenta o disminuye- lo que refleja que todas las instituciones pueden competir para obtener mayor participación de mercado sin importar su tamaño. La estrategia por la que han optado bancos de menor tamaño es la de aprovechar su estructura y capacidad</w:t>
      </w:r>
      <w:r w:rsidR="00B561EB" w:rsidRPr="00B07754">
        <w:rPr>
          <w:rFonts w:ascii="Times New Roman" w:hAnsi="Times New Roman"/>
          <w:sz w:val="24"/>
          <w:szCs w:val="24"/>
          <w:lang w:val="es-MX"/>
        </w:rPr>
        <w:t>,</w:t>
      </w:r>
      <w:r w:rsidR="008D6481" w:rsidRPr="00B07754">
        <w:rPr>
          <w:rFonts w:ascii="Times New Roman" w:hAnsi="Times New Roman"/>
          <w:sz w:val="24"/>
          <w:szCs w:val="24"/>
          <w:lang w:val="es-MX"/>
        </w:rPr>
        <w:t xml:space="preserve"> y especializarse en distintos segmentos –consumo, comercial, vivienda, microcrédito- a los que los bancos grandes no lleguen. </w:t>
      </w:r>
      <w:r w:rsidRPr="00B07754">
        <w:rPr>
          <w:rFonts w:ascii="Times New Roman" w:hAnsi="Times New Roman"/>
          <w:sz w:val="24"/>
          <w:szCs w:val="24"/>
          <w:lang w:val="es-MX"/>
        </w:rPr>
        <w:t xml:space="preserve">Esta relación directa es más fuerte en el caso de las colocaciones. Si a estos resultados se los confronta con los del estadístico H en los años en los que la competencia fue mayor, se observa que los valores de los indicadores de concentración tanto en captaciones como en colocaciones son mayores en dichos años. </w:t>
      </w:r>
    </w:p>
    <w:p w:rsidR="00784862" w:rsidRDefault="00784862" w:rsidP="002B5E62">
      <w:pPr>
        <w:autoSpaceDE w:val="0"/>
        <w:autoSpaceDN w:val="0"/>
        <w:adjustRightInd w:val="0"/>
        <w:spacing w:line="360" w:lineRule="auto"/>
        <w:jc w:val="both"/>
        <w:rPr>
          <w:rFonts w:ascii="Times New Roman" w:hAnsi="Times New Roman"/>
          <w:sz w:val="24"/>
          <w:szCs w:val="24"/>
          <w:lang w:val="es-MX"/>
        </w:rPr>
      </w:pPr>
    </w:p>
    <w:p w:rsidR="00044670" w:rsidRDefault="00044670" w:rsidP="002B5E62">
      <w:pPr>
        <w:autoSpaceDE w:val="0"/>
        <w:autoSpaceDN w:val="0"/>
        <w:adjustRightInd w:val="0"/>
        <w:spacing w:line="360" w:lineRule="auto"/>
        <w:jc w:val="both"/>
        <w:rPr>
          <w:rFonts w:ascii="Times New Roman" w:hAnsi="Times New Roman"/>
          <w:sz w:val="24"/>
          <w:szCs w:val="24"/>
          <w:lang w:val="es-MX"/>
        </w:rPr>
      </w:pPr>
    </w:p>
    <w:p w:rsidR="00784862" w:rsidRDefault="00784862" w:rsidP="002B5E62">
      <w:pPr>
        <w:autoSpaceDE w:val="0"/>
        <w:autoSpaceDN w:val="0"/>
        <w:adjustRightInd w:val="0"/>
        <w:spacing w:line="360" w:lineRule="auto"/>
        <w:jc w:val="both"/>
        <w:rPr>
          <w:rFonts w:ascii="Times New Roman" w:hAnsi="Times New Roman"/>
          <w:sz w:val="24"/>
          <w:szCs w:val="24"/>
          <w:lang w:val="es-MX"/>
        </w:rPr>
      </w:pPr>
    </w:p>
    <w:p w:rsidR="00784862" w:rsidRDefault="00784862" w:rsidP="002B5E62">
      <w:pPr>
        <w:autoSpaceDE w:val="0"/>
        <w:autoSpaceDN w:val="0"/>
        <w:adjustRightInd w:val="0"/>
        <w:spacing w:line="360" w:lineRule="auto"/>
        <w:jc w:val="both"/>
        <w:rPr>
          <w:rFonts w:ascii="Times New Roman" w:hAnsi="Times New Roman"/>
          <w:sz w:val="24"/>
          <w:szCs w:val="24"/>
          <w:lang w:val="es-MX"/>
        </w:rPr>
      </w:pPr>
    </w:p>
    <w:p w:rsidR="00784862" w:rsidRPr="00B07754" w:rsidRDefault="00784862" w:rsidP="002B5E62">
      <w:pPr>
        <w:autoSpaceDE w:val="0"/>
        <w:autoSpaceDN w:val="0"/>
        <w:adjustRightInd w:val="0"/>
        <w:spacing w:line="360" w:lineRule="auto"/>
        <w:jc w:val="both"/>
        <w:rPr>
          <w:rFonts w:ascii="Times New Roman" w:hAnsi="Times New Roman"/>
          <w:sz w:val="24"/>
          <w:szCs w:val="24"/>
          <w:lang w:val="es-MX"/>
        </w:rPr>
      </w:pP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 xml:space="preserve">Tabla </w:t>
      </w:r>
      <w:r w:rsidR="00F34B6D" w:rsidRPr="00B07754">
        <w:rPr>
          <w:rFonts w:ascii="Times New Roman" w:hAnsi="Times New Roman"/>
          <w:sz w:val="24"/>
          <w:szCs w:val="24"/>
          <w:lang w:val="es-MX"/>
        </w:rPr>
        <w:t>12</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Correlaciones entre indicadores de Competencia y Concentración</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166A8A2C" wp14:editId="10437DDF">
            <wp:extent cx="1534795" cy="1391285"/>
            <wp:effectExtent l="0" t="0" r="825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34795" cy="1391285"/>
                    </a:xfrm>
                    <a:prstGeom prst="rect">
                      <a:avLst/>
                    </a:prstGeom>
                    <a:noFill/>
                    <a:ln>
                      <a:noFill/>
                    </a:ln>
                  </pic:spPr>
                </pic:pic>
              </a:graphicData>
            </a:graphic>
          </wp:inline>
        </w:drawing>
      </w:r>
    </w:p>
    <w:p w:rsidR="00192495" w:rsidRDefault="00192495" w:rsidP="002B5E62">
      <w:pPr>
        <w:autoSpaceDE w:val="0"/>
        <w:autoSpaceDN w:val="0"/>
        <w:adjustRightInd w:val="0"/>
        <w:spacing w:line="360" w:lineRule="auto"/>
        <w:rPr>
          <w:rFonts w:ascii="Times New Roman" w:hAnsi="Times New Roman"/>
          <w:sz w:val="24"/>
          <w:szCs w:val="24"/>
          <w:lang w:val="es-MX"/>
        </w:rPr>
      </w:pPr>
      <w:r w:rsidRPr="00B07754">
        <w:rPr>
          <w:rFonts w:ascii="Times New Roman" w:hAnsi="Times New Roman"/>
          <w:sz w:val="24"/>
          <w:szCs w:val="24"/>
          <w:lang w:val="es-MX"/>
        </w:rPr>
        <w:t>Elaboración propia</w:t>
      </w:r>
    </w:p>
    <w:p w:rsidR="00784862" w:rsidRPr="00B07754" w:rsidRDefault="00784862" w:rsidP="002B5E62">
      <w:pPr>
        <w:autoSpaceDE w:val="0"/>
        <w:autoSpaceDN w:val="0"/>
        <w:adjustRightInd w:val="0"/>
        <w:spacing w:line="360" w:lineRule="auto"/>
        <w:rPr>
          <w:rFonts w:ascii="Times New Roman" w:hAnsi="Times New Roman"/>
          <w:sz w:val="24"/>
          <w:szCs w:val="24"/>
          <w:lang w:val="es-MX"/>
        </w:rPr>
      </w:pPr>
    </w:p>
    <w:p w:rsidR="00192495" w:rsidRPr="00B07754" w:rsidRDefault="00192495" w:rsidP="002B5E62">
      <w:pPr>
        <w:pStyle w:val="Ttulo2"/>
        <w:numPr>
          <w:ilvl w:val="1"/>
          <w:numId w:val="25"/>
        </w:numPr>
        <w:spacing w:before="0" w:after="200" w:line="360" w:lineRule="auto"/>
        <w:ind w:left="0" w:firstLine="0"/>
        <w:rPr>
          <w:rFonts w:ascii="Times New Roman" w:hAnsi="Times New Roman"/>
          <w:color w:val="auto"/>
          <w:sz w:val="24"/>
          <w:szCs w:val="24"/>
          <w:lang w:val="es-MX"/>
        </w:rPr>
      </w:pPr>
      <w:bookmarkStart w:id="42" w:name="_Toc372589984"/>
      <w:r w:rsidRPr="00B07754">
        <w:rPr>
          <w:rFonts w:ascii="Times New Roman" w:hAnsi="Times New Roman"/>
          <w:color w:val="auto"/>
          <w:sz w:val="24"/>
          <w:szCs w:val="24"/>
          <w:lang w:val="es-MX"/>
        </w:rPr>
        <w:t>Indicador de Estabilidad</w:t>
      </w:r>
      <w:bookmarkEnd w:id="42"/>
    </w:p>
    <w:p w:rsidR="00063D13" w:rsidRPr="00B07754" w:rsidRDefault="00192495" w:rsidP="002B5E62">
      <w:pPr>
        <w:autoSpaceDE w:val="0"/>
        <w:autoSpaceDN w:val="0"/>
        <w:adjustRightInd w:val="0"/>
        <w:spacing w:line="360" w:lineRule="auto"/>
        <w:jc w:val="both"/>
        <w:rPr>
          <w:rFonts w:ascii="Times New Roman" w:hAnsi="Times New Roman"/>
          <w:iCs/>
          <w:sz w:val="24"/>
          <w:szCs w:val="24"/>
          <w:lang w:val="es-MX"/>
        </w:rPr>
      </w:pPr>
      <w:r w:rsidRPr="00B07754">
        <w:rPr>
          <w:rFonts w:ascii="Times New Roman" w:hAnsi="Times New Roman"/>
          <w:sz w:val="24"/>
          <w:szCs w:val="24"/>
          <w:lang w:val="es-MX"/>
        </w:rPr>
        <w:t>Para el presente estudio se utiliza la Razón de Préstamos No Pagados (NPL). Este indicador mide el riesgo de la cartera de los bancos y corresponde a la proporción de préstamos en riesgo de no pago sobre el total de la cartera que posee un banco</w:t>
      </w:r>
      <w:sdt>
        <w:sdtPr>
          <w:rPr>
            <w:rFonts w:ascii="Times New Roman" w:hAnsi="Times New Roman"/>
            <w:sz w:val="24"/>
            <w:szCs w:val="24"/>
            <w:lang w:val="es-MX"/>
          </w:rPr>
          <w:id w:val="1907945050"/>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Pin \p 4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(Pino Saldías &amp; Araya Gómez , pág. 4)</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w:t>
      </w:r>
      <w:r w:rsidRPr="00B07754">
        <w:rPr>
          <w:rFonts w:ascii="Times New Roman" w:hAnsi="Times New Roman"/>
          <w:iCs/>
          <w:sz w:val="24"/>
          <w:szCs w:val="24"/>
          <w:lang w:val="es-MX"/>
        </w:rPr>
        <w:t xml:space="preserve"> </w:t>
      </w:r>
    </w:p>
    <w:p w:rsidR="00192495" w:rsidRPr="00B07754" w:rsidRDefault="00063D13" w:rsidP="002B5E62">
      <w:pPr>
        <w:autoSpaceDE w:val="0"/>
        <w:autoSpaceDN w:val="0"/>
        <w:adjustRightInd w:val="0"/>
        <w:spacing w:line="360" w:lineRule="auto"/>
        <w:ind w:left="709"/>
        <w:jc w:val="both"/>
        <w:rPr>
          <w:rFonts w:ascii="Times New Roman" w:hAnsi="Times New Roman"/>
          <w:sz w:val="24"/>
          <w:szCs w:val="24"/>
          <w:lang w:val="es-MX"/>
        </w:rPr>
      </w:pPr>
      <w:r w:rsidRPr="00B07754">
        <w:rPr>
          <w:rFonts w:ascii="Times New Roman" w:hAnsi="Times New Roman"/>
          <w:iCs/>
          <w:sz w:val="24"/>
          <w:szCs w:val="24"/>
          <w:lang w:val="es-MX"/>
        </w:rPr>
        <w:t>“</w:t>
      </w:r>
      <w:r w:rsidR="00192495" w:rsidRPr="00B07754">
        <w:rPr>
          <w:rFonts w:ascii="Times New Roman" w:hAnsi="Times New Roman"/>
          <w:iCs/>
          <w:sz w:val="24"/>
          <w:szCs w:val="24"/>
          <w:lang w:val="es-MX"/>
        </w:rPr>
        <w:t>Hay que aclarar que e</w:t>
      </w:r>
      <w:r w:rsidR="00192495" w:rsidRPr="00B07754">
        <w:rPr>
          <w:rFonts w:ascii="Times New Roman" w:hAnsi="Times New Roman"/>
          <w:sz w:val="24"/>
          <w:szCs w:val="24"/>
          <w:lang w:val="es-MX"/>
        </w:rPr>
        <w:t>sta medida se enfoca en el riesgo de la cartera de créditos de los bancos y no tiene relación directa con la probabilidad de quiebra de un banco</w:t>
      </w:r>
    </w:p>
    <w:p w:rsidR="00192495" w:rsidRPr="00B07754" w:rsidRDefault="00643B1A" w:rsidP="002B5E62">
      <w:pPr>
        <w:autoSpaceDE w:val="0"/>
        <w:autoSpaceDN w:val="0"/>
        <w:adjustRightInd w:val="0"/>
        <w:spacing w:line="360" w:lineRule="auto"/>
        <w:jc w:val="right"/>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NPL</m:t>
            </m:r>
          </m:e>
          <m:sub>
            <m:r>
              <w:rPr>
                <w:rFonts w:ascii="Cambria Math" w:hAnsi="Cambria Math"/>
                <w:sz w:val="24"/>
                <w:szCs w:val="24"/>
                <w:lang w:val="es-MX"/>
              </w:rPr>
              <m:t>it</m:t>
            </m:r>
          </m:sub>
        </m:sSub>
        <m:r>
          <w:rPr>
            <w:rFonts w:ascii="Cambria Math" w:hAnsi="Cambria Math"/>
            <w:sz w:val="24"/>
            <w:szCs w:val="24"/>
            <w:lang w:val="es-MX"/>
          </w:rPr>
          <m:t>=</m:t>
        </m:r>
        <m:f>
          <m:fPr>
            <m:ctrlPr>
              <w:rPr>
                <w:rFonts w:ascii="Cambria Math" w:hAnsi="Cambria Math"/>
                <w:i/>
                <w:sz w:val="24"/>
                <w:szCs w:val="24"/>
                <w:lang w:val="es-MX"/>
              </w:rPr>
            </m:ctrlPr>
          </m:fPr>
          <m:num>
            <m:sSub>
              <m:sSubPr>
                <m:ctrlPr>
                  <w:rPr>
                    <w:rFonts w:ascii="Cambria Math" w:hAnsi="Cambria Math"/>
                    <w:i/>
                    <w:sz w:val="24"/>
                    <w:szCs w:val="24"/>
                    <w:lang w:val="es-MX"/>
                  </w:rPr>
                </m:ctrlPr>
              </m:sSubPr>
              <m:e>
                <m:r>
                  <w:rPr>
                    <w:rFonts w:ascii="Cambria Math" w:hAnsi="Cambria Math"/>
                    <w:sz w:val="24"/>
                    <w:szCs w:val="24"/>
                    <w:lang w:val="es-MX"/>
                  </w:rPr>
                  <m:t>PIP</m:t>
                </m:r>
              </m:e>
              <m:sub>
                <m:r>
                  <w:rPr>
                    <w:rFonts w:ascii="Cambria Math" w:hAnsi="Cambria Math"/>
                    <w:sz w:val="24"/>
                    <w:szCs w:val="24"/>
                    <w:lang w:val="es-MX"/>
                  </w:rPr>
                  <m:t>it</m:t>
                </m:r>
              </m:sub>
            </m:sSub>
          </m:num>
          <m:den>
            <m:r>
              <w:rPr>
                <w:rFonts w:ascii="Cambria Math" w:hAnsi="Cambria Math"/>
                <w:sz w:val="24"/>
                <w:szCs w:val="24"/>
                <w:lang w:val="es-MX"/>
              </w:rPr>
              <m:t>Pit</m:t>
            </m:r>
          </m:den>
        </m:f>
      </m:oMath>
      <w:r w:rsidR="00192495" w:rsidRPr="00B07754">
        <w:rPr>
          <w:rFonts w:ascii="Times New Roman" w:eastAsiaTheme="minorEastAsia" w:hAnsi="Times New Roman"/>
          <w:sz w:val="24"/>
          <w:szCs w:val="24"/>
          <w:lang w:val="es-MX"/>
        </w:rPr>
        <w:t xml:space="preserve"> </w:t>
      </w:r>
      <w:r w:rsidR="00192495" w:rsidRPr="00B07754">
        <w:rPr>
          <w:rFonts w:ascii="Times New Roman" w:eastAsiaTheme="minorEastAsia" w:hAnsi="Times New Roman"/>
          <w:sz w:val="24"/>
          <w:szCs w:val="24"/>
          <w:lang w:val="es-MX"/>
        </w:rPr>
        <w:tab/>
      </w:r>
      <w:r w:rsidR="00192495" w:rsidRPr="00B07754">
        <w:rPr>
          <w:rFonts w:ascii="Times New Roman" w:eastAsiaTheme="minorEastAsia" w:hAnsi="Times New Roman"/>
          <w:sz w:val="24"/>
          <w:szCs w:val="24"/>
          <w:lang w:val="es-MX"/>
        </w:rPr>
        <w:tab/>
      </w:r>
      <w:r w:rsidR="00E30271"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t>(</w:t>
      </w:r>
      <w:r w:rsidR="001C1DB5" w:rsidRPr="00B07754">
        <w:rPr>
          <w:rFonts w:ascii="Times New Roman" w:eastAsiaTheme="minorEastAsia" w:hAnsi="Times New Roman"/>
          <w:sz w:val="24"/>
          <w:szCs w:val="24"/>
          <w:lang w:val="es-MX"/>
        </w:rPr>
        <w:t>7</w:t>
      </w:r>
      <w:r w:rsidR="00192495" w:rsidRPr="00B07754">
        <w:rPr>
          <w:rFonts w:ascii="Times New Roman" w:eastAsiaTheme="minorEastAsia" w:hAnsi="Times New Roman"/>
          <w:sz w:val="24"/>
          <w:szCs w:val="24"/>
          <w:lang w:val="es-MX"/>
        </w:rPr>
        <w:t>)</w:t>
      </w:r>
    </w:p>
    <w:p w:rsidR="00192495" w:rsidRPr="00B07754" w:rsidRDefault="00192495" w:rsidP="002B5E62">
      <w:pPr>
        <w:autoSpaceDE w:val="0"/>
        <w:autoSpaceDN w:val="0"/>
        <w:adjustRightInd w:val="0"/>
        <w:spacing w:line="360" w:lineRule="auto"/>
        <w:ind w:firstLine="709"/>
        <w:jc w:val="both"/>
        <w:rPr>
          <w:rFonts w:ascii="Times New Roman" w:eastAsiaTheme="minorEastAsia" w:hAnsi="Times New Roman"/>
          <w:sz w:val="24"/>
          <w:szCs w:val="24"/>
          <w:lang w:val="es-MX"/>
        </w:rPr>
      </w:pPr>
      <w:proofErr w:type="spellStart"/>
      <w:r w:rsidRPr="00B07754">
        <w:rPr>
          <w:rFonts w:ascii="Times New Roman" w:eastAsiaTheme="minorEastAsia" w:hAnsi="Times New Roman"/>
          <w:sz w:val="24"/>
          <w:szCs w:val="24"/>
          <w:lang w:val="es-MX"/>
        </w:rPr>
        <w:t>Donde</w:t>
      </w:r>
      <w:proofErr w:type="spellEnd"/>
      <w:r w:rsidRPr="00B07754">
        <w:rPr>
          <w:rFonts w:ascii="Times New Roman" w:eastAsiaTheme="minorEastAsia" w:hAnsi="Times New Roman"/>
          <w:sz w:val="24"/>
          <w:szCs w:val="24"/>
          <w:lang w:val="es-MX"/>
        </w:rPr>
        <w:t>:</w:t>
      </w:r>
    </w:p>
    <w:p w:rsidR="00063D13" w:rsidRPr="00B07754" w:rsidRDefault="00643B1A" w:rsidP="002B5E62">
      <w:pPr>
        <w:autoSpaceDE w:val="0"/>
        <w:autoSpaceDN w:val="0"/>
        <w:adjustRightInd w:val="0"/>
        <w:spacing w:line="360" w:lineRule="auto"/>
        <w:ind w:left="709"/>
        <w:jc w:val="both"/>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PIP</m:t>
            </m:r>
          </m:e>
          <m:sub>
            <m:r>
              <w:rPr>
                <w:rFonts w:ascii="Cambria Math" w:hAnsi="Cambria Math"/>
                <w:sz w:val="24"/>
                <w:szCs w:val="24"/>
                <w:lang w:val="es-MX"/>
              </w:rPr>
              <m:t>it</m:t>
            </m:r>
          </m:sub>
        </m:sSub>
      </m:oMath>
      <w:r w:rsidR="00192495" w:rsidRPr="00B07754">
        <w:rPr>
          <w:rFonts w:ascii="Times New Roman" w:eastAsiaTheme="minorEastAsia" w:hAnsi="Times New Roman"/>
          <w:sz w:val="24"/>
          <w:szCs w:val="24"/>
          <w:lang w:val="es-MX"/>
        </w:rPr>
        <w:t xml:space="preserve"> </w:t>
      </w:r>
      <w:proofErr w:type="gramStart"/>
      <w:r w:rsidR="00192495" w:rsidRPr="00B07754">
        <w:rPr>
          <w:rFonts w:ascii="Times New Roman" w:eastAsiaTheme="minorEastAsia" w:hAnsi="Times New Roman"/>
          <w:sz w:val="24"/>
          <w:szCs w:val="24"/>
          <w:lang w:val="es-MX"/>
        </w:rPr>
        <w:t>son</w:t>
      </w:r>
      <w:proofErr w:type="gramEnd"/>
      <w:r w:rsidR="00192495" w:rsidRPr="00B07754">
        <w:rPr>
          <w:rFonts w:ascii="Times New Roman" w:eastAsiaTheme="minorEastAsia" w:hAnsi="Times New Roman"/>
          <w:sz w:val="24"/>
          <w:szCs w:val="24"/>
          <w:lang w:val="es-MX"/>
        </w:rPr>
        <w:t xml:space="preserve"> las pérdidas irrecuperables de los préstamos más los clasificados como riesgosos; y,</w:t>
      </w:r>
    </w:p>
    <w:p w:rsidR="00192495" w:rsidRPr="00B07754" w:rsidRDefault="00192495" w:rsidP="002B5E62">
      <w:pPr>
        <w:autoSpaceDE w:val="0"/>
        <w:autoSpaceDN w:val="0"/>
        <w:adjustRightInd w:val="0"/>
        <w:spacing w:line="360" w:lineRule="auto"/>
        <w:ind w:left="709"/>
        <w:jc w:val="both"/>
        <w:rPr>
          <w:rFonts w:ascii="Times New Roman" w:eastAsiaTheme="minorEastAsia" w:hAnsi="Times New Roman"/>
          <w:sz w:val="24"/>
          <w:szCs w:val="24"/>
          <w:lang w:val="es-MX"/>
        </w:rPr>
      </w:pPr>
      <m:oMath>
        <m:r>
          <w:rPr>
            <w:rFonts w:ascii="Cambria Math" w:hAnsi="Cambria Math"/>
            <w:sz w:val="24"/>
            <w:szCs w:val="24"/>
            <w:lang w:val="es-MX"/>
          </w:rPr>
          <m:t>Pit</m:t>
        </m:r>
      </m:oMath>
      <w:r w:rsidRPr="00B07754">
        <w:rPr>
          <w:rFonts w:ascii="Times New Roman" w:eastAsiaTheme="minorEastAsia" w:hAnsi="Times New Roman"/>
          <w:sz w:val="24"/>
          <w:szCs w:val="24"/>
          <w:lang w:val="es-MX"/>
        </w:rPr>
        <w:t xml:space="preserve"> </w:t>
      </w:r>
      <w:proofErr w:type="gramStart"/>
      <w:r w:rsidRPr="00B07754">
        <w:rPr>
          <w:rFonts w:ascii="Times New Roman" w:eastAsiaTheme="minorEastAsia" w:hAnsi="Times New Roman"/>
          <w:sz w:val="24"/>
          <w:szCs w:val="24"/>
          <w:lang w:val="es-MX"/>
        </w:rPr>
        <w:t>es</w:t>
      </w:r>
      <w:proofErr w:type="gramEnd"/>
      <w:r w:rsidRPr="00B07754">
        <w:rPr>
          <w:rFonts w:ascii="Times New Roman" w:eastAsiaTheme="minorEastAsia" w:hAnsi="Times New Roman"/>
          <w:sz w:val="24"/>
          <w:szCs w:val="24"/>
          <w:lang w:val="es-MX"/>
        </w:rPr>
        <w:t xml:space="preserve"> el total de préstamos o colocaciones de un banco</w:t>
      </w:r>
      <w:r w:rsidR="00063D13" w:rsidRPr="00B07754">
        <w:rPr>
          <w:rFonts w:ascii="Times New Roman" w:eastAsiaTheme="minorEastAsia" w:hAnsi="Times New Roman"/>
          <w:sz w:val="24"/>
          <w:szCs w:val="24"/>
          <w:lang w:val="es-MX"/>
        </w:rPr>
        <w:t>”</w:t>
      </w:r>
      <w:sdt>
        <w:sdtPr>
          <w:rPr>
            <w:rFonts w:ascii="Times New Roman" w:eastAsiaTheme="minorEastAsia" w:hAnsi="Times New Roman"/>
            <w:sz w:val="24"/>
            <w:szCs w:val="24"/>
            <w:lang w:val="es-MX"/>
          </w:rPr>
          <w:id w:val="-240878058"/>
          <w:citation/>
        </w:sdtPr>
        <w:sdtEndPr/>
        <w:sdtContent>
          <w:r w:rsidR="00063D13" w:rsidRPr="00B07754">
            <w:rPr>
              <w:rFonts w:ascii="Times New Roman" w:eastAsiaTheme="minorEastAsia" w:hAnsi="Times New Roman"/>
              <w:sz w:val="24"/>
              <w:szCs w:val="24"/>
              <w:lang w:val="es-MX"/>
            </w:rPr>
            <w:fldChar w:fldCharType="begin"/>
          </w:r>
          <w:r w:rsidR="00063D13" w:rsidRPr="00B07754">
            <w:rPr>
              <w:rFonts w:ascii="Times New Roman" w:eastAsiaTheme="minorEastAsia" w:hAnsi="Times New Roman"/>
              <w:sz w:val="24"/>
              <w:szCs w:val="24"/>
              <w:lang w:val="es-MX"/>
            </w:rPr>
            <w:instrText xml:space="preserve">CITATION Lui09 \p 22 \l 2058 </w:instrText>
          </w:r>
          <w:r w:rsidR="00063D13" w:rsidRPr="00B07754">
            <w:rPr>
              <w:rFonts w:ascii="Times New Roman" w:eastAsiaTheme="minorEastAsia" w:hAnsi="Times New Roman"/>
              <w:sz w:val="24"/>
              <w:szCs w:val="24"/>
              <w:lang w:val="es-MX"/>
            </w:rPr>
            <w:fldChar w:fldCharType="separate"/>
          </w:r>
          <w:r w:rsidR="008A6D1D" w:rsidRPr="00B07754">
            <w:rPr>
              <w:rFonts w:ascii="Times New Roman" w:eastAsiaTheme="minorEastAsia" w:hAnsi="Times New Roman"/>
              <w:noProof/>
              <w:sz w:val="24"/>
              <w:szCs w:val="24"/>
              <w:lang w:val="es-MX"/>
            </w:rPr>
            <w:t xml:space="preserve"> (Pérez, 2009, pág. 22)</w:t>
          </w:r>
          <w:r w:rsidR="00063D13" w:rsidRPr="00B07754">
            <w:rPr>
              <w:rFonts w:ascii="Times New Roman" w:eastAsiaTheme="minorEastAsia" w:hAnsi="Times New Roman"/>
              <w:sz w:val="24"/>
              <w:szCs w:val="24"/>
              <w:lang w:val="es-MX"/>
            </w:rPr>
            <w:fldChar w:fldCharType="end"/>
          </w:r>
        </w:sdtContent>
      </w:sdt>
      <w:r w:rsidRPr="00B07754">
        <w:rPr>
          <w:rFonts w:ascii="Times New Roman" w:eastAsiaTheme="minorEastAsia" w:hAnsi="Times New Roman"/>
          <w:sz w:val="24"/>
          <w:szCs w:val="24"/>
          <w:lang w:val="es-MX"/>
        </w:rPr>
        <w:t xml:space="preserve">. </w:t>
      </w:r>
    </w:p>
    <w:p w:rsidR="00192495" w:rsidRPr="00B07754" w:rsidRDefault="00192495" w:rsidP="002B5E62">
      <w:pPr>
        <w:autoSpaceDE w:val="0"/>
        <w:autoSpaceDN w:val="0"/>
        <w:adjustRightInd w:val="0"/>
        <w:spacing w:line="360" w:lineRule="auto"/>
        <w:jc w:val="both"/>
        <w:rPr>
          <w:rFonts w:ascii="Times New Roman" w:eastAsiaTheme="minorEastAsia" w:hAnsi="Times New Roman"/>
          <w:sz w:val="24"/>
          <w:szCs w:val="24"/>
          <w:lang w:val="es-MX"/>
        </w:rPr>
      </w:pPr>
      <w:r w:rsidRPr="00B07754">
        <w:rPr>
          <w:rFonts w:ascii="Times New Roman" w:eastAsiaTheme="minorEastAsia" w:hAnsi="Times New Roman"/>
          <w:sz w:val="24"/>
          <w:szCs w:val="24"/>
          <w:lang w:val="es-MX"/>
        </w:rPr>
        <w:t xml:space="preserve">Para el cálculo de este indicador se consideró como </w:t>
      </w:r>
      <m:oMath>
        <m:sSub>
          <m:sSubPr>
            <m:ctrlPr>
              <w:rPr>
                <w:rFonts w:ascii="Cambria Math" w:hAnsi="Cambria Math"/>
                <w:i/>
                <w:sz w:val="24"/>
                <w:szCs w:val="24"/>
                <w:lang w:val="es-MX"/>
              </w:rPr>
            </m:ctrlPr>
          </m:sSubPr>
          <m:e>
            <m:r>
              <w:rPr>
                <w:rFonts w:ascii="Cambria Math" w:hAnsi="Cambria Math"/>
                <w:sz w:val="24"/>
                <w:szCs w:val="24"/>
                <w:lang w:val="es-MX"/>
              </w:rPr>
              <m:t>PIP</m:t>
            </m:r>
          </m:e>
          <m:sub>
            <m:r>
              <w:rPr>
                <w:rFonts w:ascii="Cambria Math" w:hAnsi="Cambria Math"/>
                <w:sz w:val="24"/>
                <w:szCs w:val="24"/>
                <w:lang w:val="es-MX"/>
              </w:rPr>
              <m:t>it</m:t>
            </m:r>
          </m:sub>
        </m:sSub>
      </m:oMath>
      <w:r w:rsidRPr="00B07754">
        <w:rPr>
          <w:rFonts w:ascii="Times New Roman" w:eastAsiaTheme="minorEastAsia" w:hAnsi="Times New Roman"/>
          <w:sz w:val="24"/>
          <w:szCs w:val="24"/>
          <w:lang w:val="es-MX"/>
        </w:rPr>
        <w:t xml:space="preserve"> la ca</w:t>
      </w:r>
      <w:proofErr w:type="spellStart"/>
      <w:r w:rsidR="00063D13" w:rsidRPr="00B07754">
        <w:rPr>
          <w:rFonts w:ascii="Times New Roman" w:eastAsiaTheme="minorEastAsia" w:hAnsi="Times New Roman"/>
          <w:sz w:val="24"/>
          <w:szCs w:val="24"/>
          <w:lang w:val="es-MX"/>
        </w:rPr>
        <w:t>rtera</w:t>
      </w:r>
      <w:proofErr w:type="spellEnd"/>
      <w:r w:rsidR="00063D13" w:rsidRPr="00B07754">
        <w:rPr>
          <w:rFonts w:ascii="Times New Roman" w:eastAsiaTheme="minorEastAsia" w:hAnsi="Times New Roman"/>
          <w:sz w:val="24"/>
          <w:szCs w:val="24"/>
          <w:lang w:val="es-MX"/>
        </w:rPr>
        <w:t xml:space="preserve"> que no devenga intereses más</w:t>
      </w:r>
      <w:r w:rsidRPr="00B07754">
        <w:rPr>
          <w:rFonts w:ascii="Times New Roman" w:eastAsiaTheme="minorEastAsia" w:hAnsi="Times New Roman"/>
          <w:sz w:val="24"/>
          <w:szCs w:val="24"/>
          <w:lang w:val="es-MX"/>
        </w:rPr>
        <w:t xml:space="preserve"> la cartera vencida. </w:t>
      </w:r>
    </w:p>
    <w:p w:rsidR="00192495" w:rsidRPr="00B07754" w:rsidRDefault="00192495" w:rsidP="002B5E62">
      <w:pPr>
        <w:spacing w:line="360" w:lineRule="auto"/>
        <w:jc w:val="both"/>
        <w:rPr>
          <w:rFonts w:ascii="Times New Roman" w:hAnsi="Times New Roman"/>
          <w:sz w:val="24"/>
          <w:szCs w:val="24"/>
          <w:lang w:val="es-MX"/>
        </w:rPr>
      </w:pPr>
      <w:r w:rsidRPr="00B07754">
        <w:rPr>
          <w:rFonts w:ascii="Times New Roman" w:hAnsi="Times New Roman"/>
          <w:sz w:val="24"/>
          <w:szCs w:val="24"/>
          <w:lang w:val="es-MX"/>
        </w:rPr>
        <w:t>Como se mencionó en el inició de este capítulo, en lo que respecta a la  relación entre competencia y estabilidad en el sistema bancario ecuatoriano se obtuvo mediante la estimación del modelo:</w:t>
      </w:r>
    </w:p>
    <w:p w:rsidR="00063D13" w:rsidRPr="00B07754" w:rsidRDefault="00643B1A" w:rsidP="002B5E62">
      <w:pPr>
        <w:autoSpaceDE w:val="0"/>
        <w:autoSpaceDN w:val="0"/>
        <w:adjustRightInd w:val="0"/>
        <w:spacing w:line="360" w:lineRule="auto"/>
        <w:jc w:val="right"/>
        <w:rPr>
          <w:rFonts w:ascii="Times New Roman" w:eastAsiaTheme="minorEastAsia"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NPL</m:t>
            </m:r>
          </m:e>
          <m:sub>
            <m:r>
              <w:rPr>
                <w:rFonts w:ascii="Cambria Math" w:hAnsi="Cambria Math"/>
                <w:sz w:val="24"/>
                <w:szCs w:val="24"/>
                <w:lang w:val="es-MX"/>
              </w:rPr>
              <m:t>it</m:t>
            </m:r>
          </m:sub>
        </m:sSub>
        <m:r>
          <w:rPr>
            <w:rFonts w:ascii="Cambria Math" w:hAnsi="Cambria Math"/>
            <w:sz w:val="24"/>
            <w:szCs w:val="24"/>
            <w:lang w:val="es-MX"/>
          </w:rPr>
          <m:t>=α+</m:t>
        </m:r>
        <m:sSub>
          <m:sSubPr>
            <m:ctrlPr>
              <w:rPr>
                <w:rFonts w:ascii="Cambria Math" w:hAnsi="Cambria Math"/>
                <w:i/>
                <w:sz w:val="24"/>
                <w:szCs w:val="24"/>
                <w:lang w:val="es-MX"/>
              </w:rPr>
            </m:ctrlPr>
          </m:sSubPr>
          <m:e>
            <m:r>
              <w:rPr>
                <w:rFonts w:ascii="Cambria Math" w:hAnsi="Cambria Math"/>
                <w:sz w:val="24"/>
                <w:szCs w:val="24"/>
                <w:lang w:val="es-MX"/>
              </w:rPr>
              <m:t>BNPL</m:t>
            </m:r>
          </m:e>
          <m:sub>
            <m:r>
              <w:rPr>
                <w:rFonts w:ascii="Cambria Math" w:hAnsi="Cambria Math"/>
                <w:sz w:val="24"/>
                <w:szCs w:val="24"/>
                <w:lang w:val="es-MX"/>
              </w:rPr>
              <m:t>i,t-1</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φ</m:t>
            </m:r>
          </m:e>
          <m:sub>
            <m:r>
              <w:rPr>
                <w:rFonts w:ascii="Cambria Math" w:hAnsi="Cambria Math"/>
                <w:sz w:val="24"/>
                <w:szCs w:val="24"/>
                <w:lang w:val="es-MX"/>
              </w:rPr>
              <m:t>1</m:t>
            </m:r>
          </m:sub>
        </m:sSub>
        <m:sSub>
          <m:sSubPr>
            <m:ctrlPr>
              <w:rPr>
                <w:rFonts w:ascii="Cambria Math" w:hAnsi="Cambria Math"/>
                <w:i/>
                <w:sz w:val="24"/>
                <w:szCs w:val="24"/>
                <w:lang w:val="es-MX"/>
              </w:rPr>
            </m:ctrlPr>
          </m:sSubPr>
          <m:e>
            <m:r>
              <w:rPr>
                <w:rFonts w:ascii="Cambria Math" w:hAnsi="Cambria Math"/>
                <w:sz w:val="24"/>
                <w:szCs w:val="24"/>
                <w:lang w:val="es-MX"/>
              </w:rPr>
              <m:t>H</m:t>
            </m:r>
          </m:e>
          <m:sub>
            <m:r>
              <w:rPr>
                <w:rFonts w:ascii="Cambria Math" w:hAnsi="Cambria Math"/>
                <w:sz w:val="24"/>
                <w:szCs w:val="24"/>
                <w:lang w:val="es-MX"/>
              </w:rPr>
              <m:t>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φ</m:t>
            </m:r>
          </m:e>
          <m:sub>
            <m:r>
              <w:rPr>
                <w:rFonts w:ascii="Cambria Math" w:hAnsi="Cambria Math"/>
                <w:sz w:val="24"/>
                <w:szCs w:val="24"/>
                <w:lang w:val="es-MX"/>
              </w:rPr>
              <m:t>2</m:t>
            </m:r>
          </m:sub>
        </m:sSub>
        <m:sSub>
          <m:sSubPr>
            <m:ctrlPr>
              <w:rPr>
                <w:rFonts w:ascii="Cambria Math" w:hAnsi="Cambria Math"/>
                <w:i/>
                <w:sz w:val="24"/>
                <w:szCs w:val="24"/>
                <w:lang w:val="es-MX"/>
              </w:rPr>
            </m:ctrlPr>
          </m:sSubPr>
          <m:e>
            <m:sSup>
              <m:sSupPr>
                <m:ctrlPr>
                  <w:rPr>
                    <w:rFonts w:ascii="Cambria Math" w:hAnsi="Cambria Math"/>
                    <w:i/>
                    <w:sz w:val="24"/>
                    <w:szCs w:val="24"/>
                    <w:lang w:val="es-MX"/>
                  </w:rPr>
                </m:ctrlPr>
              </m:sSupPr>
              <m:e>
                <m:r>
                  <w:rPr>
                    <w:rFonts w:ascii="Cambria Math" w:hAnsi="Cambria Math"/>
                    <w:sz w:val="24"/>
                    <w:szCs w:val="24"/>
                    <w:lang w:val="es-MX"/>
                  </w:rPr>
                  <m:t>H</m:t>
                </m:r>
              </m:e>
              <m:sup>
                <m:r>
                  <w:rPr>
                    <w:rFonts w:ascii="Cambria Math" w:hAnsi="Cambria Math"/>
                    <w:sz w:val="24"/>
                    <w:szCs w:val="24"/>
                    <w:lang w:val="es-MX"/>
                  </w:rPr>
                  <m:t>2</m:t>
                </m:r>
              </m:sup>
            </m:sSup>
          </m:e>
          <m:sub>
            <m:r>
              <w:rPr>
                <w:rFonts w:ascii="Cambria Math" w:hAnsi="Cambria Math"/>
                <w:sz w:val="24"/>
                <w:szCs w:val="24"/>
                <w:lang w:val="es-MX"/>
              </w:rPr>
              <m:t>t</m:t>
            </m:r>
          </m:sub>
        </m:sSub>
        <m:r>
          <w:rPr>
            <w:rFonts w:ascii="Cambria Math" w:hAnsi="Cambria Math"/>
            <w:sz w:val="24"/>
            <w:szCs w:val="24"/>
            <w:lang w:val="es-MX"/>
          </w:rPr>
          <m:t>+θ</m:t>
        </m:r>
        <m:sSub>
          <m:sSubPr>
            <m:ctrlPr>
              <w:rPr>
                <w:rFonts w:ascii="Cambria Math" w:hAnsi="Cambria Math"/>
                <w:i/>
                <w:sz w:val="24"/>
                <w:szCs w:val="24"/>
                <w:lang w:val="es-MX"/>
              </w:rPr>
            </m:ctrlPr>
          </m:sSubPr>
          <m:e>
            <m:r>
              <w:rPr>
                <w:rFonts w:ascii="Cambria Math" w:hAnsi="Cambria Math"/>
                <w:sz w:val="24"/>
                <w:szCs w:val="24"/>
                <w:lang w:val="es-MX"/>
              </w:rPr>
              <m:t>Pib</m:t>
            </m:r>
          </m:e>
          <m:sub>
            <m:r>
              <w:rPr>
                <w:rFonts w:ascii="Cambria Math" w:hAnsi="Cambria Math"/>
                <w:sz w:val="24"/>
                <w:szCs w:val="24"/>
                <w:lang w:val="es-MX"/>
              </w:rPr>
              <m:t>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1</m:t>
            </m:r>
          </m:sub>
        </m:sSub>
        <m:sSub>
          <m:sSubPr>
            <m:ctrlPr>
              <w:rPr>
                <w:rFonts w:ascii="Cambria Math" w:hAnsi="Cambria Math"/>
                <w:i/>
                <w:sz w:val="24"/>
                <w:szCs w:val="24"/>
                <w:lang w:val="es-MX"/>
              </w:rPr>
            </m:ctrlPr>
          </m:sSubPr>
          <m:e>
            <m:r>
              <w:rPr>
                <w:rFonts w:ascii="Cambria Math" w:hAnsi="Cambria Math"/>
                <w:sz w:val="24"/>
                <w:szCs w:val="24"/>
                <w:lang w:val="es-MX"/>
              </w:rPr>
              <m:t>CIR</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2</m:t>
            </m:r>
          </m:sub>
        </m:sSub>
        <m:sSub>
          <m:sSubPr>
            <m:ctrlPr>
              <w:rPr>
                <w:rFonts w:ascii="Cambria Math" w:hAnsi="Cambria Math"/>
                <w:i/>
                <w:sz w:val="24"/>
                <w:szCs w:val="24"/>
                <w:lang w:val="es-MX"/>
              </w:rPr>
            </m:ctrlPr>
          </m:sSubPr>
          <m:e>
            <m:r>
              <w:rPr>
                <w:rFonts w:ascii="Cambria Math" w:hAnsi="Cambria Math"/>
                <w:sz w:val="24"/>
                <w:szCs w:val="24"/>
                <w:lang w:val="es-MX"/>
              </w:rPr>
              <m:t>CA</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3</m:t>
            </m:r>
          </m:sub>
        </m:sSub>
        <m:sSub>
          <m:sSubPr>
            <m:ctrlPr>
              <w:rPr>
                <w:rFonts w:ascii="Cambria Math" w:hAnsi="Cambria Math"/>
                <w:i/>
                <w:sz w:val="24"/>
                <w:szCs w:val="24"/>
                <w:lang w:val="es-MX"/>
              </w:rPr>
            </m:ctrlPr>
          </m:sSubPr>
          <m:e>
            <m:r>
              <w:rPr>
                <w:rFonts w:ascii="Cambria Math" w:hAnsi="Cambria Math"/>
                <w:sz w:val="24"/>
                <w:szCs w:val="24"/>
                <w:lang w:val="es-MX"/>
              </w:rPr>
              <m:t>LC</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4</m:t>
            </m:r>
          </m:sub>
        </m:sSub>
        <m:sSub>
          <m:sSubPr>
            <m:ctrlPr>
              <w:rPr>
                <w:rFonts w:ascii="Cambria Math" w:hAnsi="Cambria Math"/>
                <w:i/>
                <w:sz w:val="24"/>
                <w:szCs w:val="24"/>
                <w:lang w:val="es-MX"/>
              </w:rPr>
            </m:ctrlPr>
          </m:sSubPr>
          <m:e>
            <m:r>
              <w:rPr>
                <w:rFonts w:ascii="Cambria Math" w:hAnsi="Cambria Math"/>
                <w:sz w:val="24"/>
                <w:szCs w:val="24"/>
                <w:lang w:val="es-MX"/>
              </w:rPr>
              <m:t>CVC</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γ</m:t>
            </m:r>
          </m:e>
          <m:sub>
            <m:r>
              <w:rPr>
                <w:rFonts w:ascii="Cambria Math" w:hAnsi="Cambria Math"/>
                <w:sz w:val="24"/>
                <w:szCs w:val="24"/>
                <w:lang w:val="es-MX"/>
              </w:rPr>
              <m:t>5</m:t>
            </m:r>
          </m:sub>
        </m:sSub>
        <m:sSub>
          <m:sSubPr>
            <m:ctrlPr>
              <w:rPr>
                <w:rFonts w:ascii="Cambria Math" w:hAnsi="Cambria Math"/>
                <w:i/>
                <w:sz w:val="24"/>
                <w:szCs w:val="24"/>
                <w:lang w:val="es-MX"/>
              </w:rPr>
            </m:ctrlPr>
          </m:sSubPr>
          <m:e>
            <m:r>
              <w:rPr>
                <w:rFonts w:ascii="Cambria Math" w:hAnsi="Cambria Math"/>
                <w:sz w:val="24"/>
                <w:szCs w:val="24"/>
                <w:lang w:val="es-MX"/>
              </w:rPr>
              <m:t>EO</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μ</m:t>
            </m:r>
          </m:e>
          <m:sub>
            <m:r>
              <w:rPr>
                <w:rFonts w:ascii="Cambria Math" w:hAnsi="Cambria Math"/>
                <w:sz w:val="24"/>
                <w:szCs w:val="24"/>
                <w:lang w:val="es-MX"/>
              </w:rPr>
              <m:t>i</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ε</m:t>
            </m:r>
          </m:e>
          <m:sub>
            <m:r>
              <w:rPr>
                <w:rFonts w:ascii="Cambria Math" w:hAnsi="Cambria Math"/>
                <w:sz w:val="24"/>
                <w:szCs w:val="24"/>
                <w:lang w:val="es-MX"/>
              </w:rPr>
              <m:t>it</m:t>
            </m:r>
          </m:sub>
        </m:sSub>
      </m:oMath>
      <w:r w:rsidR="0072491F" w:rsidRPr="00B07754">
        <w:rPr>
          <w:rFonts w:ascii="Times New Roman" w:eastAsiaTheme="minorEastAsia" w:hAnsi="Times New Roman"/>
          <w:sz w:val="24"/>
          <w:szCs w:val="24"/>
          <w:lang w:val="es-MX"/>
        </w:rPr>
        <w:t xml:space="preserve"> </w:t>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r>
      <w:r w:rsidR="0072491F" w:rsidRPr="00B07754">
        <w:rPr>
          <w:rFonts w:ascii="Times New Roman" w:eastAsiaTheme="minorEastAsia" w:hAnsi="Times New Roman"/>
          <w:sz w:val="24"/>
          <w:szCs w:val="24"/>
          <w:lang w:val="es-MX"/>
        </w:rPr>
        <w:tab/>
        <w:t>(</w:t>
      </w:r>
      <w:r w:rsidR="00063D13" w:rsidRPr="00B07754">
        <w:rPr>
          <w:rFonts w:ascii="Times New Roman" w:eastAsiaTheme="minorEastAsia" w:hAnsi="Times New Roman"/>
          <w:sz w:val="24"/>
          <w:szCs w:val="24"/>
          <w:lang w:val="es-MX"/>
        </w:rPr>
        <w:t>1)</w:t>
      </w:r>
    </w:p>
    <w:p w:rsidR="00063D13" w:rsidRPr="00B07754" w:rsidRDefault="00063D13" w:rsidP="002B5E62">
      <w:pPr>
        <w:autoSpaceDE w:val="0"/>
        <w:autoSpaceDN w:val="0"/>
        <w:adjustRightInd w:val="0"/>
        <w:spacing w:line="360" w:lineRule="auto"/>
        <w:ind w:firstLine="709"/>
        <w:jc w:val="both"/>
        <w:rPr>
          <w:rFonts w:ascii="Times New Roman" w:hAnsi="Times New Roman"/>
          <w:sz w:val="24"/>
          <w:szCs w:val="24"/>
          <w:lang w:val="es-MX"/>
        </w:rPr>
      </w:pPr>
      <w:r w:rsidRPr="00B07754">
        <w:rPr>
          <w:rFonts w:ascii="Times New Roman" w:hAnsi="Times New Roman"/>
          <w:sz w:val="24"/>
          <w:szCs w:val="24"/>
          <w:lang w:val="es-MX"/>
        </w:rPr>
        <w:t>“Donde:</w:t>
      </w:r>
    </w:p>
    <w:p w:rsidR="00063D13" w:rsidRPr="00B07754" w:rsidRDefault="00643B1A" w:rsidP="002B5E62">
      <w:pPr>
        <w:autoSpaceDE w:val="0"/>
        <w:autoSpaceDN w:val="0"/>
        <w:adjustRightInd w:val="0"/>
        <w:spacing w:line="360" w:lineRule="auto"/>
        <w:ind w:firstLine="709"/>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NPL</m:t>
            </m:r>
          </m:e>
          <m:sub>
            <m:r>
              <w:rPr>
                <w:rFonts w:ascii="Cambria Math" w:hAnsi="Cambria Math"/>
                <w:sz w:val="24"/>
                <w:szCs w:val="24"/>
                <w:lang w:val="es-MX"/>
              </w:rPr>
              <m:t xml:space="preserve">it </m:t>
            </m:r>
          </m:sub>
        </m:sSub>
      </m:oMath>
      <w:r w:rsidR="00063D13" w:rsidRPr="00B07754">
        <w:rPr>
          <w:rFonts w:ascii="Times New Roman" w:eastAsiaTheme="minorEastAsia" w:hAnsi="Times New Roman"/>
          <w:sz w:val="24"/>
          <w:szCs w:val="24"/>
          <w:lang w:val="es-MX"/>
        </w:rPr>
        <w:t xml:space="preserve"> </w:t>
      </w:r>
      <w:proofErr w:type="gramStart"/>
      <w:r w:rsidR="00063D13" w:rsidRPr="00B07754">
        <w:rPr>
          <w:rFonts w:ascii="Times New Roman" w:hAnsi="Times New Roman"/>
          <w:sz w:val="24"/>
          <w:szCs w:val="24"/>
          <w:lang w:val="es-MX"/>
        </w:rPr>
        <w:t>es</w:t>
      </w:r>
      <w:proofErr w:type="gramEnd"/>
      <w:r w:rsidR="00063D13" w:rsidRPr="00B07754">
        <w:rPr>
          <w:rFonts w:ascii="Times New Roman" w:hAnsi="Times New Roman"/>
          <w:sz w:val="24"/>
          <w:szCs w:val="24"/>
          <w:lang w:val="es-MX"/>
        </w:rPr>
        <w:t xml:space="preserve"> el indicador de estabilidad </w:t>
      </w:r>
    </w:p>
    <w:p w:rsidR="00063D13" w:rsidRPr="00B07754" w:rsidRDefault="00643B1A" w:rsidP="002B5E62">
      <w:pPr>
        <w:tabs>
          <w:tab w:val="left" w:pos="7035"/>
        </w:tabs>
        <w:autoSpaceDE w:val="0"/>
        <w:autoSpaceDN w:val="0"/>
        <w:adjustRightInd w:val="0"/>
        <w:spacing w:line="360" w:lineRule="auto"/>
        <w:ind w:left="709"/>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H</m:t>
            </m:r>
          </m:e>
          <m:sub>
            <m:r>
              <w:rPr>
                <w:rFonts w:ascii="Cambria Math" w:hAnsi="Cambria Math"/>
                <w:sz w:val="24"/>
                <w:szCs w:val="24"/>
                <w:lang w:val="es-MX"/>
              </w:rPr>
              <m:t>t</m:t>
            </m:r>
          </m:sub>
        </m:sSub>
        <m:r>
          <w:rPr>
            <w:rFonts w:ascii="Cambria Math" w:hAnsi="Cambria Math"/>
            <w:sz w:val="24"/>
            <w:szCs w:val="24"/>
            <w:lang w:val="es-MX"/>
          </w:rPr>
          <m:t xml:space="preserve"> </m:t>
        </m:r>
      </m:oMath>
      <w:proofErr w:type="gramStart"/>
      <w:r w:rsidR="00063D13" w:rsidRPr="00B07754">
        <w:rPr>
          <w:rFonts w:ascii="Times New Roman" w:hAnsi="Times New Roman"/>
          <w:sz w:val="24"/>
          <w:szCs w:val="24"/>
          <w:lang w:val="es-MX"/>
        </w:rPr>
        <w:t>es</w:t>
      </w:r>
      <w:proofErr w:type="gramEnd"/>
      <w:r w:rsidR="00063D13" w:rsidRPr="00B07754">
        <w:rPr>
          <w:rFonts w:ascii="Times New Roman" w:hAnsi="Times New Roman"/>
          <w:sz w:val="24"/>
          <w:szCs w:val="24"/>
          <w:lang w:val="es-MX"/>
        </w:rPr>
        <w:t xml:space="preserve"> el estadístico H de poder de mercado”</w:t>
      </w:r>
      <w:sdt>
        <w:sdtPr>
          <w:rPr>
            <w:rFonts w:ascii="Times New Roman" w:hAnsi="Times New Roman"/>
            <w:sz w:val="24"/>
            <w:szCs w:val="24"/>
            <w:lang w:val="es-MX"/>
          </w:rPr>
          <w:id w:val="-1842456368"/>
          <w:citation/>
        </w:sdtPr>
        <w:sdtEndPr/>
        <w:sdtContent>
          <w:r w:rsidR="00063D13" w:rsidRPr="00B07754">
            <w:rPr>
              <w:rFonts w:ascii="Times New Roman" w:hAnsi="Times New Roman"/>
              <w:sz w:val="24"/>
              <w:szCs w:val="24"/>
              <w:lang w:val="es-MX"/>
            </w:rPr>
            <w:fldChar w:fldCharType="begin"/>
          </w:r>
          <w:r w:rsidR="00063D13" w:rsidRPr="00B07754">
            <w:rPr>
              <w:rFonts w:ascii="Times New Roman" w:hAnsi="Times New Roman"/>
              <w:sz w:val="24"/>
              <w:szCs w:val="24"/>
              <w:lang w:val="es-MX"/>
            </w:rPr>
            <w:instrText xml:space="preserve">CITATION Lui09 \p 15 \l 2058 </w:instrText>
          </w:r>
          <w:r w:rsidR="00063D13"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(Pérez, 2009, pág. 15)</w:t>
          </w:r>
          <w:r w:rsidR="00063D13" w:rsidRPr="00B07754">
            <w:rPr>
              <w:rFonts w:ascii="Times New Roman" w:hAnsi="Times New Roman"/>
              <w:sz w:val="24"/>
              <w:szCs w:val="24"/>
              <w:lang w:val="es-MX"/>
            </w:rPr>
            <w:fldChar w:fldCharType="end"/>
          </w:r>
        </w:sdtContent>
      </w:sdt>
      <w:r w:rsidR="00063D13" w:rsidRPr="00B07754">
        <w:rPr>
          <w:rFonts w:ascii="Times New Roman" w:hAnsi="Times New Roman"/>
          <w:sz w:val="24"/>
          <w:szCs w:val="24"/>
          <w:lang w:val="es-MX"/>
        </w:rPr>
        <w:t xml:space="preserve"> </w:t>
      </w:r>
    </w:p>
    <w:p w:rsidR="00063D13" w:rsidRPr="00B07754" w:rsidRDefault="00063D13" w:rsidP="002B5E62">
      <w:pPr>
        <w:tabs>
          <w:tab w:val="left" w:pos="7035"/>
        </w:tabs>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 estadístico H fue calculado a partir de la información obtenida del balance de los bancos para el periodo analizado. En las siguientes secciones se explicará la metodología de cálculo y el modelo econométrico empleado para este efecto. </w:t>
      </w:r>
      <w:r w:rsidRPr="00B07754">
        <w:rPr>
          <w:rFonts w:ascii="Times New Roman" w:hAnsi="Times New Roman"/>
          <w:sz w:val="24"/>
          <w:szCs w:val="24"/>
          <w:lang w:val="es-MX"/>
        </w:rPr>
        <w:tab/>
      </w:r>
    </w:p>
    <w:p w:rsidR="00063D13" w:rsidRPr="00B07754" w:rsidRDefault="00643B1A" w:rsidP="002B5E62">
      <w:pPr>
        <w:autoSpaceDE w:val="0"/>
        <w:autoSpaceDN w:val="0"/>
        <w:adjustRightInd w:val="0"/>
        <w:spacing w:line="360" w:lineRule="auto"/>
        <w:ind w:firstLine="709"/>
        <w:jc w:val="both"/>
        <w:rPr>
          <w:rFonts w:ascii="Times New Roman" w:hAnsi="Times New Roman"/>
          <w:sz w:val="24"/>
          <w:szCs w:val="24"/>
          <w:lang w:val="es-MX"/>
        </w:rPr>
      </w:pPr>
      <m:oMath>
        <m:sSub>
          <m:sSubPr>
            <m:ctrlPr>
              <w:rPr>
                <w:rFonts w:ascii="Cambria Math" w:hAnsi="Cambria Math"/>
                <w:i/>
                <w:sz w:val="24"/>
                <w:szCs w:val="24"/>
                <w:lang w:val="es-MX"/>
              </w:rPr>
            </m:ctrlPr>
          </m:sSubPr>
          <m:e>
            <m:r>
              <w:rPr>
                <w:rFonts w:ascii="Cambria Math" w:hAnsi="Cambria Math"/>
                <w:sz w:val="24"/>
                <w:szCs w:val="24"/>
                <w:lang w:val="es-MX"/>
              </w:rPr>
              <m:t xml:space="preserve"> "Pib</m:t>
            </m:r>
          </m:e>
          <m:sub>
            <m:r>
              <w:rPr>
                <w:rFonts w:ascii="Cambria Math" w:hAnsi="Cambria Math"/>
                <w:sz w:val="24"/>
                <w:szCs w:val="24"/>
                <w:lang w:val="es-MX"/>
              </w:rPr>
              <m:t>t</m:t>
            </m:r>
          </m:sub>
        </m:sSub>
      </m:oMath>
      <w:r w:rsidR="00063D13" w:rsidRPr="00B07754">
        <w:rPr>
          <w:rFonts w:ascii="Times New Roman" w:hAnsi="Times New Roman"/>
          <w:sz w:val="24"/>
          <w:szCs w:val="24"/>
          <w:lang w:val="es-MX"/>
        </w:rPr>
        <w:t xml:space="preserve"> </w:t>
      </w:r>
      <w:proofErr w:type="gramStart"/>
      <w:r w:rsidR="00063D13" w:rsidRPr="00B07754">
        <w:rPr>
          <w:rFonts w:ascii="Times New Roman" w:hAnsi="Times New Roman"/>
          <w:sz w:val="24"/>
          <w:szCs w:val="24"/>
          <w:lang w:val="es-MX"/>
        </w:rPr>
        <w:t>es</w:t>
      </w:r>
      <w:proofErr w:type="gramEnd"/>
      <w:r w:rsidR="00063D13" w:rsidRPr="00B07754">
        <w:rPr>
          <w:rFonts w:ascii="Times New Roman" w:hAnsi="Times New Roman"/>
          <w:sz w:val="24"/>
          <w:szCs w:val="24"/>
          <w:lang w:val="es-MX"/>
        </w:rPr>
        <w:t xml:space="preserve"> la tasa de crecimiento de Producto Interno Bruto Real del Ecuador; y, </w:t>
      </w:r>
    </w:p>
    <w:p w:rsidR="00063D13" w:rsidRPr="00B07754" w:rsidRDefault="00643B1A" w:rsidP="002B5E62">
      <w:pPr>
        <w:autoSpaceDE w:val="0"/>
        <w:autoSpaceDN w:val="0"/>
        <w:adjustRightInd w:val="0"/>
        <w:spacing w:line="360" w:lineRule="auto"/>
        <w:ind w:left="709"/>
        <w:jc w:val="both"/>
        <w:rPr>
          <w:rFonts w:ascii="Times New Roman" w:hAnsi="Times New Roman"/>
          <w:sz w:val="24"/>
          <w:szCs w:val="24"/>
          <w:lang w:val="es-MX"/>
        </w:rPr>
      </w:pPr>
      <m:oMath>
        <m:sSub>
          <m:sSubPr>
            <m:ctrlPr>
              <w:rPr>
                <w:rFonts w:ascii="Cambria Math" w:hAnsi="Cambria Math"/>
                <w:i/>
                <w:sz w:val="24"/>
                <w:szCs w:val="24"/>
                <w:lang w:val="es-MX"/>
              </w:rPr>
            </m:ctrlPr>
          </m:sSubPr>
          <m:e>
            <m:sSub>
              <m:sSubPr>
                <m:ctrlPr>
                  <w:rPr>
                    <w:rFonts w:ascii="Cambria Math" w:hAnsi="Cambria Math"/>
                    <w:i/>
                    <w:sz w:val="24"/>
                    <w:szCs w:val="24"/>
                    <w:lang w:val="es-MX"/>
                  </w:rPr>
                </m:ctrlPr>
              </m:sSubPr>
              <m:e>
                <m:r>
                  <w:rPr>
                    <w:rFonts w:ascii="Cambria Math" w:hAnsi="Cambria Math"/>
                    <w:sz w:val="24"/>
                    <w:szCs w:val="24"/>
                    <w:lang w:val="es-MX"/>
                  </w:rPr>
                  <m:t xml:space="preserve"> CIR</m:t>
                </m:r>
              </m:e>
              <m:sub>
                <m:r>
                  <w:rPr>
                    <w:rFonts w:ascii="Cambria Math" w:hAnsi="Cambria Math"/>
                    <w:sz w:val="24"/>
                    <w:szCs w:val="24"/>
                    <w:lang w:val="es-MX"/>
                  </w:rPr>
                  <m:t>it</m:t>
                </m:r>
              </m:sub>
            </m:sSub>
            <m:r>
              <w:rPr>
                <w:rFonts w:ascii="Cambria Math" w:hAnsi="Cambria Math"/>
                <w:sz w:val="24"/>
                <w:szCs w:val="24"/>
                <w:lang w:val="es-MX"/>
              </w:rPr>
              <m:t>, CA</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LC</m:t>
            </m:r>
          </m:e>
          <m:sub>
            <m:r>
              <w:rPr>
                <w:rFonts w:ascii="Cambria Math" w:hAnsi="Cambria Math"/>
                <w:sz w:val="24"/>
                <w:szCs w:val="24"/>
                <w:lang w:val="es-MX"/>
              </w:rPr>
              <m:t>it</m:t>
            </m:r>
          </m:sub>
        </m:sSub>
        <m:r>
          <w:rPr>
            <w:rFonts w:ascii="Cambria Math" w:hAnsi="Cambria Math"/>
            <w:sz w:val="24"/>
            <w:szCs w:val="24"/>
            <w:lang w:val="es-MX"/>
          </w:rPr>
          <m:t>,</m:t>
        </m:r>
        <m:sSub>
          <m:sSubPr>
            <m:ctrlPr>
              <w:rPr>
                <w:rFonts w:ascii="Cambria Math" w:hAnsi="Cambria Math"/>
                <w:i/>
                <w:sz w:val="24"/>
                <w:szCs w:val="24"/>
                <w:lang w:val="es-MX"/>
              </w:rPr>
            </m:ctrlPr>
          </m:sSubPr>
          <m:e>
            <m:r>
              <w:rPr>
                <w:rFonts w:ascii="Cambria Math" w:hAnsi="Cambria Math"/>
                <w:sz w:val="24"/>
                <w:szCs w:val="24"/>
                <w:lang w:val="es-MX"/>
              </w:rPr>
              <m:t>CVC</m:t>
            </m:r>
          </m:e>
          <m:sub>
            <m:r>
              <w:rPr>
                <w:rFonts w:ascii="Cambria Math" w:hAnsi="Cambria Math"/>
                <w:sz w:val="24"/>
                <w:szCs w:val="24"/>
                <w:lang w:val="es-MX"/>
              </w:rPr>
              <m:t>it</m:t>
            </m:r>
          </m:sub>
        </m:sSub>
      </m:oMath>
      <w:r w:rsidR="00063D13" w:rsidRPr="00B07754">
        <w:rPr>
          <w:rFonts w:ascii="Times New Roman" w:hAnsi="Times New Roman"/>
          <w:sz w:val="24"/>
          <w:szCs w:val="24"/>
          <w:lang w:val="es-MX"/>
        </w:rPr>
        <w:t xml:space="preserve"> </w:t>
      </w:r>
      <w:proofErr w:type="gramStart"/>
      <w:r w:rsidR="00063D13" w:rsidRPr="00B07754">
        <w:rPr>
          <w:rFonts w:ascii="Times New Roman" w:hAnsi="Times New Roman"/>
          <w:sz w:val="24"/>
          <w:szCs w:val="24"/>
          <w:lang w:val="es-MX"/>
        </w:rPr>
        <w:t>y</w:t>
      </w:r>
      <w:proofErr w:type="gramEnd"/>
      <w:r w:rsidR="00063D13" w:rsidRPr="00B07754">
        <w:rPr>
          <w:rFonts w:ascii="Times New Roman" w:hAnsi="Times New Roman"/>
          <w:sz w:val="24"/>
          <w:szCs w:val="24"/>
          <w:lang w:val="es-MX"/>
        </w:rPr>
        <w:t xml:space="preserve"> </w:t>
      </w:r>
      <m:oMath>
        <m:sSub>
          <m:sSubPr>
            <m:ctrlPr>
              <w:rPr>
                <w:rFonts w:ascii="Cambria Math" w:hAnsi="Cambria Math"/>
                <w:i/>
                <w:sz w:val="24"/>
                <w:szCs w:val="24"/>
                <w:lang w:val="es-MX"/>
              </w:rPr>
            </m:ctrlPr>
          </m:sSubPr>
          <m:e>
            <m:r>
              <w:rPr>
                <w:rFonts w:ascii="Cambria Math" w:hAnsi="Cambria Math"/>
                <w:sz w:val="24"/>
                <w:szCs w:val="24"/>
                <w:lang w:val="es-MX"/>
              </w:rPr>
              <m:t>EO</m:t>
            </m:r>
          </m:e>
          <m:sub>
            <m:r>
              <w:rPr>
                <w:rFonts w:ascii="Cambria Math" w:hAnsi="Cambria Math"/>
                <w:sz w:val="24"/>
                <w:szCs w:val="24"/>
                <w:lang w:val="es-MX"/>
              </w:rPr>
              <m:t>it</m:t>
            </m:r>
          </m:sub>
        </m:sSub>
      </m:oMath>
      <w:r w:rsidR="00063D13" w:rsidRPr="00B07754">
        <w:rPr>
          <w:rFonts w:ascii="Times New Roman" w:hAnsi="Times New Roman"/>
          <w:sz w:val="24"/>
          <w:szCs w:val="24"/>
          <w:lang w:val="es-MX"/>
        </w:rPr>
        <w:t xml:space="preserve"> son variables de control bancarias que miden la  participación de mercado en términos de créditos, proporción de activos productivos, liquidez, proporción de la cartera de créditos en incumplimiento de pago y eficiencia financiera, respectivamente.</w:t>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este modelo se presentan problemas de </w:t>
      </w:r>
      <w:proofErr w:type="spellStart"/>
      <w:r w:rsidRPr="00B07754">
        <w:rPr>
          <w:rFonts w:ascii="Times New Roman" w:hAnsi="Times New Roman"/>
          <w:sz w:val="24"/>
          <w:szCs w:val="24"/>
          <w:lang w:val="es-MX"/>
        </w:rPr>
        <w:t>endogeneidad</w:t>
      </w:r>
      <w:proofErr w:type="spellEnd"/>
      <w:r w:rsidRPr="00B07754">
        <w:rPr>
          <w:rFonts w:ascii="Times New Roman" w:hAnsi="Times New Roman"/>
          <w:sz w:val="24"/>
          <w:szCs w:val="24"/>
          <w:lang w:val="es-MX"/>
        </w:rPr>
        <w:t xml:space="preserve"> propias de la relación, además que la variable de estabilidad presenta </w:t>
      </w:r>
      <w:proofErr w:type="spellStart"/>
      <w:r w:rsidRPr="00B07754">
        <w:rPr>
          <w:rFonts w:ascii="Times New Roman" w:hAnsi="Times New Roman"/>
          <w:sz w:val="24"/>
          <w:szCs w:val="24"/>
          <w:lang w:val="es-MX"/>
        </w:rPr>
        <w:t>autocorrelación</w:t>
      </w:r>
      <w:proofErr w:type="spellEnd"/>
      <w:r w:rsidRPr="00B07754">
        <w:rPr>
          <w:rFonts w:ascii="Times New Roman" w:hAnsi="Times New Roman"/>
          <w:sz w:val="24"/>
          <w:szCs w:val="24"/>
          <w:lang w:val="es-MX"/>
        </w:rPr>
        <w:t xml:space="preserve"> de primer orden, lo que hace necesario utilizar la metodología de datos de panel dinámico en las estimaciones. Por esta razón es que se emplea el Método Generalizado de Momentos (GMM) de Arellano y Bond (1991) con información detallada del sistema bancario ecuatoriano para el periodo de estudio. Se utilizaran los rezagos de la variable dependiente y de la variable competitividad (H) como instrumentos</w:t>
      </w:r>
      <w:sdt>
        <w:sdtPr>
          <w:rPr>
            <w:rFonts w:ascii="Times New Roman" w:hAnsi="Times New Roman"/>
            <w:sz w:val="24"/>
            <w:szCs w:val="24"/>
            <w:lang w:val="es-MX"/>
          </w:rPr>
          <w:id w:val="404193074"/>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Pin \p 6,7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(Pino Saldías &amp; Araya Gómez , págs. 6,7)</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w:t>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Una vez estimado el modelo se procedió a realizar el test de </w:t>
      </w:r>
      <w:proofErr w:type="spellStart"/>
      <w:r w:rsidRPr="00B07754">
        <w:rPr>
          <w:rFonts w:ascii="Times New Roman" w:hAnsi="Times New Roman"/>
          <w:sz w:val="24"/>
          <w:szCs w:val="24"/>
          <w:lang w:val="es-MX"/>
        </w:rPr>
        <w:t>autocorrelación</w:t>
      </w:r>
      <w:proofErr w:type="spellEnd"/>
      <w:r w:rsidRPr="00B07754">
        <w:rPr>
          <w:rFonts w:ascii="Times New Roman" w:hAnsi="Times New Roman"/>
          <w:sz w:val="24"/>
          <w:szCs w:val="24"/>
          <w:lang w:val="es-MX"/>
        </w:rPr>
        <w:t xml:space="preserve"> de Arrellano-Bond en el que se rechaza la hipótesis nula de no </w:t>
      </w:r>
      <w:proofErr w:type="spellStart"/>
      <w:r w:rsidRPr="00B07754">
        <w:rPr>
          <w:rFonts w:ascii="Times New Roman" w:hAnsi="Times New Roman"/>
          <w:sz w:val="24"/>
          <w:szCs w:val="24"/>
          <w:lang w:val="es-MX"/>
        </w:rPr>
        <w:t>autocorrelación</w:t>
      </w:r>
      <w:proofErr w:type="spellEnd"/>
      <w:r w:rsidRPr="00B07754">
        <w:rPr>
          <w:rFonts w:ascii="Times New Roman" w:hAnsi="Times New Roman"/>
          <w:sz w:val="24"/>
          <w:szCs w:val="24"/>
          <w:lang w:val="es-MX"/>
        </w:rPr>
        <w:t xml:space="preserve"> de primer orden y se acepta la hipótesis nula de segundo orden. Para conocer si las variables instrumentales empleadas están correctas se empleó el test de </w:t>
      </w:r>
      <w:proofErr w:type="spellStart"/>
      <w:r w:rsidRPr="00B07754">
        <w:rPr>
          <w:rFonts w:ascii="Times New Roman" w:hAnsi="Times New Roman"/>
          <w:sz w:val="24"/>
          <w:szCs w:val="24"/>
          <w:lang w:val="es-MX"/>
        </w:rPr>
        <w:t>sobreidentificación</w:t>
      </w:r>
      <w:proofErr w:type="spellEnd"/>
      <w:r w:rsidRPr="00B07754">
        <w:rPr>
          <w:rFonts w:ascii="Times New Roman" w:hAnsi="Times New Roman"/>
          <w:sz w:val="24"/>
          <w:szCs w:val="24"/>
          <w:lang w:val="es-MX"/>
        </w:rPr>
        <w:t xml:space="preserve"> de </w:t>
      </w:r>
      <w:proofErr w:type="spellStart"/>
      <w:r w:rsidRPr="00B07754">
        <w:rPr>
          <w:rFonts w:ascii="Times New Roman" w:hAnsi="Times New Roman"/>
          <w:sz w:val="24"/>
          <w:szCs w:val="24"/>
          <w:lang w:val="es-MX"/>
        </w:rPr>
        <w:t>Sargan</w:t>
      </w:r>
      <w:proofErr w:type="spellEnd"/>
      <w:r w:rsidRPr="00B07754">
        <w:rPr>
          <w:rFonts w:ascii="Times New Roman" w:hAnsi="Times New Roman"/>
          <w:sz w:val="24"/>
          <w:szCs w:val="24"/>
          <w:lang w:val="es-MX"/>
        </w:rPr>
        <w:t xml:space="preserve"> en el cual se acepta la hipótesis nula que las restricciones </w:t>
      </w:r>
      <w:proofErr w:type="spellStart"/>
      <w:r w:rsidRPr="00B07754">
        <w:rPr>
          <w:rFonts w:ascii="Times New Roman" w:hAnsi="Times New Roman"/>
          <w:sz w:val="24"/>
          <w:szCs w:val="24"/>
          <w:lang w:val="es-MX"/>
        </w:rPr>
        <w:t>sobreidentificadas</w:t>
      </w:r>
      <w:proofErr w:type="spellEnd"/>
      <w:r w:rsidRPr="00B07754">
        <w:rPr>
          <w:rFonts w:ascii="Times New Roman" w:hAnsi="Times New Roman"/>
          <w:sz w:val="24"/>
          <w:szCs w:val="24"/>
          <w:lang w:val="es-MX"/>
        </w:rPr>
        <w:t xml:space="preserve"> son válidas, por lo que se considera que la especificación del modelo es válida</w:t>
      </w:r>
      <w:sdt>
        <w:sdtPr>
          <w:rPr>
            <w:rFonts w:ascii="Times New Roman" w:hAnsi="Times New Roman"/>
            <w:sz w:val="24"/>
            <w:szCs w:val="24"/>
            <w:lang w:val="es-MX"/>
          </w:rPr>
          <w:id w:val="-657997763"/>
          <w:citation/>
        </w:sdtPr>
        <w:sdtEndPr/>
        <w:sdtContent>
          <w:r w:rsidRPr="00B07754">
            <w:rPr>
              <w:rFonts w:ascii="Times New Roman" w:hAnsi="Times New Roman"/>
              <w:sz w:val="24"/>
              <w:szCs w:val="24"/>
              <w:lang w:val="es-MX"/>
            </w:rPr>
            <w:fldChar w:fldCharType="begin"/>
          </w:r>
          <w:r w:rsidRPr="00B07754">
            <w:rPr>
              <w:rFonts w:ascii="Times New Roman" w:hAnsi="Times New Roman"/>
              <w:sz w:val="24"/>
              <w:szCs w:val="24"/>
              <w:lang w:val="es-MX"/>
            </w:rPr>
            <w:instrText xml:space="preserve">CITATION Mon10 \p 2,3 \l 2058 </w:instrText>
          </w:r>
          <w:r w:rsidRPr="00B07754">
            <w:rPr>
              <w:rFonts w:ascii="Times New Roman" w:hAnsi="Times New Roman"/>
              <w:sz w:val="24"/>
              <w:szCs w:val="24"/>
              <w:lang w:val="es-MX"/>
            </w:rPr>
            <w:fldChar w:fldCharType="separate"/>
          </w:r>
          <w:r w:rsidR="008A6D1D" w:rsidRPr="00B07754">
            <w:rPr>
              <w:rFonts w:ascii="Times New Roman" w:hAnsi="Times New Roman"/>
              <w:noProof/>
              <w:sz w:val="24"/>
              <w:szCs w:val="24"/>
              <w:lang w:val="es-MX"/>
            </w:rPr>
            <w:t xml:space="preserve"> (Montero Granados, 2010, págs. 2,3)</w:t>
          </w:r>
          <w:r w:rsidRPr="00B07754">
            <w:rPr>
              <w:rFonts w:ascii="Times New Roman" w:hAnsi="Times New Roman"/>
              <w:sz w:val="24"/>
              <w:szCs w:val="24"/>
              <w:lang w:val="es-MX"/>
            </w:rPr>
            <w:fldChar w:fldCharType="end"/>
          </w:r>
        </w:sdtContent>
      </w:sdt>
      <w:r w:rsidRPr="00B07754">
        <w:rPr>
          <w:rFonts w:ascii="Times New Roman" w:hAnsi="Times New Roman"/>
          <w:sz w:val="24"/>
          <w:szCs w:val="24"/>
          <w:lang w:val="es-MX"/>
        </w:rPr>
        <w:t xml:space="preserve">. (Ver Anexo 3 para los resultados completos de la estimación). </w:t>
      </w:r>
    </w:p>
    <w:p w:rsidR="0008000A"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resultados del modelo arrojan que los coeficientes asociados a la variable de competencia (estadístico H) son estadísticamente significativos por lo se puede decir que </w:t>
      </w:r>
      <w:r w:rsidRPr="00B07754">
        <w:rPr>
          <w:rFonts w:ascii="Times New Roman" w:hAnsi="Times New Roman"/>
          <w:sz w:val="24"/>
          <w:szCs w:val="24"/>
          <w:lang w:val="es-MX"/>
        </w:rPr>
        <w:lastRenderedPageBreak/>
        <w:t>en el sistema bancario ecuatoriano existe una relación inversa entre el nivel de competencia y la estabilidad bancaria –riesgo de la cartera de crédito de los bancos-. Se rechaza la teoría de Martínez – Miera y Repullo (2008) puesto que el signo del coeficiente de H al cuadrado es negativo</w:t>
      </w:r>
      <w:r w:rsidR="002862AE" w:rsidRPr="00B07754">
        <w:rPr>
          <w:rFonts w:ascii="Times New Roman" w:hAnsi="Times New Roman"/>
          <w:sz w:val="24"/>
          <w:szCs w:val="24"/>
          <w:lang w:val="es-MX"/>
        </w:rPr>
        <w:t xml:space="preserve"> lo que indica que la relación no tiene la forma de U que se requiere para que exista esta relación</w:t>
      </w:r>
      <w:r w:rsidRPr="00B07754">
        <w:rPr>
          <w:rFonts w:ascii="Times New Roman" w:hAnsi="Times New Roman"/>
          <w:sz w:val="24"/>
          <w:szCs w:val="24"/>
          <w:lang w:val="es-MX"/>
        </w:rPr>
        <w:t>.</w:t>
      </w:r>
      <w:r w:rsidR="002862AE" w:rsidRPr="00B07754">
        <w:rPr>
          <w:rFonts w:ascii="Times New Roman" w:hAnsi="Times New Roman"/>
          <w:sz w:val="24"/>
          <w:szCs w:val="24"/>
          <w:lang w:val="es-MX"/>
        </w:rPr>
        <w:t xml:space="preserve"> En otras palabras, un mayor nivel de competencia en el sistema bancario ecuatoriano implicaría que el riesgo de recuperar la cartera de crédito sea mayor.</w:t>
      </w:r>
    </w:p>
    <w:p w:rsidR="002862AE" w:rsidRPr="00B07754" w:rsidRDefault="002862AE"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Así pues, </w:t>
      </w:r>
      <w:r w:rsidR="00192495" w:rsidRPr="00B07754">
        <w:rPr>
          <w:rFonts w:ascii="Times New Roman" w:hAnsi="Times New Roman"/>
          <w:sz w:val="24"/>
          <w:szCs w:val="24"/>
          <w:lang w:val="es-MX"/>
        </w:rPr>
        <w:t xml:space="preserve">los resultados sugieren que se acepta la teoría competencia-fragilidad o el </w:t>
      </w:r>
      <w:proofErr w:type="spellStart"/>
      <w:r w:rsidR="00192495" w:rsidRPr="00B07754">
        <w:rPr>
          <w:rFonts w:ascii="Times New Roman" w:hAnsi="Times New Roman"/>
          <w:i/>
          <w:sz w:val="24"/>
          <w:szCs w:val="24"/>
          <w:lang w:val="es-MX"/>
        </w:rPr>
        <w:t>trade</w:t>
      </w:r>
      <w:proofErr w:type="spellEnd"/>
      <w:r w:rsidR="00192495" w:rsidRPr="00B07754">
        <w:rPr>
          <w:rFonts w:ascii="Times New Roman" w:hAnsi="Times New Roman"/>
          <w:i/>
          <w:sz w:val="24"/>
          <w:szCs w:val="24"/>
          <w:lang w:val="es-MX"/>
        </w:rPr>
        <w:t xml:space="preserve"> off</w:t>
      </w:r>
      <w:r w:rsidRPr="00B07754">
        <w:rPr>
          <w:rFonts w:ascii="Times New Roman" w:hAnsi="Times New Roman"/>
          <w:sz w:val="24"/>
          <w:szCs w:val="24"/>
          <w:lang w:val="es-MX"/>
        </w:rPr>
        <w:t xml:space="preserve"> </w:t>
      </w:r>
      <w:r w:rsidR="00192495" w:rsidRPr="00B07754">
        <w:rPr>
          <w:rFonts w:ascii="Times New Roman" w:hAnsi="Times New Roman"/>
          <w:sz w:val="24"/>
          <w:szCs w:val="24"/>
          <w:lang w:val="es-MX"/>
        </w:rPr>
        <w:t xml:space="preserve">existente entre estabilidad y competencia; razón por la que conforme la competencia aumente la estabilidad en el sector bancario será menor o más frágil. Esto se evidencia en el valor del coeficiente del estadístico H, el cual refleja que un cambio de una unidad de su valor impactaría el riesgo de no pago de la cartera en un 181%, afirmación que se justifica si se considera que el mercado bancario ecuatoriano es concentrado por lo que una falla en uno de los bancos con mayor proporción de captaciones y colocaciones traería consigo un importante riesgo para todo el sistema. En este sentido, es preferible que los bancos puedan ejercer cierto poder de mercado para generar mayor estabilidad. </w:t>
      </w:r>
      <w:r w:rsidR="00076C7F" w:rsidRPr="00B07754">
        <w:rPr>
          <w:rFonts w:ascii="Times New Roman" w:hAnsi="Times New Roman"/>
          <w:sz w:val="24"/>
          <w:szCs w:val="24"/>
          <w:lang w:val="es-MX"/>
        </w:rPr>
        <w:t xml:space="preserve">Asimismo, este nivel de concentración hace que las autoridades supervisen con mayor cuidado las acciones que los bancos con mayor participación de mercado realicen, puesto que una toma excesiva de riesgos puede provocar una falencia interna que se propague a todo el sistema. </w:t>
      </w:r>
      <w:r w:rsidR="00BC6EFC" w:rsidRPr="00B07754">
        <w:rPr>
          <w:rFonts w:ascii="Times New Roman" w:hAnsi="Times New Roman"/>
          <w:sz w:val="24"/>
          <w:szCs w:val="24"/>
          <w:lang w:val="es-MX"/>
        </w:rPr>
        <w:t xml:space="preserve">Por otra parte, las instituciones al poseer la mayoría de las captaciones y colocaciones del sistema buscarán mantener la confianza del público con niveles adecuados de solvencia, liquidez y morosidad. </w:t>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el caso del sistema bancario ecuatoriano, en el que el nivel de competencia es fuerte dado los valores que toma el estadístico H y la concentración alta, el nivel de concentración de captaciones y colocaciones puede permitir la generación de economías de escala, característica que constituye una barrera de entrada al mercado, limitando de esta manera la competencia. </w:t>
      </w:r>
      <w:r w:rsidR="002862AE" w:rsidRPr="00B07754">
        <w:rPr>
          <w:rFonts w:ascii="Times New Roman" w:hAnsi="Times New Roman"/>
          <w:sz w:val="24"/>
          <w:szCs w:val="24"/>
          <w:lang w:val="es-MX"/>
        </w:rPr>
        <w:t>Adicional a ello, el comportamiento del nivel de competencia –estadístico H- y los cambios en las participaciones de mercado de los bancos que conforman el sistema reflejan que a través de distintas estrategias como la diferenciación de productos, segmentación</w:t>
      </w:r>
      <w:r w:rsidR="0081483E" w:rsidRPr="00B07754">
        <w:rPr>
          <w:rFonts w:ascii="Times New Roman" w:hAnsi="Times New Roman"/>
          <w:sz w:val="24"/>
          <w:szCs w:val="24"/>
          <w:lang w:val="es-MX"/>
        </w:rPr>
        <w:t xml:space="preserve">, entre otras, es posible obtener mayor porcentaje del mercado; es decir, captar y colocar más recursos. </w:t>
      </w:r>
    </w:p>
    <w:p w:rsidR="00221A65" w:rsidRDefault="00221A65" w:rsidP="002B5E62">
      <w:pPr>
        <w:autoSpaceDE w:val="0"/>
        <w:autoSpaceDN w:val="0"/>
        <w:adjustRightInd w:val="0"/>
        <w:spacing w:line="360" w:lineRule="auto"/>
        <w:jc w:val="center"/>
        <w:rPr>
          <w:rFonts w:ascii="Times New Roman" w:hAnsi="Times New Roman"/>
          <w:sz w:val="24"/>
          <w:szCs w:val="24"/>
          <w:lang w:val="es-MX"/>
        </w:rPr>
      </w:pPr>
    </w:p>
    <w:p w:rsidR="00192495" w:rsidRPr="00B07754" w:rsidRDefault="001F5F0B"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lastRenderedPageBreak/>
        <w:t>Tabla 13</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sz w:val="24"/>
          <w:szCs w:val="24"/>
          <w:lang w:val="es-MX"/>
        </w:rPr>
        <w:t>Relación Competencia Estabilidad</w:t>
      </w:r>
    </w:p>
    <w:p w:rsidR="00192495" w:rsidRPr="00B07754" w:rsidRDefault="00192495" w:rsidP="002B5E62">
      <w:pPr>
        <w:autoSpaceDE w:val="0"/>
        <w:autoSpaceDN w:val="0"/>
        <w:adjustRightInd w:val="0"/>
        <w:spacing w:line="360" w:lineRule="auto"/>
        <w:jc w:val="center"/>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08409D38" wp14:editId="31DC3294">
            <wp:extent cx="2202512" cy="2772922"/>
            <wp:effectExtent l="0" t="0" r="7620" b="889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02532" cy="2772947"/>
                    </a:xfrm>
                    <a:prstGeom prst="rect">
                      <a:avLst/>
                    </a:prstGeom>
                    <a:noFill/>
                    <a:ln>
                      <a:noFill/>
                    </a:ln>
                  </pic:spPr>
                </pic:pic>
              </a:graphicData>
            </a:graphic>
          </wp:inline>
        </w:drawing>
      </w:r>
    </w:p>
    <w:p w:rsidR="00192495" w:rsidRPr="00B07754" w:rsidRDefault="00192495" w:rsidP="002B5E62">
      <w:pPr>
        <w:autoSpaceDE w:val="0"/>
        <w:autoSpaceDN w:val="0"/>
        <w:adjustRightInd w:val="0"/>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Elaboración propia a partir de las estimaciones en </w:t>
      </w:r>
      <w:proofErr w:type="spellStart"/>
      <w:r w:rsidRPr="00B07754">
        <w:rPr>
          <w:rFonts w:ascii="Times New Roman" w:hAnsi="Times New Roman"/>
          <w:sz w:val="24"/>
          <w:szCs w:val="24"/>
          <w:lang w:val="es-MX"/>
        </w:rPr>
        <w:t>Stata</w:t>
      </w:r>
      <w:proofErr w:type="spellEnd"/>
    </w:p>
    <w:p w:rsidR="00E0399F" w:rsidRPr="00B07754" w:rsidRDefault="00E0399F"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B45676" w:rsidRPr="00B07754" w:rsidRDefault="00B45676" w:rsidP="002B5E62">
      <w:pPr>
        <w:autoSpaceDE w:val="0"/>
        <w:autoSpaceDN w:val="0"/>
        <w:adjustRightInd w:val="0"/>
        <w:spacing w:line="360" w:lineRule="auto"/>
        <w:jc w:val="both"/>
        <w:rPr>
          <w:rFonts w:ascii="Times New Roman" w:hAnsi="Times New Roman"/>
          <w:sz w:val="24"/>
          <w:szCs w:val="24"/>
          <w:lang w:val="es-MX"/>
        </w:rPr>
      </w:pPr>
    </w:p>
    <w:p w:rsidR="003E0F59" w:rsidRPr="00B07754" w:rsidRDefault="003E0F59" w:rsidP="002B5E62">
      <w:pPr>
        <w:spacing w:line="360" w:lineRule="auto"/>
        <w:rPr>
          <w:rFonts w:ascii="Times New Roman" w:hAnsi="Times New Roman"/>
          <w:sz w:val="24"/>
          <w:szCs w:val="24"/>
          <w:lang w:val="es-MX"/>
        </w:rPr>
      </w:pPr>
    </w:p>
    <w:p w:rsidR="00B92AA3" w:rsidRPr="00B07754" w:rsidRDefault="00B92AA3" w:rsidP="002B5E62">
      <w:pPr>
        <w:spacing w:line="360" w:lineRule="auto"/>
        <w:rPr>
          <w:rFonts w:ascii="Times New Roman" w:hAnsi="Times New Roman"/>
          <w:sz w:val="24"/>
          <w:szCs w:val="24"/>
          <w:lang w:val="es-MX"/>
        </w:rPr>
      </w:pPr>
    </w:p>
    <w:p w:rsidR="00B92AA3" w:rsidRDefault="00B92AA3" w:rsidP="002B5E62">
      <w:pPr>
        <w:spacing w:line="360" w:lineRule="auto"/>
        <w:rPr>
          <w:rFonts w:ascii="Times New Roman" w:hAnsi="Times New Roman"/>
          <w:sz w:val="24"/>
          <w:szCs w:val="24"/>
          <w:lang w:val="es-MX"/>
        </w:rPr>
      </w:pPr>
    </w:p>
    <w:p w:rsidR="00784862" w:rsidRDefault="00784862" w:rsidP="002B5E62">
      <w:pPr>
        <w:spacing w:line="360" w:lineRule="auto"/>
        <w:rPr>
          <w:rFonts w:ascii="Times New Roman" w:hAnsi="Times New Roman"/>
          <w:sz w:val="24"/>
          <w:szCs w:val="24"/>
          <w:lang w:val="es-MX"/>
        </w:rPr>
      </w:pPr>
    </w:p>
    <w:p w:rsidR="00044670" w:rsidRPr="00B07754" w:rsidRDefault="00044670" w:rsidP="002B5E62">
      <w:pPr>
        <w:spacing w:line="360" w:lineRule="auto"/>
        <w:rPr>
          <w:rFonts w:ascii="Times New Roman" w:hAnsi="Times New Roman"/>
          <w:sz w:val="24"/>
          <w:szCs w:val="24"/>
          <w:lang w:val="es-MX"/>
        </w:rPr>
      </w:pPr>
    </w:p>
    <w:p w:rsidR="00B92AA3" w:rsidRPr="00B07754" w:rsidRDefault="00B92AA3" w:rsidP="002B5E62">
      <w:pPr>
        <w:spacing w:line="360" w:lineRule="auto"/>
        <w:rPr>
          <w:rFonts w:ascii="Times New Roman" w:hAnsi="Times New Roman"/>
          <w:sz w:val="24"/>
          <w:szCs w:val="24"/>
          <w:lang w:val="es-MX"/>
        </w:rPr>
      </w:pPr>
    </w:p>
    <w:p w:rsidR="00B45676" w:rsidRPr="00B07754" w:rsidRDefault="00B45676" w:rsidP="002B5E62">
      <w:pPr>
        <w:pStyle w:val="Ttulo1"/>
        <w:spacing w:before="0" w:after="200" w:line="360" w:lineRule="auto"/>
        <w:jc w:val="center"/>
        <w:rPr>
          <w:rFonts w:ascii="Times New Roman" w:hAnsi="Times New Roman"/>
          <w:color w:val="auto"/>
          <w:sz w:val="24"/>
          <w:szCs w:val="24"/>
          <w:lang w:val="es-MX"/>
        </w:rPr>
      </w:pPr>
      <w:bookmarkStart w:id="43" w:name="_Toc372589985"/>
      <w:r w:rsidRPr="00B07754">
        <w:rPr>
          <w:rFonts w:ascii="Times New Roman" w:hAnsi="Times New Roman"/>
          <w:color w:val="auto"/>
          <w:sz w:val="24"/>
          <w:szCs w:val="24"/>
          <w:lang w:val="es-MX"/>
        </w:rPr>
        <w:t>CONCLUSIONES</w:t>
      </w:r>
      <w:bookmarkEnd w:id="43"/>
    </w:p>
    <w:p w:rsidR="00B92AA3" w:rsidRPr="00B07754" w:rsidRDefault="00B92AA3" w:rsidP="002B5E62">
      <w:pPr>
        <w:spacing w:line="360" w:lineRule="auto"/>
        <w:rPr>
          <w:rFonts w:ascii="Times New Roman" w:hAnsi="Times New Roman"/>
          <w:sz w:val="24"/>
          <w:szCs w:val="24"/>
          <w:lang w:val="es-MX"/>
        </w:rPr>
      </w:pPr>
    </w:p>
    <w:p w:rsidR="00B45676" w:rsidRPr="00B07754" w:rsidRDefault="00B45676" w:rsidP="002B5E62">
      <w:pPr>
        <w:pStyle w:val="Prrafodelista"/>
        <w:numPr>
          <w:ilvl w:val="0"/>
          <w:numId w:val="31"/>
        </w:numPr>
        <w:spacing w:line="360" w:lineRule="auto"/>
        <w:jc w:val="both"/>
        <w:rPr>
          <w:rFonts w:ascii="Times New Roman" w:hAnsi="Times New Roman"/>
          <w:noProof/>
          <w:sz w:val="24"/>
          <w:szCs w:val="24"/>
          <w:lang w:val="es-MX"/>
        </w:rPr>
      </w:pPr>
      <w:r w:rsidRPr="00B07754">
        <w:rPr>
          <w:rFonts w:ascii="Times New Roman" w:hAnsi="Times New Roman"/>
          <w:sz w:val="24"/>
          <w:szCs w:val="24"/>
          <w:lang w:val="es-MX"/>
        </w:rPr>
        <w:t xml:space="preserve">La estabilidad en el sistema bancario </w:t>
      </w:r>
      <w:r w:rsidR="00702B59" w:rsidRPr="00B07754">
        <w:rPr>
          <w:rFonts w:ascii="Times New Roman" w:hAnsi="Times New Roman"/>
          <w:sz w:val="24"/>
          <w:szCs w:val="24"/>
          <w:lang w:val="es-MX"/>
        </w:rPr>
        <w:t xml:space="preserve">constituye un </w:t>
      </w:r>
      <w:r w:rsidRPr="00B07754">
        <w:rPr>
          <w:rFonts w:ascii="Times New Roman" w:hAnsi="Times New Roman"/>
          <w:sz w:val="24"/>
          <w:szCs w:val="24"/>
          <w:lang w:val="es-MX"/>
        </w:rPr>
        <w:t xml:space="preserve">tema de continuo debate para las autoridades económicas, quienes </w:t>
      </w:r>
      <w:r w:rsidR="00D03988" w:rsidRPr="00B07754">
        <w:rPr>
          <w:rFonts w:ascii="Times New Roman" w:hAnsi="Times New Roman"/>
          <w:sz w:val="24"/>
          <w:szCs w:val="24"/>
          <w:lang w:val="es-MX"/>
        </w:rPr>
        <w:t xml:space="preserve">toman </w:t>
      </w:r>
      <w:r w:rsidRPr="00B07754">
        <w:rPr>
          <w:rFonts w:ascii="Times New Roman" w:hAnsi="Times New Roman"/>
          <w:sz w:val="24"/>
          <w:szCs w:val="24"/>
          <w:lang w:val="es-MX"/>
        </w:rPr>
        <w:t xml:space="preserve">decisiones de política económica buscando precautelarla </w:t>
      </w:r>
      <w:r w:rsidR="00D03988" w:rsidRPr="00B07754">
        <w:rPr>
          <w:rFonts w:ascii="Times New Roman" w:hAnsi="Times New Roman"/>
          <w:sz w:val="24"/>
          <w:szCs w:val="24"/>
          <w:lang w:val="es-MX"/>
        </w:rPr>
        <w:t xml:space="preserve">para </w:t>
      </w:r>
      <w:r w:rsidRPr="00B07754">
        <w:rPr>
          <w:rFonts w:ascii="Times New Roman" w:hAnsi="Times New Roman"/>
          <w:sz w:val="24"/>
          <w:szCs w:val="24"/>
          <w:lang w:val="es-MX"/>
        </w:rPr>
        <w:t>evitar o minimizar los</w:t>
      </w:r>
      <w:r w:rsidR="00D03988" w:rsidRPr="00B07754">
        <w:rPr>
          <w:rFonts w:ascii="Times New Roman" w:hAnsi="Times New Roman"/>
          <w:sz w:val="24"/>
          <w:szCs w:val="24"/>
          <w:lang w:val="es-MX"/>
        </w:rPr>
        <w:t xml:space="preserve"> efectos de una posible crisis.</w:t>
      </w:r>
      <w:r w:rsidR="002F2827" w:rsidRPr="00B07754">
        <w:rPr>
          <w:rFonts w:ascii="Times New Roman" w:hAnsi="Times New Roman"/>
          <w:sz w:val="24"/>
          <w:szCs w:val="24"/>
          <w:lang w:val="es-MX"/>
        </w:rPr>
        <w:t xml:space="preserve"> </w:t>
      </w:r>
      <w:r w:rsidRPr="00B07754">
        <w:rPr>
          <w:rFonts w:ascii="Times New Roman" w:hAnsi="Times New Roman"/>
          <w:sz w:val="24"/>
          <w:szCs w:val="24"/>
          <w:lang w:val="es-MX"/>
        </w:rPr>
        <w:t>El tema de debate surge el momento de elegir las medidas relacionadas con el nivel de competencia que se debe permitir</w:t>
      </w:r>
      <w:r w:rsidR="002F2827" w:rsidRPr="00B07754">
        <w:rPr>
          <w:rFonts w:ascii="Times New Roman" w:hAnsi="Times New Roman"/>
          <w:sz w:val="24"/>
          <w:szCs w:val="24"/>
          <w:lang w:val="es-MX"/>
        </w:rPr>
        <w:t xml:space="preserve"> en el sistema financiero; puesto</w:t>
      </w:r>
      <w:r w:rsidRPr="00B07754">
        <w:rPr>
          <w:rFonts w:ascii="Times New Roman" w:hAnsi="Times New Roman"/>
          <w:sz w:val="24"/>
          <w:szCs w:val="24"/>
          <w:lang w:val="es-MX"/>
        </w:rPr>
        <w:t xml:space="preserve"> </w:t>
      </w:r>
      <w:r w:rsidR="00D03988" w:rsidRPr="00B07754">
        <w:rPr>
          <w:rFonts w:ascii="Times New Roman" w:hAnsi="Times New Roman"/>
          <w:sz w:val="24"/>
          <w:szCs w:val="24"/>
          <w:lang w:val="es-MX"/>
        </w:rPr>
        <w:t xml:space="preserve">que no se conoce la relación que existe entre el nivel de competencia y la estabilidad bancaria, además de </w:t>
      </w:r>
      <w:r w:rsidRPr="00B07754">
        <w:rPr>
          <w:rFonts w:ascii="Times New Roman" w:hAnsi="Times New Roman"/>
          <w:sz w:val="24"/>
          <w:szCs w:val="24"/>
          <w:lang w:val="es-MX"/>
        </w:rPr>
        <w:t xml:space="preserve">los distintos puntos de vista y teorías que versan sobre este tema. </w:t>
      </w:r>
    </w:p>
    <w:p w:rsidR="00C64884" w:rsidRPr="00B07754" w:rsidRDefault="00C64884"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noProof/>
          <w:sz w:val="24"/>
          <w:szCs w:val="24"/>
          <w:lang w:val="es-MX"/>
        </w:rPr>
        <w:t>E</w:t>
      </w:r>
      <w:r w:rsidR="00B45676" w:rsidRPr="00B07754">
        <w:rPr>
          <w:rFonts w:ascii="Times New Roman" w:hAnsi="Times New Roman"/>
          <w:noProof/>
          <w:sz w:val="24"/>
          <w:szCs w:val="24"/>
          <w:lang w:val="es-MX"/>
        </w:rPr>
        <w:t xml:space="preserve">n el análisis de </w:t>
      </w:r>
      <w:r w:rsidRPr="00B07754">
        <w:rPr>
          <w:rFonts w:ascii="Times New Roman" w:hAnsi="Times New Roman"/>
          <w:noProof/>
          <w:sz w:val="24"/>
          <w:szCs w:val="24"/>
          <w:lang w:val="es-MX"/>
        </w:rPr>
        <w:t xml:space="preserve">la relación entre estabilidad y nivel de compentecia en el sistema bancario, </w:t>
      </w:r>
      <w:r w:rsidR="00B45676" w:rsidRPr="00B07754">
        <w:rPr>
          <w:rFonts w:ascii="Times New Roman" w:hAnsi="Times New Roman"/>
          <w:noProof/>
          <w:sz w:val="24"/>
          <w:szCs w:val="24"/>
          <w:lang w:val="es-MX"/>
        </w:rPr>
        <w:t xml:space="preserve">específicamente en los indicadores de competencia, muchas veces se aplica la economía de la organización industrial, la cual no toma en consideración el desarrollo de economías de escala. </w:t>
      </w:r>
    </w:p>
    <w:p w:rsidR="00C64884" w:rsidRPr="00B07754" w:rsidRDefault="00B45676"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En el sistema bancario las economías de escala que se generen permiten que las ganancias en la eficiencia compensen los efectos negativos del poder de mercado. Con economías de escala se espera que la eficiencia productiva mejore con bancos más grandes y una concentración mayor en el sector. </w:t>
      </w:r>
    </w:p>
    <w:p w:rsidR="00B45676" w:rsidRPr="00B07754" w:rsidRDefault="00C64884"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El</w:t>
      </w:r>
      <w:r w:rsidR="00B45676" w:rsidRPr="00B07754">
        <w:rPr>
          <w:rFonts w:ascii="Times New Roman" w:hAnsi="Times New Roman"/>
          <w:sz w:val="24"/>
          <w:szCs w:val="24"/>
          <w:lang w:val="es-MX"/>
        </w:rPr>
        <w:t xml:space="preserve"> enfoque de contestabilidad permite que la concentración y la competencia existan juntas dadas las características específicas del sector bancario (información asimétrica, ramas de negocio y el uso de nuevas tecnologías). </w:t>
      </w:r>
      <w:r w:rsidRPr="00B07754">
        <w:rPr>
          <w:rFonts w:ascii="Times New Roman" w:hAnsi="Times New Roman"/>
          <w:sz w:val="24"/>
          <w:szCs w:val="24"/>
          <w:lang w:val="es-MX"/>
        </w:rPr>
        <w:t>L</w:t>
      </w:r>
      <w:r w:rsidR="00B45676" w:rsidRPr="00B07754">
        <w:rPr>
          <w:rFonts w:ascii="Times New Roman" w:hAnsi="Times New Roman"/>
          <w:sz w:val="24"/>
          <w:szCs w:val="24"/>
          <w:lang w:val="es-MX"/>
        </w:rPr>
        <w:t xml:space="preserve">os resultados ambiguos del enfoque de concentración y de contestabilidad sugieren que el comportamiento competitivo de los bancos no necesariamente se relaciona con el número de bancos en el mercado o su grado de concentración. </w:t>
      </w:r>
      <w:r w:rsidRPr="00B07754">
        <w:rPr>
          <w:rFonts w:ascii="Times New Roman" w:hAnsi="Times New Roman"/>
          <w:sz w:val="24"/>
          <w:szCs w:val="24"/>
          <w:lang w:val="es-MX"/>
        </w:rPr>
        <w:t xml:space="preserve">Por esta razón, pueden presentarse situaciones en las que el nivel de competencia sea fuerte y el mercado concentrado, como ocurre en el Ecuador. </w:t>
      </w:r>
    </w:p>
    <w:p w:rsidR="00B45676" w:rsidRPr="00B07754" w:rsidRDefault="00B45676"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Los problemas en el sistema financiero pueden </w:t>
      </w:r>
      <w:r w:rsidRPr="00B07754">
        <w:rPr>
          <w:rFonts w:ascii="Times New Roman" w:hAnsi="Times New Roman"/>
          <w:iCs/>
          <w:sz w:val="24"/>
          <w:szCs w:val="24"/>
          <w:lang w:val="es-MX"/>
        </w:rPr>
        <w:t xml:space="preserve">empeorar el desempeño macroeconómico puesto que los intermediarios más débiles restringen el crédito, las pérdidas en el sector financiero producen efectos negativos en el ingreso o la riqueza, la incertidumbre generalizada inhibe la inversión y el sector público es a menudo </w:t>
      </w:r>
      <w:r w:rsidRPr="00B07754">
        <w:rPr>
          <w:rFonts w:ascii="Times New Roman" w:hAnsi="Times New Roman"/>
          <w:sz w:val="24"/>
          <w:szCs w:val="24"/>
          <w:lang w:val="es-MX"/>
        </w:rPr>
        <w:lastRenderedPageBreak/>
        <w:t xml:space="preserve">obligado a frenar el gasto real para ayudar a compensar el costo presupuestario del aumento de las transferencias. Además, si los agentes económicos ya no confían en la continua estabilidad de las instituciones en las que han colocado sus fondos, o en la integridad de los mercados en los que han invertido, buscaran reducir su exposición o colocar sus activos en otro lugar. </w:t>
      </w:r>
    </w:p>
    <w:p w:rsidR="00A8717C" w:rsidRPr="00B07754" w:rsidRDefault="00B45676"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Conforme las crisis financieras se han presentado a través de los años se ha determinado que sus causas provienen de factores macroeconómicos, microeconómicos e institucionales. En el caso del Ecuador la crisis financiera de 1998-1999 tiene sus raíces en factores exógenos que se remontan a 1995, año a partir del cual las políticas fiscales y monetarias tuvieron que flexibilizarse a razón de los factores externos que afectaron la economía del país</w:t>
      </w:r>
      <w:r w:rsidR="00953B10" w:rsidRPr="00B07754">
        <w:rPr>
          <w:rFonts w:ascii="Times New Roman" w:hAnsi="Times New Roman"/>
          <w:sz w:val="24"/>
          <w:szCs w:val="24"/>
          <w:lang w:val="es-MX"/>
        </w:rPr>
        <w:t>.</w:t>
      </w:r>
      <w:r w:rsidRPr="00B07754">
        <w:rPr>
          <w:rFonts w:ascii="Times New Roman" w:hAnsi="Times New Roman"/>
          <w:sz w:val="24"/>
          <w:szCs w:val="24"/>
          <w:lang w:val="es-MX"/>
        </w:rPr>
        <w:t xml:space="preserve"> Por esta razón, la estrategia anti-inflacionaria promulgada en 1992 </w:t>
      </w:r>
      <w:r w:rsidR="00953B10" w:rsidRPr="00B07754">
        <w:rPr>
          <w:rFonts w:ascii="Times New Roman" w:hAnsi="Times New Roman"/>
          <w:sz w:val="24"/>
          <w:szCs w:val="24"/>
          <w:lang w:val="es-MX"/>
        </w:rPr>
        <w:t>-</w:t>
      </w:r>
      <w:r w:rsidRPr="00B07754">
        <w:rPr>
          <w:rFonts w:ascii="Times New Roman" w:hAnsi="Times New Roman"/>
          <w:sz w:val="24"/>
          <w:szCs w:val="24"/>
          <w:lang w:val="es-MX"/>
        </w:rPr>
        <w:t>que buscaba generar estabilidad en la economía y confianza en los agentes económicos</w:t>
      </w:r>
      <w:r w:rsidR="00953B10" w:rsidRPr="00B07754">
        <w:rPr>
          <w:rFonts w:ascii="Times New Roman" w:hAnsi="Times New Roman"/>
          <w:sz w:val="24"/>
          <w:szCs w:val="24"/>
          <w:lang w:val="es-MX"/>
        </w:rPr>
        <w:t>-</w:t>
      </w:r>
      <w:r w:rsidRPr="00B07754">
        <w:rPr>
          <w:rFonts w:ascii="Times New Roman" w:hAnsi="Times New Roman"/>
          <w:sz w:val="24"/>
          <w:szCs w:val="24"/>
          <w:lang w:val="es-MX"/>
        </w:rPr>
        <w:t xml:space="preserve"> perdió potencia y el tipo de cambio dejó de ser el instrumento fundamental para reducir la inflación. </w:t>
      </w:r>
    </w:p>
    <w:p w:rsidR="00B45676" w:rsidRPr="00B07754" w:rsidRDefault="003A53F5"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C</w:t>
      </w:r>
      <w:r w:rsidR="00B45676" w:rsidRPr="00B07754">
        <w:rPr>
          <w:rFonts w:ascii="Times New Roman" w:hAnsi="Times New Roman"/>
          <w:sz w:val="24"/>
          <w:szCs w:val="24"/>
          <w:lang w:val="es-MX"/>
        </w:rPr>
        <w:t xml:space="preserve">on el paso de los años, el Banco Central perdió su capacidad para controlar la oferta monetaria, emitiendo continuamente moneda para solventar los problemas de liquidez de la banca y sociedades financieras privadas, devaluando el sucre y elevando las tasas de interés, acciones que  provocaron que la tasa de variación anual de la emisión de moneda tenga relación directa con la inflación, por lo que ésta última presentó una fuerte tendencia al alza lo que conllevó a la profundización de la crisis. </w:t>
      </w:r>
    </w:p>
    <w:p w:rsidR="007646EE" w:rsidRDefault="00C960B2" w:rsidP="002B5E62">
      <w:pPr>
        <w:pStyle w:val="Prrafodelista"/>
        <w:numPr>
          <w:ilvl w:val="0"/>
          <w:numId w:val="31"/>
        </w:numPr>
        <w:spacing w:line="360" w:lineRule="auto"/>
        <w:jc w:val="both"/>
        <w:rPr>
          <w:rFonts w:ascii="Times New Roman" w:hAnsi="Times New Roman"/>
          <w:sz w:val="24"/>
          <w:szCs w:val="24"/>
          <w:lang w:val="es-MX"/>
        </w:rPr>
      </w:pPr>
      <w:r w:rsidRPr="007646EE">
        <w:rPr>
          <w:rFonts w:ascii="Times New Roman" w:hAnsi="Times New Roman"/>
          <w:sz w:val="24"/>
          <w:szCs w:val="24"/>
          <w:lang w:val="es-MX"/>
        </w:rPr>
        <w:t>E</w:t>
      </w:r>
      <w:r w:rsidR="00B45676" w:rsidRPr="007646EE">
        <w:rPr>
          <w:rFonts w:ascii="Times New Roman" w:hAnsi="Times New Roman"/>
          <w:sz w:val="24"/>
          <w:szCs w:val="24"/>
          <w:lang w:val="es-MX"/>
        </w:rPr>
        <w:t>ste estudi</w:t>
      </w:r>
      <w:r w:rsidR="00B71784" w:rsidRPr="007646EE">
        <w:rPr>
          <w:rFonts w:ascii="Times New Roman" w:hAnsi="Times New Roman"/>
          <w:sz w:val="24"/>
          <w:szCs w:val="24"/>
          <w:lang w:val="es-MX"/>
        </w:rPr>
        <w:t>o</w:t>
      </w:r>
      <w:r w:rsidRPr="007646EE">
        <w:rPr>
          <w:rFonts w:ascii="Times New Roman" w:hAnsi="Times New Roman"/>
          <w:sz w:val="24"/>
          <w:szCs w:val="24"/>
          <w:lang w:val="es-MX"/>
        </w:rPr>
        <w:t>,</w:t>
      </w:r>
      <w:r w:rsidR="00B45676" w:rsidRPr="007646EE">
        <w:rPr>
          <w:rFonts w:ascii="Times New Roman" w:hAnsi="Times New Roman"/>
          <w:sz w:val="24"/>
          <w:szCs w:val="24"/>
          <w:lang w:val="es-MX"/>
        </w:rPr>
        <w:t xml:space="preserve"> a través del cálculo del estadístico “H” como indicador del nivel de competencia, determinó que la relación entre competencia y estabilidad para el sistema bancario ecuatoriano para el periodo 2002-2012 es inversa, de manera que la relación existente entre estas dos variables se apega a la teoría de competencia-estabilidad, indicando que los hacedores de política se enfrentarían a un </w:t>
      </w:r>
      <w:proofErr w:type="spellStart"/>
      <w:r w:rsidR="00B45676" w:rsidRPr="007646EE">
        <w:rPr>
          <w:rFonts w:ascii="Times New Roman" w:hAnsi="Times New Roman"/>
          <w:i/>
          <w:sz w:val="24"/>
          <w:szCs w:val="24"/>
          <w:lang w:val="es-MX"/>
        </w:rPr>
        <w:t>trade</w:t>
      </w:r>
      <w:proofErr w:type="spellEnd"/>
      <w:r w:rsidR="00B45676" w:rsidRPr="007646EE">
        <w:rPr>
          <w:rFonts w:ascii="Times New Roman" w:hAnsi="Times New Roman"/>
          <w:i/>
          <w:sz w:val="24"/>
          <w:szCs w:val="24"/>
          <w:lang w:val="es-MX"/>
        </w:rPr>
        <w:t xml:space="preserve"> off</w:t>
      </w:r>
      <w:r w:rsidR="00B45676" w:rsidRPr="007646EE">
        <w:rPr>
          <w:rFonts w:ascii="Times New Roman" w:hAnsi="Times New Roman"/>
          <w:sz w:val="24"/>
          <w:szCs w:val="24"/>
          <w:lang w:val="es-MX"/>
        </w:rPr>
        <w:t xml:space="preserve"> entre competencia y estabilidad. </w:t>
      </w:r>
      <w:r w:rsidR="00215E2D" w:rsidRPr="007646EE">
        <w:rPr>
          <w:rFonts w:ascii="Times New Roman" w:hAnsi="Times New Roman"/>
          <w:sz w:val="24"/>
          <w:szCs w:val="24"/>
          <w:lang w:val="es-MX"/>
        </w:rPr>
        <w:t>Bajo el contex</w:t>
      </w:r>
      <w:r w:rsidR="00A93AE0" w:rsidRPr="007646EE">
        <w:rPr>
          <w:rFonts w:ascii="Times New Roman" w:hAnsi="Times New Roman"/>
          <w:sz w:val="24"/>
          <w:szCs w:val="24"/>
          <w:lang w:val="es-MX"/>
        </w:rPr>
        <w:t>to ecuatoriano es</w:t>
      </w:r>
      <w:r w:rsidR="00D252C3" w:rsidRPr="007646EE">
        <w:rPr>
          <w:rFonts w:ascii="Times New Roman" w:hAnsi="Times New Roman"/>
          <w:sz w:val="24"/>
          <w:szCs w:val="24"/>
          <w:lang w:val="es-MX"/>
        </w:rPr>
        <w:t>ta relación implica que si los encargados de política desean garantizar mayor grado de estabilidad</w:t>
      </w:r>
      <w:r w:rsidR="007646EE" w:rsidRPr="007646EE">
        <w:rPr>
          <w:rFonts w:ascii="Times New Roman" w:hAnsi="Times New Roman"/>
          <w:sz w:val="24"/>
          <w:szCs w:val="24"/>
          <w:lang w:val="es-MX"/>
        </w:rPr>
        <w:t xml:space="preserve"> en el sistema deben emitir políticas que restrinjan </w:t>
      </w:r>
      <w:r w:rsidR="007646EE">
        <w:rPr>
          <w:rFonts w:ascii="Times New Roman" w:hAnsi="Times New Roman"/>
          <w:sz w:val="24"/>
          <w:szCs w:val="24"/>
          <w:lang w:val="es-MX"/>
        </w:rPr>
        <w:t>e</w:t>
      </w:r>
      <w:r w:rsidR="007646EE" w:rsidRPr="007646EE">
        <w:rPr>
          <w:rFonts w:ascii="Times New Roman" w:hAnsi="Times New Roman"/>
          <w:sz w:val="24"/>
          <w:szCs w:val="24"/>
          <w:lang w:val="es-MX"/>
        </w:rPr>
        <w:t>l ingreso de nuevos competidores en el mercado</w:t>
      </w:r>
      <w:r w:rsidR="007646EE">
        <w:rPr>
          <w:rFonts w:ascii="Times New Roman" w:hAnsi="Times New Roman"/>
          <w:sz w:val="24"/>
          <w:szCs w:val="24"/>
          <w:lang w:val="es-MX"/>
        </w:rPr>
        <w:t>, lo que no implica limitar la competitividad existente entre los mercados</w:t>
      </w:r>
      <w:r w:rsidR="00CC1DA6">
        <w:rPr>
          <w:rFonts w:ascii="Times New Roman" w:hAnsi="Times New Roman"/>
          <w:sz w:val="24"/>
          <w:szCs w:val="24"/>
          <w:lang w:val="es-MX"/>
        </w:rPr>
        <w:t xml:space="preserve"> (contestabilidad)</w:t>
      </w:r>
      <w:r w:rsidR="007646EE">
        <w:rPr>
          <w:rFonts w:ascii="Times New Roman" w:hAnsi="Times New Roman"/>
          <w:sz w:val="24"/>
          <w:szCs w:val="24"/>
          <w:lang w:val="es-MX"/>
        </w:rPr>
        <w:t xml:space="preserve">, de manera que no exista pérdida de eficiencia. </w:t>
      </w:r>
    </w:p>
    <w:p w:rsidR="007646EE" w:rsidRDefault="007646EE" w:rsidP="002B5E62">
      <w:pPr>
        <w:pStyle w:val="Prrafodelista"/>
        <w:numPr>
          <w:ilvl w:val="0"/>
          <w:numId w:val="31"/>
        </w:numPr>
        <w:spacing w:line="360" w:lineRule="auto"/>
        <w:jc w:val="both"/>
        <w:rPr>
          <w:rFonts w:ascii="Times New Roman" w:hAnsi="Times New Roman"/>
          <w:sz w:val="24"/>
          <w:szCs w:val="24"/>
          <w:lang w:val="es-MX"/>
        </w:rPr>
      </w:pPr>
      <w:r>
        <w:rPr>
          <w:rFonts w:ascii="Times New Roman" w:hAnsi="Times New Roman"/>
          <w:sz w:val="24"/>
          <w:szCs w:val="24"/>
          <w:lang w:val="es-MX"/>
        </w:rPr>
        <w:t>Los resultados del estudio</w:t>
      </w:r>
      <w:r w:rsidR="00CC1DA6">
        <w:rPr>
          <w:rFonts w:ascii="Times New Roman" w:hAnsi="Times New Roman"/>
          <w:sz w:val="24"/>
          <w:szCs w:val="24"/>
          <w:lang w:val="es-MX"/>
        </w:rPr>
        <w:t xml:space="preserve"> y el alto grado de c</w:t>
      </w:r>
      <w:r w:rsidR="00956280">
        <w:rPr>
          <w:rFonts w:ascii="Times New Roman" w:hAnsi="Times New Roman"/>
          <w:sz w:val="24"/>
          <w:szCs w:val="24"/>
          <w:lang w:val="es-MX"/>
        </w:rPr>
        <w:t xml:space="preserve">oncentración de la banca son coherentes </w:t>
      </w:r>
      <w:r w:rsidR="00CC1DA6">
        <w:rPr>
          <w:rFonts w:ascii="Times New Roman" w:hAnsi="Times New Roman"/>
          <w:sz w:val="24"/>
          <w:szCs w:val="24"/>
          <w:lang w:val="es-MX"/>
        </w:rPr>
        <w:t xml:space="preserve">con la literatura económica que analiza la relación negativa entre las variables de análisis. En </w:t>
      </w:r>
      <w:r w:rsidR="004A1A70">
        <w:rPr>
          <w:rFonts w:ascii="Times New Roman" w:hAnsi="Times New Roman"/>
          <w:sz w:val="24"/>
          <w:szCs w:val="24"/>
          <w:lang w:val="es-MX"/>
        </w:rPr>
        <w:t>dichos postulados los</w:t>
      </w:r>
      <w:r w:rsidR="00CC1DA6">
        <w:rPr>
          <w:rFonts w:ascii="Times New Roman" w:hAnsi="Times New Roman"/>
          <w:sz w:val="24"/>
          <w:szCs w:val="24"/>
          <w:lang w:val="es-MX"/>
        </w:rPr>
        <w:t xml:space="preserve"> bancos con poder de mercado o mayor participación de mercado actuarán más prudentemente</w:t>
      </w:r>
      <w:r w:rsidR="00723253">
        <w:rPr>
          <w:rFonts w:ascii="Times New Roman" w:hAnsi="Times New Roman"/>
          <w:sz w:val="24"/>
          <w:szCs w:val="24"/>
          <w:lang w:val="es-MX"/>
        </w:rPr>
        <w:t xml:space="preserve"> –sin contar que son más fuertes para afrontar </w:t>
      </w:r>
      <w:r w:rsidR="00723253">
        <w:rPr>
          <w:rFonts w:ascii="Times New Roman" w:hAnsi="Times New Roman"/>
          <w:sz w:val="24"/>
          <w:szCs w:val="24"/>
          <w:lang w:val="es-MX"/>
        </w:rPr>
        <w:lastRenderedPageBreak/>
        <w:t>una crisis-</w:t>
      </w:r>
      <w:r w:rsidR="00CC1DA6">
        <w:rPr>
          <w:rFonts w:ascii="Times New Roman" w:hAnsi="Times New Roman"/>
          <w:sz w:val="24"/>
          <w:szCs w:val="24"/>
          <w:lang w:val="es-MX"/>
        </w:rPr>
        <w:t xml:space="preserve"> para mantener la confianza del público y prevenir una salida de sus depósitos. Además que las autoridades reguladoras supervisarán con mayor cuidado a estas instituciones ya que un mal funcionamiento de una de ellas afecta</w:t>
      </w:r>
      <w:r w:rsidR="00723253">
        <w:rPr>
          <w:rFonts w:ascii="Times New Roman" w:hAnsi="Times New Roman"/>
          <w:sz w:val="24"/>
          <w:szCs w:val="24"/>
          <w:lang w:val="es-MX"/>
        </w:rPr>
        <w:t>rá</w:t>
      </w:r>
      <w:r w:rsidR="00CC1DA6">
        <w:rPr>
          <w:rFonts w:ascii="Times New Roman" w:hAnsi="Times New Roman"/>
          <w:sz w:val="24"/>
          <w:szCs w:val="24"/>
          <w:lang w:val="es-MX"/>
        </w:rPr>
        <w:t xml:space="preserve"> a toda la economía. Por esta razón, la estabilidad del sistema tiene mayor relevancia y preferencia ante una posible pérdida de bienestar que puede provocar el limitar el nivel de competencia. </w:t>
      </w:r>
      <w:r>
        <w:rPr>
          <w:rFonts w:ascii="Times New Roman" w:hAnsi="Times New Roman"/>
          <w:sz w:val="24"/>
          <w:szCs w:val="24"/>
          <w:lang w:val="es-MX"/>
        </w:rPr>
        <w:t xml:space="preserve"> </w:t>
      </w:r>
    </w:p>
    <w:p w:rsidR="00B45676" w:rsidRPr="007646EE" w:rsidRDefault="009050DC" w:rsidP="002B5E62">
      <w:pPr>
        <w:pStyle w:val="Prrafodelista"/>
        <w:numPr>
          <w:ilvl w:val="0"/>
          <w:numId w:val="31"/>
        </w:numPr>
        <w:spacing w:line="360" w:lineRule="auto"/>
        <w:jc w:val="both"/>
        <w:rPr>
          <w:rFonts w:ascii="Times New Roman" w:hAnsi="Times New Roman"/>
          <w:sz w:val="24"/>
          <w:szCs w:val="24"/>
          <w:lang w:val="es-MX"/>
        </w:rPr>
      </w:pPr>
      <w:r>
        <w:rPr>
          <w:rFonts w:ascii="Times New Roman" w:hAnsi="Times New Roman"/>
          <w:sz w:val="24"/>
          <w:szCs w:val="24"/>
          <w:lang w:val="es-MX"/>
        </w:rPr>
        <w:t>E</w:t>
      </w:r>
      <w:r w:rsidR="00B45676" w:rsidRPr="007646EE">
        <w:rPr>
          <w:rFonts w:ascii="Times New Roman" w:hAnsi="Times New Roman"/>
          <w:sz w:val="24"/>
          <w:szCs w:val="24"/>
          <w:lang w:val="es-MX"/>
        </w:rPr>
        <w:t>l análisis del estadístico H indica que el sistema bancario ecuatoriano presenta un nivel de competencia monopolística fuerte y en algunos años se comporta como competencia perfecta; en otras palabras, los participantes del mercado compiten fuertemente entre ellos para generar más colocaciones y obtener mayores captaciones.</w:t>
      </w:r>
      <w:r w:rsidR="00CD352E">
        <w:rPr>
          <w:rFonts w:ascii="Times New Roman" w:hAnsi="Times New Roman"/>
          <w:sz w:val="24"/>
          <w:szCs w:val="24"/>
          <w:lang w:val="es-MX"/>
        </w:rPr>
        <w:t xml:space="preserve"> Esta afirmación se corrobora al observar que el nivel de participación de mercado no permanece estático, lo que es un claro indicio que los bancos compiten por ganar mayor porcentaje de mercado y así generar mayores ganancias. De igual manera, la presencia de bancos de diferentes tamaños –grandes, medianos y pequeños-, y su especialización en segmentos refleja</w:t>
      </w:r>
      <w:r w:rsidR="008E74C7">
        <w:rPr>
          <w:rFonts w:ascii="Times New Roman" w:hAnsi="Times New Roman"/>
          <w:sz w:val="24"/>
          <w:szCs w:val="24"/>
          <w:lang w:val="es-MX"/>
        </w:rPr>
        <w:t>n</w:t>
      </w:r>
      <w:r w:rsidR="00CD352E">
        <w:rPr>
          <w:rFonts w:ascii="Times New Roman" w:hAnsi="Times New Roman"/>
          <w:sz w:val="24"/>
          <w:szCs w:val="24"/>
          <w:lang w:val="es-MX"/>
        </w:rPr>
        <w:t xml:space="preserve"> las oportunidades que tienen todas las instituciones que participan en el mercado para obtener más captaciones y colocaciones, comportándose como competencia perfecta cuando existe más dinero en la economía. </w:t>
      </w:r>
    </w:p>
    <w:p w:rsidR="00B45676" w:rsidRPr="00B07754" w:rsidRDefault="00B71784"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S</w:t>
      </w:r>
      <w:r w:rsidR="00B45676" w:rsidRPr="00B07754">
        <w:rPr>
          <w:rFonts w:ascii="Times New Roman" w:hAnsi="Times New Roman"/>
          <w:sz w:val="24"/>
          <w:szCs w:val="24"/>
          <w:lang w:val="es-MX"/>
        </w:rPr>
        <w:t xml:space="preserve">i bien la competencia es fuerte en el sistema bancario, los índices de concentración son altos y alrededor del 60% del total de captaciones y colocaciones se encuentran distribuidas en cuatro bancos (Pichincha, Guayaquil, Pacífico y </w:t>
      </w:r>
      <w:proofErr w:type="spellStart"/>
      <w:r w:rsidR="00B45676" w:rsidRPr="00B07754">
        <w:rPr>
          <w:rFonts w:ascii="Times New Roman" w:hAnsi="Times New Roman"/>
          <w:sz w:val="24"/>
          <w:szCs w:val="24"/>
          <w:lang w:val="es-MX"/>
        </w:rPr>
        <w:t>Produbanco</w:t>
      </w:r>
      <w:proofErr w:type="spellEnd"/>
      <w:r w:rsidR="00B45676" w:rsidRPr="00B07754">
        <w:rPr>
          <w:rFonts w:ascii="Times New Roman" w:hAnsi="Times New Roman"/>
          <w:sz w:val="24"/>
          <w:szCs w:val="24"/>
          <w:lang w:val="es-MX"/>
        </w:rPr>
        <w:t>).</w:t>
      </w:r>
      <w:r w:rsidRPr="00B07754">
        <w:rPr>
          <w:rFonts w:ascii="Times New Roman" w:hAnsi="Times New Roman"/>
          <w:sz w:val="24"/>
          <w:szCs w:val="24"/>
          <w:lang w:val="es-MX"/>
        </w:rPr>
        <w:t xml:space="preserve"> L</w:t>
      </w:r>
      <w:r w:rsidR="00B45676" w:rsidRPr="00B07754">
        <w:rPr>
          <w:rFonts w:ascii="Times New Roman" w:hAnsi="Times New Roman"/>
          <w:sz w:val="24"/>
          <w:szCs w:val="24"/>
          <w:lang w:val="es-MX"/>
        </w:rPr>
        <w:t xml:space="preserve">a alta correlación existente entre el nivel de competencia y los índices de concentración implica que a mayor competencia, mayor será la concentración bancaria. Esto significa que los principales actores del mercado no llegan a acuerdos sino que compiten por captar recursos y colocar crédito y así mantener o incrementar su participación de mercado. </w:t>
      </w:r>
    </w:p>
    <w:p w:rsidR="004371D3" w:rsidRDefault="00B45676"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Ante estos resultados se puede concluir que el poder de mercado en el sistema bancario ecuatoriano, a diferencia de otras industrias</w:t>
      </w:r>
      <w:r w:rsidRPr="00B87348">
        <w:rPr>
          <w:rFonts w:ascii="Times New Roman" w:hAnsi="Times New Roman"/>
          <w:sz w:val="24"/>
          <w:szCs w:val="24"/>
          <w:lang w:val="es-MX"/>
        </w:rPr>
        <w:t>, no es perjudicial</w:t>
      </w:r>
      <w:r w:rsidRPr="00B07754">
        <w:rPr>
          <w:rFonts w:ascii="Times New Roman" w:hAnsi="Times New Roman"/>
          <w:sz w:val="24"/>
          <w:szCs w:val="24"/>
          <w:lang w:val="es-MX"/>
        </w:rPr>
        <w:t xml:space="preserve"> para la economía puesto que influye en la estabilidad del mismo y por tanto de la economía en general. </w:t>
      </w:r>
      <w:r w:rsidR="00771388">
        <w:rPr>
          <w:rFonts w:ascii="Times New Roman" w:hAnsi="Times New Roman"/>
          <w:sz w:val="24"/>
          <w:szCs w:val="24"/>
          <w:lang w:val="es-MX"/>
        </w:rPr>
        <w:t>El hecho que la mayoría de depósitos se encuentre en los cuatro bancos más grandes hace más fácil la regulación y supervisión,</w:t>
      </w:r>
      <w:r w:rsidR="00680600">
        <w:rPr>
          <w:rFonts w:ascii="Times New Roman" w:hAnsi="Times New Roman"/>
          <w:sz w:val="24"/>
          <w:szCs w:val="24"/>
          <w:lang w:val="es-MX"/>
        </w:rPr>
        <w:t xml:space="preserve"> no que esto indique que se deba</w:t>
      </w:r>
      <w:r w:rsidR="00771388">
        <w:rPr>
          <w:rFonts w:ascii="Times New Roman" w:hAnsi="Times New Roman"/>
          <w:sz w:val="24"/>
          <w:szCs w:val="24"/>
          <w:lang w:val="es-MX"/>
        </w:rPr>
        <w:t xml:space="preserve"> descuidar la supervisión y regulación de las otras instituciones. Sin embargo, si los bancos más grandes presentan indicadores que reflejan su solidez y rapidez de respuesta ante una crisis o problema que se presente</w:t>
      </w:r>
      <w:r w:rsidR="00680600">
        <w:rPr>
          <w:rFonts w:ascii="Times New Roman" w:hAnsi="Times New Roman"/>
          <w:sz w:val="24"/>
          <w:szCs w:val="24"/>
          <w:lang w:val="es-MX"/>
        </w:rPr>
        <w:t>,</w:t>
      </w:r>
      <w:r w:rsidR="00771388">
        <w:rPr>
          <w:rFonts w:ascii="Times New Roman" w:hAnsi="Times New Roman"/>
          <w:sz w:val="24"/>
          <w:szCs w:val="24"/>
          <w:lang w:val="es-MX"/>
        </w:rPr>
        <w:t xml:space="preserve"> el sistema financiero seguirá siendo estable. Empero, </w:t>
      </w:r>
      <w:r w:rsidR="00771388">
        <w:rPr>
          <w:rFonts w:ascii="Times New Roman" w:hAnsi="Times New Roman"/>
          <w:sz w:val="24"/>
          <w:szCs w:val="24"/>
          <w:lang w:val="es-MX"/>
        </w:rPr>
        <w:lastRenderedPageBreak/>
        <w:t xml:space="preserve">si una de estas instituciones tambalea, todo el sistema lo hará y como se ha mencionado, una crisis afecta gravemente a toda la economía. </w:t>
      </w:r>
    </w:p>
    <w:p w:rsidR="0037294D" w:rsidRDefault="0037294D" w:rsidP="002B5E62">
      <w:pPr>
        <w:pStyle w:val="Prrafodelista"/>
        <w:numPr>
          <w:ilvl w:val="0"/>
          <w:numId w:val="31"/>
        </w:numPr>
        <w:spacing w:line="360" w:lineRule="auto"/>
        <w:jc w:val="both"/>
        <w:rPr>
          <w:rFonts w:ascii="Times New Roman" w:hAnsi="Times New Roman"/>
          <w:sz w:val="24"/>
          <w:szCs w:val="24"/>
          <w:lang w:val="es-MX"/>
        </w:rPr>
      </w:pPr>
      <w:r>
        <w:rPr>
          <w:rFonts w:ascii="Times New Roman" w:hAnsi="Times New Roman"/>
          <w:sz w:val="24"/>
          <w:szCs w:val="24"/>
          <w:lang w:val="es-MX"/>
        </w:rPr>
        <w:t>En el Ecuador, la concentración en los bancos más grandes y sólidos para el público de la mayoría de captaciones y colocaciones responde a la crisis de confianza en el sistema que se originó durante la crisis de 1998 y 1999. El público todavía recuerda los problemas suscitados dentro del sistema por lo que prefiere mantener y obtener recursos de las instituciones que consideran más fuertes –que sobrevivieron a la crisis- antes que a bancos de menor tamaño</w:t>
      </w:r>
      <w:r w:rsidR="004371D3">
        <w:rPr>
          <w:rFonts w:ascii="Times New Roman" w:hAnsi="Times New Roman"/>
          <w:sz w:val="24"/>
          <w:szCs w:val="24"/>
          <w:lang w:val="es-MX"/>
        </w:rPr>
        <w:t>,</w:t>
      </w:r>
      <w:r>
        <w:rPr>
          <w:rFonts w:ascii="Times New Roman" w:hAnsi="Times New Roman"/>
          <w:sz w:val="24"/>
          <w:szCs w:val="24"/>
          <w:lang w:val="es-MX"/>
        </w:rPr>
        <w:t xml:space="preserve"> o relativamente nuevos.  </w:t>
      </w:r>
    </w:p>
    <w:p w:rsidR="00B45676" w:rsidRPr="00B07754" w:rsidRDefault="00B45676"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Asimismo, el nivel de competencia de la economía ecuatoriana y su nivel de concentración, en ambos casos fuerte, es un claro indicio que en el sistema bancario se pueden generar economías de escala por parte de los bancos más grandes y con mayores recursos, por lo que la diferencia de tamaño de las firmas dentro del sistema bancario cobraría más relevancia. </w:t>
      </w:r>
    </w:p>
    <w:p w:rsidR="00B71784" w:rsidRPr="00B07754" w:rsidRDefault="00B45676"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 xml:space="preserve">Las economías de escala constituyen por sí solas una barrera de entrada en el mercado, puesto que los nuevos participantes que ingresarán al mercado serán únicamente aquellos cuya estructura de costos les permita competir con las economías de escala existentes en el mercado. </w:t>
      </w:r>
    </w:p>
    <w:p w:rsidR="00B45676" w:rsidRPr="00B07754" w:rsidRDefault="00B71784" w:rsidP="002B5E62">
      <w:pPr>
        <w:pStyle w:val="Prrafodelista"/>
        <w:numPr>
          <w:ilvl w:val="0"/>
          <w:numId w:val="31"/>
        </w:numPr>
        <w:spacing w:line="360" w:lineRule="auto"/>
        <w:jc w:val="both"/>
        <w:rPr>
          <w:rFonts w:ascii="Times New Roman" w:hAnsi="Times New Roman"/>
          <w:sz w:val="24"/>
          <w:szCs w:val="24"/>
          <w:lang w:val="es-MX"/>
        </w:rPr>
      </w:pPr>
      <w:r w:rsidRPr="00B07754">
        <w:rPr>
          <w:rFonts w:ascii="Times New Roman" w:hAnsi="Times New Roman"/>
          <w:sz w:val="24"/>
          <w:szCs w:val="24"/>
          <w:lang w:val="es-MX"/>
        </w:rPr>
        <w:t>E</w:t>
      </w:r>
      <w:r w:rsidR="00B45676" w:rsidRPr="00B07754">
        <w:rPr>
          <w:rFonts w:ascii="Times New Roman" w:hAnsi="Times New Roman"/>
          <w:sz w:val="24"/>
          <w:szCs w:val="24"/>
          <w:lang w:val="es-MX"/>
        </w:rPr>
        <w:t xml:space="preserve">ste estudio contradice la aseveración de las autoridades que indican que en el sector bancario existen estructuras monopólicas –se encontró que el nivel de competencia es fuerte- y por tanto debe ser regulado. Por el contrario, lo que está sucediendo en el sistema bancario es la presencia de economías de escala, muchas veces confundida con poder de mercado. En suma, las autoridades económicas deben considerar las economías de escalas presentes en este sector y su capacidad para actuar como barrera de entrada. En este sentido y dado el comportamiento que presenta el sistema bancario ecuatoriano, no es necesaria la regulación de la competencia a través de intervención estatal en el sector, puesto que las firmas que participan en él con su estructura de costos y estrategias producen barreras de entrada y de salida que permiten que el mercado regule y establezca el nivel de competencia adecuado que permita generar estabilidad. </w:t>
      </w:r>
    </w:p>
    <w:p w:rsidR="00124543" w:rsidRPr="00B07754" w:rsidRDefault="00124543" w:rsidP="002B5E62">
      <w:pPr>
        <w:spacing w:line="360" w:lineRule="auto"/>
        <w:jc w:val="both"/>
        <w:rPr>
          <w:rFonts w:ascii="Times New Roman" w:hAnsi="Times New Roman"/>
          <w:sz w:val="24"/>
          <w:szCs w:val="24"/>
          <w:lang w:val="es-MX"/>
        </w:rPr>
      </w:pPr>
    </w:p>
    <w:p w:rsidR="008A6D1D" w:rsidRPr="00B07754" w:rsidRDefault="008A6D1D" w:rsidP="002B5E62">
      <w:pPr>
        <w:spacing w:line="360" w:lineRule="auto"/>
        <w:jc w:val="both"/>
        <w:rPr>
          <w:rFonts w:ascii="Times New Roman" w:hAnsi="Times New Roman"/>
          <w:sz w:val="24"/>
          <w:szCs w:val="24"/>
          <w:lang w:val="es-MX"/>
        </w:rPr>
      </w:pPr>
    </w:p>
    <w:sdt>
      <w:sdtPr>
        <w:rPr>
          <w:rFonts w:ascii="Times New Roman" w:hAnsi="Times New Roman"/>
          <w:sz w:val="24"/>
          <w:szCs w:val="24"/>
          <w:lang w:val="es-ES"/>
        </w:rPr>
        <w:id w:val="2080477092"/>
        <w:docPartObj>
          <w:docPartGallery w:val="Bibliographies"/>
          <w:docPartUnique/>
        </w:docPartObj>
      </w:sdtPr>
      <w:sdtEndPr>
        <w:rPr>
          <w:lang w:val="es-EC"/>
        </w:rPr>
      </w:sdtEndPr>
      <w:sdtContent>
        <w:p w:rsidR="00124543" w:rsidRPr="000B3056" w:rsidRDefault="00124543" w:rsidP="002B5E62">
          <w:pPr>
            <w:spacing w:line="360" w:lineRule="auto"/>
          </w:pPr>
        </w:p>
        <w:p w:rsidR="00B07754" w:rsidRDefault="00B07754" w:rsidP="002B5E62">
          <w:pPr>
            <w:pStyle w:val="Ttulo1"/>
            <w:spacing w:before="0" w:after="200" w:line="360" w:lineRule="auto"/>
            <w:jc w:val="center"/>
            <w:rPr>
              <w:rFonts w:ascii="Times New Roman" w:hAnsi="Times New Roman"/>
              <w:color w:val="auto"/>
              <w:sz w:val="24"/>
              <w:szCs w:val="24"/>
              <w:lang w:val="es-ES"/>
            </w:rPr>
          </w:pPr>
          <w:bookmarkStart w:id="44" w:name="_Toc372589986"/>
        </w:p>
        <w:p w:rsidR="005555D9" w:rsidRPr="005555D9" w:rsidRDefault="005555D9" w:rsidP="002B5E62">
          <w:pPr>
            <w:spacing w:line="360" w:lineRule="auto"/>
            <w:rPr>
              <w:lang w:val="es-ES"/>
            </w:rPr>
          </w:pPr>
        </w:p>
        <w:p w:rsidR="00B07754" w:rsidRDefault="00B07754" w:rsidP="002B5E62">
          <w:pPr>
            <w:pStyle w:val="Ttulo1"/>
            <w:spacing w:before="0" w:after="200" w:line="360" w:lineRule="auto"/>
            <w:jc w:val="center"/>
            <w:rPr>
              <w:rFonts w:ascii="Times New Roman" w:hAnsi="Times New Roman"/>
              <w:color w:val="auto"/>
              <w:sz w:val="24"/>
              <w:szCs w:val="24"/>
              <w:lang w:val="es-ES"/>
            </w:rPr>
          </w:pPr>
        </w:p>
        <w:p w:rsidR="003E0F59" w:rsidRPr="00B07754" w:rsidRDefault="00124543" w:rsidP="002B5E62">
          <w:pPr>
            <w:pStyle w:val="Ttulo1"/>
            <w:spacing w:before="0" w:after="200" w:line="360" w:lineRule="auto"/>
            <w:jc w:val="center"/>
            <w:rPr>
              <w:rFonts w:ascii="Times New Roman" w:hAnsi="Times New Roman"/>
              <w:sz w:val="24"/>
              <w:szCs w:val="24"/>
            </w:rPr>
          </w:pPr>
          <w:r w:rsidRPr="00B07754">
            <w:rPr>
              <w:rFonts w:ascii="Times New Roman" w:hAnsi="Times New Roman"/>
              <w:color w:val="auto"/>
              <w:sz w:val="24"/>
              <w:szCs w:val="24"/>
              <w:lang w:val="es-ES"/>
            </w:rPr>
            <w:t>B</w:t>
          </w:r>
          <w:r w:rsidR="003E0F59" w:rsidRPr="00B07754">
            <w:rPr>
              <w:rFonts w:ascii="Times New Roman" w:hAnsi="Times New Roman"/>
              <w:color w:val="auto"/>
              <w:sz w:val="24"/>
              <w:szCs w:val="24"/>
              <w:lang w:val="es-ES"/>
            </w:rPr>
            <w:t>IBLIOGRAFÍA</w:t>
          </w:r>
          <w:bookmarkEnd w:id="44"/>
        </w:p>
        <w:sdt>
          <w:sdtPr>
            <w:rPr>
              <w:rFonts w:ascii="Times New Roman" w:hAnsi="Times New Roman"/>
              <w:sz w:val="24"/>
              <w:szCs w:val="24"/>
            </w:rPr>
            <w:id w:val="111145805"/>
            <w:bibliography/>
          </w:sdtPr>
          <w:sdtEndPr/>
          <w:sdtContent>
            <w:p w:rsidR="008A6D1D" w:rsidRPr="00B07754" w:rsidRDefault="003E0F59"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sz w:val="24"/>
                  <w:szCs w:val="24"/>
                </w:rPr>
                <w:fldChar w:fldCharType="begin"/>
              </w:r>
              <w:r w:rsidRPr="00B07754">
                <w:rPr>
                  <w:rFonts w:ascii="Times New Roman" w:hAnsi="Times New Roman"/>
                  <w:sz w:val="24"/>
                  <w:szCs w:val="24"/>
                </w:rPr>
                <w:instrText>BIBLIOGRAPHY</w:instrText>
              </w:r>
              <w:r w:rsidRPr="00B07754">
                <w:rPr>
                  <w:rFonts w:ascii="Times New Roman" w:hAnsi="Times New Roman"/>
                  <w:sz w:val="24"/>
                  <w:szCs w:val="24"/>
                </w:rPr>
                <w:fldChar w:fldCharType="separate"/>
              </w:r>
              <w:r w:rsidR="008A6D1D" w:rsidRPr="00B07754">
                <w:rPr>
                  <w:rFonts w:ascii="Times New Roman" w:hAnsi="Times New Roman"/>
                  <w:noProof/>
                  <w:sz w:val="24"/>
                  <w:szCs w:val="24"/>
                  <w:lang w:val="es-ES"/>
                </w:rPr>
                <w:t>(s.f.).</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Diario Hoy. (30 de Marzo de 1999). </w:t>
              </w:r>
              <w:r w:rsidRPr="00B07754">
                <w:rPr>
                  <w:rFonts w:ascii="Times New Roman" w:hAnsi="Times New Roman"/>
                  <w:i/>
                  <w:iCs/>
                  <w:noProof/>
                  <w:sz w:val="24"/>
                  <w:szCs w:val="24"/>
                  <w:lang w:val="es-ES"/>
                </w:rPr>
                <w:t>Créditos Vinculados la Ley los Permitió en un 100 por ciento</w:t>
              </w:r>
              <w:r w:rsidRPr="00B07754">
                <w:rPr>
                  <w:rFonts w:ascii="Times New Roman" w:hAnsi="Times New Roman"/>
                  <w:noProof/>
                  <w:sz w:val="24"/>
                  <w:szCs w:val="24"/>
                  <w:lang w:val="es-ES"/>
                </w:rPr>
                <w:t>.</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En mayo de 2011 el sistema financiero registró niveles de liquidez por USD 810.5 millones. (5 de Julio de 2011). </w:t>
              </w:r>
              <w:r w:rsidRPr="00B07754">
                <w:rPr>
                  <w:rFonts w:ascii="Times New Roman" w:hAnsi="Times New Roman"/>
                  <w:i/>
                  <w:iCs/>
                  <w:noProof/>
                  <w:sz w:val="24"/>
                  <w:szCs w:val="24"/>
                  <w:lang w:val="es-ES"/>
                </w:rPr>
                <w:t>El Mercurio</w:t>
              </w:r>
              <w:r w:rsidRPr="00B07754">
                <w:rPr>
                  <w:rFonts w:ascii="Times New Roman" w:hAnsi="Times New Roman"/>
                  <w:noProof/>
                  <w:sz w:val="24"/>
                  <w:szCs w:val="24"/>
                  <w:lang w:val="es-ES"/>
                </w:rPr>
                <w:t>.</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i/>
                  <w:iCs/>
                  <w:noProof/>
                  <w:sz w:val="24"/>
                  <w:szCs w:val="24"/>
                  <w:lang w:val="es-ES"/>
                </w:rPr>
                <w:t>Ley Orgánica de Regulación y Control del Poder de Mercado.</w:t>
              </w:r>
              <w:r w:rsidRPr="00B07754">
                <w:rPr>
                  <w:rFonts w:ascii="Times New Roman" w:hAnsi="Times New Roman"/>
                  <w:noProof/>
                  <w:sz w:val="24"/>
                  <w:szCs w:val="24"/>
                  <w:lang w:val="es-ES"/>
                </w:rPr>
                <w:t xml:space="preserve"> (2011). Quito: Corporación de Estudios y Publicaciones.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Abarán Pérez, P. (2010). </w:t>
              </w:r>
              <w:r w:rsidRPr="00B07754">
                <w:rPr>
                  <w:rFonts w:ascii="Times New Roman" w:hAnsi="Times New Roman"/>
                  <w:i/>
                  <w:iCs/>
                  <w:noProof/>
                  <w:sz w:val="24"/>
                  <w:szCs w:val="24"/>
                  <w:lang w:val="es-ES"/>
                </w:rPr>
                <w:t>Modelos para Datos de Panel.</w:t>
              </w:r>
              <w:r w:rsidRPr="00B07754">
                <w:rPr>
                  <w:rFonts w:ascii="Times New Roman" w:hAnsi="Times New Roman"/>
                  <w:noProof/>
                  <w:sz w:val="24"/>
                  <w:szCs w:val="24"/>
                  <w:lang w:val="es-ES"/>
                </w:rPr>
                <w:t xml:space="preserve"> Alicante : Universidad de Alicante.</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s-ES"/>
                </w:rPr>
                <w:t xml:space="preserve">Allen, F., &amp; Gale, D. (2003). </w:t>
              </w:r>
              <w:r w:rsidRPr="00B07754">
                <w:rPr>
                  <w:rFonts w:ascii="Times New Roman" w:hAnsi="Times New Roman"/>
                  <w:i/>
                  <w:iCs/>
                  <w:noProof/>
                  <w:sz w:val="24"/>
                  <w:szCs w:val="24"/>
                  <w:lang w:val="en-US"/>
                </w:rPr>
                <w:t>Competition and Financial Stability.</w:t>
              </w:r>
              <w:r w:rsidRPr="00B07754">
                <w:rPr>
                  <w:rFonts w:ascii="Times New Roman" w:hAnsi="Times New Roman"/>
                  <w:noProof/>
                  <w:sz w:val="24"/>
                  <w:szCs w:val="24"/>
                  <w:lang w:val="en-US"/>
                </w:rPr>
                <w:t xml:space="preserve"> Cleveland: World Bank and Federal Reserve Bank of Cleveland.</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Alonso Borrego, C., &amp; Sánchez Mangas, R. (s.f.). </w:t>
              </w:r>
              <w:r w:rsidRPr="00B07754">
                <w:rPr>
                  <w:rFonts w:ascii="Times New Roman" w:hAnsi="Times New Roman"/>
                  <w:i/>
                  <w:iCs/>
                  <w:noProof/>
                  <w:sz w:val="24"/>
                  <w:szCs w:val="24"/>
                  <w:lang w:val="es-ES"/>
                </w:rPr>
                <w:t>STATA Guía de Utilización.</w:t>
              </w:r>
              <w:r w:rsidRPr="00B07754">
                <w:rPr>
                  <w:rFonts w:ascii="Times New Roman" w:hAnsi="Times New Roman"/>
                  <w:noProof/>
                  <w:sz w:val="24"/>
                  <w:szCs w:val="24"/>
                  <w:lang w:val="es-ES"/>
                </w:rPr>
                <w:t xml:space="preserve"> Madrid: Universidad Carlos III de Madrid.</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Amieva Huerta, J., &amp; Urriza González, B. (2000). </w:t>
              </w:r>
              <w:r w:rsidRPr="00B07754">
                <w:rPr>
                  <w:rFonts w:ascii="Times New Roman" w:hAnsi="Times New Roman"/>
                  <w:i/>
                  <w:iCs/>
                  <w:noProof/>
                  <w:sz w:val="24"/>
                  <w:szCs w:val="24"/>
                  <w:lang w:val="es-ES"/>
                </w:rPr>
                <w:t>Crisis Bancarias: Causas, Costos, Duración, Efectos y Opciones de Política.</w:t>
              </w:r>
              <w:r w:rsidRPr="00B07754">
                <w:rPr>
                  <w:rFonts w:ascii="Times New Roman" w:hAnsi="Times New Roman"/>
                  <w:noProof/>
                  <w:sz w:val="24"/>
                  <w:szCs w:val="24"/>
                  <w:lang w:val="es-ES"/>
                </w:rPr>
                <w:t xml:space="preserve"> Santiago de Chile: División de Desarrollo Económico CEPAL.</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Beckerman, P. (2003). Orígenes de la Crisis "Predolarización". En P. Beckerman, &amp; A. Solimano, </w:t>
              </w:r>
              <w:r w:rsidRPr="00B07754">
                <w:rPr>
                  <w:rFonts w:ascii="Times New Roman" w:hAnsi="Times New Roman"/>
                  <w:i/>
                  <w:iCs/>
                  <w:noProof/>
                  <w:sz w:val="24"/>
                  <w:szCs w:val="24"/>
                  <w:lang w:val="es-ES"/>
                </w:rPr>
                <w:t>Crisis y Dolarización en el Ecuador</w:t>
              </w:r>
              <w:r w:rsidRPr="00B07754">
                <w:rPr>
                  <w:rFonts w:ascii="Times New Roman" w:hAnsi="Times New Roman"/>
                  <w:noProof/>
                  <w:sz w:val="24"/>
                  <w:szCs w:val="24"/>
                  <w:lang w:val="es-ES"/>
                </w:rPr>
                <w:t xml:space="preserve"> (págs. 35-97). Washington D.C: Banco Mundial.</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Brito, P. (2000). </w:t>
              </w:r>
              <w:r w:rsidRPr="00B07754">
                <w:rPr>
                  <w:rFonts w:ascii="Times New Roman" w:hAnsi="Times New Roman"/>
                  <w:i/>
                  <w:iCs/>
                  <w:noProof/>
                  <w:sz w:val="24"/>
                  <w:szCs w:val="24"/>
                  <w:lang w:val="es-ES"/>
                </w:rPr>
                <w:t>Pánicos Bancarios, Suspensión de Convertibilidad y Garantía de Depósitos. Una Revisión General.</w:t>
              </w:r>
              <w:r w:rsidRPr="00B07754">
                <w:rPr>
                  <w:rFonts w:ascii="Times New Roman" w:hAnsi="Times New Roman"/>
                  <w:noProof/>
                  <w:sz w:val="24"/>
                  <w:szCs w:val="24"/>
                  <w:lang w:val="es-ES"/>
                </w:rPr>
                <w:t xml:space="preserve"> Quito: Apuntes de Economía, Banco Central del Ecuador.</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lastRenderedPageBreak/>
                <w:t xml:space="preserve">Burbano Robalino, S. (2003). </w:t>
              </w:r>
              <w:r w:rsidRPr="00B07754">
                <w:rPr>
                  <w:rFonts w:ascii="Times New Roman" w:hAnsi="Times New Roman"/>
                  <w:i/>
                  <w:iCs/>
                  <w:noProof/>
                  <w:sz w:val="24"/>
                  <w:szCs w:val="24"/>
                  <w:lang w:val="es-ES"/>
                </w:rPr>
                <w:t>Disertación de Grado: La Dolarización y su Impacto en el Margen Financiero del Sistema Bancario Ecuatoriano en el periodo 1998 - 2002.</w:t>
              </w:r>
              <w:r w:rsidRPr="00B07754">
                <w:rPr>
                  <w:rFonts w:ascii="Times New Roman" w:hAnsi="Times New Roman"/>
                  <w:noProof/>
                  <w:sz w:val="24"/>
                  <w:szCs w:val="24"/>
                  <w:lang w:val="es-ES"/>
                </w:rPr>
                <w:t xml:space="preserve"> Quito: Facultad de Economía, Pontificia Universidad Católica del Ecuador.</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Calle Ramírez, D., Morocho Matute , D., &amp; Vázconoz Argudo , D. (2007). </w:t>
              </w:r>
              <w:r w:rsidRPr="00B07754">
                <w:rPr>
                  <w:rFonts w:ascii="Times New Roman" w:hAnsi="Times New Roman"/>
                  <w:i/>
                  <w:iCs/>
                  <w:noProof/>
                  <w:sz w:val="24"/>
                  <w:szCs w:val="24"/>
                  <w:lang w:val="es-ES"/>
                </w:rPr>
                <w:t>Enfoque del riesgo en el Sistema Bancario Ecuatoriano.</w:t>
              </w:r>
              <w:r w:rsidRPr="00B07754">
                <w:rPr>
                  <w:rFonts w:ascii="Times New Roman" w:hAnsi="Times New Roman"/>
                  <w:noProof/>
                  <w:sz w:val="24"/>
                  <w:szCs w:val="24"/>
                  <w:lang w:val="es-ES"/>
                </w:rPr>
                <w:t xml:space="preserve"> Quito: Universidad Politécnica Salesiana del Ecuador.</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Cámara de Comercio de Guayaquil. (2012). Banca Privada, Crédito y Crecimiento Eonómico: Restricciones al Financiamiento del Sectro Productivo. </w:t>
              </w:r>
              <w:r w:rsidRPr="00B07754">
                <w:rPr>
                  <w:rFonts w:ascii="Times New Roman" w:hAnsi="Times New Roman"/>
                  <w:i/>
                  <w:iCs/>
                  <w:noProof/>
                  <w:sz w:val="24"/>
                  <w:szCs w:val="24"/>
                  <w:lang w:val="es-ES"/>
                </w:rPr>
                <w:t>Boletín Económico</w:t>
              </w:r>
              <w:r w:rsidRPr="00B07754">
                <w:rPr>
                  <w:rFonts w:ascii="Times New Roman" w:hAnsi="Times New Roman"/>
                  <w:noProof/>
                  <w:sz w:val="24"/>
                  <w:szCs w:val="24"/>
                  <w:lang w:val="es-ES"/>
                </w:rPr>
                <w:t>, 1-3.</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s-ES"/>
                </w:rPr>
                <w:t xml:space="preserve">Cameron, C., &amp; Trivedi, P. (s.f.). </w:t>
              </w:r>
              <w:r w:rsidRPr="00B07754">
                <w:rPr>
                  <w:rFonts w:ascii="Times New Roman" w:hAnsi="Times New Roman"/>
                  <w:i/>
                  <w:iCs/>
                  <w:noProof/>
                  <w:sz w:val="24"/>
                  <w:szCs w:val="24"/>
                  <w:lang w:val="es-ES"/>
                </w:rPr>
                <w:t>Microeconometrics using Stata.</w:t>
              </w:r>
              <w:r w:rsidRPr="00B07754">
                <w:rPr>
                  <w:rFonts w:ascii="Times New Roman" w:hAnsi="Times New Roman"/>
                  <w:noProof/>
                  <w:sz w:val="24"/>
                  <w:szCs w:val="24"/>
                  <w:lang w:val="es-ES"/>
                </w:rPr>
                <w:t xml:space="preserve"> </w:t>
              </w:r>
              <w:r w:rsidRPr="00B07754">
                <w:rPr>
                  <w:rFonts w:ascii="Times New Roman" w:hAnsi="Times New Roman"/>
                  <w:noProof/>
                  <w:sz w:val="24"/>
                  <w:szCs w:val="24"/>
                  <w:lang w:val="en-US"/>
                </w:rPr>
                <w:t>College Station: StataCorp LP.</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Canoy, M., van Dijik, M., Lemmen, J., de Moolj, R., &amp; Welgan , J. (2001). </w:t>
              </w:r>
              <w:r w:rsidRPr="00B07754">
                <w:rPr>
                  <w:rFonts w:ascii="Times New Roman" w:hAnsi="Times New Roman"/>
                  <w:i/>
                  <w:iCs/>
                  <w:noProof/>
                  <w:sz w:val="24"/>
                  <w:szCs w:val="24"/>
                  <w:lang w:val="en-US"/>
                </w:rPr>
                <w:t>Competition and Stability in Banking.</w:t>
              </w:r>
              <w:r w:rsidRPr="00B07754">
                <w:rPr>
                  <w:rFonts w:ascii="Times New Roman" w:hAnsi="Times New Roman"/>
                  <w:noProof/>
                  <w:sz w:val="24"/>
                  <w:szCs w:val="24"/>
                  <w:lang w:val="en-US"/>
                </w:rPr>
                <w:t xml:space="preserve"> La Haya: CPB Netherlands Bureau for Economic Policy Analysis.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Carletti, E., &amp; Hartmann, P. (2002). </w:t>
              </w:r>
              <w:r w:rsidRPr="00B07754">
                <w:rPr>
                  <w:rFonts w:ascii="Times New Roman" w:hAnsi="Times New Roman"/>
                  <w:i/>
                  <w:iCs/>
                  <w:noProof/>
                  <w:sz w:val="24"/>
                  <w:szCs w:val="24"/>
                  <w:lang w:val="en-US"/>
                </w:rPr>
                <w:t>Competition and Stability: Whats Special about Banking?</w:t>
              </w:r>
              <w:r w:rsidRPr="00B07754">
                <w:rPr>
                  <w:rFonts w:ascii="Times New Roman" w:hAnsi="Times New Roman"/>
                  <w:noProof/>
                  <w:sz w:val="24"/>
                  <w:szCs w:val="24"/>
                  <w:lang w:val="en-US"/>
                </w:rPr>
                <w:t xml:space="preserve"> Frankfurt: European Central Bank.</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Carlson, M., &amp; Mitchener, K. (2005). </w:t>
              </w:r>
              <w:r w:rsidRPr="00B07754">
                <w:rPr>
                  <w:rFonts w:ascii="Times New Roman" w:hAnsi="Times New Roman"/>
                  <w:i/>
                  <w:iCs/>
                  <w:noProof/>
                  <w:sz w:val="24"/>
                  <w:szCs w:val="24"/>
                  <w:lang w:val="en-US"/>
                </w:rPr>
                <w:t>Branch Banking, Bank Competition, and Financial Stability.</w:t>
              </w:r>
              <w:r w:rsidRPr="00B07754">
                <w:rPr>
                  <w:rFonts w:ascii="Times New Roman" w:hAnsi="Times New Roman"/>
                  <w:noProof/>
                  <w:sz w:val="24"/>
                  <w:szCs w:val="24"/>
                  <w:lang w:val="en-US"/>
                </w:rPr>
                <w:t xml:space="preserve"> Massachusetts: National Bureau of Economic Research.</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t xml:space="preserve">Cobacho Tornel, M., &amp; Bosch Mossi, M. (s.f.). </w:t>
              </w:r>
              <w:r w:rsidRPr="00B07754">
                <w:rPr>
                  <w:rFonts w:ascii="Times New Roman" w:hAnsi="Times New Roman"/>
                  <w:i/>
                  <w:iCs/>
                  <w:noProof/>
                  <w:sz w:val="24"/>
                  <w:szCs w:val="24"/>
                  <w:lang w:val="es-ES"/>
                </w:rPr>
                <w:t>Contrastes de Hipótesis en Datos de Panel.</w:t>
              </w:r>
              <w:r w:rsidRPr="00B07754">
                <w:rPr>
                  <w:rFonts w:ascii="Times New Roman" w:hAnsi="Times New Roman"/>
                  <w:noProof/>
                  <w:sz w:val="24"/>
                  <w:szCs w:val="24"/>
                  <w:lang w:val="es-ES"/>
                </w:rPr>
                <w:t xml:space="preserve"> XIII Jornadas de ASEPUMa.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i/>
                  <w:iCs/>
                  <w:noProof/>
                  <w:sz w:val="24"/>
                  <w:szCs w:val="24"/>
                  <w:lang w:val="es-ES"/>
                </w:rPr>
                <w:t>Comisión Nacional de la Competencia: Glosario</w:t>
              </w:r>
              <w:r w:rsidRPr="00B07754">
                <w:rPr>
                  <w:rFonts w:ascii="Times New Roman" w:hAnsi="Times New Roman"/>
                  <w:noProof/>
                  <w:sz w:val="24"/>
                  <w:szCs w:val="24"/>
                  <w:lang w:val="es-ES"/>
                </w:rPr>
                <w:t>. (s.f.). Recuperado el 06 de Junio de 2013, de Glosario: http://www.cncompetencia.es/Inicio/FAQ/Glosario/tabid/101/Default.aspx?item=169</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Crockett, A. (1997). Why is financial stability a goal of public policy? </w:t>
              </w:r>
              <w:r w:rsidRPr="00B07754">
                <w:rPr>
                  <w:rFonts w:ascii="Times New Roman" w:hAnsi="Times New Roman"/>
                  <w:i/>
                  <w:iCs/>
                  <w:noProof/>
                  <w:sz w:val="24"/>
                  <w:szCs w:val="24"/>
                  <w:lang w:val="en-US"/>
                </w:rPr>
                <w:t>Proceedings by the Federal Reserve Bank of Kansas City</w:t>
              </w:r>
              <w:r w:rsidRPr="00B07754">
                <w:rPr>
                  <w:rFonts w:ascii="Times New Roman" w:hAnsi="Times New Roman"/>
                  <w:noProof/>
                  <w:sz w:val="24"/>
                  <w:szCs w:val="24"/>
                  <w:lang w:val="en-US"/>
                </w:rPr>
                <w:t>, 7-36.</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t xml:space="preserve">Delgado, D. (2010). </w:t>
              </w:r>
              <w:r w:rsidRPr="00B07754">
                <w:rPr>
                  <w:rFonts w:ascii="Times New Roman" w:hAnsi="Times New Roman"/>
                  <w:i/>
                  <w:iCs/>
                  <w:noProof/>
                  <w:sz w:val="24"/>
                  <w:szCs w:val="24"/>
                  <w:lang w:val="es-ES"/>
                </w:rPr>
                <w:t>Informe Sectorial Ecuador: Sistema Bancario.</w:t>
              </w:r>
              <w:r w:rsidRPr="00B07754">
                <w:rPr>
                  <w:rFonts w:ascii="Times New Roman" w:hAnsi="Times New Roman"/>
                  <w:noProof/>
                  <w:sz w:val="24"/>
                  <w:szCs w:val="24"/>
                  <w:lang w:val="es-ES"/>
                </w:rPr>
                <w:t xml:space="preserve"> Quito: Pacific Credit Rating.</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lastRenderedPageBreak/>
                <w:t xml:space="preserve">Departamento de Justicia de los Estados Unidos. </w:t>
              </w:r>
              <w:r w:rsidRPr="00B07754">
                <w:rPr>
                  <w:rFonts w:ascii="Times New Roman" w:hAnsi="Times New Roman"/>
                  <w:noProof/>
                  <w:sz w:val="24"/>
                  <w:szCs w:val="24"/>
                  <w:lang w:val="en-US"/>
                </w:rPr>
                <w:t xml:space="preserve">(s.f.). </w:t>
              </w:r>
              <w:r w:rsidRPr="00B07754">
                <w:rPr>
                  <w:rFonts w:ascii="Times New Roman" w:hAnsi="Times New Roman"/>
                  <w:i/>
                  <w:iCs/>
                  <w:noProof/>
                  <w:sz w:val="24"/>
                  <w:szCs w:val="24"/>
                  <w:lang w:val="en-US"/>
                </w:rPr>
                <w:t>Unites States Department of Justice</w:t>
              </w:r>
              <w:r w:rsidRPr="00B07754">
                <w:rPr>
                  <w:rFonts w:ascii="Times New Roman" w:hAnsi="Times New Roman"/>
                  <w:noProof/>
                  <w:sz w:val="24"/>
                  <w:szCs w:val="24"/>
                  <w:lang w:val="en-US"/>
                </w:rPr>
                <w:t xml:space="preserve">. </w:t>
              </w:r>
              <w:r w:rsidRPr="00B07754">
                <w:rPr>
                  <w:rFonts w:ascii="Times New Roman" w:hAnsi="Times New Roman"/>
                  <w:noProof/>
                  <w:sz w:val="24"/>
                  <w:szCs w:val="24"/>
                  <w:lang w:val="es-ES"/>
                </w:rPr>
                <w:t>Recuperado el 08 de Octubre de 2013, de Merger Enforcement: Herfindahl-Hirschmann: http://www.justice.gov/atr/public/guidelines/hhi.html</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t xml:space="preserve">Drukker, D. (2003). Testing for Serial Correlation in Linear Panel-Data Models. </w:t>
              </w:r>
              <w:r w:rsidRPr="00B07754">
                <w:rPr>
                  <w:rFonts w:ascii="Times New Roman" w:hAnsi="Times New Roman"/>
                  <w:i/>
                  <w:iCs/>
                  <w:noProof/>
                  <w:sz w:val="24"/>
                  <w:szCs w:val="24"/>
                  <w:lang w:val="es-ES"/>
                </w:rPr>
                <w:t>The Stata Journal</w:t>
              </w:r>
              <w:r w:rsidRPr="00B07754">
                <w:rPr>
                  <w:rFonts w:ascii="Times New Roman" w:hAnsi="Times New Roman"/>
                  <w:noProof/>
                  <w:sz w:val="24"/>
                  <w:szCs w:val="24"/>
                  <w:lang w:val="es-ES"/>
                </w:rPr>
                <w:t>, 168-177.</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Durán Víquez, R., Quirós Solano, J., &amp; Rojas Sánchez, M. (2009). </w:t>
              </w:r>
              <w:r w:rsidRPr="00B07754">
                <w:rPr>
                  <w:rFonts w:ascii="Times New Roman" w:hAnsi="Times New Roman"/>
                  <w:i/>
                  <w:iCs/>
                  <w:noProof/>
                  <w:sz w:val="24"/>
                  <w:szCs w:val="24"/>
                  <w:lang w:val="es-ES"/>
                </w:rPr>
                <w:t>Análisis de la Competitividad del Sistema Finanicero Costarricense.</w:t>
              </w:r>
              <w:r w:rsidRPr="00B07754">
                <w:rPr>
                  <w:rFonts w:ascii="Times New Roman" w:hAnsi="Times New Roman"/>
                  <w:noProof/>
                  <w:sz w:val="24"/>
                  <w:szCs w:val="24"/>
                  <w:lang w:val="es-ES"/>
                </w:rPr>
                <w:t xml:space="preserve"> San José: Banco Central de Costa Rica.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t xml:space="preserve">Emery, D., Finnerty , J., &amp; Stowe, J. (s.f.). </w:t>
              </w:r>
              <w:r w:rsidRPr="00B07754">
                <w:rPr>
                  <w:rFonts w:ascii="Times New Roman" w:hAnsi="Times New Roman"/>
                  <w:i/>
                  <w:iCs/>
                  <w:noProof/>
                  <w:sz w:val="24"/>
                  <w:szCs w:val="24"/>
                  <w:lang w:val="es-ES"/>
                </w:rPr>
                <w:t>Fundamentos de la Administración Financiera.</w:t>
              </w:r>
              <w:r w:rsidRPr="00B07754">
                <w:rPr>
                  <w:rFonts w:ascii="Times New Roman" w:hAnsi="Times New Roman"/>
                  <w:noProof/>
                  <w:sz w:val="24"/>
                  <w:szCs w:val="24"/>
                  <w:lang w:val="es-ES"/>
                </w:rPr>
                <w:t xml:space="preserve"> México: Pearson Educación.</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i/>
                  <w:iCs/>
                  <w:noProof/>
                  <w:sz w:val="24"/>
                  <w:szCs w:val="24"/>
                  <w:lang w:val="es-ES"/>
                </w:rPr>
                <w:t>Financial Times Lexicon</w:t>
              </w:r>
              <w:r w:rsidRPr="00B07754">
                <w:rPr>
                  <w:rFonts w:ascii="Times New Roman" w:hAnsi="Times New Roman"/>
                  <w:noProof/>
                  <w:sz w:val="24"/>
                  <w:szCs w:val="24"/>
                  <w:lang w:val="es-ES"/>
                </w:rPr>
                <w:t>. (s.f.). Recuperado el 22 de Mayo de 2013, de Risk Shifting Effect: http://lexicon.ft.com/Term?term=risk-shifting</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i/>
                  <w:iCs/>
                  <w:noProof/>
                  <w:sz w:val="24"/>
                  <w:szCs w:val="24"/>
                  <w:lang w:val="es-ES"/>
                </w:rPr>
                <w:t>Financial Times Lexicon</w:t>
              </w:r>
              <w:r w:rsidRPr="00B07754">
                <w:rPr>
                  <w:rFonts w:ascii="Times New Roman" w:hAnsi="Times New Roman"/>
                  <w:noProof/>
                  <w:sz w:val="24"/>
                  <w:szCs w:val="24"/>
                  <w:lang w:val="es-ES"/>
                </w:rPr>
                <w:t>. (s.f.). Recuperado el 10 de Junio de 2013, de http://lexicon.ft.com/Term?term=moral-hazard</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Flood, M. (1991). An Introduction to Complete Markets. </w:t>
              </w:r>
              <w:r w:rsidRPr="00B07754">
                <w:rPr>
                  <w:rFonts w:ascii="Times New Roman" w:hAnsi="Times New Roman"/>
                  <w:i/>
                  <w:iCs/>
                  <w:noProof/>
                  <w:sz w:val="24"/>
                  <w:szCs w:val="24"/>
                  <w:lang w:val="en-US"/>
                </w:rPr>
                <w:t>Federal Reserve of St. Louis</w:t>
              </w:r>
              <w:r w:rsidRPr="00B07754">
                <w:rPr>
                  <w:rFonts w:ascii="Times New Roman" w:hAnsi="Times New Roman"/>
                  <w:noProof/>
                  <w:sz w:val="24"/>
                  <w:szCs w:val="24"/>
                  <w:lang w:val="en-US"/>
                </w:rPr>
                <w:t>, 32-57.</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Frame, W. S., Miller, N. H., &amp; Berger, A. N. (2002). </w:t>
              </w:r>
              <w:r w:rsidRPr="00B07754">
                <w:rPr>
                  <w:rFonts w:ascii="Times New Roman" w:hAnsi="Times New Roman"/>
                  <w:i/>
                  <w:iCs/>
                  <w:noProof/>
                  <w:sz w:val="24"/>
                  <w:szCs w:val="24"/>
                  <w:lang w:val="en-US"/>
                </w:rPr>
                <w:t>Credit Scoring and the Availability, Price, and Risk of Small Business Credit.</w:t>
              </w:r>
              <w:r w:rsidRPr="00B07754">
                <w:rPr>
                  <w:rFonts w:ascii="Times New Roman" w:hAnsi="Times New Roman"/>
                  <w:noProof/>
                  <w:sz w:val="24"/>
                  <w:szCs w:val="24"/>
                  <w:lang w:val="en-US"/>
                </w:rPr>
                <w:t xml:space="preserve"> Atlanta: Federal Reserve Bank of Atlanta.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Freixas, X., &amp; Rochet, J.-C. (1997). </w:t>
              </w:r>
              <w:r w:rsidRPr="00B07754">
                <w:rPr>
                  <w:rFonts w:ascii="Times New Roman" w:hAnsi="Times New Roman"/>
                  <w:i/>
                  <w:iCs/>
                  <w:noProof/>
                  <w:sz w:val="24"/>
                  <w:szCs w:val="24"/>
                  <w:lang w:val="en-US"/>
                </w:rPr>
                <w:t>Microeconomics of Banking.</w:t>
              </w:r>
              <w:r w:rsidRPr="00B07754">
                <w:rPr>
                  <w:rFonts w:ascii="Times New Roman" w:hAnsi="Times New Roman"/>
                  <w:noProof/>
                  <w:sz w:val="24"/>
                  <w:szCs w:val="24"/>
                  <w:lang w:val="en-US"/>
                </w:rPr>
                <w:t xml:space="preserve"> Cambridge: MIT Press.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Granados Montero, R. (2005). </w:t>
              </w:r>
              <w:r w:rsidRPr="00B07754">
                <w:rPr>
                  <w:rFonts w:ascii="Times New Roman" w:hAnsi="Times New Roman"/>
                  <w:i/>
                  <w:iCs/>
                  <w:noProof/>
                  <w:sz w:val="24"/>
                  <w:szCs w:val="24"/>
                  <w:lang w:val="es-ES"/>
                </w:rPr>
                <w:t>Test de Hausman.</w:t>
              </w:r>
              <w:r w:rsidRPr="00B07754">
                <w:rPr>
                  <w:rFonts w:ascii="Times New Roman" w:hAnsi="Times New Roman"/>
                  <w:noProof/>
                  <w:sz w:val="24"/>
                  <w:szCs w:val="24"/>
                  <w:lang w:val="es-ES"/>
                </w:rPr>
                <w:t xml:space="preserve"> Granada: Universidad de Granada, España.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Guerrien, B. (s.f.). </w:t>
              </w:r>
              <w:r w:rsidRPr="00B07754">
                <w:rPr>
                  <w:rFonts w:ascii="Times New Roman" w:hAnsi="Times New Roman"/>
                  <w:i/>
                  <w:iCs/>
                  <w:noProof/>
                  <w:sz w:val="24"/>
                  <w:szCs w:val="24"/>
                  <w:lang w:val="es-ES"/>
                </w:rPr>
                <w:t>edumed.net.</w:t>
              </w:r>
              <w:r w:rsidRPr="00B07754">
                <w:rPr>
                  <w:rFonts w:ascii="Times New Roman" w:hAnsi="Times New Roman"/>
                  <w:noProof/>
                  <w:sz w:val="24"/>
                  <w:szCs w:val="24"/>
                  <w:lang w:val="es-ES"/>
                </w:rPr>
                <w:t xml:space="preserve"> Recuperado el 2 de Mayo de 2013, de La Microeconomía: El Equilibrio de Nash: http://www.eumed.net/cursecon/libreria/bg-micro/5b.htm</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La Gran Enciclopedia de Economía. (s.f.). </w:t>
              </w:r>
              <w:r w:rsidRPr="00B07754">
                <w:rPr>
                  <w:rFonts w:ascii="Times New Roman" w:hAnsi="Times New Roman"/>
                  <w:i/>
                  <w:iCs/>
                  <w:noProof/>
                  <w:sz w:val="24"/>
                  <w:szCs w:val="24"/>
                  <w:lang w:val="es-ES"/>
                </w:rPr>
                <w:t>Glosario</w:t>
              </w:r>
              <w:r w:rsidRPr="00B07754">
                <w:rPr>
                  <w:rFonts w:ascii="Times New Roman" w:hAnsi="Times New Roman"/>
                  <w:noProof/>
                  <w:sz w:val="24"/>
                  <w:szCs w:val="24"/>
                  <w:lang w:val="es-ES"/>
                </w:rPr>
                <w:t>. Recuperado el 13 de Octubre de 2013, de http://www.economia48.com/spa/d/estatica-comparativa/estatica-comparativa.htm</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López Olivares, S., &amp; Villamar David. (2003). La Situación del Sistema Financiero. </w:t>
              </w:r>
              <w:r w:rsidRPr="00B07754">
                <w:rPr>
                  <w:rFonts w:ascii="Times New Roman" w:hAnsi="Times New Roman"/>
                  <w:i/>
                  <w:iCs/>
                  <w:noProof/>
                  <w:sz w:val="24"/>
                  <w:szCs w:val="24"/>
                  <w:lang w:val="es-ES"/>
                </w:rPr>
                <w:t>Análisis Coyuntura Económica 2002</w:t>
              </w:r>
              <w:r w:rsidRPr="00B07754">
                <w:rPr>
                  <w:rFonts w:ascii="Times New Roman" w:hAnsi="Times New Roman"/>
                  <w:noProof/>
                  <w:sz w:val="24"/>
                  <w:szCs w:val="24"/>
                  <w:lang w:val="es-ES"/>
                </w:rPr>
                <w:t>, 21-26.</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lastRenderedPageBreak/>
                <w:t xml:space="preserve">Marchán, C. (2005). </w:t>
              </w:r>
              <w:r w:rsidRPr="00B07754">
                <w:rPr>
                  <w:rFonts w:ascii="Times New Roman" w:hAnsi="Times New Roman"/>
                  <w:i/>
                  <w:iCs/>
                  <w:noProof/>
                  <w:sz w:val="24"/>
                  <w:szCs w:val="24"/>
                  <w:lang w:val="es-ES"/>
                </w:rPr>
                <w:t>La Banca Central en el Entorno de la Crisis Financiera del Ecuador.</w:t>
              </w:r>
              <w:r w:rsidRPr="00B07754">
                <w:rPr>
                  <w:rFonts w:ascii="Times New Roman" w:hAnsi="Times New Roman"/>
                  <w:noProof/>
                  <w:sz w:val="24"/>
                  <w:szCs w:val="24"/>
                  <w:lang w:val="es-ES"/>
                </w:rPr>
                <w:t xml:space="preserve"> Quito: Banco Central del Ecuador.</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s-ES"/>
                </w:rPr>
                <w:t xml:space="preserve">Margolis, S., &amp; Liebowitz, S. (s.f.). </w:t>
              </w:r>
              <w:r w:rsidRPr="00B07754">
                <w:rPr>
                  <w:rFonts w:ascii="Times New Roman" w:hAnsi="Times New Roman"/>
                  <w:i/>
                  <w:iCs/>
                  <w:noProof/>
                  <w:sz w:val="24"/>
                  <w:szCs w:val="24"/>
                  <w:lang w:val="en-US"/>
                </w:rPr>
                <w:t>Network Externalities (Effects).</w:t>
              </w:r>
              <w:r w:rsidRPr="00B07754">
                <w:rPr>
                  <w:rFonts w:ascii="Times New Roman" w:hAnsi="Times New Roman"/>
                  <w:noProof/>
                  <w:sz w:val="24"/>
                  <w:szCs w:val="24"/>
                  <w:lang w:val="en-US"/>
                </w:rPr>
                <w:t xml:space="preserve"> Recuperado el 10 de Junio de 2013, de The University of Texas at Dallas: http://www.utdallas.edu/~liebowit/palgrave/network.html</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Martínez-Miera, D., &amp; Repullo , R. (2008). </w:t>
              </w:r>
              <w:r w:rsidRPr="00B07754">
                <w:rPr>
                  <w:rFonts w:ascii="Times New Roman" w:hAnsi="Times New Roman"/>
                  <w:i/>
                  <w:iCs/>
                  <w:noProof/>
                  <w:sz w:val="24"/>
                  <w:szCs w:val="24"/>
                  <w:lang w:val="en-US"/>
                </w:rPr>
                <w:t>Does Competition Reduce The Risk of Bank Failure?</w:t>
              </w:r>
              <w:r w:rsidRPr="00B07754">
                <w:rPr>
                  <w:rFonts w:ascii="Times New Roman" w:hAnsi="Times New Roman"/>
                  <w:noProof/>
                  <w:sz w:val="24"/>
                  <w:szCs w:val="24"/>
                  <w:lang w:val="en-US"/>
                </w:rPr>
                <w:t xml:space="preserve"> </w:t>
              </w:r>
              <w:r w:rsidRPr="00B07754">
                <w:rPr>
                  <w:rFonts w:ascii="Times New Roman" w:hAnsi="Times New Roman"/>
                  <w:noProof/>
                  <w:sz w:val="24"/>
                  <w:szCs w:val="24"/>
                  <w:lang w:val="es-ES"/>
                </w:rPr>
                <w:t>Madrid: Centro de Estudios Monetarios y Financieros.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Martínez-Miera, D., &amp; Repullo, R. (2008). </w:t>
              </w:r>
              <w:r w:rsidRPr="00B07754">
                <w:rPr>
                  <w:rFonts w:ascii="Times New Roman" w:hAnsi="Times New Roman"/>
                  <w:i/>
                  <w:iCs/>
                  <w:noProof/>
                  <w:sz w:val="24"/>
                  <w:szCs w:val="24"/>
                  <w:lang w:val="en-US"/>
                </w:rPr>
                <w:t>Does Competition Reduce the Risk of Failure.</w:t>
              </w:r>
              <w:r w:rsidRPr="00B07754">
                <w:rPr>
                  <w:rFonts w:ascii="Times New Roman" w:hAnsi="Times New Roman"/>
                  <w:noProof/>
                  <w:sz w:val="24"/>
                  <w:szCs w:val="24"/>
                  <w:lang w:val="en-US"/>
                </w:rPr>
                <w:t xml:space="preserve"> </w:t>
              </w:r>
              <w:r w:rsidRPr="00B07754">
                <w:rPr>
                  <w:rFonts w:ascii="Times New Roman" w:hAnsi="Times New Roman"/>
                  <w:noProof/>
                  <w:sz w:val="24"/>
                  <w:szCs w:val="24"/>
                  <w:lang w:val="es-ES"/>
                </w:rPr>
                <w:t>Madrid: CEMFI Working Paper No. 0801.</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Mejía, C. (2001). Tendencias en el Marco de la Regulación Prudencial para las Instituciones Financieras. </w:t>
              </w:r>
              <w:r w:rsidRPr="00B07754">
                <w:rPr>
                  <w:rFonts w:ascii="Times New Roman" w:hAnsi="Times New Roman"/>
                  <w:i/>
                  <w:iCs/>
                  <w:noProof/>
                  <w:sz w:val="24"/>
                  <w:szCs w:val="24"/>
                  <w:lang w:val="es-ES"/>
                </w:rPr>
                <w:t>Documentos Planning</w:t>
              </w:r>
              <w:r w:rsidRPr="00B07754">
                <w:rPr>
                  <w:rFonts w:ascii="Times New Roman" w:hAnsi="Times New Roman"/>
                  <w:noProof/>
                  <w:sz w:val="24"/>
                  <w:szCs w:val="24"/>
                  <w:lang w:val="es-ES"/>
                </w:rPr>
                <w:t>.</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Mesino, L. (2007). </w:t>
              </w:r>
              <w:r w:rsidRPr="00B07754">
                <w:rPr>
                  <w:rFonts w:ascii="Times New Roman" w:hAnsi="Times New Roman"/>
                  <w:i/>
                  <w:iCs/>
                  <w:noProof/>
                  <w:sz w:val="24"/>
                  <w:szCs w:val="24"/>
                  <w:lang w:val="es-ES"/>
                </w:rPr>
                <w:t>Las Políticas Fiscales y su Impacto en el Bienestar Social de la Población Venezolana. Un Análisis desde el Paradigma Crítica Periodo 1988-2006.</w:t>
              </w:r>
              <w:r w:rsidRPr="00B07754">
                <w:rPr>
                  <w:rFonts w:ascii="Times New Roman" w:hAnsi="Times New Roman"/>
                  <w:noProof/>
                  <w:sz w:val="24"/>
                  <w:szCs w:val="24"/>
                  <w:lang w:val="es-ES"/>
                </w:rPr>
                <w:t xml:space="preserve"> Maracaibo: Universidad de Zulia.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Micco, A., &amp; Panizza, U. (2005). </w:t>
              </w:r>
              <w:r w:rsidRPr="00B07754">
                <w:rPr>
                  <w:rFonts w:ascii="Times New Roman" w:hAnsi="Times New Roman"/>
                  <w:i/>
                  <w:iCs/>
                  <w:noProof/>
                  <w:sz w:val="24"/>
                  <w:szCs w:val="24"/>
                  <w:lang w:val="en-US"/>
                </w:rPr>
                <w:t>Bank Concentration and Credit Volatility.</w:t>
              </w:r>
              <w:r w:rsidRPr="00B07754">
                <w:rPr>
                  <w:rFonts w:ascii="Times New Roman" w:hAnsi="Times New Roman"/>
                  <w:noProof/>
                  <w:sz w:val="24"/>
                  <w:szCs w:val="24"/>
                  <w:lang w:val="en-US"/>
                </w:rPr>
                <w:t xml:space="preserve"> Santiago de Chile: Banco Central de Chile.</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Mishkin, F. (1997). The Causes and Propagation of Financial Instability: Lssons for Policy Makers. </w:t>
              </w:r>
              <w:r w:rsidRPr="00B07754">
                <w:rPr>
                  <w:rFonts w:ascii="Times New Roman" w:hAnsi="Times New Roman"/>
                  <w:i/>
                  <w:iCs/>
                  <w:noProof/>
                  <w:sz w:val="24"/>
                  <w:szCs w:val="24"/>
                  <w:lang w:val="en-US"/>
                </w:rPr>
                <w:t>Proceedings by the Federal Reserve Bank of Kansas City</w:t>
              </w:r>
              <w:r w:rsidRPr="00B07754">
                <w:rPr>
                  <w:rFonts w:ascii="Times New Roman" w:hAnsi="Times New Roman"/>
                  <w:noProof/>
                  <w:sz w:val="24"/>
                  <w:szCs w:val="24"/>
                  <w:lang w:val="en-US"/>
                </w:rPr>
                <w:t>, 55-96.</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t xml:space="preserve">Montero Granados, R. (2010). </w:t>
              </w:r>
              <w:r w:rsidRPr="00B07754">
                <w:rPr>
                  <w:rFonts w:ascii="Times New Roman" w:hAnsi="Times New Roman"/>
                  <w:i/>
                  <w:iCs/>
                  <w:noProof/>
                  <w:sz w:val="24"/>
                  <w:szCs w:val="24"/>
                  <w:lang w:val="es-ES"/>
                </w:rPr>
                <w:t>Panel Dinámico.</w:t>
              </w:r>
              <w:r w:rsidRPr="00B07754">
                <w:rPr>
                  <w:rFonts w:ascii="Times New Roman" w:hAnsi="Times New Roman"/>
                  <w:noProof/>
                  <w:sz w:val="24"/>
                  <w:szCs w:val="24"/>
                  <w:lang w:val="es-ES"/>
                </w:rPr>
                <w:t xml:space="preserve"> Granada: Universidad de Granada, España.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Montero, G. R. (2011). </w:t>
              </w:r>
              <w:r w:rsidRPr="00B07754">
                <w:rPr>
                  <w:rFonts w:ascii="Times New Roman" w:hAnsi="Times New Roman"/>
                  <w:i/>
                  <w:iCs/>
                  <w:noProof/>
                  <w:sz w:val="24"/>
                  <w:szCs w:val="24"/>
                  <w:lang w:val="es-ES"/>
                </w:rPr>
                <w:t>Efectos Fijos o Aleatorios: Test de Especificación.</w:t>
              </w:r>
              <w:r w:rsidRPr="00B07754">
                <w:rPr>
                  <w:rFonts w:ascii="Times New Roman" w:hAnsi="Times New Roman"/>
                  <w:noProof/>
                  <w:sz w:val="24"/>
                  <w:szCs w:val="24"/>
                  <w:lang w:val="es-ES"/>
                </w:rPr>
                <w:t xml:space="preserve"> Granada: Universidad de Granada, España.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Montero, R. (2005). </w:t>
              </w:r>
              <w:r w:rsidRPr="00B07754">
                <w:rPr>
                  <w:rFonts w:ascii="Times New Roman" w:hAnsi="Times New Roman"/>
                  <w:i/>
                  <w:iCs/>
                  <w:noProof/>
                  <w:sz w:val="24"/>
                  <w:szCs w:val="24"/>
                  <w:lang w:val="es-ES"/>
                </w:rPr>
                <w:t>Test de Hausman.</w:t>
              </w:r>
              <w:r w:rsidRPr="00B07754">
                <w:rPr>
                  <w:rFonts w:ascii="Times New Roman" w:hAnsi="Times New Roman"/>
                  <w:noProof/>
                  <w:sz w:val="24"/>
                  <w:szCs w:val="24"/>
                  <w:lang w:val="es-ES"/>
                </w:rPr>
                <w:t xml:space="preserve"> Granada: Universidad de Granada.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s-ES"/>
                </w:rPr>
                <w:t xml:space="preserve">Morales, M. (2011). </w:t>
              </w:r>
              <w:r w:rsidRPr="00B07754">
                <w:rPr>
                  <w:rFonts w:ascii="Times New Roman" w:hAnsi="Times New Roman"/>
                  <w:i/>
                  <w:iCs/>
                  <w:noProof/>
                  <w:sz w:val="24"/>
                  <w:szCs w:val="24"/>
                  <w:lang w:val="es-ES"/>
                </w:rPr>
                <w:t>Concentración y Estabilidad Financiera: El Caso del Sistema Bancario Colombiano.</w:t>
              </w:r>
              <w:r w:rsidRPr="00B07754">
                <w:rPr>
                  <w:rFonts w:ascii="Times New Roman" w:hAnsi="Times New Roman"/>
                  <w:noProof/>
                  <w:sz w:val="24"/>
                  <w:szCs w:val="24"/>
                  <w:lang w:val="es-ES"/>
                </w:rPr>
                <w:t xml:space="preserve"> </w:t>
              </w:r>
              <w:r w:rsidRPr="00B07754">
                <w:rPr>
                  <w:rFonts w:ascii="Times New Roman" w:hAnsi="Times New Roman"/>
                  <w:noProof/>
                  <w:sz w:val="24"/>
                  <w:szCs w:val="24"/>
                  <w:lang w:val="en-US"/>
                </w:rPr>
                <w:t>Bogotá: Banco de la República.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Northcott, C. A. (2004). </w:t>
              </w:r>
              <w:r w:rsidRPr="00B07754">
                <w:rPr>
                  <w:rFonts w:ascii="Times New Roman" w:hAnsi="Times New Roman"/>
                  <w:i/>
                  <w:iCs/>
                  <w:noProof/>
                  <w:sz w:val="24"/>
                  <w:szCs w:val="24"/>
                  <w:lang w:val="en-US"/>
                </w:rPr>
                <w:t>Competition in Banking: A Review of the Literature.</w:t>
              </w:r>
              <w:r w:rsidRPr="00B07754">
                <w:rPr>
                  <w:rFonts w:ascii="Times New Roman" w:hAnsi="Times New Roman"/>
                  <w:noProof/>
                  <w:sz w:val="24"/>
                  <w:szCs w:val="24"/>
                  <w:lang w:val="en-US"/>
                </w:rPr>
                <w:t xml:space="preserve"> Ottawa: Monetary and Financial Analysis Department, Bank of Canada.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lastRenderedPageBreak/>
                <w:t xml:space="preserve">Pavón, L. (2001). </w:t>
              </w:r>
              <w:r w:rsidRPr="00B07754">
                <w:rPr>
                  <w:rFonts w:ascii="Times New Roman" w:hAnsi="Times New Roman"/>
                  <w:noProof/>
                  <w:sz w:val="24"/>
                  <w:szCs w:val="24"/>
                  <w:lang w:val="es-ES"/>
                </w:rPr>
                <w:t xml:space="preserve">Crisis Regulación Supervisión Bancarias. </w:t>
              </w:r>
              <w:r w:rsidRPr="00B07754">
                <w:rPr>
                  <w:rFonts w:ascii="Times New Roman" w:hAnsi="Times New Roman"/>
                  <w:i/>
                  <w:iCs/>
                  <w:noProof/>
                  <w:sz w:val="24"/>
                  <w:szCs w:val="24"/>
                  <w:lang w:val="es-ES"/>
                </w:rPr>
                <w:t>Boletín Económico del ICE</w:t>
              </w:r>
              <w:r w:rsidRPr="00B07754">
                <w:rPr>
                  <w:rFonts w:ascii="Times New Roman" w:hAnsi="Times New Roman"/>
                  <w:noProof/>
                  <w:sz w:val="24"/>
                  <w:szCs w:val="24"/>
                  <w:lang w:val="es-ES"/>
                </w:rPr>
                <w:t>, 49-67.</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Peralta, A. (2009). Concentración Económica. </w:t>
              </w:r>
              <w:r w:rsidRPr="00B07754">
                <w:rPr>
                  <w:rFonts w:ascii="Times New Roman" w:hAnsi="Times New Roman"/>
                  <w:i/>
                  <w:iCs/>
                  <w:noProof/>
                  <w:sz w:val="24"/>
                  <w:szCs w:val="24"/>
                  <w:lang w:val="es-ES"/>
                </w:rPr>
                <w:t>Área Indicadores Económicos &amp; Financieros</w:t>
              </w:r>
              <w:r w:rsidRPr="00B07754">
                <w:rPr>
                  <w:rFonts w:ascii="Times New Roman" w:hAnsi="Times New Roman"/>
                  <w:noProof/>
                  <w:sz w:val="24"/>
                  <w:szCs w:val="24"/>
                  <w:lang w:val="es-ES"/>
                </w:rPr>
                <w:t>, II-1.</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Pérez, L. (2009). </w:t>
              </w:r>
              <w:r w:rsidRPr="00B07754">
                <w:rPr>
                  <w:rFonts w:ascii="Times New Roman" w:hAnsi="Times New Roman"/>
                  <w:i/>
                  <w:iCs/>
                  <w:noProof/>
                  <w:sz w:val="24"/>
                  <w:szCs w:val="24"/>
                  <w:lang w:val="es-ES"/>
                </w:rPr>
                <w:t>Competencia y Estabilidad en el Sistema Bancario: Evidencia para la República Dominicana.</w:t>
              </w:r>
              <w:r w:rsidRPr="00B07754">
                <w:rPr>
                  <w:rFonts w:ascii="Times New Roman" w:hAnsi="Times New Roman"/>
                  <w:noProof/>
                  <w:sz w:val="24"/>
                  <w:szCs w:val="24"/>
                  <w:lang w:val="es-ES"/>
                </w:rPr>
                <w:t xml:space="preserve"> Santiago de Chile: Pontificia Universidad Católica de Chile.</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Pino Saldías, G., &amp; Araya Gómez , I. (s.f.). </w:t>
              </w:r>
              <w:r w:rsidRPr="00B07754">
                <w:rPr>
                  <w:rFonts w:ascii="Times New Roman" w:hAnsi="Times New Roman"/>
                  <w:i/>
                  <w:iCs/>
                  <w:noProof/>
                  <w:sz w:val="24"/>
                  <w:szCs w:val="24"/>
                  <w:lang w:val="es-ES"/>
                </w:rPr>
                <w:t>Competitividad y Estabilidad Bancaria ¿Hermanos Gemelos?</w:t>
              </w:r>
              <w:r w:rsidRPr="00B07754">
                <w:rPr>
                  <w:rFonts w:ascii="Times New Roman" w:hAnsi="Times New Roman"/>
                  <w:noProof/>
                  <w:sz w:val="24"/>
                  <w:szCs w:val="24"/>
                  <w:lang w:val="es-ES"/>
                </w:rPr>
                <w:t xml:space="preserve"> Santiago de Chile: Universidad de Concepción.</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Redacción Diario El Universo. (9 de Julio de 2011). Correa Anuncia Ley para Regular Monopolios en Ecuador. </w:t>
              </w:r>
              <w:r w:rsidRPr="00B07754">
                <w:rPr>
                  <w:rFonts w:ascii="Times New Roman" w:hAnsi="Times New Roman"/>
                  <w:i/>
                  <w:iCs/>
                  <w:noProof/>
                  <w:sz w:val="24"/>
                  <w:szCs w:val="24"/>
                  <w:lang w:val="es-ES"/>
                </w:rPr>
                <w:t>Diaro El Universo</w:t>
              </w:r>
              <w:r w:rsidRPr="00B07754">
                <w:rPr>
                  <w:rFonts w:ascii="Times New Roman" w:hAnsi="Times New Roman"/>
                  <w:noProof/>
                  <w:sz w:val="24"/>
                  <w:szCs w:val="24"/>
                  <w:lang w:val="es-ES"/>
                </w:rPr>
                <w:t>.</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Redacción EKOS. (2012). Análisis del Sistema Financiero en Ecuador. </w:t>
              </w:r>
              <w:r w:rsidRPr="00B07754">
                <w:rPr>
                  <w:rFonts w:ascii="Times New Roman" w:hAnsi="Times New Roman"/>
                  <w:i/>
                  <w:iCs/>
                  <w:noProof/>
                  <w:sz w:val="24"/>
                  <w:szCs w:val="24"/>
                  <w:lang w:val="es-ES"/>
                </w:rPr>
                <w:t>EKOS</w:t>
              </w:r>
              <w:r w:rsidRPr="00B07754">
                <w:rPr>
                  <w:rFonts w:ascii="Times New Roman" w:hAnsi="Times New Roman"/>
                  <w:noProof/>
                  <w:sz w:val="24"/>
                  <w:szCs w:val="24"/>
                  <w:lang w:val="es-ES"/>
                </w:rPr>
                <w:t>.</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Reinstein, A., &amp; Vergara, R. (s.f.). Hacia una Regulación y Supervisión más Eficiente del Sistema Bancario. </w:t>
              </w:r>
              <w:r w:rsidRPr="00B07754">
                <w:rPr>
                  <w:rFonts w:ascii="Times New Roman" w:hAnsi="Times New Roman"/>
                  <w:i/>
                  <w:iCs/>
                  <w:noProof/>
                  <w:sz w:val="24"/>
                  <w:szCs w:val="24"/>
                  <w:lang w:val="es-ES"/>
                </w:rPr>
                <w:t>Revista Estudios Públicos</w:t>
              </w:r>
              <w:r w:rsidRPr="00B07754">
                <w:rPr>
                  <w:rFonts w:ascii="Times New Roman" w:hAnsi="Times New Roman"/>
                  <w:noProof/>
                  <w:sz w:val="24"/>
                  <w:szCs w:val="24"/>
                  <w:lang w:val="es-ES"/>
                </w:rPr>
                <w:t>, 99-136.</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Romero, P. (s.f.). </w:t>
              </w:r>
              <w:r w:rsidRPr="00B07754">
                <w:rPr>
                  <w:rFonts w:ascii="Times New Roman" w:hAnsi="Times New Roman"/>
                  <w:i/>
                  <w:iCs/>
                  <w:noProof/>
                  <w:sz w:val="24"/>
                  <w:szCs w:val="24"/>
                  <w:lang w:val="es-ES"/>
                </w:rPr>
                <w:t>Crisis Bancaria en Ecuador: Causas y Posibles Soluciones.</w:t>
              </w:r>
              <w:r w:rsidRPr="00B07754">
                <w:rPr>
                  <w:rFonts w:ascii="Times New Roman" w:hAnsi="Times New Roman"/>
                  <w:noProof/>
                  <w:sz w:val="24"/>
                  <w:szCs w:val="24"/>
                  <w:lang w:val="es-ES"/>
                </w:rPr>
                <w:t xml:space="preserve"> Quito: Instituto Ecuatoriano de Economía Política.</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Rook, L. (2007). Un Enfoque Económico Psicológico del Comportamiento de Rebaño. </w:t>
              </w:r>
              <w:r w:rsidRPr="00B07754">
                <w:rPr>
                  <w:rFonts w:ascii="Times New Roman" w:hAnsi="Times New Roman"/>
                  <w:i/>
                  <w:iCs/>
                  <w:noProof/>
                  <w:sz w:val="24"/>
                  <w:szCs w:val="24"/>
                  <w:lang w:val="es-ES"/>
                </w:rPr>
                <w:t>Cuadernos de Economía</w:t>
              </w:r>
              <w:r w:rsidRPr="00B07754">
                <w:rPr>
                  <w:rFonts w:ascii="Times New Roman" w:hAnsi="Times New Roman"/>
                  <w:noProof/>
                  <w:sz w:val="24"/>
                  <w:szCs w:val="24"/>
                  <w:lang w:val="es-ES"/>
                </w:rPr>
                <w:t>, 203-233.</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Solimano, A. (2003). Crisis y Dolarización: Visión General. En P. Beckerman , &amp; A. Solimano, </w:t>
              </w:r>
              <w:r w:rsidRPr="00B07754">
                <w:rPr>
                  <w:rFonts w:ascii="Times New Roman" w:hAnsi="Times New Roman"/>
                  <w:i/>
                  <w:iCs/>
                  <w:noProof/>
                  <w:sz w:val="24"/>
                  <w:szCs w:val="24"/>
                  <w:lang w:val="es-ES"/>
                </w:rPr>
                <w:t>Crisis y Dolarización en el Ecuador</w:t>
              </w:r>
              <w:r w:rsidRPr="00B07754">
                <w:rPr>
                  <w:rFonts w:ascii="Times New Roman" w:hAnsi="Times New Roman"/>
                  <w:noProof/>
                  <w:sz w:val="24"/>
                  <w:szCs w:val="24"/>
                  <w:lang w:val="es-ES"/>
                </w:rPr>
                <w:t xml:space="preserve"> (págs. 15-31). Washington D.C: Banco Mundial.</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Sosa-Escudero, W. (2011). </w:t>
              </w:r>
              <w:r w:rsidRPr="00B07754">
                <w:rPr>
                  <w:rFonts w:ascii="Times New Roman" w:hAnsi="Times New Roman"/>
                  <w:i/>
                  <w:iCs/>
                  <w:noProof/>
                  <w:sz w:val="24"/>
                  <w:szCs w:val="24"/>
                  <w:lang w:val="es-ES"/>
                </w:rPr>
                <w:t>Econometría de Datos en Paneles.</w:t>
              </w:r>
              <w:r w:rsidRPr="00B07754">
                <w:rPr>
                  <w:rFonts w:ascii="Times New Roman" w:hAnsi="Times New Roman"/>
                  <w:noProof/>
                  <w:sz w:val="24"/>
                  <w:szCs w:val="24"/>
                  <w:lang w:val="es-ES"/>
                </w:rPr>
                <w:t xml:space="preserve"> San Andrés: Universidad de San Andrés.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n-US"/>
                </w:rPr>
              </w:pPr>
              <w:r w:rsidRPr="00B07754">
                <w:rPr>
                  <w:rFonts w:ascii="Times New Roman" w:hAnsi="Times New Roman"/>
                  <w:noProof/>
                  <w:sz w:val="24"/>
                  <w:szCs w:val="24"/>
                  <w:lang w:val="en-US"/>
                </w:rPr>
                <w:t xml:space="preserve">Tabuchi, T. (2009). </w:t>
              </w:r>
              <w:r w:rsidRPr="00B07754">
                <w:rPr>
                  <w:rFonts w:ascii="Times New Roman" w:hAnsi="Times New Roman"/>
                  <w:i/>
                  <w:iCs/>
                  <w:noProof/>
                  <w:sz w:val="24"/>
                  <w:szCs w:val="24"/>
                  <w:lang w:val="en-US"/>
                </w:rPr>
                <w:t>Hotelling's Spatial Competition Reconsidered.</w:t>
              </w:r>
              <w:r w:rsidRPr="00B07754">
                <w:rPr>
                  <w:rFonts w:ascii="Times New Roman" w:hAnsi="Times New Roman"/>
                  <w:noProof/>
                  <w:sz w:val="24"/>
                  <w:szCs w:val="24"/>
                  <w:lang w:val="en-US"/>
                </w:rPr>
                <w:t xml:space="preserve"> Tokyo: Faculty of Economics, University of Tokyo.</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n-US"/>
                </w:rPr>
                <w:t xml:space="preserve">The Economic Times. (s.f.). </w:t>
              </w:r>
              <w:r w:rsidRPr="00B07754">
                <w:rPr>
                  <w:rFonts w:ascii="Times New Roman" w:hAnsi="Times New Roman"/>
                  <w:i/>
                  <w:iCs/>
                  <w:noProof/>
                  <w:sz w:val="24"/>
                  <w:szCs w:val="24"/>
                  <w:lang w:val="en-US"/>
                </w:rPr>
                <w:t>The Economic Times: Definitions Economy</w:t>
              </w:r>
              <w:r w:rsidRPr="00B07754">
                <w:rPr>
                  <w:rFonts w:ascii="Times New Roman" w:hAnsi="Times New Roman"/>
                  <w:noProof/>
                  <w:sz w:val="24"/>
                  <w:szCs w:val="24"/>
                  <w:lang w:val="en-US"/>
                </w:rPr>
                <w:t xml:space="preserve">. </w:t>
              </w:r>
              <w:r w:rsidRPr="00B07754">
                <w:rPr>
                  <w:rFonts w:ascii="Times New Roman" w:hAnsi="Times New Roman"/>
                  <w:noProof/>
                  <w:sz w:val="24"/>
                  <w:szCs w:val="24"/>
                  <w:lang w:val="es-ES"/>
                </w:rPr>
                <w:t>Recuperado el 17 de Noviembre de 2013, de http://economictimes.indiatimes.com/definition/search-costs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lastRenderedPageBreak/>
                <w:t xml:space="preserve">Toledo, W. (2012). </w:t>
              </w:r>
              <w:r w:rsidRPr="00B07754">
                <w:rPr>
                  <w:rFonts w:ascii="Times New Roman" w:hAnsi="Times New Roman"/>
                  <w:i/>
                  <w:iCs/>
                  <w:noProof/>
                  <w:sz w:val="24"/>
                  <w:szCs w:val="24"/>
                  <w:lang w:val="es-ES"/>
                </w:rPr>
                <w:t>Una introducción a la Econometría con datos de Panel.</w:t>
              </w:r>
              <w:r w:rsidRPr="00B07754">
                <w:rPr>
                  <w:rFonts w:ascii="Times New Roman" w:hAnsi="Times New Roman"/>
                  <w:noProof/>
                  <w:sz w:val="24"/>
                  <w:szCs w:val="24"/>
                  <w:lang w:val="es-ES"/>
                </w:rPr>
                <w:t xml:space="preserve"> Universidad de Puerto Rico.</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Torres-Reyna, O. (s.f.). </w:t>
              </w:r>
              <w:r w:rsidRPr="00B07754">
                <w:rPr>
                  <w:rFonts w:ascii="Times New Roman" w:hAnsi="Times New Roman"/>
                  <w:i/>
                  <w:iCs/>
                  <w:noProof/>
                  <w:sz w:val="24"/>
                  <w:szCs w:val="24"/>
                  <w:lang w:val="es-ES"/>
                </w:rPr>
                <w:t>Panel Data Analysis.</w:t>
              </w:r>
              <w:r w:rsidRPr="00B07754">
                <w:rPr>
                  <w:rFonts w:ascii="Times New Roman" w:hAnsi="Times New Roman"/>
                  <w:noProof/>
                  <w:sz w:val="24"/>
                  <w:szCs w:val="24"/>
                  <w:lang w:val="es-ES"/>
                </w:rPr>
                <w:t xml:space="preserve"> Princenton: Princenton University.</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Uzcátegui, F. (2006). Gestión de la Liquidez, Crédito y Sistema Financiero en Ecuador. </w:t>
              </w:r>
              <w:r w:rsidRPr="00B07754">
                <w:rPr>
                  <w:rFonts w:ascii="Times New Roman" w:hAnsi="Times New Roman"/>
                  <w:i/>
                  <w:iCs/>
                  <w:noProof/>
                  <w:sz w:val="24"/>
                  <w:szCs w:val="24"/>
                  <w:lang w:val="es-ES"/>
                </w:rPr>
                <w:t>XXII Encuentro de la Red Latinoamericana de Bancos Centrales y Ministros de Finanzas</w:t>
              </w:r>
              <w:r w:rsidRPr="00B07754">
                <w:rPr>
                  <w:rFonts w:ascii="Times New Roman" w:hAnsi="Times New Roman"/>
                  <w:noProof/>
                  <w:sz w:val="24"/>
                  <w:szCs w:val="24"/>
                  <w:lang w:val="es-ES"/>
                </w:rPr>
                <w:t xml:space="preserve"> (págs. 1-58). Quito: Banco Central del Ecuador.</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Vela Meléndez, L. (2011). </w:t>
              </w:r>
              <w:r w:rsidRPr="00B07754">
                <w:rPr>
                  <w:rFonts w:ascii="Times New Roman" w:hAnsi="Times New Roman"/>
                  <w:i/>
                  <w:iCs/>
                  <w:noProof/>
                  <w:sz w:val="24"/>
                  <w:szCs w:val="24"/>
                  <w:lang w:val="es-ES"/>
                </w:rPr>
                <w:t>Teoría de Juegos y Modelos de Oligopolio.</w:t>
              </w:r>
              <w:r w:rsidRPr="00B07754">
                <w:rPr>
                  <w:rFonts w:ascii="Times New Roman" w:hAnsi="Times New Roman"/>
                  <w:noProof/>
                  <w:sz w:val="24"/>
                  <w:szCs w:val="24"/>
                  <w:lang w:val="es-ES"/>
                </w:rPr>
                <w:t xml:space="preserve"> Lambayeque, Perú: Universidad Nacional Pedro Ruiz Gallo.</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Wooldridge , J. (s.f.). </w:t>
              </w:r>
              <w:r w:rsidRPr="00B07754">
                <w:rPr>
                  <w:rFonts w:ascii="Times New Roman" w:hAnsi="Times New Roman"/>
                  <w:i/>
                  <w:iCs/>
                  <w:noProof/>
                  <w:sz w:val="24"/>
                  <w:szCs w:val="24"/>
                  <w:lang w:val="en-US"/>
                </w:rPr>
                <w:t>Econometric Analysis of Cross Section and Panel Data.</w:t>
              </w:r>
              <w:r w:rsidRPr="00B07754">
                <w:rPr>
                  <w:rFonts w:ascii="Times New Roman" w:hAnsi="Times New Roman"/>
                  <w:noProof/>
                  <w:sz w:val="24"/>
                  <w:szCs w:val="24"/>
                  <w:lang w:val="en-US"/>
                </w:rPr>
                <w:t xml:space="preserve"> </w:t>
              </w:r>
              <w:r w:rsidRPr="00B07754">
                <w:rPr>
                  <w:rFonts w:ascii="Times New Roman" w:hAnsi="Times New Roman"/>
                  <w:noProof/>
                  <w:sz w:val="24"/>
                  <w:szCs w:val="24"/>
                  <w:lang w:val="es-ES"/>
                </w:rPr>
                <w:t>Cambridge: MIT Press.</w:t>
              </w:r>
            </w:p>
            <w:p w:rsidR="008A6D1D" w:rsidRPr="00B07754" w:rsidRDefault="008A6D1D" w:rsidP="002B5E62">
              <w:pPr>
                <w:pStyle w:val="Bibliografa"/>
                <w:spacing w:line="360" w:lineRule="auto"/>
                <w:ind w:left="720" w:hanging="720"/>
                <w:jc w:val="both"/>
                <w:rPr>
                  <w:rFonts w:ascii="Times New Roman" w:hAnsi="Times New Roman"/>
                  <w:noProof/>
                  <w:sz w:val="24"/>
                  <w:szCs w:val="24"/>
                  <w:lang w:val="es-ES"/>
                </w:rPr>
              </w:pPr>
              <w:r w:rsidRPr="00B07754">
                <w:rPr>
                  <w:rFonts w:ascii="Times New Roman" w:hAnsi="Times New Roman"/>
                  <w:noProof/>
                  <w:sz w:val="24"/>
                  <w:szCs w:val="24"/>
                  <w:lang w:val="es-ES"/>
                </w:rPr>
                <w:t xml:space="preserve">Zipitría, L. (2011). </w:t>
              </w:r>
              <w:r w:rsidRPr="00B07754">
                <w:rPr>
                  <w:rFonts w:ascii="Times New Roman" w:hAnsi="Times New Roman"/>
                  <w:i/>
                  <w:iCs/>
                  <w:noProof/>
                  <w:sz w:val="24"/>
                  <w:szCs w:val="24"/>
                  <w:lang w:val="es-ES"/>
                </w:rPr>
                <w:t>Regulación Económica: Eficiencia, Poder de Mercado y Concentración.</w:t>
              </w:r>
              <w:r w:rsidRPr="00B07754">
                <w:rPr>
                  <w:rFonts w:ascii="Times New Roman" w:hAnsi="Times New Roman"/>
                  <w:noProof/>
                  <w:sz w:val="24"/>
                  <w:szCs w:val="24"/>
                  <w:lang w:val="es-ES"/>
                </w:rPr>
                <w:t xml:space="preserve"> La Habana: Universidad de Montevideo.</w:t>
              </w:r>
            </w:p>
            <w:p w:rsidR="003E0F59" w:rsidRPr="00B07754" w:rsidRDefault="003E0F59" w:rsidP="002B5E62">
              <w:pPr>
                <w:spacing w:line="360" w:lineRule="auto"/>
                <w:jc w:val="both"/>
                <w:rPr>
                  <w:rFonts w:ascii="Times New Roman" w:hAnsi="Times New Roman"/>
                  <w:sz w:val="24"/>
                  <w:szCs w:val="24"/>
                </w:rPr>
              </w:pPr>
              <w:r w:rsidRPr="00B07754">
                <w:rPr>
                  <w:rFonts w:ascii="Times New Roman" w:hAnsi="Times New Roman"/>
                  <w:b/>
                  <w:bCs/>
                  <w:sz w:val="24"/>
                  <w:szCs w:val="24"/>
                </w:rPr>
                <w:fldChar w:fldCharType="end"/>
              </w:r>
            </w:p>
          </w:sdtContent>
        </w:sdt>
      </w:sdtContent>
    </w:sdt>
    <w:p w:rsidR="0055324E" w:rsidRPr="00B07754" w:rsidRDefault="0055324E" w:rsidP="002B5E62">
      <w:pPr>
        <w:spacing w:line="360" w:lineRule="auto"/>
        <w:rPr>
          <w:rFonts w:ascii="Times New Roman" w:hAnsi="Times New Roman"/>
          <w:sz w:val="24"/>
          <w:szCs w:val="24"/>
          <w:lang w:val="es-MX"/>
        </w:rPr>
      </w:pPr>
    </w:p>
    <w:p w:rsidR="0055324E" w:rsidRPr="00B07754" w:rsidRDefault="0055324E" w:rsidP="002B5E62">
      <w:pPr>
        <w:spacing w:line="360" w:lineRule="auto"/>
        <w:rPr>
          <w:rFonts w:ascii="Times New Roman" w:hAnsi="Times New Roman"/>
          <w:sz w:val="24"/>
          <w:szCs w:val="24"/>
          <w:lang w:val="es-MX"/>
        </w:rPr>
      </w:pPr>
    </w:p>
    <w:p w:rsidR="003E0F59" w:rsidRPr="00B07754" w:rsidRDefault="003E0F59" w:rsidP="002B5E62">
      <w:pPr>
        <w:spacing w:line="360" w:lineRule="auto"/>
        <w:rPr>
          <w:rFonts w:ascii="Times New Roman" w:hAnsi="Times New Roman"/>
          <w:sz w:val="24"/>
          <w:szCs w:val="24"/>
          <w:lang w:val="es-MX"/>
        </w:rPr>
      </w:pPr>
    </w:p>
    <w:p w:rsidR="003E0F59" w:rsidRPr="00B07754" w:rsidRDefault="003E0F59" w:rsidP="002B5E62">
      <w:pPr>
        <w:spacing w:line="360" w:lineRule="auto"/>
        <w:rPr>
          <w:rFonts w:ascii="Times New Roman" w:hAnsi="Times New Roman"/>
          <w:sz w:val="24"/>
          <w:szCs w:val="24"/>
          <w:lang w:val="es-MX"/>
        </w:rPr>
      </w:pPr>
    </w:p>
    <w:p w:rsidR="003E0F59" w:rsidRPr="00B07754" w:rsidRDefault="003E0F59"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5D7A02" w:rsidRPr="00B07754" w:rsidRDefault="005D7A02" w:rsidP="002B5E62">
      <w:pPr>
        <w:spacing w:line="360" w:lineRule="auto"/>
        <w:rPr>
          <w:rFonts w:ascii="Times New Roman" w:hAnsi="Times New Roman"/>
          <w:sz w:val="24"/>
          <w:szCs w:val="24"/>
          <w:lang w:val="es-MX"/>
        </w:rPr>
      </w:pPr>
    </w:p>
    <w:p w:rsidR="002218D7" w:rsidRPr="00B07754" w:rsidRDefault="002218D7" w:rsidP="002B5E62">
      <w:pPr>
        <w:spacing w:line="360" w:lineRule="auto"/>
        <w:rPr>
          <w:rFonts w:ascii="Times New Roman" w:hAnsi="Times New Roman"/>
          <w:sz w:val="24"/>
          <w:szCs w:val="24"/>
          <w:lang w:val="es-MX"/>
        </w:rPr>
      </w:pPr>
    </w:p>
    <w:p w:rsidR="002218D7" w:rsidRDefault="002218D7" w:rsidP="002B5E62">
      <w:pPr>
        <w:spacing w:line="360" w:lineRule="auto"/>
        <w:rPr>
          <w:rFonts w:ascii="Times New Roman" w:hAnsi="Times New Roman"/>
          <w:sz w:val="24"/>
          <w:szCs w:val="24"/>
          <w:lang w:val="es-MX"/>
        </w:rPr>
      </w:pPr>
    </w:p>
    <w:p w:rsidR="00B07754" w:rsidRPr="00B07754" w:rsidRDefault="00B07754" w:rsidP="002B5E62">
      <w:pPr>
        <w:spacing w:line="360" w:lineRule="auto"/>
        <w:rPr>
          <w:rFonts w:ascii="Times New Roman" w:hAnsi="Times New Roman"/>
          <w:sz w:val="24"/>
          <w:szCs w:val="24"/>
          <w:lang w:val="es-MX"/>
        </w:rPr>
      </w:pPr>
    </w:p>
    <w:p w:rsidR="0055324E" w:rsidRPr="00B07754" w:rsidRDefault="0055324E" w:rsidP="002B5E62">
      <w:pPr>
        <w:pStyle w:val="Ttulo1"/>
        <w:spacing w:before="0" w:after="200" w:line="360" w:lineRule="auto"/>
        <w:jc w:val="center"/>
        <w:rPr>
          <w:rFonts w:ascii="Times New Roman" w:hAnsi="Times New Roman"/>
          <w:color w:val="auto"/>
          <w:sz w:val="24"/>
          <w:szCs w:val="24"/>
          <w:lang w:val="es-MX"/>
        </w:rPr>
      </w:pPr>
      <w:bookmarkStart w:id="45" w:name="_Toc372589987"/>
      <w:r w:rsidRPr="00B07754">
        <w:rPr>
          <w:rFonts w:ascii="Times New Roman" w:hAnsi="Times New Roman"/>
          <w:color w:val="auto"/>
          <w:sz w:val="24"/>
          <w:szCs w:val="24"/>
          <w:lang w:val="es-MX"/>
        </w:rPr>
        <w:t>ANEXOS</w:t>
      </w:r>
      <w:bookmarkEnd w:id="45"/>
    </w:p>
    <w:p w:rsidR="005D7A02" w:rsidRPr="00B07754" w:rsidRDefault="005D7A02" w:rsidP="002B5E62">
      <w:pPr>
        <w:spacing w:line="360" w:lineRule="auto"/>
        <w:rPr>
          <w:rFonts w:ascii="Times New Roman" w:hAnsi="Times New Roman"/>
          <w:sz w:val="24"/>
          <w:szCs w:val="24"/>
          <w:lang w:val="es-MX"/>
        </w:rPr>
      </w:pPr>
    </w:p>
    <w:p w:rsidR="0055324E" w:rsidRPr="00B07754" w:rsidRDefault="0055324E" w:rsidP="002B5E62">
      <w:pPr>
        <w:pStyle w:val="Ttulo2"/>
        <w:numPr>
          <w:ilvl w:val="0"/>
          <w:numId w:val="27"/>
        </w:numPr>
        <w:spacing w:before="0" w:after="200" w:line="360" w:lineRule="auto"/>
        <w:ind w:left="0" w:firstLine="0"/>
        <w:jc w:val="center"/>
        <w:rPr>
          <w:rFonts w:ascii="Times New Roman" w:hAnsi="Times New Roman"/>
          <w:color w:val="auto"/>
          <w:sz w:val="24"/>
          <w:szCs w:val="24"/>
          <w:lang w:val="es-MX"/>
        </w:rPr>
      </w:pPr>
      <w:bookmarkStart w:id="46" w:name="_Toc372589988"/>
      <w:r w:rsidRPr="00B07754">
        <w:rPr>
          <w:rFonts w:ascii="Times New Roman" w:hAnsi="Times New Roman"/>
          <w:color w:val="auto"/>
          <w:sz w:val="24"/>
          <w:szCs w:val="24"/>
          <w:lang w:val="es-MX"/>
        </w:rPr>
        <w:t>Definiciones de las Variables Empleadas en Cada Modelo</w:t>
      </w:r>
      <w:bookmarkEnd w:id="46"/>
    </w:p>
    <w:p w:rsidR="0055324E" w:rsidRDefault="0055324E"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 xml:space="preserve">Estimación del Estadístico H de </w:t>
      </w:r>
      <w:proofErr w:type="spellStart"/>
      <w:r w:rsidRPr="00B07754">
        <w:rPr>
          <w:rFonts w:ascii="Times New Roman" w:hAnsi="Times New Roman"/>
          <w:sz w:val="24"/>
          <w:szCs w:val="24"/>
          <w:lang w:val="es-MX"/>
        </w:rPr>
        <w:t>Panzar</w:t>
      </w:r>
      <w:proofErr w:type="spellEnd"/>
      <w:r w:rsidRPr="00B07754">
        <w:rPr>
          <w:rFonts w:ascii="Times New Roman" w:hAnsi="Times New Roman"/>
          <w:sz w:val="24"/>
          <w:szCs w:val="24"/>
          <w:lang w:val="es-MX"/>
        </w:rPr>
        <w:t xml:space="preserve"> y Rose</w:t>
      </w:r>
    </w:p>
    <w:p w:rsidR="00764D9F" w:rsidRPr="00B07754" w:rsidRDefault="00764D9F" w:rsidP="002B5E62">
      <w:pPr>
        <w:spacing w:line="360" w:lineRule="auto"/>
        <w:rPr>
          <w:rFonts w:ascii="Times New Roman" w:hAnsi="Times New Roman"/>
          <w:sz w:val="24"/>
          <w:szCs w:val="24"/>
          <w:lang w:val="es-MX"/>
        </w:rPr>
      </w:pPr>
    </w:p>
    <w:tbl>
      <w:tblPr>
        <w:tblStyle w:val="Tablaconcuadrcula"/>
        <w:tblW w:w="0" w:type="auto"/>
        <w:tblLook w:val="04A0" w:firstRow="1" w:lastRow="0" w:firstColumn="1" w:lastColumn="0" w:noHBand="0" w:noVBand="1"/>
      </w:tblPr>
      <w:tblGrid>
        <w:gridCol w:w="1110"/>
        <w:gridCol w:w="7894"/>
      </w:tblGrid>
      <w:tr w:rsidR="0055324E" w:rsidRPr="00B07754" w:rsidTr="00231CE6">
        <w:tc>
          <w:tcPr>
            <w:tcW w:w="0" w:type="auto"/>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Variable</w:t>
            </w:r>
          </w:p>
        </w:tc>
        <w:tc>
          <w:tcPr>
            <w:tcW w:w="0" w:type="auto"/>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Definición</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IA</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Ingresos por intereses / Activos Totales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GAP</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Precio del Trabajo calculado como: Gasto en Personal / Depósitos Totales más Cartera de Crédito</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GAF</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Precio del Capital Físico calculado como Gasto en Activos Fijos / Activos Fijos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GD</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Gasto en Depósitos calculado como Gastos Financieros / Depósitos Totales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DA</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Depósitos / Activos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CCA</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Cartera de Créditos / Activos Totales. Refleja el porcentaje que representan las colocaciones en préstamos sobre los activos de la entidad</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LA</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Indicador de liquidez calculado como Disponibilidades / Activos Totales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KA</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Capital / Activos</w:t>
            </w:r>
          </w:p>
        </w:tc>
      </w:tr>
    </w:tbl>
    <w:p w:rsidR="007338FA" w:rsidRPr="00B07754" w:rsidRDefault="007338FA" w:rsidP="002B5E62">
      <w:pPr>
        <w:spacing w:line="360" w:lineRule="auto"/>
        <w:rPr>
          <w:rFonts w:ascii="Times New Roman" w:hAnsi="Times New Roman"/>
          <w:sz w:val="24"/>
          <w:szCs w:val="24"/>
          <w:lang w:val="es-MX"/>
        </w:rPr>
      </w:pPr>
    </w:p>
    <w:p w:rsidR="00B913C2" w:rsidRDefault="00B913C2" w:rsidP="002B5E62">
      <w:pPr>
        <w:spacing w:line="360" w:lineRule="auto"/>
        <w:rPr>
          <w:rFonts w:ascii="Times New Roman" w:hAnsi="Times New Roman"/>
          <w:sz w:val="24"/>
          <w:szCs w:val="24"/>
          <w:lang w:val="es-MX"/>
        </w:rPr>
      </w:pPr>
    </w:p>
    <w:p w:rsidR="002B5E62" w:rsidRPr="00B07754" w:rsidRDefault="002B5E62" w:rsidP="002B5E62">
      <w:pPr>
        <w:spacing w:line="360" w:lineRule="auto"/>
        <w:rPr>
          <w:rFonts w:ascii="Times New Roman" w:hAnsi="Times New Roman"/>
          <w:sz w:val="24"/>
          <w:szCs w:val="24"/>
          <w:lang w:val="es-MX"/>
        </w:rPr>
      </w:pPr>
    </w:p>
    <w:p w:rsidR="00B913C2" w:rsidRPr="00B07754" w:rsidRDefault="00B913C2" w:rsidP="002B5E62">
      <w:pPr>
        <w:spacing w:line="360" w:lineRule="auto"/>
        <w:rPr>
          <w:rFonts w:ascii="Times New Roman" w:hAnsi="Times New Roman"/>
          <w:sz w:val="24"/>
          <w:szCs w:val="24"/>
          <w:lang w:val="es-MX"/>
        </w:rPr>
      </w:pPr>
    </w:p>
    <w:p w:rsidR="0055324E" w:rsidRDefault="0055324E"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lastRenderedPageBreak/>
        <w:t>Estimación Relación entre Competencia y Estabilidad</w:t>
      </w:r>
    </w:p>
    <w:p w:rsidR="00764D9F" w:rsidRPr="00B07754" w:rsidRDefault="00764D9F" w:rsidP="002B5E62">
      <w:pPr>
        <w:spacing w:line="360" w:lineRule="auto"/>
        <w:rPr>
          <w:rFonts w:ascii="Times New Roman" w:hAnsi="Times New Roman"/>
          <w:sz w:val="24"/>
          <w:szCs w:val="24"/>
          <w:lang w:val="es-MX"/>
        </w:rPr>
      </w:pPr>
    </w:p>
    <w:tbl>
      <w:tblPr>
        <w:tblStyle w:val="Tablaconcuadrcula"/>
        <w:tblW w:w="0" w:type="auto"/>
        <w:tblLook w:val="04A0" w:firstRow="1" w:lastRow="0" w:firstColumn="1" w:lastColumn="0" w:noHBand="0" w:noVBand="1"/>
      </w:tblPr>
      <w:tblGrid>
        <w:gridCol w:w="1110"/>
        <w:gridCol w:w="7894"/>
      </w:tblGrid>
      <w:tr w:rsidR="0055324E" w:rsidRPr="00B07754" w:rsidTr="00231CE6">
        <w:tc>
          <w:tcPr>
            <w:tcW w:w="0" w:type="auto"/>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Variable</w:t>
            </w:r>
          </w:p>
        </w:tc>
        <w:tc>
          <w:tcPr>
            <w:tcW w:w="0" w:type="auto"/>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Definición</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H</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Estadístico H que mide el nivel de competencia</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H</w:t>
            </w:r>
            <w:r w:rsidRPr="00B07754">
              <w:rPr>
                <w:rFonts w:ascii="Times New Roman" w:hAnsi="Times New Roman"/>
                <w:b/>
                <w:sz w:val="24"/>
                <w:szCs w:val="24"/>
                <w:vertAlign w:val="superscript"/>
                <w:lang w:val="es-MX"/>
              </w:rPr>
              <w:t>2</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Estadístico H al cuadrado</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PIB</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Tasa de Crecimiento del Producto Interno Bruto Real</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CIR</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Participación de mercado en créditos. Mide el tamaño real de un banco</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CA</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(Cartera de Créditos / Inversiones) / Activos. Indica la proporción de activos que generan ingresos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LC</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Indicador parcial de liquidez. Se mide como Disponibilidades / captaciones</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CVC</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Cartera vencida / Cartera de créditos. Muestra el porcentaje de la cartera en incumplimiento de pago</w:t>
            </w:r>
          </w:p>
        </w:tc>
      </w:tr>
      <w:tr w:rsidR="0055324E" w:rsidRPr="00B07754" w:rsidTr="00231CE6">
        <w:tc>
          <w:tcPr>
            <w:tcW w:w="0" w:type="auto"/>
            <w:vAlign w:val="center"/>
          </w:tcPr>
          <w:p w:rsidR="0055324E" w:rsidRPr="00B07754" w:rsidRDefault="0055324E" w:rsidP="002B5E62">
            <w:pPr>
              <w:spacing w:after="200" w:line="360" w:lineRule="auto"/>
              <w:jc w:val="center"/>
              <w:rPr>
                <w:rFonts w:ascii="Times New Roman" w:hAnsi="Times New Roman"/>
                <w:b/>
                <w:sz w:val="24"/>
                <w:szCs w:val="24"/>
                <w:lang w:val="es-MX"/>
              </w:rPr>
            </w:pPr>
            <w:r w:rsidRPr="00B07754">
              <w:rPr>
                <w:rFonts w:ascii="Times New Roman" w:hAnsi="Times New Roman"/>
                <w:b/>
                <w:sz w:val="24"/>
                <w:szCs w:val="24"/>
                <w:lang w:val="es-MX"/>
              </w:rPr>
              <w:t>EO</w:t>
            </w:r>
          </w:p>
        </w:tc>
        <w:tc>
          <w:tcPr>
            <w:tcW w:w="0" w:type="auto"/>
          </w:tcPr>
          <w:p w:rsidR="0055324E" w:rsidRPr="00B07754" w:rsidRDefault="0055324E" w:rsidP="002B5E62">
            <w:pPr>
              <w:spacing w:after="200" w:line="360" w:lineRule="auto"/>
              <w:rPr>
                <w:rFonts w:ascii="Times New Roman" w:hAnsi="Times New Roman"/>
                <w:sz w:val="24"/>
                <w:szCs w:val="24"/>
                <w:lang w:val="es-MX"/>
              </w:rPr>
            </w:pPr>
            <w:r w:rsidRPr="00B07754">
              <w:rPr>
                <w:rFonts w:ascii="Times New Roman" w:hAnsi="Times New Roman"/>
                <w:sz w:val="24"/>
                <w:szCs w:val="24"/>
                <w:lang w:val="es-MX"/>
              </w:rPr>
              <w:t>Eficiencia Financiera calculada como Gastos Operacionales / Margen Operacional</w:t>
            </w:r>
          </w:p>
        </w:tc>
      </w:tr>
    </w:tbl>
    <w:p w:rsidR="005A12AF" w:rsidRDefault="005A12AF" w:rsidP="002B5E62">
      <w:pPr>
        <w:spacing w:line="360" w:lineRule="auto"/>
        <w:rPr>
          <w:rFonts w:ascii="Times New Roman" w:hAnsi="Times New Roman"/>
          <w:sz w:val="24"/>
          <w:szCs w:val="24"/>
          <w:lang w:val="es-MX"/>
        </w:rPr>
      </w:pPr>
    </w:p>
    <w:p w:rsidR="00044670" w:rsidRPr="00B07754" w:rsidRDefault="00044670" w:rsidP="002B5E62">
      <w:pPr>
        <w:spacing w:line="360" w:lineRule="auto"/>
        <w:rPr>
          <w:rFonts w:ascii="Times New Roman" w:hAnsi="Times New Roman"/>
          <w:sz w:val="24"/>
          <w:szCs w:val="24"/>
          <w:lang w:val="es-MX"/>
        </w:rPr>
      </w:pPr>
    </w:p>
    <w:p w:rsidR="0055324E" w:rsidRDefault="0055324E" w:rsidP="002B5E62">
      <w:pPr>
        <w:pStyle w:val="Ttulo2"/>
        <w:numPr>
          <w:ilvl w:val="0"/>
          <w:numId w:val="27"/>
        </w:numPr>
        <w:spacing w:before="0" w:after="200" w:line="360" w:lineRule="auto"/>
        <w:ind w:left="0" w:firstLine="0"/>
        <w:jc w:val="center"/>
        <w:rPr>
          <w:rFonts w:ascii="Times New Roman" w:hAnsi="Times New Roman"/>
          <w:color w:val="auto"/>
          <w:sz w:val="24"/>
          <w:szCs w:val="24"/>
          <w:lang w:val="es-MX"/>
        </w:rPr>
      </w:pPr>
      <w:bookmarkStart w:id="47" w:name="_Toc372589989"/>
      <w:r w:rsidRPr="00B07754">
        <w:rPr>
          <w:rFonts w:ascii="Times New Roman" w:hAnsi="Times New Roman"/>
          <w:color w:val="auto"/>
          <w:sz w:val="24"/>
          <w:szCs w:val="24"/>
          <w:lang w:val="es-MX"/>
        </w:rPr>
        <w:t>Resultados de la Estimación del Estadístico H</w:t>
      </w:r>
      <w:bookmarkEnd w:id="47"/>
    </w:p>
    <w:p w:rsidR="00764D9F" w:rsidRPr="00764D9F" w:rsidRDefault="00764D9F" w:rsidP="00764D9F">
      <w:pPr>
        <w:rPr>
          <w:lang w:val="es-MX"/>
        </w:rPr>
      </w:pPr>
    </w:p>
    <w:p w:rsidR="0055324E" w:rsidRPr="00B07754" w:rsidRDefault="0055324E" w:rsidP="002B5E62">
      <w:pPr>
        <w:spacing w:line="360" w:lineRule="auto"/>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678D2B4F" wp14:editId="2DC363D8">
            <wp:extent cx="5860473" cy="1800704"/>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a:extLst>
                        <a:ext uri="{28A0092B-C50C-407E-A947-70E740481C1C}">
                          <a14:useLocalDpi xmlns:a14="http://schemas.microsoft.com/office/drawing/2010/main" val="0"/>
                        </a:ext>
                      </a:extLst>
                    </a:blip>
                    <a:srcRect r="27405"/>
                    <a:stretch/>
                  </pic:blipFill>
                  <pic:spPr bwMode="auto">
                    <a:xfrm>
                      <a:off x="0" y="0"/>
                      <a:ext cx="5860473" cy="1800704"/>
                    </a:xfrm>
                    <a:prstGeom prst="rect">
                      <a:avLst/>
                    </a:prstGeom>
                    <a:noFill/>
                    <a:ln>
                      <a:noFill/>
                    </a:ln>
                    <a:extLst>
                      <a:ext uri="{53640926-AAD7-44D8-BBD7-CCE9431645EC}">
                        <a14:shadowObscured xmlns:a14="http://schemas.microsoft.com/office/drawing/2010/main"/>
                      </a:ext>
                    </a:extLst>
                  </pic:spPr>
                </pic:pic>
              </a:graphicData>
            </a:graphic>
          </wp:inline>
        </w:drawing>
      </w:r>
    </w:p>
    <w:p w:rsidR="0055324E" w:rsidRPr="00B07754" w:rsidRDefault="0055324E" w:rsidP="002B5E62">
      <w:pPr>
        <w:spacing w:line="360" w:lineRule="auto"/>
        <w:rPr>
          <w:rFonts w:ascii="Times New Roman" w:hAnsi="Times New Roman"/>
          <w:sz w:val="24"/>
          <w:szCs w:val="24"/>
          <w:lang w:val="es-MX"/>
        </w:rPr>
      </w:pPr>
      <w:r w:rsidRPr="00B07754">
        <w:rPr>
          <w:rFonts w:ascii="Times New Roman" w:hAnsi="Times New Roman"/>
          <w:noProof/>
          <w:sz w:val="24"/>
          <w:szCs w:val="24"/>
          <w:lang w:val="es-ES" w:eastAsia="es-ES"/>
        </w:rPr>
        <w:lastRenderedPageBreak/>
        <w:drawing>
          <wp:inline distT="0" distB="0" distL="0" distR="0" wp14:anchorId="3BDA2FC2" wp14:editId="3C66FA98">
            <wp:extent cx="5719156" cy="2424922"/>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a:extLst>
                        <a:ext uri="{28A0092B-C50C-407E-A947-70E740481C1C}">
                          <a14:useLocalDpi xmlns:a14="http://schemas.microsoft.com/office/drawing/2010/main" val="0"/>
                        </a:ext>
                      </a:extLst>
                    </a:blip>
                    <a:srcRect r="28193"/>
                    <a:stretch/>
                  </pic:blipFill>
                  <pic:spPr bwMode="auto">
                    <a:xfrm>
                      <a:off x="0" y="0"/>
                      <a:ext cx="5726219" cy="2427917"/>
                    </a:xfrm>
                    <a:prstGeom prst="rect">
                      <a:avLst/>
                    </a:prstGeom>
                    <a:noFill/>
                    <a:ln>
                      <a:noFill/>
                    </a:ln>
                    <a:extLst>
                      <a:ext uri="{53640926-AAD7-44D8-BBD7-CCE9431645EC}">
                        <a14:shadowObscured xmlns:a14="http://schemas.microsoft.com/office/drawing/2010/main"/>
                      </a:ext>
                    </a:extLst>
                  </pic:spPr>
                </pic:pic>
              </a:graphicData>
            </a:graphic>
          </wp:inline>
        </w:drawing>
      </w:r>
    </w:p>
    <w:p w:rsidR="00044670" w:rsidRDefault="00044670" w:rsidP="002B5E62">
      <w:pPr>
        <w:spacing w:line="360" w:lineRule="auto"/>
        <w:rPr>
          <w:rFonts w:ascii="Times New Roman" w:hAnsi="Times New Roman"/>
          <w:b/>
          <w:sz w:val="24"/>
          <w:szCs w:val="24"/>
          <w:lang w:val="es-MX"/>
        </w:rPr>
      </w:pPr>
    </w:p>
    <w:p w:rsidR="0055324E" w:rsidRPr="00B07754" w:rsidRDefault="0055324E" w:rsidP="002B5E62">
      <w:pPr>
        <w:spacing w:line="360" w:lineRule="auto"/>
        <w:rPr>
          <w:rFonts w:ascii="Times New Roman" w:hAnsi="Times New Roman"/>
          <w:b/>
          <w:sz w:val="24"/>
          <w:szCs w:val="24"/>
          <w:lang w:val="es-MX"/>
        </w:rPr>
      </w:pPr>
      <w:r w:rsidRPr="00B07754">
        <w:rPr>
          <w:rFonts w:ascii="Times New Roman" w:hAnsi="Times New Roman"/>
          <w:b/>
          <w:sz w:val="24"/>
          <w:szCs w:val="24"/>
          <w:lang w:val="es-MX"/>
        </w:rPr>
        <w:t>Pruebas de Hipótesis realizadas</w:t>
      </w: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sz w:val="24"/>
          <w:szCs w:val="24"/>
          <w:lang w:val="es-MX"/>
        </w:rPr>
        <w:t xml:space="preserve">Test de </w:t>
      </w:r>
      <w:proofErr w:type="spellStart"/>
      <w:r w:rsidRPr="00B07754">
        <w:rPr>
          <w:rFonts w:ascii="Times New Roman" w:hAnsi="Times New Roman"/>
          <w:i/>
          <w:sz w:val="24"/>
          <w:szCs w:val="24"/>
          <w:lang w:val="es-MX"/>
        </w:rPr>
        <w:t>Breusch</w:t>
      </w:r>
      <w:proofErr w:type="spellEnd"/>
      <w:r w:rsidRPr="00B07754">
        <w:rPr>
          <w:rFonts w:ascii="Times New Roman" w:hAnsi="Times New Roman"/>
          <w:i/>
          <w:sz w:val="24"/>
          <w:szCs w:val="24"/>
          <w:lang w:val="es-MX"/>
        </w:rPr>
        <w:t xml:space="preserve"> and Pagan</w:t>
      </w:r>
    </w:p>
    <w:p w:rsidR="00764D9F" w:rsidRPr="00B07754" w:rsidRDefault="00764D9F" w:rsidP="002B5E62">
      <w:pPr>
        <w:spacing w:line="360" w:lineRule="auto"/>
        <w:rPr>
          <w:rFonts w:ascii="Times New Roman" w:hAnsi="Times New Roman"/>
          <w:i/>
          <w:sz w:val="24"/>
          <w:szCs w:val="24"/>
          <w:lang w:val="es-MX"/>
        </w:rPr>
      </w:pPr>
    </w:p>
    <w:p w:rsidR="0055324E" w:rsidRDefault="0055324E" w:rsidP="002B5E62">
      <w:pPr>
        <w:spacing w:line="360" w:lineRule="auto"/>
        <w:rPr>
          <w:rFonts w:ascii="Times New Roman" w:hAnsi="Times New Roman"/>
          <w:b/>
          <w:sz w:val="24"/>
          <w:szCs w:val="24"/>
          <w:lang w:val="es-MX"/>
        </w:rPr>
      </w:pPr>
      <w:r w:rsidRPr="00B07754">
        <w:rPr>
          <w:rFonts w:ascii="Times New Roman" w:hAnsi="Times New Roman"/>
          <w:b/>
          <w:noProof/>
          <w:sz w:val="24"/>
          <w:szCs w:val="24"/>
          <w:lang w:val="es-ES" w:eastAsia="es-ES"/>
        </w:rPr>
        <w:drawing>
          <wp:inline distT="0" distB="0" distL="0" distR="0" wp14:anchorId="55A8803F" wp14:editId="3C4CC15C">
            <wp:extent cx="4443864" cy="2177934"/>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a:extLst>
                        <a:ext uri="{28A0092B-C50C-407E-A947-70E740481C1C}">
                          <a14:useLocalDpi xmlns:a14="http://schemas.microsoft.com/office/drawing/2010/main" val="0"/>
                        </a:ext>
                      </a:extLst>
                    </a:blip>
                    <a:srcRect r="41887"/>
                    <a:stretch/>
                  </pic:blipFill>
                  <pic:spPr bwMode="auto">
                    <a:xfrm>
                      <a:off x="0" y="0"/>
                      <a:ext cx="4443864" cy="2177934"/>
                    </a:xfrm>
                    <a:prstGeom prst="rect">
                      <a:avLst/>
                    </a:prstGeom>
                    <a:noFill/>
                    <a:ln>
                      <a:noFill/>
                    </a:ln>
                    <a:extLst>
                      <a:ext uri="{53640926-AAD7-44D8-BBD7-CCE9431645EC}">
                        <a14:shadowObscured xmlns:a14="http://schemas.microsoft.com/office/drawing/2010/main"/>
                      </a:ext>
                    </a:extLst>
                  </pic:spPr>
                </pic:pic>
              </a:graphicData>
            </a:graphic>
          </wp:inline>
        </w:drawing>
      </w:r>
    </w:p>
    <w:p w:rsidR="00044670" w:rsidRDefault="00044670" w:rsidP="002B5E62">
      <w:pPr>
        <w:spacing w:line="360" w:lineRule="auto"/>
        <w:rPr>
          <w:rFonts w:ascii="Times New Roman" w:hAnsi="Times New Roman"/>
          <w:b/>
          <w:sz w:val="24"/>
          <w:szCs w:val="24"/>
          <w:lang w:val="es-MX"/>
        </w:rPr>
      </w:pPr>
    </w:p>
    <w:p w:rsidR="00044670" w:rsidRDefault="00044670" w:rsidP="002B5E62">
      <w:pPr>
        <w:spacing w:line="360" w:lineRule="auto"/>
        <w:rPr>
          <w:rFonts w:ascii="Times New Roman" w:hAnsi="Times New Roman"/>
          <w:i/>
          <w:sz w:val="24"/>
          <w:szCs w:val="24"/>
          <w:lang w:val="es-MX"/>
        </w:rPr>
      </w:pPr>
    </w:p>
    <w:p w:rsidR="00044670" w:rsidRDefault="00044670" w:rsidP="002B5E62">
      <w:pPr>
        <w:spacing w:line="360" w:lineRule="auto"/>
        <w:rPr>
          <w:rFonts w:ascii="Times New Roman" w:hAnsi="Times New Roman"/>
          <w:i/>
          <w:sz w:val="24"/>
          <w:szCs w:val="24"/>
          <w:lang w:val="es-MX"/>
        </w:rPr>
      </w:pPr>
    </w:p>
    <w:p w:rsidR="00044670" w:rsidRDefault="00044670" w:rsidP="002B5E62">
      <w:pPr>
        <w:spacing w:line="360" w:lineRule="auto"/>
        <w:rPr>
          <w:rFonts w:ascii="Times New Roman" w:hAnsi="Times New Roman"/>
          <w:i/>
          <w:sz w:val="24"/>
          <w:szCs w:val="24"/>
          <w:lang w:val="es-MX"/>
        </w:rPr>
      </w:pPr>
    </w:p>
    <w:p w:rsidR="00044670" w:rsidRDefault="00044670" w:rsidP="002B5E62">
      <w:pPr>
        <w:spacing w:line="360" w:lineRule="auto"/>
        <w:rPr>
          <w:rFonts w:ascii="Times New Roman" w:hAnsi="Times New Roman"/>
          <w:i/>
          <w:sz w:val="24"/>
          <w:szCs w:val="24"/>
          <w:lang w:val="es-MX"/>
        </w:rPr>
      </w:pPr>
    </w:p>
    <w:p w:rsidR="00044670" w:rsidRDefault="00044670" w:rsidP="002B5E62">
      <w:pPr>
        <w:spacing w:line="360" w:lineRule="auto"/>
        <w:rPr>
          <w:rFonts w:ascii="Times New Roman" w:hAnsi="Times New Roman"/>
          <w:i/>
          <w:sz w:val="24"/>
          <w:szCs w:val="24"/>
          <w:lang w:val="es-MX"/>
        </w:rPr>
      </w:pPr>
    </w:p>
    <w:p w:rsidR="0055324E" w:rsidRPr="00B07754" w:rsidRDefault="0055324E" w:rsidP="002B5E62">
      <w:pPr>
        <w:spacing w:line="360" w:lineRule="auto"/>
        <w:rPr>
          <w:rFonts w:ascii="Times New Roman" w:hAnsi="Times New Roman"/>
          <w:i/>
          <w:sz w:val="24"/>
          <w:szCs w:val="24"/>
          <w:lang w:val="es-MX"/>
        </w:rPr>
      </w:pPr>
      <w:r w:rsidRPr="00B07754">
        <w:rPr>
          <w:rFonts w:ascii="Times New Roman" w:hAnsi="Times New Roman"/>
          <w:i/>
          <w:sz w:val="24"/>
          <w:szCs w:val="24"/>
          <w:lang w:val="es-MX"/>
        </w:rPr>
        <w:lastRenderedPageBreak/>
        <w:t xml:space="preserve">Test de Especificación de </w:t>
      </w:r>
      <w:proofErr w:type="spellStart"/>
      <w:r w:rsidRPr="00B07754">
        <w:rPr>
          <w:rFonts w:ascii="Times New Roman" w:hAnsi="Times New Roman"/>
          <w:i/>
          <w:sz w:val="24"/>
          <w:szCs w:val="24"/>
          <w:lang w:val="es-MX"/>
        </w:rPr>
        <w:t>Hausman</w:t>
      </w:r>
      <w:proofErr w:type="spellEnd"/>
    </w:p>
    <w:p w:rsidR="0055324E" w:rsidRDefault="0055324E" w:rsidP="002B5E62">
      <w:pPr>
        <w:spacing w:line="360" w:lineRule="auto"/>
        <w:rPr>
          <w:rFonts w:ascii="Times New Roman" w:hAnsi="Times New Roman"/>
          <w:sz w:val="24"/>
          <w:szCs w:val="24"/>
          <w:lang w:val="es-MX"/>
        </w:rPr>
      </w:pPr>
      <w:r w:rsidRPr="00B07754">
        <w:rPr>
          <w:rFonts w:ascii="Times New Roman" w:hAnsi="Times New Roman"/>
          <w:sz w:val="24"/>
          <w:szCs w:val="24"/>
          <w:lang w:val="es-MX"/>
        </w:rPr>
        <w:t>Efectos Fijos vs. Aleatorios</w:t>
      </w:r>
    </w:p>
    <w:p w:rsidR="00764D9F" w:rsidRPr="00B07754" w:rsidRDefault="00764D9F" w:rsidP="002B5E62">
      <w:pPr>
        <w:spacing w:line="360" w:lineRule="auto"/>
        <w:rPr>
          <w:rFonts w:ascii="Times New Roman" w:hAnsi="Times New Roman"/>
          <w:sz w:val="24"/>
          <w:szCs w:val="24"/>
          <w:lang w:val="es-MX"/>
        </w:rPr>
      </w:pPr>
    </w:p>
    <w:p w:rsidR="0055324E" w:rsidRPr="00B07754" w:rsidRDefault="0055324E" w:rsidP="002B5E62">
      <w:pPr>
        <w:spacing w:line="360" w:lineRule="auto"/>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67A2C368" wp14:editId="6A2F5694">
            <wp:extent cx="4239490" cy="960951"/>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a:extLst>
                        <a:ext uri="{28A0092B-C50C-407E-A947-70E740481C1C}">
                          <a14:useLocalDpi xmlns:a14="http://schemas.microsoft.com/office/drawing/2010/main" val="0"/>
                        </a:ext>
                      </a:extLst>
                    </a:blip>
                    <a:srcRect r="46174"/>
                    <a:stretch/>
                  </pic:blipFill>
                  <pic:spPr bwMode="auto">
                    <a:xfrm>
                      <a:off x="0" y="0"/>
                      <a:ext cx="4243493" cy="961858"/>
                    </a:xfrm>
                    <a:prstGeom prst="rect">
                      <a:avLst/>
                    </a:prstGeom>
                    <a:noFill/>
                    <a:ln>
                      <a:noFill/>
                    </a:ln>
                    <a:extLst>
                      <a:ext uri="{53640926-AAD7-44D8-BBD7-CCE9431645EC}">
                        <a14:shadowObscured xmlns:a14="http://schemas.microsoft.com/office/drawing/2010/main"/>
                      </a:ext>
                    </a:extLst>
                  </pic:spPr>
                </pic:pic>
              </a:graphicData>
            </a:graphic>
          </wp:inline>
        </w:drawing>
      </w: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sz w:val="24"/>
          <w:szCs w:val="24"/>
          <w:lang w:val="es-MX"/>
        </w:rPr>
        <w:t xml:space="preserve">Test de </w:t>
      </w:r>
      <w:proofErr w:type="spellStart"/>
      <w:r w:rsidRPr="00B07754">
        <w:rPr>
          <w:rFonts w:ascii="Times New Roman" w:hAnsi="Times New Roman"/>
          <w:i/>
          <w:sz w:val="24"/>
          <w:szCs w:val="24"/>
          <w:lang w:val="es-MX"/>
        </w:rPr>
        <w:t>Wooldridge</w:t>
      </w:r>
      <w:proofErr w:type="spellEnd"/>
      <w:r w:rsidRPr="00B07754">
        <w:rPr>
          <w:rFonts w:ascii="Times New Roman" w:hAnsi="Times New Roman"/>
          <w:i/>
          <w:sz w:val="24"/>
          <w:szCs w:val="24"/>
          <w:lang w:val="es-MX"/>
        </w:rPr>
        <w:t xml:space="preserve"> para </w:t>
      </w:r>
      <w:proofErr w:type="spellStart"/>
      <w:r w:rsidRPr="00B07754">
        <w:rPr>
          <w:rFonts w:ascii="Times New Roman" w:hAnsi="Times New Roman"/>
          <w:i/>
          <w:sz w:val="24"/>
          <w:szCs w:val="24"/>
          <w:lang w:val="es-MX"/>
        </w:rPr>
        <w:t>autocorrelacción</w:t>
      </w:r>
      <w:proofErr w:type="spellEnd"/>
    </w:p>
    <w:p w:rsidR="00044670" w:rsidRDefault="00044670" w:rsidP="002B5E62">
      <w:pPr>
        <w:spacing w:line="360" w:lineRule="auto"/>
        <w:rPr>
          <w:rFonts w:ascii="Times New Roman" w:hAnsi="Times New Roman"/>
          <w:i/>
          <w:sz w:val="24"/>
          <w:szCs w:val="24"/>
          <w:lang w:val="es-MX"/>
        </w:rPr>
      </w:pP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noProof/>
          <w:sz w:val="24"/>
          <w:szCs w:val="24"/>
          <w:lang w:val="es-ES" w:eastAsia="es-ES"/>
        </w:rPr>
        <w:drawing>
          <wp:inline distT="0" distB="0" distL="0" distR="0" wp14:anchorId="351957E3" wp14:editId="284D7D6D">
            <wp:extent cx="3969986" cy="656706"/>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6">
                      <a:extLst>
                        <a:ext uri="{28A0092B-C50C-407E-A947-70E740481C1C}">
                          <a14:useLocalDpi xmlns:a14="http://schemas.microsoft.com/office/drawing/2010/main" val="0"/>
                        </a:ext>
                      </a:extLst>
                    </a:blip>
                    <a:srcRect r="50789"/>
                    <a:stretch/>
                  </pic:blipFill>
                  <pic:spPr bwMode="auto">
                    <a:xfrm>
                      <a:off x="0" y="0"/>
                      <a:ext cx="3986095" cy="659371"/>
                    </a:xfrm>
                    <a:prstGeom prst="rect">
                      <a:avLst/>
                    </a:prstGeom>
                    <a:noFill/>
                    <a:ln>
                      <a:noFill/>
                    </a:ln>
                    <a:extLst>
                      <a:ext uri="{53640926-AAD7-44D8-BBD7-CCE9431645EC}">
                        <a14:shadowObscured xmlns:a14="http://schemas.microsoft.com/office/drawing/2010/main"/>
                      </a:ext>
                    </a:extLst>
                  </pic:spPr>
                </pic:pic>
              </a:graphicData>
            </a:graphic>
          </wp:inline>
        </w:drawing>
      </w:r>
    </w:p>
    <w:p w:rsidR="00764D9F" w:rsidRPr="00B07754" w:rsidRDefault="00764D9F" w:rsidP="002B5E62">
      <w:pPr>
        <w:spacing w:line="360" w:lineRule="auto"/>
        <w:rPr>
          <w:rFonts w:ascii="Times New Roman" w:hAnsi="Times New Roman"/>
          <w:i/>
          <w:sz w:val="24"/>
          <w:szCs w:val="24"/>
          <w:lang w:val="es-MX"/>
        </w:rPr>
      </w:pP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sz w:val="24"/>
          <w:szCs w:val="24"/>
          <w:lang w:val="es-MX"/>
        </w:rPr>
        <w:t xml:space="preserve">Test de </w:t>
      </w:r>
      <w:proofErr w:type="spellStart"/>
      <w:r w:rsidRPr="00B07754">
        <w:rPr>
          <w:rFonts w:ascii="Times New Roman" w:hAnsi="Times New Roman"/>
          <w:i/>
          <w:sz w:val="24"/>
          <w:szCs w:val="24"/>
          <w:lang w:val="es-MX"/>
        </w:rPr>
        <w:t>Wald</w:t>
      </w:r>
      <w:proofErr w:type="spellEnd"/>
      <w:r w:rsidRPr="00B07754">
        <w:rPr>
          <w:rFonts w:ascii="Times New Roman" w:hAnsi="Times New Roman"/>
          <w:i/>
          <w:sz w:val="24"/>
          <w:szCs w:val="24"/>
          <w:lang w:val="es-MX"/>
        </w:rPr>
        <w:t xml:space="preserve"> para </w:t>
      </w:r>
      <w:proofErr w:type="spellStart"/>
      <w:r w:rsidRPr="00B07754">
        <w:rPr>
          <w:rFonts w:ascii="Times New Roman" w:hAnsi="Times New Roman"/>
          <w:i/>
          <w:sz w:val="24"/>
          <w:szCs w:val="24"/>
          <w:lang w:val="es-MX"/>
        </w:rPr>
        <w:t>Heteroscedasticidad</w:t>
      </w:r>
      <w:proofErr w:type="spellEnd"/>
    </w:p>
    <w:p w:rsidR="00764D9F" w:rsidRPr="00B07754" w:rsidRDefault="00764D9F" w:rsidP="002B5E62">
      <w:pPr>
        <w:spacing w:line="360" w:lineRule="auto"/>
        <w:rPr>
          <w:rFonts w:ascii="Times New Roman" w:hAnsi="Times New Roman"/>
          <w:i/>
          <w:sz w:val="24"/>
          <w:szCs w:val="24"/>
          <w:lang w:val="es-MX"/>
        </w:rPr>
      </w:pP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noProof/>
          <w:sz w:val="24"/>
          <w:szCs w:val="24"/>
          <w:lang w:val="es-ES" w:eastAsia="es-ES"/>
        </w:rPr>
        <w:drawing>
          <wp:inline distT="0" distB="0" distL="0" distR="0" wp14:anchorId="3FD18FE5" wp14:editId="658A211A">
            <wp:extent cx="3840480" cy="126523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7">
                      <a:extLst>
                        <a:ext uri="{28A0092B-C50C-407E-A947-70E740481C1C}">
                          <a14:useLocalDpi xmlns:a14="http://schemas.microsoft.com/office/drawing/2010/main" val="0"/>
                        </a:ext>
                      </a:extLst>
                    </a:blip>
                    <a:srcRect r="50612"/>
                    <a:stretch/>
                  </pic:blipFill>
                  <pic:spPr bwMode="auto">
                    <a:xfrm>
                      <a:off x="0" y="0"/>
                      <a:ext cx="3867174" cy="1274024"/>
                    </a:xfrm>
                    <a:prstGeom prst="rect">
                      <a:avLst/>
                    </a:prstGeom>
                    <a:noFill/>
                    <a:ln>
                      <a:noFill/>
                    </a:ln>
                    <a:extLst>
                      <a:ext uri="{53640926-AAD7-44D8-BBD7-CCE9431645EC}">
                        <a14:shadowObscured xmlns:a14="http://schemas.microsoft.com/office/drawing/2010/main"/>
                      </a:ext>
                    </a:extLst>
                  </pic:spPr>
                </pic:pic>
              </a:graphicData>
            </a:graphic>
          </wp:inline>
        </w:drawing>
      </w:r>
    </w:p>
    <w:p w:rsidR="00764D9F"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55324E" w:rsidRDefault="0055324E" w:rsidP="002B5E62">
      <w:pPr>
        <w:pStyle w:val="Ttulo2"/>
        <w:numPr>
          <w:ilvl w:val="0"/>
          <w:numId w:val="27"/>
        </w:numPr>
        <w:spacing w:before="0" w:after="200" w:line="360" w:lineRule="auto"/>
        <w:jc w:val="center"/>
        <w:rPr>
          <w:rFonts w:ascii="Times New Roman" w:hAnsi="Times New Roman"/>
          <w:color w:val="auto"/>
          <w:sz w:val="24"/>
          <w:szCs w:val="24"/>
          <w:lang w:val="es-MX"/>
        </w:rPr>
      </w:pPr>
      <w:bookmarkStart w:id="48" w:name="_Toc372589990"/>
      <w:r w:rsidRPr="00B07754">
        <w:rPr>
          <w:rFonts w:ascii="Times New Roman" w:hAnsi="Times New Roman"/>
          <w:color w:val="auto"/>
          <w:sz w:val="24"/>
          <w:szCs w:val="24"/>
          <w:lang w:val="es-MX"/>
        </w:rPr>
        <w:lastRenderedPageBreak/>
        <w:t>Resultados de la Estimación de la Relación Competencia – Estabilidad</w:t>
      </w:r>
      <w:bookmarkEnd w:id="48"/>
    </w:p>
    <w:p w:rsidR="00764D9F" w:rsidRPr="00764D9F" w:rsidRDefault="00764D9F" w:rsidP="00764D9F">
      <w:pPr>
        <w:rPr>
          <w:lang w:val="es-MX"/>
        </w:rPr>
      </w:pPr>
    </w:p>
    <w:p w:rsidR="0055324E" w:rsidRDefault="0055324E" w:rsidP="002B5E62">
      <w:pPr>
        <w:spacing w:line="360" w:lineRule="auto"/>
        <w:rPr>
          <w:rFonts w:ascii="Times New Roman" w:hAnsi="Times New Roman"/>
          <w:sz w:val="24"/>
          <w:szCs w:val="24"/>
          <w:lang w:val="es-MX"/>
        </w:rPr>
      </w:pPr>
      <w:r w:rsidRPr="00B07754">
        <w:rPr>
          <w:rFonts w:ascii="Times New Roman" w:hAnsi="Times New Roman"/>
          <w:noProof/>
          <w:sz w:val="24"/>
          <w:szCs w:val="24"/>
          <w:lang w:val="es-ES" w:eastAsia="es-ES"/>
        </w:rPr>
        <w:drawing>
          <wp:inline distT="0" distB="0" distL="0" distR="0" wp14:anchorId="7F24C546" wp14:editId="40B0FEAC">
            <wp:extent cx="5727469" cy="4349689"/>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a:extLst>
                        <a:ext uri="{28A0092B-C50C-407E-A947-70E740481C1C}">
                          <a14:useLocalDpi xmlns:a14="http://schemas.microsoft.com/office/drawing/2010/main" val="0"/>
                        </a:ext>
                      </a:extLst>
                    </a:blip>
                    <a:srcRect r="27767"/>
                    <a:stretch/>
                  </pic:blipFill>
                  <pic:spPr bwMode="auto">
                    <a:xfrm>
                      <a:off x="0" y="0"/>
                      <a:ext cx="5730667" cy="4352118"/>
                    </a:xfrm>
                    <a:prstGeom prst="rect">
                      <a:avLst/>
                    </a:prstGeom>
                    <a:noFill/>
                    <a:ln>
                      <a:noFill/>
                    </a:ln>
                    <a:extLst>
                      <a:ext uri="{53640926-AAD7-44D8-BBD7-CCE9431645EC}">
                        <a14:shadowObscured xmlns:a14="http://schemas.microsoft.com/office/drawing/2010/main"/>
                      </a:ext>
                    </a:extLst>
                  </pic:spPr>
                </pic:pic>
              </a:graphicData>
            </a:graphic>
          </wp:inline>
        </w:drawing>
      </w:r>
    </w:p>
    <w:p w:rsidR="00764D9F" w:rsidRPr="00B07754" w:rsidRDefault="00764D9F" w:rsidP="002B5E62">
      <w:pPr>
        <w:spacing w:line="360" w:lineRule="auto"/>
        <w:rPr>
          <w:rFonts w:ascii="Times New Roman" w:hAnsi="Times New Roman"/>
          <w:sz w:val="24"/>
          <w:szCs w:val="24"/>
          <w:lang w:val="es-MX"/>
        </w:rPr>
      </w:pPr>
    </w:p>
    <w:p w:rsidR="0055324E" w:rsidRPr="00B07754" w:rsidRDefault="0055324E" w:rsidP="002B5E62">
      <w:pPr>
        <w:spacing w:line="360" w:lineRule="auto"/>
        <w:rPr>
          <w:rFonts w:ascii="Times New Roman" w:hAnsi="Times New Roman"/>
          <w:b/>
          <w:sz w:val="24"/>
          <w:szCs w:val="24"/>
          <w:lang w:val="es-MX"/>
        </w:rPr>
      </w:pPr>
      <w:r w:rsidRPr="00B07754">
        <w:rPr>
          <w:rFonts w:ascii="Times New Roman" w:hAnsi="Times New Roman"/>
          <w:b/>
          <w:sz w:val="24"/>
          <w:szCs w:val="24"/>
          <w:lang w:val="es-MX"/>
        </w:rPr>
        <w:t>Pruebas de Hipótesis realizadas</w:t>
      </w: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sz w:val="24"/>
          <w:szCs w:val="24"/>
          <w:lang w:val="es-MX"/>
        </w:rPr>
        <w:t xml:space="preserve">Test de </w:t>
      </w:r>
      <w:proofErr w:type="spellStart"/>
      <w:r w:rsidRPr="00B07754">
        <w:rPr>
          <w:rFonts w:ascii="Times New Roman" w:hAnsi="Times New Roman"/>
          <w:i/>
          <w:sz w:val="24"/>
          <w:szCs w:val="24"/>
          <w:lang w:val="es-MX"/>
        </w:rPr>
        <w:t>Sargan</w:t>
      </w:r>
      <w:proofErr w:type="spellEnd"/>
      <w:r w:rsidRPr="00B07754">
        <w:rPr>
          <w:rFonts w:ascii="Times New Roman" w:hAnsi="Times New Roman"/>
          <w:i/>
          <w:sz w:val="24"/>
          <w:szCs w:val="24"/>
          <w:lang w:val="es-MX"/>
        </w:rPr>
        <w:t xml:space="preserve"> para </w:t>
      </w:r>
      <w:proofErr w:type="spellStart"/>
      <w:r w:rsidRPr="00B07754">
        <w:rPr>
          <w:rFonts w:ascii="Times New Roman" w:hAnsi="Times New Roman"/>
          <w:i/>
          <w:sz w:val="24"/>
          <w:szCs w:val="24"/>
          <w:lang w:val="es-MX"/>
        </w:rPr>
        <w:t>sobreidentificación</w:t>
      </w:r>
      <w:proofErr w:type="spellEnd"/>
    </w:p>
    <w:p w:rsidR="00764D9F" w:rsidRPr="00B07754" w:rsidRDefault="00764D9F" w:rsidP="002B5E62">
      <w:pPr>
        <w:spacing w:line="360" w:lineRule="auto"/>
        <w:rPr>
          <w:rFonts w:ascii="Times New Roman" w:hAnsi="Times New Roman"/>
          <w:i/>
          <w:sz w:val="24"/>
          <w:szCs w:val="24"/>
          <w:lang w:val="es-MX"/>
        </w:rPr>
      </w:pPr>
    </w:p>
    <w:p w:rsidR="0055324E" w:rsidRDefault="0055324E" w:rsidP="002B5E62">
      <w:pPr>
        <w:spacing w:line="360" w:lineRule="auto"/>
        <w:rPr>
          <w:rFonts w:ascii="Times New Roman" w:hAnsi="Times New Roman"/>
          <w:i/>
          <w:sz w:val="24"/>
          <w:szCs w:val="24"/>
          <w:lang w:val="es-MX"/>
        </w:rPr>
      </w:pPr>
      <w:r w:rsidRPr="00B07754">
        <w:rPr>
          <w:rFonts w:ascii="Times New Roman" w:hAnsi="Times New Roman"/>
          <w:i/>
          <w:noProof/>
          <w:sz w:val="24"/>
          <w:szCs w:val="24"/>
          <w:lang w:val="es-ES" w:eastAsia="es-ES"/>
        </w:rPr>
        <w:drawing>
          <wp:inline distT="0" distB="0" distL="0" distR="0" wp14:anchorId="6126EA38" wp14:editId="2CF4491A">
            <wp:extent cx="3790603" cy="80897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a:extLst>
                        <a:ext uri="{28A0092B-C50C-407E-A947-70E740481C1C}">
                          <a14:useLocalDpi xmlns:a14="http://schemas.microsoft.com/office/drawing/2010/main" val="0"/>
                        </a:ext>
                      </a:extLst>
                    </a:blip>
                    <a:srcRect r="52650"/>
                    <a:stretch/>
                  </pic:blipFill>
                  <pic:spPr bwMode="auto">
                    <a:xfrm>
                      <a:off x="0" y="0"/>
                      <a:ext cx="3833181" cy="818057"/>
                    </a:xfrm>
                    <a:prstGeom prst="rect">
                      <a:avLst/>
                    </a:prstGeom>
                    <a:noFill/>
                    <a:ln>
                      <a:noFill/>
                    </a:ln>
                    <a:extLst>
                      <a:ext uri="{53640926-AAD7-44D8-BBD7-CCE9431645EC}">
                        <a14:shadowObscured xmlns:a14="http://schemas.microsoft.com/office/drawing/2010/main"/>
                      </a:ext>
                    </a:extLst>
                  </pic:spPr>
                </pic:pic>
              </a:graphicData>
            </a:graphic>
          </wp:inline>
        </w:drawing>
      </w:r>
    </w:p>
    <w:p w:rsidR="00764D9F" w:rsidRPr="00B07754"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764D9F" w:rsidRDefault="00764D9F" w:rsidP="002B5E62">
      <w:pPr>
        <w:spacing w:line="360" w:lineRule="auto"/>
        <w:rPr>
          <w:rFonts w:ascii="Times New Roman" w:hAnsi="Times New Roman"/>
          <w:i/>
          <w:sz w:val="24"/>
          <w:szCs w:val="24"/>
          <w:lang w:val="es-MX"/>
        </w:rPr>
      </w:pPr>
    </w:p>
    <w:p w:rsidR="00764D9F" w:rsidRDefault="0055324E" w:rsidP="002B5E62">
      <w:pPr>
        <w:spacing w:line="360" w:lineRule="auto"/>
        <w:rPr>
          <w:rFonts w:ascii="Times New Roman" w:hAnsi="Times New Roman"/>
          <w:i/>
          <w:sz w:val="24"/>
          <w:szCs w:val="24"/>
          <w:lang w:val="es-MX"/>
        </w:rPr>
      </w:pPr>
      <w:r w:rsidRPr="00B07754">
        <w:rPr>
          <w:rFonts w:ascii="Times New Roman" w:hAnsi="Times New Roman"/>
          <w:i/>
          <w:sz w:val="24"/>
          <w:szCs w:val="24"/>
          <w:lang w:val="es-MX"/>
        </w:rPr>
        <w:lastRenderedPageBreak/>
        <w:t xml:space="preserve">Test de Arellano-Bond para </w:t>
      </w:r>
      <w:proofErr w:type="spellStart"/>
      <w:r w:rsidRPr="00B07754">
        <w:rPr>
          <w:rFonts w:ascii="Times New Roman" w:hAnsi="Times New Roman"/>
          <w:i/>
          <w:sz w:val="24"/>
          <w:szCs w:val="24"/>
          <w:lang w:val="es-MX"/>
        </w:rPr>
        <w:t>Autocorrelación</w:t>
      </w:r>
      <w:proofErr w:type="spellEnd"/>
    </w:p>
    <w:p w:rsidR="00231CE6" w:rsidRPr="00B07754" w:rsidRDefault="0055324E" w:rsidP="002B5E62">
      <w:pPr>
        <w:spacing w:line="360" w:lineRule="auto"/>
        <w:rPr>
          <w:rFonts w:ascii="Times New Roman" w:hAnsi="Times New Roman"/>
          <w:sz w:val="24"/>
          <w:szCs w:val="24"/>
        </w:rPr>
      </w:pPr>
      <w:r w:rsidRPr="00B07754">
        <w:rPr>
          <w:rFonts w:ascii="Times New Roman" w:hAnsi="Times New Roman"/>
          <w:i/>
          <w:noProof/>
          <w:sz w:val="24"/>
          <w:szCs w:val="24"/>
          <w:lang w:val="es-ES" w:eastAsia="es-ES"/>
        </w:rPr>
        <w:drawing>
          <wp:inline distT="0" distB="0" distL="0" distR="0" wp14:anchorId="32A52D5B" wp14:editId="05C9DDC5">
            <wp:extent cx="5444770" cy="164592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0">
                      <a:extLst>
                        <a:ext uri="{28A0092B-C50C-407E-A947-70E740481C1C}">
                          <a14:useLocalDpi xmlns:a14="http://schemas.microsoft.com/office/drawing/2010/main" val="0"/>
                        </a:ext>
                      </a:extLst>
                    </a:blip>
                    <a:srcRect r="32712"/>
                    <a:stretch/>
                  </pic:blipFill>
                  <pic:spPr bwMode="auto">
                    <a:xfrm>
                      <a:off x="0" y="0"/>
                      <a:ext cx="5450099" cy="1647531"/>
                    </a:xfrm>
                    <a:prstGeom prst="rect">
                      <a:avLst/>
                    </a:prstGeom>
                    <a:noFill/>
                    <a:ln>
                      <a:noFill/>
                    </a:ln>
                    <a:extLst>
                      <a:ext uri="{53640926-AAD7-44D8-BBD7-CCE9431645EC}">
                        <a14:shadowObscured xmlns:a14="http://schemas.microsoft.com/office/drawing/2010/main"/>
                      </a:ext>
                    </a:extLst>
                  </pic:spPr>
                </pic:pic>
              </a:graphicData>
            </a:graphic>
          </wp:inline>
        </w:drawing>
      </w:r>
      <w:bookmarkEnd w:id="10"/>
    </w:p>
    <w:sectPr w:rsidR="00231CE6" w:rsidRPr="00B07754" w:rsidSect="00A51236">
      <w:headerReference w:type="default" r:id="rId31"/>
      <w:footerReference w:type="default" r:id="rId32"/>
      <w:pgSz w:w="11907" w:h="16839" w:code="9"/>
      <w:pgMar w:top="1418"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3B1A" w:rsidRDefault="00643B1A" w:rsidP="00782E35">
      <w:pPr>
        <w:spacing w:after="0" w:line="240" w:lineRule="auto"/>
      </w:pPr>
      <w:r>
        <w:separator/>
      </w:r>
    </w:p>
  </w:endnote>
  <w:endnote w:type="continuationSeparator" w:id="0">
    <w:p w:rsidR="00643B1A" w:rsidRDefault="00643B1A" w:rsidP="00782E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7742435"/>
      <w:docPartObj>
        <w:docPartGallery w:val="Page Numbers (Bottom of Page)"/>
        <w:docPartUnique/>
      </w:docPartObj>
    </w:sdtPr>
    <w:sdtEndPr/>
    <w:sdtContent>
      <w:p w:rsidR="00287975" w:rsidRDefault="00287975">
        <w:pPr>
          <w:pStyle w:val="Piedepgina"/>
          <w:jc w:val="center"/>
        </w:pPr>
        <w:r>
          <w:fldChar w:fldCharType="begin"/>
        </w:r>
        <w:r>
          <w:instrText>PAGE   \* MERGEFORMAT</w:instrText>
        </w:r>
        <w:r>
          <w:fldChar w:fldCharType="separate"/>
        </w:r>
        <w:r w:rsidR="009523EF" w:rsidRPr="009523EF">
          <w:rPr>
            <w:noProof/>
            <w:lang w:val="es-ES"/>
          </w:rPr>
          <w:t>2</w:t>
        </w:r>
        <w:r>
          <w:fldChar w:fldCharType="end"/>
        </w:r>
      </w:p>
    </w:sdtContent>
  </w:sdt>
  <w:p w:rsidR="00287975" w:rsidRDefault="0028797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3B1A" w:rsidRDefault="00643B1A" w:rsidP="00782E35">
      <w:pPr>
        <w:spacing w:after="0" w:line="240" w:lineRule="auto"/>
      </w:pPr>
      <w:r>
        <w:separator/>
      </w:r>
    </w:p>
  </w:footnote>
  <w:footnote w:type="continuationSeparator" w:id="0">
    <w:p w:rsidR="00643B1A" w:rsidRDefault="00643B1A" w:rsidP="00782E35">
      <w:pPr>
        <w:spacing w:after="0" w:line="240" w:lineRule="auto"/>
      </w:pPr>
      <w:r>
        <w:continuationSeparator/>
      </w:r>
    </w:p>
  </w:footnote>
  <w:footnote w:id="1">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lang w:val="es-MX"/>
        </w:rPr>
        <w:t>A través de la supervisión y regulación prudencial se busca garantizar la solvencia y liquidez de las entidades del sistema financiero, evitando prácticas imprudentes, la excesiva exposición a los riesgos de liquidez, crédito, operativos y de mercado y procurando que exista un respaldo adecuado para clientes y depositantes</w:t>
      </w:r>
      <w:sdt>
        <w:sdtPr>
          <w:rPr>
            <w:rFonts w:ascii="Times New Roman" w:hAnsi="Times New Roman"/>
            <w:sz w:val="18"/>
            <w:szCs w:val="18"/>
            <w:lang w:val="es-MX"/>
          </w:rPr>
          <w:id w:val="-1249954687"/>
          <w:citation/>
        </w:sdtPr>
        <w:sdtEndPr/>
        <w:sdtContent>
          <w:r w:rsidRPr="009B1CBD">
            <w:rPr>
              <w:rFonts w:ascii="Times New Roman" w:hAnsi="Times New Roman"/>
              <w:sz w:val="18"/>
              <w:szCs w:val="18"/>
              <w:lang w:val="es-MX"/>
            </w:rPr>
            <w:fldChar w:fldCharType="begin"/>
          </w:r>
          <w:r w:rsidRPr="009B1CBD">
            <w:rPr>
              <w:rFonts w:ascii="Times New Roman" w:hAnsi="Times New Roman"/>
              <w:sz w:val="18"/>
              <w:szCs w:val="18"/>
              <w:lang w:val="es-MX"/>
            </w:rPr>
            <w:instrText xml:space="preserve"> CITATION Car01 \l 2058 </w:instrText>
          </w:r>
          <w:r w:rsidRPr="009B1CBD">
            <w:rPr>
              <w:rFonts w:ascii="Times New Roman" w:hAnsi="Times New Roman"/>
              <w:sz w:val="18"/>
              <w:szCs w:val="18"/>
              <w:lang w:val="es-MX"/>
            </w:rPr>
            <w:fldChar w:fldCharType="separate"/>
          </w:r>
          <w:r w:rsidRPr="009B1CBD">
            <w:rPr>
              <w:rFonts w:ascii="Times New Roman" w:hAnsi="Times New Roman"/>
              <w:noProof/>
              <w:sz w:val="18"/>
              <w:szCs w:val="18"/>
              <w:lang w:val="es-MX"/>
            </w:rPr>
            <w:t xml:space="preserve"> (Mejía, 2001)</w:t>
          </w:r>
          <w:r w:rsidRPr="009B1CBD">
            <w:rPr>
              <w:rFonts w:ascii="Times New Roman" w:hAnsi="Times New Roman"/>
              <w:sz w:val="18"/>
              <w:szCs w:val="18"/>
              <w:lang w:val="es-MX"/>
            </w:rPr>
            <w:fldChar w:fldCharType="end"/>
          </w:r>
        </w:sdtContent>
      </w:sdt>
    </w:p>
  </w:footnote>
  <w:footnote w:id="2">
    <w:p w:rsidR="00287975" w:rsidRPr="009B1CBD" w:rsidRDefault="00287975" w:rsidP="009B1CBD">
      <w:pPr>
        <w:autoSpaceDE w:val="0"/>
        <w:autoSpaceDN w:val="0"/>
        <w:adjustRightInd w:val="0"/>
        <w:spacing w:after="0" w:line="240" w:lineRule="auto"/>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En economía se entiende por eficiencia a la manera en la que </w:t>
      </w:r>
      <w:r w:rsidRPr="009B1CBD">
        <w:rPr>
          <w:rFonts w:ascii="Times New Roman" w:eastAsiaTheme="minorHAnsi" w:hAnsi="Times New Roman"/>
          <w:sz w:val="18"/>
          <w:szCs w:val="18"/>
          <w:lang w:val="es-MX"/>
        </w:rPr>
        <w:t>se utilizan los recursos escasos que se disponen para obtener el mayor número de productos. L</w:t>
      </w:r>
      <w:r w:rsidRPr="009B1CBD">
        <w:rPr>
          <w:rFonts w:ascii="Times New Roman" w:hAnsi="Times New Roman"/>
          <w:sz w:val="18"/>
          <w:szCs w:val="18"/>
        </w:rPr>
        <w:t xml:space="preserve">a eficiencia estática hace referencia </w:t>
      </w:r>
      <w:r w:rsidRPr="009B1CBD">
        <w:rPr>
          <w:rFonts w:ascii="Times New Roman" w:eastAsiaTheme="minorHAnsi" w:hAnsi="Times New Roman"/>
          <w:sz w:val="18"/>
          <w:szCs w:val="18"/>
          <w:lang w:val="es-MX"/>
        </w:rPr>
        <w:t xml:space="preserve">al uso de recursos dada una tecnología de producción o un conjunto de bienes y servicios, este tipo de eficiencia está vinculada a la competencia de empresas en el mercado. </w:t>
      </w:r>
      <w:sdt>
        <w:sdtPr>
          <w:rPr>
            <w:rFonts w:ascii="Times New Roman" w:eastAsiaTheme="minorHAnsi" w:hAnsi="Times New Roman"/>
            <w:sz w:val="18"/>
            <w:szCs w:val="18"/>
            <w:lang w:val="es-MX"/>
          </w:rPr>
          <w:id w:val="-1749718717"/>
          <w:citation/>
        </w:sdtPr>
        <w:sdtEndPr/>
        <w:sdtContent>
          <w:r w:rsidRPr="009B1CBD">
            <w:rPr>
              <w:rFonts w:ascii="Times New Roman" w:eastAsiaTheme="minorHAnsi" w:hAnsi="Times New Roman"/>
              <w:sz w:val="18"/>
              <w:szCs w:val="18"/>
              <w:lang w:val="es-MX"/>
            </w:rPr>
            <w:fldChar w:fldCharType="begin"/>
          </w:r>
          <w:r w:rsidRPr="009B1CBD">
            <w:rPr>
              <w:rFonts w:ascii="Times New Roman" w:eastAsiaTheme="minorHAnsi" w:hAnsi="Times New Roman"/>
              <w:sz w:val="18"/>
              <w:szCs w:val="18"/>
              <w:lang w:val="es-MX"/>
            </w:rPr>
            <w:instrText xml:space="preserve">CITATION Lea11 \p 9 \l 2058 </w:instrText>
          </w:r>
          <w:r w:rsidRPr="009B1CBD">
            <w:rPr>
              <w:rFonts w:ascii="Times New Roman" w:eastAsiaTheme="minorHAnsi" w:hAnsi="Times New Roman"/>
              <w:sz w:val="18"/>
              <w:szCs w:val="18"/>
              <w:lang w:val="es-MX"/>
            </w:rPr>
            <w:fldChar w:fldCharType="separate"/>
          </w:r>
          <w:r w:rsidRPr="009B1CBD">
            <w:rPr>
              <w:rFonts w:ascii="Times New Roman" w:eastAsiaTheme="minorHAnsi" w:hAnsi="Times New Roman"/>
              <w:noProof/>
              <w:sz w:val="18"/>
              <w:szCs w:val="18"/>
              <w:lang w:val="es-MX"/>
            </w:rPr>
            <w:t>(Zipitría, 2011, pág. 9)</w:t>
          </w:r>
          <w:r w:rsidRPr="009B1CBD">
            <w:rPr>
              <w:rFonts w:ascii="Times New Roman" w:eastAsiaTheme="minorHAnsi" w:hAnsi="Times New Roman"/>
              <w:sz w:val="18"/>
              <w:szCs w:val="18"/>
              <w:lang w:val="es-MX"/>
            </w:rPr>
            <w:fldChar w:fldCharType="end"/>
          </w:r>
        </w:sdtContent>
      </w:sdt>
    </w:p>
  </w:footnote>
  <w:footnote w:id="3">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lang w:eastAsia="es-MX"/>
        </w:rPr>
        <w:t>Se define a la estabilidad financiera como la ausencia de un impacto adverso en la economía real proveniente de un mal funcionamiento en el sistema financiero o el riesgo que esto ocurra</w:t>
      </w:r>
    </w:p>
  </w:footnote>
  <w:footnote w:id="4">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En este caso el </w:t>
      </w:r>
      <w:proofErr w:type="spellStart"/>
      <w:r w:rsidRPr="009B1CBD">
        <w:rPr>
          <w:rFonts w:ascii="Times New Roman" w:hAnsi="Times New Roman"/>
          <w:i/>
          <w:sz w:val="18"/>
          <w:szCs w:val="18"/>
        </w:rPr>
        <w:t>trade</w:t>
      </w:r>
      <w:proofErr w:type="spellEnd"/>
      <w:r w:rsidRPr="009B1CBD">
        <w:rPr>
          <w:rFonts w:ascii="Times New Roman" w:hAnsi="Times New Roman"/>
          <w:i/>
          <w:sz w:val="18"/>
          <w:szCs w:val="18"/>
        </w:rPr>
        <w:t xml:space="preserve">-off </w:t>
      </w:r>
      <w:r w:rsidRPr="009B1CBD">
        <w:rPr>
          <w:rFonts w:ascii="Times New Roman" w:hAnsi="Times New Roman"/>
          <w:sz w:val="18"/>
          <w:szCs w:val="18"/>
        </w:rPr>
        <w:t xml:space="preserve">entre competencia y estabilidad hace referencia a la relación negativa que podría existir entre dos variables, en la cual para que el sistema bancario sea más estable se requiere que se reduzca el nivel de competencia. </w:t>
      </w:r>
    </w:p>
  </w:footnote>
  <w:footnote w:id="5">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Una opción </w:t>
      </w:r>
      <w:proofErr w:type="spellStart"/>
      <w:r w:rsidRPr="009B1CBD">
        <w:rPr>
          <w:rFonts w:ascii="Times New Roman" w:hAnsi="Times New Roman"/>
          <w:i/>
          <w:sz w:val="18"/>
          <w:szCs w:val="18"/>
        </w:rPr>
        <w:t>put</w:t>
      </w:r>
      <w:proofErr w:type="spellEnd"/>
      <w:r w:rsidRPr="009B1CBD">
        <w:rPr>
          <w:rFonts w:ascii="Times New Roman" w:hAnsi="Times New Roman"/>
          <w:sz w:val="18"/>
          <w:szCs w:val="18"/>
        </w:rPr>
        <w:t xml:space="preserve"> es un derivado financiero (el precio depende de un activo subyacente) en el cual una de las partes tiene el derecho  de vender y la otra la obligación de comprar. En el contexto analizado, la reducción de ingresos por el aumento de la competencia hace que los gerentes de los bancos prefieran invertir en derivados que generen un mayor rendimiento respecto al de los créditos bancarios  (no tan rentables). Por esta razón es que las opciones </w:t>
      </w:r>
      <w:proofErr w:type="spellStart"/>
      <w:r w:rsidRPr="009B1CBD">
        <w:rPr>
          <w:rFonts w:ascii="Times New Roman" w:hAnsi="Times New Roman"/>
          <w:i/>
          <w:sz w:val="18"/>
          <w:szCs w:val="18"/>
        </w:rPr>
        <w:t>put</w:t>
      </w:r>
      <w:proofErr w:type="spellEnd"/>
      <w:r w:rsidRPr="009B1CBD">
        <w:rPr>
          <w:rFonts w:ascii="Times New Roman" w:hAnsi="Times New Roman"/>
          <w:sz w:val="18"/>
          <w:szCs w:val="18"/>
        </w:rPr>
        <w:t xml:space="preserve"> creadas a partir de los depósitos que se encuentran garantizados incrementan su valor.  </w:t>
      </w:r>
    </w:p>
  </w:footnote>
  <w:footnote w:id="6">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Rama de la teoría económica que intenta determinar las condiciones que se requieren para alcanzar el máximo de bienestar social. </w:t>
      </w:r>
      <w:sdt>
        <w:sdtPr>
          <w:rPr>
            <w:rFonts w:ascii="Times New Roman" w:hAnsi="Times New Roman"/>
            <w:sz w:val="18"/>
            <w:szCs w:val="18"/>
          </w:rPr>
          <w:id w:val="-1862044434"/>
          <w:citation/>
        </w:sdtPr>
        <w:sdtEndPr/>
        <w:sdtContent>
          <w:r w:rsidRPr="009B1CBD">
            <w:rPr>
              <w:rFonts w:ascii="Times New Roman" w:hAnsi="Times New Roman"/>
              <w:sz w:val="18"/>
              <w:szCs w:val="18"/>
            </w:rPr>
            <w:fldChar w:fldCharType="begin"/>
          </w:r>
          <w:r w:rsidRPr="009B1CBD">
            <w:rPr>
              <w:rFonts w:ascii="Times New Roman" w:hAnsi="Times New Roman"/>
              <w:sz w:val="18"/>
              <w:szCs w:val="18"/>
              <w:lang w:val="es-MX"/>
            </w:rPr>
            <w:instrText xml:space="preserve"> CITATION LaG13 \l 2058 </w:instrText>
          </w:r>
          <w:r w:rsidRPr="009B1CBD">
            <w:rPr>
              <w:rFonts w:ascii="Times New Roman" w:hAnsi="Times New Roman"/>
              <w:sz w:val="18"/>
              <w:szCs w:val="18"/>
            </w:rPr>
            <w:fldChar w:fldCharType="separate"/>
          </w:r>
          <w:r w:rsidRPr="009B1CBD">
            <w:rPr>
              <w:rFonts w:ascii="Times New Roman" w:hAnsi="Times New Roman"/>
              <w:noProof/>
              <w:sz w:val="18"/>
              <w:szCs w:val="18"/>
              <w:lang w:val="es-MX"/>
            </w:rPr>
            <w:t>(La Gran Enciclopedia de Economía)</w:t>
          </w:r>
          <w:r w:rsidRPr="009B1CBD">
            <w:rPr>
              <w:rFonts w:ascii="Times New Roman" w:hAnsi="Times New Roman"/>
              <w:sz w:val="18"/>
              <w:szCs w:val="18"/>
            </w:rPr>
            <w:fldChar w:fldCharType="end"/>
          </w:r>
        </w:sdtContent>
      </w:sdt>
    </w:p>
  </w:footnote>
  <w:footnote w:id="7">
    <w:p w:rsidR="00287975" w:rsidRPr="009B1CBD" w:rsidRDefault="00287975" w:rsidP="009B1CBD">
      <w:pPr>
        <w:pStyle w:val="NormalWeb"/>
        <w:shd w:val="clear" w:color="auto" w:fill="FFFFFF"/>
        <w:spacing w:before="96" w:beforeAutospacing="0" w:after="120" w:afterAutospacing="0"/>
        <w:jc w:val="both"/>
        <w:rPr>
          <w:sz w:val="18"/>
          <w:szCs w:val="18"/>
        </w:rPr>
      </w:pPr>
      <w:r w:rsidRPr="009B1CBD">
        <w:rPr>
          <w:rStyle w:val="Refdenotaalpie"/>
          <w:sz w:val="18"/>
          <w:szCs w:val="18"/>
        </w:rPr>
        <w:footnoteRef/>
      </w:r>
      <w:r w:rsidRPr="009B1CBD">
        <w:rPr>
          <w:sz w:val="18"/>
          <w:szCs w:val="18"/>
        </w:rPr>
        <w:t xml:space="preserve">  Un mercado completo es aquel en que el set completo de apuestas para diferentes estados de la economía en el futuro puede ser construido con los activos existentes. Cada agente es capaz de intercambiar todo bien, directa o indirectamente con todos los agentes sin costos de transacción. En este caso los bienes son estado-contingente, lo que significa que un bien incluye el tiempo y estado de la economía en el que es consumido. </w:t>
      </w:r>
    </w:p>
    <w:p w:rsidR="00287975" w:rsidRPr="009B1CBD" w:rsidRDefault="00287975" w:rsidP="009B1CBD">
      <w:pPr>
        <w:pStyle w:val="NormalWeb"/>
        <w:shd w:val="clear" w:color="auto" w:fill="FFFFFF"/>
        <w:spacing w:before="96" w:beforeAutospacing="0" w:after="120" w:afterAutospacing="0"/>
        <w:jc w:val="both"/>
        <w:rPr>
          <w:sz w:val="18"/>
          <w:szCs w:val="18"/>
        </w:rPr>
      </w:pPr>
      <w:r w:rsidRPr="009B1CBD">
        <w:rPr>
          <w:sz w:val="18"/>
          <w:szCs w:val="18"/>
        </w:rPr>
        <w:t>Un estado de la economía es la especificación completa de los valores de todas las variables relevantes en el horizonte temporal relevante</w:t>
      </w:r>
      <w:sdt>
        <w:sdtPr>
          <w:rPr>
            <w:sz w:val="18"/>
            <w:szCs w:val="18"/>
          </w:rPr>
          <w:id w:val="1615405238"/>
          <w:citation/>
        </w:sdtPr>
        <w:sdtEndPr/>
        <w:sdtContent>
          <w:r w:rsidRPr="009B1CBD">
            <w:rPr>
              <w:sz w:val="18"/>
              <w:szCs w:val="18"/>
            </w:rPr>
            <w:fldChar w:fldCharType="begin"/>
          </w:r>
          <w:r w:rsidRPr="009B1CBD">
            <w:rPr>
              <w:sz w:val="18"/>
              <w:szCs w:val="18"/>
            </w:rPr>
            <w:instrText xml:space="preserve"> CITATION Mar91 \l 2058 </w:instrText>
          </w:r>
          <w:r w:rsidRPr="009B1CBD">
            <w:rPr>
              <w:sz w:val="18"/>
              <w:szCs w:val="18"/>
            </w:rPr>
            <w:fldChar w:fldCharType="separate"/>
          </w:r>
          <w:r w:rsidRPr="009B1CBD">
            <w:rPr>
              <w:noProof/>
              <w:sz w:val="18"/>
              <w:szCs w:val="18"/>
            </w:rPr>
            <w:t xml:space="preserve"> (Flood, 1991)</w:t>
          </w:r>
          <w:r w:rsidRPr="009B1CBD">
            <w:rPr>
              <w:sz w:val="18"/>
              <w:szCs w:val="18"/>
            </w:rPr>
            <w:fldChar w:fldCharType="end"/>
          </w:r>
        </w:sdtContent>
      </w:sdt>
      <w:r w:rsidRPr="009B1CBD">
        <w:rPr>
          <w:sz w:val="18"/>
          <w:szCs w:val="18"/>
        </w:rPr>
        <w:t xml:space="preserve">. </w:t>
      </w:r>
    </w:p>
    <w:p w:rsidR="00287975" w:rsidRPr="009B1CBD" w:rsidRDefault="00287975" w:rsidP="009B1CBD">
      <w:pPr>
        <w:pStyle w:val="NormalWeb"/>
        <w:shd w:val="clear" w:color="auto" w:fill="FFFFFF"/>
        <w:spacing w:before="96" w:beforeAutospacing="0" w:after="120" w:afterAutospacing="0"/>
        <w:jc w:val="both"/>
        <w:rPr>
          <w:sz w:val="18"/>
          <w:szCs w:val="18"/>
        </w:rPr>
      </w:pPr>
      <w:r w:rsidRPr="009B1CBD">
        <w:rPr>
          <w:sz w:val="18"/>
          <w:szCs w:val="18"/>
        </w:rPr>
        <w:t>Un contrato completo es aquel en el que las partes del acuerdo pueden especificar sus derechos y obligaciones respectivas  para cada posible estado de la economía</w:t>
      </w:r>
      <w:sdt>
        <w:sdtPr>
          <w:rPr>
            <w:sz w:val="18"/>
            <w:szCs w:val="18"/>
          </w:rPr>
          <w:id w:val="935252726"/>
          <w:citation/>
        </w:sdtPr>
        <w:sdtEndPr/>
        <w:sdtContent>
          <w:r w:rsidRPr="009B1CBD">
            <w:rPr>
              <w:sz w:val="18"/>
              <w:szCs w:val="18"/>
            </w:rPr>
            <w:fldChar w:fldCharType="begin"/>
          </w:r>
          <w:r w:rsidRPr="009B1CBD">
            <w:rPr>
              <w:sz w:val="18"/>
              <w:szCs w:val="18"/>
            </w:rPr>
            <w:instrText xml:space="preserve"> CITATION Mar91 \l 2058 </w:instrText>
          </w:r>
          <w:r w:rsidRPr="009B1CBD">
            <w:rPr>
              <w:sz w:val="18"/>
              <w:szCs w:val="18"/>
            </w:rPr>
            <w:fldChar w:fldCharType="separate"/>
          </w:r>
          <w:r w:rsidRPr="009B1CBD">
            <w:rPr>
              <w:noProof/>
              <w:sz w:val="18"/>
              <w:szCs w:val="18"/>
            </w:rPr>
            <w:t xml:space="preserve"> (Flood, 1991)</w:t>
          </w:r>
          <w:r w:rsidRPr="009B1CBD">
            <w:rPr>
              <w:sz w:val="18"/>
              <w:szCs w:val="18"/>
            </w:rPr>
            <w:fldChar w:fldCharType="end"/>
          </w:r>
        </w:sdtContent>
      </w:sdt>
    </w:p>
  </w:footnote>
  <w:footnote w:id="8">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lang w:val="es-MX"/>
        </w:rPr>
        <w:t xml:space="preserve"> Los costos de búsqueda incluyen el tiempo, energía y dinero (costo de oportunidad) que gasta un consumidor en búsqueda de un producto o servicio. Los consumidores racionales buscarán un producto o servicio hasta que el costo marginal de la búsqueda exceda el beneficio marginal.</w:t>
      </w:r>
      <w:sdt>
        <w:sdtPr>
          <w:rPr>
            <w:rFonts w:ascii="Times New Roman" w:hAnsi="Times New Roman"/>
            <w:sz w:val="18"/>
            <w:szCs w:val="18"/>
            <w:lang w:val="es-MX"/>
          </w:rPr>
          <w:id w:val="-1351102282"/>
          <w:citation/>
        </w:sdtPr>
        <w:sdtEndPr/>
        <w:sdtContent>
          <w:r w:rsidRPr="009B1CBD">
            <w:rPr>
              <w:rFonts w:ascii="Times New Roman" w:hAnsi="Times New Roman"/>
              <w:sz w:val="18"/>
              <w:szCs w:val="18"/>
              <w:lang w:val="es-MX"/>
            </w:rPr>
            <w:fldChar w:fldCharType="begin"/>
          </w:r>
          <w:r w:rsidRPr="009B1CBD">
            <w:rPr>
              <w:rFonts w:ascii="Times New Roman" w:hAnsi="Times New Roman"/>
              <w:sz w:val="18"/>
              <w:szCs w:val="18"/>
              <w:lang w:val="es-MX"/>
            </w:rPr>
            <w:instrText xml:space="preserve"> CITATION The13 \l 2058 </w:instrText>
          </w:r>
          <w:r w:rsidRPr="009B1CBD">
            <w:rPr>
              <w:rFonts w:ascii="Times New Roman" w:hAnsi="Times New Roman"/>
              <w:sz w:val="18"/>
              <w:szCs w:val="18"/>
              <w:lang w:val="es-MX"/>
            </w:rPr>
            <w:fldChar w:fldCharType="separate"/>
          </w:r>
          <w:r w:rsidRPr="009B1CBD">
            <w:rPr>
              <w:rFonts w:ascii="Times New Roman" w:hAnsi="Times New Roman"/>
              <w:noProof/>
              <w:sz w:val="18"/>
              <w:szCs w:val="18"/>
              <w:lang w:val="es-MX"/>
            </w:rPr>
            <w:t xml:space="preserve"> (The Economic Times)</w:t>
          </w:r>
          <w:r w:rsidRPr="009B1CBD">
            <w:rPr>
              <w:rFonts w:ascii="Times New Roman" w:hAnsi="Times New Roman"/>
              <w:sz w:val="18"/>
              <w:szCs w:val="18"/>
              <w:lang w:val="es-MX"/>
            </w:rPr>
            <w:fldChar w:fldCharType="end"/>
          </w:r>
        </w:sdtContent>
      </w:sdt>
    </w:p>
  </w:footnote>
  <w:footnote w:id="9">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Un modelo de competencia espacial se refiere a cualquier modelo de competencia monopólica que demuestra la preferencia del consumidor por marcas específicas de bienes y su localización. </w:t>
      </w:r>
      <w:proofErr w:type="spellStart"/>
      <w:r w:rsidRPr="009B1CBD">
        <w:rPr>
          <w:rFonts w:ascii="Times New Roman" w:hAnsi="Times New Roman"/>
          <w:sz w:val="18"/>
          <w:szCs w:val="18"/>
        </w:rPr>
        <w:t>Hotelling</w:t>
      </w:r>
      <w:proofErr w:type="spellEnd"/>
      <w:r w:rsidRPr="009B1CBD">
        <w:rPr>
          <w:rFonts w:ascii="Times New Roman" w:hAnsi="Times New Roman"/>
          <w:sz w:val="18"/>
          <w:szCs w:val="18"/>
        </w:rPr>
        <w:t xml:space="preserve"> en 1929 desarrolló un modelo en el cual demuestra la relación entre la localización y el comportamiento de los precios de las firmas,  bajo el supuesto que los consumidores eran idénticos (excepto por su localización) y que se encuentran dispersos a lo largo de una línea, las firmas y los consumidores responden a los cambios de la demanda y del ambiente económico</w:t>
      </w:r>
      <w:sdt>
        <w:sdtPr>
          <w:rPr>
            <w:rFonts w:ascii="Times New Roman" w:hAnsi="Times New Roman"/>
            <w:sz w:val="18"/>
            <w:szCs w:val="18"/>
          </w:rPr>
          <w:id w:val="1188018410"/>
          <w:citation/>
        </w:sdtPr>
        <w:sdtEndPr/>
        <w:sdtContent>
          <w:r w:rsidRPr="009B1CBD">
            <w:rPr>
              <w:rFonts w:ascii="Times New Roman" w:hAnsi="Times New Roman"/>
              <w:sz w:val="18"/>
              <w:szCs w:val="18"/>
            </w:rPr>
            <w:fldChar w:fldCharType="begin"/>
          </w:r>
          <w:r w:rsidRPr="009B1CBD">
            <w:rPr>
              <w:rFonts w:ascii="Times New Roman" w:hAnsi="Times New Roman"/>
              <w:sz w:val="18"/>
              <w:szCs w:val="18"/>
              <w:lang w:val="es-MX"/>
            </w:rPr>
            <w:instrText xml:space="preserve"> CITATION Tak09 \l 2058 </w:instrText>
          </w:r>
          <w:r w:rsidRPr="009B1CBD">
            <w:rPr>
              <w:rFonts w:ascii="Times New Roman" w:hAnsi="Times New Roman"/>
              <w:sz w:val="18"/>
              <w:szCs w:val="18"/>
            </w:rPr>
            <w:fldChar w:fldCharType="separate"/>
          </w:r>
          <w:r w:rsidRPr="009B1CBD">
            <w:rPr>
              <w:rFonts w:ascii="Times New Roman" w:hAnsi="Times New Roman"/>
              <w:noProof/>
              <w:sz w:val="18"/>
              <w:szCs w:val="18"/>
              <w:lang w:val="es-MX"/>
            </w:rPr>
            <w:t xml:space="preserve"> (Tabuchi, 2009)</w:t>
          </w:r>
          <w:r w:rsidRPr="009B1CBD">
            <w:rPr>
              <w:rFonts w:ascii="Times New Roman" w:hAnsi="Times New Roman"/>
              <w:sz w:val="18"/>
              <w:szCs w:val="18"/>
            </w:rPr>
            <w:fldChar w:fldCharType="end"/>
          </w:r>
        </w:sdtContent>
      </w:sdt>
      <w:r w:rsidRPr="009B1CBD">
        <w:rPr>
          <w:rFonts w:ascii="Times New Roman" w:hAnsi="Times New Roman"/>
          <w:sz w:val="18"/>
          <w:szCs w:val="18"/>
        </w:rPr>
        <w:t xml:space="preserve">. </w:t>
      </w:r>
      <w:r w:rsidRPr="009B1CBD">
        <w:rPr>
          <w:rFonts w:ascii="Times New Roman" w:hAnsi="Times New Roman"/>
          <w:sz w:val="18"/>
          <w:szCs w:val="18"/>
          <w:lang w:val="es-MX"/>
        </w:rPr>
        <w:t xml:space="preserve">  </w:t>
      </w:r>
    </w:p>
  </w:footnote>
  <w:footnote w:id="10">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Los </w:t>
      </w:r>
      <w:proofErr w:type="spellStart"/>
      <w:r w:rsidRPr="009B1CBD">
        <w:rPr>
          <w:rFonts w:ascii="Times New Roman" w:hAnsi="Times New Roman"/>
          <w:sz w:val="18"/>
          <w:szCs w:val="18"/>
        </w:rPr>
        <w:t>submercados</w:t>
      </w:r>
      <w:proofErr w:type="spellEnd"/>
      <w:r w:rsidRPr="009B1CBD">
        <w:rPr>
          <w:rFonts w:ascii="Times New Roman" w:hAnsi="Times New Roman"/>
          <w:sz w:val="18"/>
          <w:szCs w:val="18"/>
        </w:rPr>
        <w:t xml:space="preserve"> vienen a ser las regiones o segmentos de mercado en los que se especializan los bancos. </w:t>
      </w:r>
    </w:p>
  </w:footnote>
  <w:footnote w:id="11">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iCs/>
          <w:sz w:val="18"/>
          <w:szCs w:val="18"/>
          <w:shd w:val="clear" w:color="auto" w:fill="FFFFFF"/>
        </w:rPr>
        <w:t>Se presenta si una de las partes contratantes dispone de información que desconoce la otra parte y utiliza en su provecho.</w:t>
      </w:r>
      <w:sdt>
        <w:sdtPr>
          <w:rPr>
            <w:rFonts w:ascii="Times New Roman" w:hAnsi="Times New Roman"/>
            <w:iCs/>
            <w:sz w:val="18"/>
            <w:szCs w:val="18"/>
            <w:shd w:val="clear" w:color="auto" w:fill="FFFFFF"/>
          </w:rPr>
          <w:id w:val="-1676641911"/>
          <w:citation/>
        </w:sdtPr>
        <w:sdtEndPr/>
        <w:sdtContent>
          <w:r w:rsidRPr="009B1CBD">
            <w:rPr>
              <w:rFonts w:ascii="Times New Roman" w:hAnsi="Times New Roman"/>
              <w:iCs/>
              <w:sz w:val="18"/>
              <w:szCs w:val="18"/>
              <w:shd w:val="clear" w:color="auto" w:fill="FFFFFF"/>
            </w:rPr>
            <w:fldChar w:fldCharType="begin"/>
          </w:r>
          <w:r w:rsidRPr="009B1CBD">
            <w:rPr>
              <w:rFonts w:ascii="Times New Roman" w:hAnsi="Times New Roman"/>
              <w:iCs/>
              <w:sz w:val="18"/>
              <w:szCs w:val="18"/>
              <w:shd w:val="clear" w:color="auto" w:fill="FFFFFF"/>
              <w:lang w:val="es-MX"/>
            </w:rPr>
            <w:instrText xml:space="preserve"> CITATION LaG13 \l 2058 </w:instrText>
          </w:r>
          <w:r w:rsidRPr="009B1CBD">
            <w:rPr>
              <w:rFonts w:ascii="Times New Roman" w:hAnsi="Times New Roman"/>
              <w:iCs/>
              <w:sz w:val="18"/>
              <w:szCs w:val="18"/>
              <w:shd w:val="clear" w:color="auto" w:fill="FFFFFF"/>
            </w:rPr>
            <w:fldChar w:fldCharType="separate"/>
          </w:r>
          <w:r w:rsidRPr="009B1CBD">
            <w:rPr>
              <w:rFonts w:ascii="Times New Roman" w:hAnsi="Times New Roman"/>
              <w:iCs/>
              <w:noProof/>
              <w:sz w:val="18"/>
              <w:szCs w:val="18"/>
              <w:shd w:val="clear" w:color="auto" w:fill="FFFFFF"/>
              <w:lang w:val="es-MX"/>
            </w:rPr>
            <w:t xml:space="preserve"> </w:t>
          </w:r>
          <w:r w:rsidRPr="009B1CBD">
            <w:rPr>
              <w:rFonts w:ascii="Times New Roman" w:hAnsi="Times New Roman"/>
              <w:noProof/>
              <w:sz w:val="18"/>
              <w:szCs w:val="18"/>
              <w:shd w:val="clear" w:color="auto" w:fill="FFFFFF"/>
              <w:lang w:val="es-MX"/>
            </w:rPr>
            <w:t>(La Gran Enciclopedia de Economía)</w:t>
          </w:r>
          <w:r w:rsidRPr="009B1CBD">
            <w:rPr>
              <w:rFonts w:ascii="Times New Roman" w:hAnsi="Times New Roman"/>
              <w:iCs/>
              <w:sz w:val="18"/>
              <w:szCs w:val="18"/>
              <w:shd w:val="clear" w:color="auto" w:fill="FFFFFF"/>
            </w:rPr>
            <w:fldChar w:fldCharType="end"/>
          </w:r>
        </w:sdtContent>
      </w:sdt>
    </w:p>
  </w:footnote>
  <w:footnote w:id="12">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S</w:t>
      </w:r>
      <w:r w:rsidRPr="009B1CBD">
        <w:rPr>
          <w:rFonts w:ascii="Times New Roman" w:hAnsi="Times New Roman"/>
          <w:iCs/>
          <w:sz w:val="18"/>
          <w:szCs w:val="18"/>
          <w:shd w:val="clear" w:color="auto" w:fill="FFFFFF"/>
        </w:rPr>
        <w:t xml:space="preserve">e dice de una combinación de estrategias (una por jugador) que está en equilibrio de Nash si ningún jugador puede aumentar sus ganancias por un cambio unilateral de estrategia. </w:t>
      </w:r>
      <w:sdt>
        <w:sdtPr>
          <w:rPr>
            <w:rFonts w:ascii="Times New Roman" w:hAnsi="Times New Roman"/>
            <w:iCs/>
            <w:sz w:val="18"/>
            <w:szCs w:val="18"/>
            <w:shd w:val="clear" w:color="auto" w:fill="FFFFFF"/>
          </w:rPr>
          <w:id w:val="1272043210"/>
          <w:citation/>
        </w:sdtPr>
        <w:sdtEndPr/>
        <w:sdtContent>
          <w:r w:rsidRPr="009B1CBD">
            <w:rPr>
              <w:rFonts w:ascii="Times New Roman" w:hAnsi="Times New Roman"/>
              <w:iCs/>
              <w:sz w:val="18"/>
              <w:szCs w:val="18"/>
              <w:shd w:val="clear" w:color="auto" w:fill="FFFFFF"/>
            </w:rPr>
            <w:fldChar w:fldCharType="begin"/>
          </w:r>
          <w:r w:rsidRPr="009B1CBD">
            <w:rPr>
              <w:rFonts w:ascii="Times New Roman" w:hAnsi="Times New Roman"/>
              <w:iCs/>
              <w:sz w:val="18"/>
              <w:szCs w:val="18"/>
              <w:shd w:val="clear" w:color="auto" w:fill="FFFFFF"/>
              <w:lang w:val="es-MX"/>
            </w:rPr>
            <w:instrText xml:space="preserve"> CITATION Ber13 \l 2058 </w:instrText>
          </w:r>
          <w:r w:rsidRPr="009B1CBD">
            <w:rPr>
              <w:rFonts w:ascii="Times New Roman" w:hAnsi="Times New Roman"/>
              <w:iCs/>
              <w:sz w:val="18"/>
              <w:szCs w:val="18"/>
              <w:shd w:val="clear" w:color="auto" w:fill="FFFFFF"/>
            </w:rPr>
            <w:fldChar w:fldCharType="separate"/>
          </w:r>
          <w:r w:rsidRPr="009B1CBD">
            <w:rPr>
              <w:rFonts w:ascii="Times New Roman" w:hAnsi="Times New Roman"/>
              <w:noProof/>
              <w:sz w:val="18"/>
              <w:szCs w:val="18"/>
              <w:shd w:val="clear" w:color="auto" w:fill="FFFFFF"/>
              <w:lang w:val="es-MX"/>
            </w:rPr>
            <w:t>(Guerrien)</w:t>
          </w:r>
          <w:r w:rsidRPr="009B1CBD">
            <w:rPr>
              <w:rFonts w:ascii="Times New Roman" w:hAnsi="Times New Roman"/>
              <w:iCs/>
              <w:sz w:val="18"/>
              <w:szCs w:val="18"/>
              <w:shd w:val="clear" w:color="auto" w:fill="FFFFFF"/>
            </w:rPr>
            <w:fldChar w:fldCharType="end"/>
          </w:r>
        </w:sdtContent>
      </w:sdt>
    </w:p>
  </w:footnote>
  <w:footnote w:id="13">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Una </w:t>
      </w:r>
      <w:r w:rsidRPr="009B1CBD">
        <w:rPr>
          <w:rFonts w:ascii="Times New Roman" w:hAnsi="Times New Roman"/>
          <w:bCs/>
          <w:sz w:val="18"/>
          <w:szCs w:val="18"/>
          <w:shd w:val="clear" w:color="auto" w:fill="FFFFFF"/>
        </w:rPr>
        <w:t xml:space="preserve">externalidad </w:t>
      </w:r>
      <w:r w:rsidRPr="009B1CBD">
        <w:rPr>
          <w:rFonts w:ascii="Times New Roman" w:hAnsi="Times New Roman"/>
          <w:bCs/>
          <w:color w:val="000000"/>
          <w:sz w:val="18"/>
          <w:szCs w:val="18"/>
          <w:shd w:val="clear" w:color="auto" w:fill="FFFFFF"/>
        </w:rPr>
        <w:t>de red</w:t>
      </w:r>
      <w:r w:rsidRPr="009B1CBD">
        <w:rPr>
          <w:rStyle w:val="apple-converted-space"/>
          <w:rFonts w:ascii="Times New Roman" w:hAnsi="Times New Roman"/>
          <w:color w:val="000000"/>
          <w:sz w:val="18"/>
          <w:szCs w:val="18"/>
          <w:shd w:val="clear" w:color="auto" w:fill="FFFFFF"/>
        </w:rPr>
        <w:t xml:space="preserve"> se presenta en </w:t>
      </w:r>
      <w:r w:rsidRPr="009B1CBD">
        <w:rPr>
          <w:rFonts w:ascii="Times New Roman" w:hAnsi="Times New Roman"/>
          <w:color w:val="000000"/>
          <w:sz w:val="18"/>
          <w:szCs w:val="18"/>
          <w:shd w:val="clear" w:color="auto" w:fill="FFFFFF"/>
        </w:rPr>
        <w:t>situaciones en las que el consumo de una persona influye directamente en la utilidad de otra, ya sean éstas positivas o negativas. Así pues, la utilidad que obtiene de un bien una persona, depende del número de individuos que lo consuman.</w:t>
      </w:r>
      <w:sdt>
        <w:sdtPr>
          <w:rPr>
            <w:rFonts w:ascii="Times New Roman" w:hAnsi="Times New Roman"/>
            <w:color w:val="000000"/>
            <w:sz w:val="18"/>
            <w:szCs w:val="18"/>
            <w:shd w:val="clear" w:color="auto" w:fill="FFFFFF"/>
          </w:rPr>
          <w:id w:val="2090728333"/>
          <w:citation/>
        </w:sdtPr>
        <w:sdtEndPr/>
        <w:sdtContent>
          <w:r w:rsidRPr="009B1CBD">
            <w:rPr>
              <w:rFonts w:ascii="Times New Roman" w:hAnsi="Times New Roman"/>
              <w:color w:val="000000"/>
              <w:sz w:val="18"/>
              <w:szCs w:val="18"/>
              <w:shd w:val="clear" w:color="auto" w:fill="FFFFFF"/>
            </w:rPr>
            <w:fldChar w:fldCharType="begin"/>
          </w:r>
          <w:r w:rsidRPr="009B1CBD">
            <w:rPr>
              <w:rFonts w:ascii="Times New Roman" w:hAnsi="Times New Roman"/>
              <w:color w:val="000000"/>
              <w:sz w:val="18"/>
              <w:szCs w:val="18"/>
              <w:shd w:val="clear" w:color="auto" w:fill="FFFFFF"/>
              <w:lang w:val="es-MX"/>
            </w:rPr>
            <w:instrText xml:space="preserve"> CITATION Mar13 \l 2058 </w:instrText>
          </w:r>
          <w:r w:rsidRPr="009B1CBD">
            <w:rPr>
              <w:rFonts w:ascii="Times New Roman" w:hAnsi="Times New Roman"/>
              <w:color w:val="000000"/>
              <w:sz w:val="18"/>
              <w:szCs w:val="18"/>
              <w:shd w:val="clear" w:color="auto" w:fill="FFFFFF"/>
            </w:rPr>
            <w:fldChar w:fldCharType="separate"/>
          </w:r>
          <w:r w:rsidRPr="009B1CBD">
            <w:rPr>
              <w:rFonts w:ascii="Times New Roman" w:hAnsi="Times New Roman"/>
              <w:noProof/>
              <w:color w:val="000000"/>
              <w:sz w:val="18"/>
              <w:szCs w:val="18"/>
              <w:shd w:val="clear" w:color="auto" w:fill="FFFFFF"/>
              <w:lang w:val="es-MX"/>
            </w:rPr>
            <w:t xml:space="preserve"> (Margolis &amp; Liebowitz)</w:t>
          </w:r>
          <w:r w:rsidRPr="009B1CBD">
            <w:rPr>
              <w:rFonts w:ascii="Times New Roman" w:hAnsi="Times New Roman"/>
              <w:color w:val="000000"/>
              <w:sz w:val="18"/>
              <w:szCs w:val="18"/>
              <w:shd w:val="clear" w:color="auto" w:fill="FFFFFF"/>
            </w:rPr>
            <w:fldChar w:fldCharType="end"/>
          </w:r>
        </w:sdtContent>
      </w:sdt>
      <w:r w:rsidRPr="009B1CBD">
        <w:rPr>
          <w:rFonts w:ascii="Times New Roman" w:hAnsi="Times New Roman"/>
          <w:color w:val="000000"/>
          <w:sz w:val="18"/>
          <w:szCs w:val="18"/>
          <w:shd w:val="clear" w:color="auto" w:fill="FFFFFF"/>
        </w:rPr>
        <w:t>.</w:t>
      </w:r>
    </w:p>
  </w:footnote>
  <w:footnote w:id="14">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proofErr w:type="spellStart"/>
      <w:r w:rsidRPr="009B1CBD">
        <w:rPr>
          <w:rFonts w:ascii="Times New Roman" w:hAnsi="Times New Roman"/>
          <w:sz w:val="18"/>
          <w:szCs w:val="18"/>
          <w:lang w:val="es-MX"/>
        </w:rPr>
        <w:t>Risk</w:t>
      </w:r>
      <w:proofErr w:type="spellEnd"/>
      <w:r w:rsidRPr="009B1CBD">
        <w:rPr>
          <w:rFonts w:ascii="Times New Roman" w:hAnsi="Times New Roman"/>
          <w:sz w:val="18"/>
          <w:szCs w:val="18"/>
          <w:lang w:val="es-MX"/>
        </w:rPr>
        <w:t xml:space="preserve"> </w:t>
      </w:r>
      <w:proofErr w:type="spellStart"/>
      <w:r w:rsidRPr="009B1CBD">
        <w:rPr>
          <w:rFonts w:ascii="Times New Roman" w:hAnsi="Times New Roman"/>
          <w:sz w:val="18"/>
          <w:szCs w:val="18"/>
          <w:lang w:val="es-MX"/>
        </w:rPr>
        <w:t>Shifting</w:t>
      </w:r>
      <w:proofErr w:type="spellEnd"/>
      <w:r w:rsidRPr="009B1CBD">
        <w:rPr>
          <w:rFonts w:ascii="Times New Roman" w:hAnsi="Times New Roman"/>
          <w:sz w:val="18"/>
          <w:szCs w:val="18"/>
          <w:lang w:val="es-MX"/>
        </w:rPr>
        <w:t xml:space="preserve"> </w:t>
      </w:r>
      <w:proofErr w:type="spellStart"/>
      <w:r w:rsidRPr="009B1CBD">
        <w:rPr>
          <w:rFonts w:ascii="Times New Roman" w:hAnsi="Times New Roman"/>
          <w:sz w:val="18"/>
          <w:szCs w:val="18"/>
          <w:lang w:val="es-MX"/>
        </w:rPr>
        <w:t>Effect</w:t>
      </w:r>
      <w:proofErr w:type="spellEnd"/>
      <w:r w:rsidRPr="009B1CBD">
        <w:rPr>
          <w:rFonts w:ascii="Times New Roman" w:hAnsi="Times New Roman"/>
          <w:sz w:val="18"/>
          <w:szCs w:val="18"/>
          <w:lang w:val="es-MX"/>
        </w:rPr>
        <w:t xml:space="preserve"> también es conocido como sustitución de activos. Esta situación se presenta si los gerentes hacen decisiones de inversión excesivamente riesgosas para maximizar el valor de los accionistas a expensas de los intereses de los acreedores</w:t>
      </w:r>
      <w:sdt>
        <w:sdtPr>
          <w:rPr>
            <w:rFonts w:ascii="Times New Roman" w:hAnsi="Times New Roman"/>
            <w:sz w:val="18"/>
            <w:szCs w:val="18"/>
            <w:lang w:val="es-MX"/>
          </w:rPr>
          <w:id w:val="-1090234335"/>
          <w:citation/>
        </w:sdtPr>
        <w:sdtEndPr/>
        <w:sdtContent>
          <w:r w:rsidRPr="009B1CBD">
            <w:rPr>
              <w:rFonts w:ascii="Times New Roman" w:hAnsi="Times New Roman"/>
              <w:sz w:val="18"/>
              <w:szCs w:val="18"/>
              <w:lang w:val="es-MX"/>
            </w:rPr>
            <w:fldChar w:fldCharType="begin"/>
          </w:r>
          <w:r w:rsidRPr="009B1CBD">
            <w:rPr>
              <w:rFonts w:ascii="Times New Roman" w:hAnsi="Times New Roman"/>
              <w:sz w:val="18"/>
              <w:szCs w:val="18"/>
              <w:lang w:val="es-MX"/>
            </w:rPr>
            <w:instrText xml:space="preserve"> CITATION Fin13 \l 2058 </w:instrText>
          </w:r>
          <w:r w:rsidRPr="009B1CBD">
            <w:rPr>
              <w:rFonts w:ascii="Times New Roman" w:hAnsi="Times New Roman"/>
              <w:sz w:val="18"/>
              <w:szCs w:val="18"/>
              <w:lang w:val="es-MX"/>
            </w:rPr>
            <w:fldChar w:fldCharType="separate"/>
          </w:r>
          <w:r w:rsidRPr="009B1CBD">
            <w:rPr>
              <w:rFonts w:ascii="Times New Roman" w:hAnsi="Times New Roman"/>
              <w:noProof/>
              <w:sz w:val="18"/>
              <w:szCs w:val="18"/>
              <w:lang w:val="es-MX"/>
            </w:rPr>
            <w:t xml:space="preserve"> (Financial Times Lexicon)</w:t>
          </w:r>
          <w:r w:rsidRPr="009B1CBD">
            <w:rPr>
              <w:rFonts w:ascii="Times New Roman" w:hAnsi="Times New Roman"/>
              <w:sz w:val="18"/>
              <w:szCs w:val="18"/>
              <w:lang w:val="es-MX"/>
            </w:rPr>
            <w:fldChar w:fldCharType="end"/>
          </w:r>
        </w:sdtContent>
      </w:sdt>
      <w:r w:rsidRPr="009B1CBD">
        <w:rPr>
          <w:rFonts w:ascii="Times New Roman" w:hAnsi="Times New Roman"/>
          <w:sz w:val="18"/>
          <w:szCs w:val="18"/>
          <w:lang w:val="es-MX"/>
        </w:rPr>
        <w:t>, para ello sustituyen activos de la compañía por activos más riesgosos. En el caso de la banca, la cartera de crédito es reemplazada por inversión en otros activos como pueden ser los derivados financieros</w:t>
      </w:r>
      <w:sdt>
        <w:sdtPr>
          <w:rPr>
            <w:rFonts w:ascii="Times New Roman" w:hAnsi="Times New Roman"/>
            <w:sz w:val="18"/>
            <w:szCs w:val="18"/>
            <w:lang w:val="es-MX"/>
          </w:rPr>
          <w:id w:val="806294011"/>
          <w:citation/>
        </w:sdtPr>
        <w:sdtEndPr/>
        <w:sdtContent>
          <w:r w:rsidRPr="009B1CBD">
            <w:rPr>
              <w:rFonts w:ascii="Times New Roman" w:hAnsi="Times New Roman"/>
              <w:sz w:val="18"/>
              <w:szCs w:val="18"/>
              <w:lang w:val="es-MX"/>
            </w:rPr>
            <w:fldChar w:fldCharType="begin"/>
          </w:r>
          <w:r w:rsidRPr="009B1CBD">
            <w:rPr>
              <w:rFonts w:ascii="Times New Roman" w:hAnsi="Times New Roman"/>
              <w:sz w:val="18"/>
              <w:szCs w:val="18"/>
              <w:lang w:val="es-MX"/>
            </w:rPr>
            <w:instrText xml:space="preserve">CITATION Eme \p 274 \l 2058 </w:instrText>
          </w:r>
          <w:r w:rsidRPr="009B1CBD">
            <w:rPr>
              <w:rFonts w:ascii="Times New Roman" w:hAnsi="Times New Roman"/>
              <w:sz w:val="18"/>
              <w:szCs w:val="18"/>
              <w:lang w:val="es-MX"/>
            </w:rPr>
            <w:fldChar w:fldCharType="separate"/>
          </w:r>
          <w:r w:rsidRPr="009B1CBD">
            <w:rPr>
              <w:rFonts w:ascii="Times New Roman" w:hAnsi="Times New Roman"/>
              <w:noProof/>
              <w:sz w:val="18"/>
              <w:szCs w:val="18"/>
              <w:lang w:val="es-MX"/>
            </w:rPr>
            <w:t xml:space="preserve"> (Emery, Finnerty , &amp; Stowe, pág. 274)</w:t>
          </w:r>
          <w:r w:rsidRPr="009B1CBD">
            <w:rPr>
              <w:rFonts w:ascii="Times New Roman" w:hAnsi="Times New Roman"/>
              <w:sz w:val="18"/>
              <w:szCs w:val="18"/>
              <w:lang w:val="es-MX"/>
            </w:rPr>
            <w:fldChar w:fldCharType="end"/>
          </w:r>
        </w:sdtContent>
      </w:sdt>
      <w:r w:rsidRPr="009B1CBD">
        <w:rPr>
          <w:rFonts w:ascii="Times New Roman" w:hAnsi="Times New Roman"/>
          <w:sz w:val="18"/>
          <w:szCs w:val="18"/>
          <w:lang w:val="es-MX"/>
        </w:rPr>
        <w:t xml:space="preserve">. </w:t>
      </w:r>
    </w:p>
    <w:p w:rsidR="00287975" w:rsidRPr="009B1CBD" w:rsidRDefault="00287975" w:rsidP="009B1CBD">
      <w:pPr>
        <w:pStyle w:val="Textonotapie"/>
        <w:jc w:val="both"/>
        <w:rPr>
          <w:rFonts w:ascii="Times New Roman" w:hAnsi="Times New Roman"/>
          <w:sz w:val="18"/>
          <w:szCs w:val="18"/>
          <w:lang w:val="es-MX"/>
        </w:rPr>
      </w:pPr>
    </w:p>
  </w:footnote>
  <w:footnote w:id="15">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shd w:val="clear" w:color="auto" w:fill="FFFFFF"/>
        </w:rPr>
        <w:t>Dada una asignación inicial de</w:t>
      </w:r>
      <w:r w:rsidRPr="009B1CBD">
        <w:rPr>
          <w:rStyle w:val="apple-converted-space"/>
          <w:rFonts w:ascii="Times New Roman" w:hAnsi="Times New Roman"/>
          <w:sz w:val="18"/>
          <w:szCs w:val="18"/>
          <w:shd w:val="clear" w:color="auto" w:fill="FFFFFF"/>
        </w:rPr>
        <w:t> </w:t>
      </w:r>
      <w:hyperlink r:id="rId1" w:tooltip="Bien económico" w:history="1">
        <w:r w:rsidRPr="009B1CBD">
          <w:rPr>
            <w:rStyle w:val="Hipervnculo"/>
            <w:rFonts w:ascii="Times New Roman" w:hAnsi="Times New Roman"/>
            <w:color w:val="auto"/>
            <w:sz w:val="18"/>
            <w:szCs w:val="18"/>
            <w:u w:val="none"/>
            <w:shd w:val="clear" w:color="auto" w:fill="FFFFFF"/>
          </w:rPr>
          <w:t>bienes</w:t>
        </w:r>
      </w:hyperlink>
      <w:r w:rsidRPr="009B1CBD">
        <w:rPr>
          <w:rStyle w:val="apple-converted-space"/>
          <w:rFonts w:ascii="Times New Roman" w:hAnsi="Times New Roman"/>
          <w:sz w:val="18"/>
          <w:szCs w:val="18"/>
          <w:shd w:val="clear" w:color="auto" w:fill="FFFFFF"/>
        </w:rPr>
        <w:t> </w:t>
      </w:r>
      <w:r w:rsidRPr="009B1CBD">
        <w:rPr>
          <w:rFonts w:ascii="Times New Roman" w:hAnsi="Times New Roman"/>
          <w:sz w:val="18"/>
          <w:szCs w:val="18"/>
          <w:shd w:val="clear" w:color="auto" w:fill="FFFFFF"/>
        </w:rPr>
        <w:t>entre un conjunto de</w:t>
      </w:r>
      <w:r w:rsidRPr="009B1CBD">
        <w:rPr>
          <w:rStyle w:val="apple-converted-space"/>
          <w:rFonts w:ascii="Times New Roman" w:hAnsi="Times New Roman"/>
          <w:sz w:val="18"/>
          <w:szCs w:val="18"/>
          <w:shd w:val="clear" w:color="auto" w:fill="FFFFFF"/>
        </w:rPr>
        <w:t> </w:t>
      </w:r>
      <w:hyperlink r:id="rId2" w:tooltip="Agente económico" w:history="1">
        <w:r w:rsidRPr="009B1CBD">
          <w:rPr>
            <w:rStyle w:val="Hipervnculo"/>
            <w:rFonts w:ascii="Times New Roman" w:hAnsi="Times New Roman"/>
            <w:color w:val="auto"/>
            <w:sz w:val="18"/>
            <w:szCs w:val="18"/>
            <w:u w:val="none"/>
            <w:shd w:val="clear" w:color="auto" w:fill="FFFFFF"/>
          </w:rPr>
          <w:t>individuos</w:t>
        </w:r>
      </w:hyperlink>
      <w:r w:rsidRPr="009B1CBD">
        <w:rPr>
          <w:rFonts w:ascii="Times New Roman" w:hAnsi="Times New Roman"/>
          <w:sz w:val="18"/>
          <w:szCs w:val="18"/>
          <w:shd w:val="clear" w:color="auto" w:fill="FFFFFF"/>
        </w:rPr>
        <w:t>, un cambio hacia una nueva asignación que al menos</w:t>
      </w:r>
      <w:r w:rsidRPr="009B1CBD">
        <w:rPr>
          <w:rStyle w:val="apple-converted-space"/>
          <w:rFonts w:ascii="Times New Roman" w:hAnsi="Times New Roman"/>
          <w:sz w:val="18"/>
          <w:szCs w:val="18"/>
          <w:shd w:val="clear" w:color="auto" w:fill="FFFFFF"/>
        </w:rPr>
        <w:t> </w:t>
      </w:r>
      <w:hyperlink r:id="rId3" w:tooltip="Utilidad (economía)" w:history="1">
        <w:r w:rsidRPr="009B1CBD">
          <w:rPr>
            <w:rStyle w:val="Hipervnculo"/>
            <w:rFonts w:ascii="Times New Roman" w:hAnsi="Times New Roman"/>
            <w:color w:val="auto"/>
            <w:sz w:val="18"/>
            <w:szCs w:val="18"/>
            <w:u w:val="none"/>
            <w:shd w:val="clear" w:color="auto" w:fill="FFFFFF"/>
          </w:rPr>
          <w:t>mejora</w:t>
        </w:r>
      </w:hyperlink>
      <w:r w:rsidRPr="009B1CBD">
        <w:rPr>
          <w:rStyle w:val="apple-converted-space"/>
          <w:rFonts w:ascii="Times New Roman" w:hAnsi="Times New Roman"/>
          <w:sz w:val="18"/>
          <w:szCs w:val="18"/>
          <w:shd w:val="clear" w:color="auto" w:fill="FFFFFF"/>
        </w:rPr>
        <w:t> </w:t>
      </w:r>
      <w:r w:rsidRPr="009B1CBD">
        <w:rPr>
          <w:rFonts w:ascii="Times New Roman" w:hAnsi="Times New Roman"/>
          <w:sz w:val="18"/>
          <w:szCs w:val="18"/>
          <w:shd w:val="clear" w:color="auto" w:fill="FFFFFF"/>
        </w:rPr>
        <w:t>la situación de un individuo sin hacer que empeore la situación de los demás se denomina</w:t>
      </w:r>
      <w:r w:rsidRPr="009B1CBD">
        <w:rPr>
          <w:rStyle w:val="apple-converted-space"/>
          <w:rFonts w:ascii="Times New Roman" w:hAnsi="Times New Roman"/>
          <w:sz w:val="18"/>
          <w:szCs w:val="18"/>
          <w:shd w:val="clear" w:color="auto" w:fill="FFFFFF"/>
        </w:rPr>
        <w:t> </w:t>
      </w:r>
      <w:r w:rsidRPr="009B1CBD">
        <w:rPr>
          <w:rFonts w:ascii="Times New Roman" w:hAnsi="Times New Roman"/>
          <w:bCs/>
          <w:sz w:val="18"/>
          <w:szCs w:val="18"/>
          <w:shd w:val="clear" w:color="auto" w:fill="FFFFFF"/>
        </w:rPr>
        <w:t xml:space="preserve">mejora de Pareto, por el contrario si empeora la situación de los demás individuos se conoce como una ineficiencia en el sentido de Pareto. </w:t>
      </w:r>
      <w:r w:rsidRPr="009B1CBD">
        <w:rPr>
          <w:rFonts w:ascii="Times New Roman" w:hAnsi="Times New Roman"/>
          <w:sz w:val="18"/>
          <w:szCs w:val="18"/>
          <w:shd w:val="clear" w:color="auto" w:fill="FFFFFF"/>
        </w:rPr>
        <w:t>Una asignación se define eficiente en el sentido de Pareto cuando no pueden lograrse nuevas mejoras de Pareto.</w:t>
      </w:r>
      <w:sdt>
        <w:sdtPr>
          <w:rPr>
            <w:rFonts w:ascii="Times New Roman" w:hAnsi="Times New Roman"/>
            <w:sz w:val="18"/>
            <w:szCs w:val="18"/>
            <w:shd w:val="clear" w:color="auto" w:fill="FFFFFF"/>
          </w:rPr>
          <w:id w:val="396088141"/>
          <w:citation/>
        </w:sdtPr>
        <w:sdtEndPr/>
        <w:sdtContent>
          <w:r w:rsidRPr="009B1CBD">
            <w:rPr>
              <w:rFonts w:ascii="Times New Roman" w:hAnsi="Times New Roman"/>
              <w:sz w:val="18"/>
              <w:szCs w:val="18"/>
              <w:shd w:val="clear" w:color="auto" w:fill="FFFFFF"/>
            </w:rPr>
            <w:fldChar w:fldCharType="begin"/>
          </w:r>
          <w:r w:rsidRPr="009B1CBD">
            <w:rPr>
              <w:rFonts w:ascii="Times New Roman" w:hAnsi="Times New Roman"/>
              <w:sz w:val="18"/>
              <w:szCs w:val="18"/>
              <w:shd w:val="clear" w:color="auto" w:fill="FFFFFF"/>
              <w:lang w:val="es-MX"/>
            </w:rPr>
            <w:instrText xml:space="preserve"> CITATION Led07 \l 2058 </w:instrText>
          </w:r>
          <w:r w:rsidRPr="009B1CBD">
            <w:rPr>
              <w:rFonts w:ascii="Times New Roman" w:hAnsi="Times New Roman"/>
              <w:sz w:val="18"/>
              <w:szCs w:val="18"/>
              <w:shd w:val="clear" w:color="auto" w:fill="FFFFFF"/>
            </w:rPr>
            <w:fldChar w:fldCharType="separate"/>
          </w:r>
          <w:r w:rsidRPr="009B1CBD">
            <w:rPr>
              <w:rFonts w:ascii="Times New Roman" w:hAnsi="Times New Roman"/>
              <w:noProof/>
              <w:sz w:val="18"/>
              <w:szCs w:val="18"/>
              <w:shd w:val="clear" w:color="auto" w:fill="FFFFFF"/>
              <w:lang w:val="es-MX"/>
            </w:rPr>
            <w:t xml:space="preserve"> (Mesino, 2007)</w:t>
          </w:r>
          <w:r w:rsidRPr="009B1CBD">
            <w:rPr>
              <w:rFonts w:ascii="Times New Roman" w:hAnsi="Times New Roman"/>
              <w:sz w:val="18"/>
              <w:szCs w:val="18"/>
              <w:shd w:val="clear" w:color="auto" w:fill="FFFFFF"/>
            </w:rPr>
            <w:fldChar w:fldCharType="end"/>
          </w:r>
        </w:sdtContent>
      </w:sdt>
      <w:r w:rsidRPr="009B1CBD">
        <w:rPr>
          <w:rFonts w:ascii="Times New Roman" w:hAnsi="Times New Roman"/>
          <w:sz w:val="18"/>
          <w:szCs w:val="18"/>
          <w:shd w:val="clear" w:color="auto" w:fill="FFFFFF"/>
        </w:rPr>
        <w:t xml:space="preserve">. </w:t>
      </w:r>
    </w:p>
  </w:footnote>
  <w:footnote w:id="16">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color w:val="000000"/>
          <w:sz w:val="18"/>
          <w:szCs w:val="18"/>
          <w:shd w:val="clear" w:color="auto" w:fill="FFFFFF"/>
        </w:rPr>
        <w:t>El</w:t>
      </w:r>
      <w:r w:rsidRPr="009B1CBD">
        <w:rPr>
          <w:rStyle w:val="apple-converted-space"/>
          <w:rFonts w:ascii="Times New Roman" w:hAnsi="Times New Roman"/>
          <w:color w:val="000000"/>
          <w:sz w:val="18"/>
          <w:szCs w:val="18"/>
          <w:shd w:val="clear" w:color="auto" w:fill="FFFFFF"/>
        </w:rPr>
        <w:t> </w:t>
      </w:r>
      <w:r w:rsidRPr="009B1CBD">
        <w:rPr>
          <w:rFonts w:ascii="Times New Roman" w:hAnsi="Times New Roman"/>
          <w:bCs/>
          <w:color w:val="000000"/>
          <w:sz w:val="18"/>
          <w:szCs w:val="18"/>
          <w:shd w:val="clear" w:color="auto" w:fill="FFFFFF"/>
        </w:rPr>
        <w:t>riesgo moral</w:t>
      </w:r>
      <w:r w:rsidRPr="009B1CBD">
        <w:rPr>
          <w:rStyle w:val="apple-converted-space"/>
          <w:rFonts w:ascii="Times New Roman" w:hAnsi="Times New Roman"/>
          <w:color w:val="000000"/>
          <w:sz w:val="18"/>
          <w:szCs w:val="18"/>
          <w:shd w:val="clear" w:color="auto" w:fill="FFFFFF"/>
        </w:rPr>
        <w:t> </w:t>
      </w:r>
      <w:r w:rsidRPr="009B1CBD">
        <w:rPr>
          <w:rFonts w:ascii="Times New Roman" w:hAnsi="Times New Roman"/>
          <w:color w:val="000000"/>
          <w:sz w:val="18"/>
          <w:szCs w:val="18"/>
          <w:shd w:val="clear" w:color="auto" w:fill="FFFFFF"/>
        </w:rPr>
        <w:t>es un concepto económico que describe aquellas situaciones en las que un individuo tiene información privada acerca de las consecuencias de sus propias acciones y sin embargo son otras personas las que soportan las consecuencias de los riesgos asumidos</w:t>
      </w:r>
      <w:sdt>
        <w:sdtPr>
          <w:rPr>
            <w:rFonts w:ascii="Times New Roman" w:hAnsi="Times New Roman"/>
            <w:color w:val="000000"/>
            <w:sz w:val="18"/>
            <w:szCs w:val="18"/>
            <w:shd w:val="clear" w:color="auto" w:fill="FFFFFF"/>
          </w:rPr>
          <w:id w:val="-1646274035"/>
          <w:citation/>
        </w:sdtPr>
        <w:sdtEndPr/>
        <w:sdtContent>
          <w:r w:rsidRPr="009B1CBD">
            <w:rPr>
              <w:rFonts w:ascii="Times New Roman" w:hAnsi="Times New Roman"/>
              <w:color w:val="000000"/>
              <w:sz w:val="18"/>
              <w:szCs w:val="18"/>
              <w:shd w:val="clear" w:color="auto" w:fill="FFFFFF"/>
            </w:rPr>
            <w:fldChar w:fldCharType="begin"/>
          </w:r>
          <w:r w:rsidRPr="009B1CBD">
            <w:rPr>
              <w:rFonts w:ascii="Times New Roman" w:hAnsi="Times New Roman"/>
              <w:color w:val="000000"/>
              <w:sz w:val="18"/>
              <w:szCs w:val="18"/>
              <w:shd w:val="clear" w:color="auto" w:fill="FFFFFF"/>
              <w:lang w:val="es-MX"/>
            </w:rPr>
            <w:instrText xml:space="preserve">CITATION Fin131 \l 2058 </w:instrText>
          </w:r>
          <w:r w:rsidRPr="009B1CBD">
            <w:rPr>
              <w:rFonts w:ascii="Times New Roman" w:hAnsi="Times New Roman"/>
              <w:color w:val="000000"/>
              <w:sz w:val="18"/>
              <w:szCs w:val="18"/>
              <w:shd w:val="clear" w:color="auto" w:fill="FFFFFF"/>
            </w:rPr>
            <w:fldChar w:fldCharType="separate"/>
          </w:r>
          <w:r w:rsidRPr="009B1CBD">
            <w:rPr>
              <w:rFonts w:ascii="Times New Roman" w:hAnsi="Times New Roman"/>
              <w:noProof/>
              <w:color w:val="000000"/>
              <w:sz w:val="18"/>
              <w:szCs w:val="18"/>
              <w:shd w:val="clear" w:color="auto" w:fill="FFFFFF"/>
              <w:lang w:val="es-MX"/>
            </w:rPr>
            <w:t xml:space="preserve"> (Financial Times Lexicon)</w:t>
          </w:r>
          <w:r w:rsidRPr="009B1CBD">
            <w:rPr>
              <w:rFonts w:ascii="Times New Roman" w:hAnsi="Times New Roman"/>
              <w:color w:val="000000"/>
              <w:sz w:val="18"/>
              <w:szCs w:val="18"/>
              <w:shd w:val="clear" w:color="auto" w:fill="FFFFFF"/>
            </w:rPr>
            <w:fldChar w:fldCharType="end"/>
          </w:r>
        </w:sdtContent>
      </w:sdt>
    </w:p>
  </w:footnote>
  <w:footnote w:id="17">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La concentración horizontal hace referencia a la concentración que se presenta en una industria entre firmas que compiten con el mismo producto o que se encuentran en la misma etapa de producción. </w:t>
      </w:r>
    </w:p>
  </w:footnote>
  <w:footnote w:id="18">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lang w:val="es-MX"/>
        </w:rPr>
        <w:t xml:space="preserve">Desarrollo de experiencia en un sector específico y relaciones continuas con firmas individuales </w:t>
      </w:r>
      <w:sdt>
        <w:sdtPr>
          <w:rPr>
            <w:rFonts w:ascii="Times New Roman" w:hAnsi="Times New Roman"/>
            <w:sz w:val="18"/>
            <w:szCs w:val="18"/>
            <w:lang w:val="es-MX"/>
          </w:rPr>
          <w:id w:val="-2091220259"/>
          <w:citation/>
        </w:sdtPr>
        <w:sdtEndPr/>
        <w:sdtContent>
          <w:r w:rsidRPr="009B1CBD">
            <w:rPr>
              <w:rFonts w:ascii="Times New Roman" w:hAnsi="Times New Roman"/>
              <w:sz w:val="18"/>
              <w:szCs w:val="18"/>
              <w:lang w:val="es-MX"/>
            </w:rPr>
            <w:fldChar w:fldCharType="begin"/>
          </w:r>
          <w:r w:rsidRPr="009B1CBD">
            <w:rPr>
              <w:rFonts w:ascii="Times New Roman" w:hAnsi="Times New Roman"/>
              <w:sz w:val="18"/>
              <w:szCs w:val="18"/>
              <w:lang w:val="es-MX"/>
            </w:rPr>
            <w:instrText xml:space="preserve">CITATION Nor04 \p 5 \l 2058 </w:instrText>
          </w:r>
          <w:r w:rsidRPr="009B1CBD">
            <w:rPr>
              <w:rFonts w:ascii="Times New Roman" w:hAnsi="Times New Roman"/>
              <w:sz w:val="18"/>
              <w:szCs w:val="18"/>
              <w:lang w:val="es-MX"/>
            </w:rPr>
            <w:fldChar w:fldCharType="separate"/>
          </w:r>
          <w:r w:rsidRPr="009B1CBD">
            <w:rPr>
              <w:rFonts w:ascii="Times New Roman" w:hAnsi="Times New Roman"/>
              <w:noProof/>
              <w:sz w:val="18"/>
              <w:szCs w:val="18"/>
              <w:lang w:val="es-MX"/>
            </w:rPr>
            <w:t>(Northcott, 2004, pág. 5)</w:t>
          </w:r>
          <w:r w:rsidRPr="009B1CBD">
            <w:rPr>
              <w:rFonts w:ascii="Times New Roman" w:hAnsi="Times New Roman"/>
              <w:sz w:val="18"/>
              <w:szCs w:val="18"/>
              <w:lang w:val="es-MX"/>
            </w:rPr>
            <w:fldChar w:fldCharType="end"/>
          </w:r>
        </w:sdtContent>
      </w:sdt>
    </w:p>
  </w:footnote>
  <w:footnote w:id="19">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Se</w:t>
      </w:r>
      <w:r w:rsidRPr="009B1CBD">
        <w:rPr>
          <w:rFonts w:ascii="Times New Roman" w:hAnsi="Times New Roman"/>
          <w:sz w:val="18"/>
          <w:szCs w:val="18"/>
          <w:lang w:val="es-MX"/>
        </w:rPr>
        <w:t xml:space="preserve"> define al poder de mercado como la capacidad del productor para incrementar y mantener el precio de un bien por encima de su costo marginal de producción. </w:t>
      </w:r>
    </w:p>
  </w:footnote>
  <w:footnote w:id="20">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Suceden cuando multiplicando los factores de producción por una cantidad determinada t, se obtiene una cantidad producida mayor a t. </w:t>
      </w:r>
    </w:p>
  </w:footnote>
  <w:footnote w:id="21">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lang w:val="es-MX"/>
        </w:rPr>
        <w:t>Crédito basado en información fácilmente observable de la firma</w:t>
      </w:r>
    </w:p>
  </w:footnote>
  <w:footnote w:id="22">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lang w:val="es-MX"/>
        </w:rPr>
        <w:t xml:space="preserve">La diferencia entre los activos y pasivos sin incluir el capital y las reservas. </w:t>
      </w:r>
    </w:p>
  </w:footnote>
  <w:footnote w:id="23">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shd w:val="clear" w:color="auto" w:fill="FFFFFF"/>
        </w:rPr>
        <w:t>Coordinación del comportamiento competitivo de las empresas. En el caso de las</w:t>
      </w:r>
      <w:r w:rsidRPr="009B1CBD">
        <w:rPr>
          <w:rStyle w:val="apple-converted-space"/>
          <w:rFonts w:ascii="Times New Roman" w:hAnsi="Times New Roman"/>
          <w:sz w:val="18"/>
          <w:szCs w:val="18"/>
          <w:shd w:val="clear" w:color="auto" w:fill="FFFFFF"/>
        </w:rPr>
        <w:t> </w:t>
      </w:r>
      <w:hyperlink r:id="rId4" w:anchor="169" w:tooltip="Conductas colusorias" w:history="1">
        <w:r w:rsidRPr="009B1CBD">
          <w:rPr>
            <w:rStyle w:val="Hipervnculo"/>
            <w:rFonts w:ascii="Times New Roman" w:hAnsi="Times New Roman"/>
            <w:color w:val="auto"/>
            <w:sz w:val="18"/>
            <w:szCs w:val="18"/>
            <w:u w:val="none"/>
            <w:shd w:val="clear" w:color="auto" w:fill="FFFFFF"/>
          </w:rPr>
          <w:t>conductas colusorias</w:t>
        </w:r>
      </w:hyperlink>
      <w:r w:rsidRPr="009B1CBD">
        <w:rPr>
          <w:rStyle w:val="apple-converted-space"/>
          <w:rFonts w:ascii="Times New Roman" w:hAnsi="Times New Roman"/>
          <w:sz w:val="18"/>
          <w:szCs w:val="18"/>
          <w:shd w:val="clear" w:color="auto" w:fill="FFFFFF"/>
        </w:rPr>
        <w:t> </w:t>
      </w:r>
      <w:r w:rsidRPr="009B1CBD">
        <w:rPr>
          <w:rFonts w:ascii="Times New Roman" w:hAnsi="Times New Roman"/>
          <w:sz w:val="18"/>
          <w:szCs w:val="18"/>
          <w:shd w:val="clear" w:color="auto" w:fill="FFFFFF"/>
        </w:rPr>
        <w:t>es probable que el resultado de esa coordinación sea una subida de precios, una restricción de la producción y un aumento de los beneficios de las empresas participantes. El comportamiento colusorio no siempre se establece mediante</w:t>
      </w:r>
      <w:r w:rsidRPr="009B1CBD">
        <w:rPr>
          <w:rStyle w:val="apple-converted-space"/>
          <w:rFonts w:ascii="Times New Roman" w:hAnsi="Times New Roman"/>
          <w:sz w:val="18"/>
          <w:szCs w:val="18"/>
          <w:shd w:val="clear" w:color="auto" w:fill="FFFFFF"/>
        </w:rPr>
        <w:t> </w:t>
      </w:r>
      <w:hyperlink r:id="rId5" w:history="1">
        <w:r w:rsidRPr="009B1CBD">
          <w:rPr>
            <w:rStyle w:val="Hipervnculo"/>
            <w:rFonts w:ascii="Times New Roman" w:hAnsi="Times New Roman"/>
            <w:color w:val="auto"/>
            <w:sz w:val="18"/>
            <w:szCs w:val="18"/>
            <w:u w:val="none"/>
            <w:shd w:val="clear" w:color="auto" w:fill="FFFFFF"/>
          </w:rPr>
          <w:t>acuerdos</w:t>
        </w:r>
      </w:hyperlink>
      <w:r w:rsidRPr="009B1CBD">
        <w:rPr>
          <w:rStyle w:val="apple-converted-space"/>
          <w:rFonts w:ascii="Times New Roman" w:hAnsi="Times New Roman"/>
          <w:sz w:val="18"/>
          <w:szCs w:val="18"/>
          <w:shd w:val="clear" w:color="auto" w:fill="FFFFFF"/>
        </w:rPr>
        <w:t> </w:t>
      </w:r>
      <w:r w:rsidRPr="009B1CBD">
        <w:rPr>
          <w:rFonts w:ascii="Times New Roman" w:hAnsi="Times New Roman"/>
          <w:sz w:val="18"/>
          <w:szCs w:val="18"/>
          <w:shd w:val="clear" w:color="auto" w:fill="FFFFFF"/>
        </w:rPr>
        <w:t>explícitos entre las empresas: también podría resultar de situaciones en que las empresas actúan por su cuenta pero, reconociendo su interdependencia con sus competidores, ejercitan conjuntamente el poder de mercado con los demás competidores en colusión</w:t>
      </w:r>
      <w:sdt>
        <w:sdtPr>
          <w:rPr>
            <w:rFonts w:ascii="Times New Roman" w:hAnsi="Times New Roman"/>
            <w:sz w:val="18"/>
            <w:szCs w:val="18"/>
            <w:shd w:val="clear" w:color="auto" w:fill="FFFFFF"/>
          </w:rPr>
          <w:id w:val="1469704833"/>
          <w:citation/>
        </w:sdtPr>
        <w:sdtEndPr/>
        <w:sdtContent>
          <w:r w:rsidRPr="009B1CBD">
            <w:rPr>
              <w:rFonts w:ascii="Times New Roman" w:hAnsi="Times New Roman"/>
              <w:sz w:val="18"/>
              <w:szCs w:val="18"/>
              <w:shd w:val="clear" w:color="auto" w:fill="FFFFFF"/>
            </w:rPr>
            <w:fldChar w:fldCharType="begin"/>
          </w:r>
          <w:r w:rsidRPr="009B1CBD">
            <w:rPr>
              <w:rFonts w:ascii="Times New Roman" w:hAnsi="Times New Roman"/>
              <w:sz w:val="18"/>
              <w:szCs w:val="18"/>
              <w:shd w:val="clear" w:color="auto" w:fill="FFFFFF"/>
              <w:lang w:val="es-MX"/>
            </w:rPr>
            <w:instrText xml:space="preserve"> CITATION Com13 \l 2058 </w:instrText>
          </w:r>
          <w:r w:rsidRPr="009B1CBD">
            <w:rPr>
              <w:rFonts w:ascii="Times New Roman" w:hAnsi="Times New Roman"/>
              <w:sz w:val="18"/>
              <w:szCs w:val="18"/>
              <w:shd w:val="clear" w:color="auto" w:fill="FFFFFF"/>
            </w:rPr>
            <w:fldChar w:fldCharType="separate"/>
          </w:r>
          <w:r w:rsidRPr="009B1CBD">
            <w:rPr>
              <w:rFonts w:ascii="Times New Roman" w:hAnsi="Times New Roman"/>
              <w:noProof/>
              <w:sz w:val="18"/>
              <w:szCs w:val="18"/>
              <w:shd w:val="clear" w:color="auto" w:fill="FFFFFF"/>
              <w:lang w:val="es-MX"/>
            </w:rPr>
            <w:t xml:space="preserve"> (Comisión Nacional de la Competencia: Glosario)</w:t>
          </w:r>
          <w:r w:rsidRPr="009B1CBD">
            <w:rPr>
              <w:rFonts w:ascii="Times New Roman" w:hAnsi="Times New Roman"/>
              <w:sz w:val="18"/>
              <w:szCs w:val="18"/>
              <w:shd w:val="clear" w:color="auto" w:fill="FFFFFF"/>
            </w:rPr>
            <w:fldChar w:fldCharType="end"/>
          </w:r>
        </w:sdtContent>
      </w:sdt>
      <w:r w:rsidRPr="009B1CBD">
        <w:rPr>
          <w:rFonts w:ascii="Times New Roman" w:hAnsi="Times New Roman"/>
          <w:sz w:val="18"/>
          <w:szCs w:val="18"/>
          <w:shd w:val="clear" w:color="auto" w:fill="FFFFFF"/>
        </w:rPr>
        <w:t xml:space="preserve">. </w:t>
      </w:r>
    </w:p>
  </w:footnote>
  <w:footnote w:id="24">
    <w:p w:rsidR="00287975" w:rsidRPr="009B1CBD" w:rsidRDefault="00287975" w:rsidP="009B1CBD">
      <w:pPr>
        <w:autoSpaceDE w:val="0"/>
        <w:autoSpaceDN w:val="0"/>
        <w:adjustRightInd w:val="0"/>
        <w:spacing w:after="0" w:line="240" w:lineRule="auto"/>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lang w:val="es-MX"/>
        </w:rPr>
        <w:t xml:space="preserve">El </w:t>
      </w:r>
      <w:r w:rsidRPr="009B1CBD">
        <w:rPr>
          <w:rFonts w:ascii="Times New Roman" w:hAnsi="Times New Roman"/>
          <w:i/>
          <w:iCs/>
          <w:sz w:val="18"/>
          <w:szCs w:val="18"/>
          <w:lang w:val="es-MX"/>
        </w:rPr>
        <w:t xml:space="preserve">comportamiento de rebaño </w:t>
      </w:r>
      <w:r w:rsidRPr="009B1CBD">
        <w:rPr>
          <w:rFonts w:ascii="Times New Roman" w:hAnsi="Times New Roman"/>
          <w:sz w:val="18"/>
          <w:szCs w:val="18"/>
          <w:lang w:val="es-MX"/>
        </w:rPr>
        <w:t>se refiere al fenómeno de personas que siguen a una multitud durante un período dado, a veces “incluso sin considerar información individual que sugiere otra cosa”</w:t>
      </w:r>
      <w:sdt>
        <w:sdtPr>
          <w:rPr>
            <w:rFonts w:ascii="Times New Roman" w:hAnsi="Times New Roman"/>
            <w:sz w:val="18"/>
            <w:szCs w:val="18"/>
            <w:lang w:val="es-MX"/>
          </w:rPr>
          <w:id w:val="-550771296"/>
          <w:citation/>
        </w:sdtPr>
        <w:sdtEndPr/>
        <w:sdtContent>
          <w:r w:rsidRPr="009B1CBD">
            <w:rPr>
              <w:rFonts w:ascii="Times New Roman" w:hAnsi="Times New Roman"/>
              <w:sz w:val="18"/>
              <w:szCs w:val="18"/>
              <w:lang w:val="es-MX"/>
            </w:rPr>
            <w:fldChar w:fldCharType="begin"/>
          </w:r>
          <w:r w:rsidRPr="009B1CBD">
            <w:rPr>
              <w:rFonts w:ascii="Times New Roman" w:hAnsi="Times New Roman"/>
              <w:sz w:val="18"/>
              <w:szCs w:val="18"/>
              <w:lang w:val="es-MX"/>
            </w:rPr>
            <w:instrText xml:space="preserve">CITATION Lau07 \p 203 \l 2058 </w:instrText>
          </w:r>
          <w:r w:rsidRPr="009B1CBD">
            <w:rPr>
              <w:rFonts w:ascii="Times New Roman" w:hAnsi="Times New Roman"/>
              <w:sz w:val="18"/>
              <w:szCs w:val="18"/>
              <w:lang w:val="es-MX"/>
            </w:rPr>
            <w:fldChar w:fldCharType="separate"/>
          </w:r>
          <w:r w:rsidRPr="009B1CBD">
            <w:rPr>
              <w:rFonts w:ascii="Times New Roman" w:hAnsi="Times New Roman"/>
              <w:noProof/>
              <w:sz w:val="18"/>
              <w:szCs w:val="18"/>
              <w:lang w:val="es-MX"/>
            </w:rPr>
            <w:t xml:space="preserve"> (Rook, 2007, pág. 203)</w:t>
          </w:r>
          <w:r w:rsidRPr="009B1CBD">
            <w:rPr>
              <w:rFonts w:ascii="Times New Roman" w:hAnsi="Times New Roman"/>
              <w:sz w:val="18"/>
              <w:szCs w:val="18"/>
              <w:lang w:val="es-MX"/>
            </w:rPr>
            <w:fldChar w:fldCharType="end"/>
          </w:r>
        </w:sdtContent>
      </w:sdt>
    </w:p>
  </w:footnote>
  <w:footnote w:id="25">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lang w:val="es-MX"/>
        </w:rPr>
        <w:t xml:space="preserve"> Foro informal de acreedores oficiales cuya principal función es la de encontrar soluciones coordinadas y sustentables para las dificultades de pago experimentadas por países deudores. </w:t>
      </w:r>
    </w:p>
  </w:footnote>
  <w:footnote w:id="26">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w:t>
      </w:r>
      <w:r w:rsidRPr="009B1CBD">
        <w:rPr>
          <w:rFonts w:ascii="Times New Roman" w:hAnsi="Times New Roman"/>
          <w:sz w:val="18"/>
          <w:szCs w:val="18"/>
          <w:shd w:val="clear" w:color="auto" w:fill="FFFFFF"/>
        </w:rPr>
        <w:t>Los créditos vinculados son los préstamos que los bancos dan a empresas relacionadas o vinculadas directa o indirectamente con sus accionistas o administradores.  La Ley General de Instituciones del Sistema Financiero, aprobada en 1994 permitió en su art. 73 que este tipo de créditos sean “hasta el 100 por ciento del patrimonio técnico si lo que excede del 50 por ciento corresponde a obligaciones caucionadas con garantía de bancos nacionales o extranjeros de reconocida solvencia o por garantías adecuadas, admitidas como tales mediante normas de carácter general expedidas por la Superintendencia”</w:t>
      </w:r>
      <w:sdt>
        <w:sdtPr>
          <w:rPr>
            <w:rFonts w:ascii="Times New Roman" w:hAnsi="Times New Roman"/>
            <w:sz w:val="18"/>
            <w:szCs w:val="18"/>
            <w:shd w:val="clear" w:color="auto" w:fill="FFFFFF"/>
          </w:rPr>
          <w:id w:val="1381129410"/>
          <w:citation/>
        </w:sdtPr>
        <w:sdtEndPr/>
        <w:sdtContent>
          <w:r w:rsidRPr="009B1CBD">
            <w:rPr>
              <w:rFonts w:ascii="Times New Roman" w:hAnsi="Times New Roman"/>
              <w:sz w:val="18"/>
              <w:szCs w:val="18"/>
              <w:shd w:val="clear" w:color="auto" w:fill="FFFFFF"/>
            </w:rPr>
            <w:fldChar w:fldCharType="begin"/>
          </w:r>
          <w:r w:rsidRPr="009B1CBD">
            <w:rPr>
              <w:rFonts w:ascii="Times New Roman" w:hAnsi="Times New Roman"/>
              <w:sz w:val="18"/>
              <w:szCs w:val="18"/>
              <w:shd w:val="clear" w:color="auto" w:fill="FFFFFF"/>
              <w:lang w:val="es-MX"/>
            </w:rPr>
            <w:instrText xml:space="preserve">CITATION Cré99 \l 2058 </w:instrText>
          </w:r>
          <w:r w:rsidRPr="009B1CBD">
            <w:rPr>
              <w:rFonts w:ascii="Times New Roman" w:hAnsi="Times New Roman"/>
              <w:sz w:val="18"/>
              <w:szCs w:val="18"/>
              <w:shd w:val="clear" w:color="auto" w:fill="FFFFFF"/>
            </w:rPr>
            <w:fldChar w:fldCharType="separate"/>
          </w:r>
          <w:r w:rsidRPr="009B1CBD">
            <w:rPr>
              <w:rFonts w:ascii="Times New Roman" w:hAnsi="Times New Roman"/>
              <w:noProof/>
              <w:sz w:val="18"/>
              <w:szCs w:val="18"/>
              <w:shd w:val="clear" w:color="auto" w:fill="FFFFFF"/>
              <w:lang w:val="es-MX"/>
            </w:rPr>
            <w:t xml:space="preserve"> (Diario Hoy, 1999)</w:t>
          </w:r>
          <w:r w:rsidRPr="009B1CBD">
            <w:rPr>
              <w:rFonts w:ascii="Times New Roman" w:hAnsi="Times New Roman"/>
              <w:sz w:val="18"/>
              <w:szCs w:val="18"/>
              <w:shd w:val="clear" w:color="auto" w:fill="FFFFFF"/>
            </w:rPr>
            <w:fldChar w:fldCharType="end"/>
          </w:r>
        </w:sdtContent>
      </w:sdt>
      <w:r w:rsidRPr="009B1CBD">
        <w:rPr>
          <w:rFonts w:ascii="Times New Roman" w:hAnsi="Times New Roman"/>
          <w:color w:val="333333"/>
          <w:sz w:val="18"/>
          <w:szCs w:val="18"/>
          <w:shd w:val="clear" w:color="auto" w:fill="FFFFFF"/>
        </w:rPr>
        <w:t xml:space="preserve"> </w:t>
      </w:r>
    </w:p>
  </w:footnote>
  <w:footnote w:id="27">
    <w:p w:rsidR="00287975" w:rsidRPr="009B1CBD" w:rsidRDefault="00287975" w:rsidP="009B1CBD">
      <w:pPr>
        <w:pStyle w:val="Default"/>
        <w:jc w:val="both"/>
        <w:rPr>
          <w:rFonts w:ascii="Times New Roman" w:hAnsi="Times New Roman" w:cs="Times New Roman"/>
          <w:color w:val="auto"/>
          <w:sz w:val="18"/>
          <w:szCs w:val="18"/>
        </w:rPr>
      </w:pPr>
      <w:r w:rsidRPr="009B1CBD">
        <w:rPr>
          <w:rStyle w:val="Refdenotaalpie"/>
          <w:rFonts w:ascii="Times New Roman" w:hAnsi="Times New Roman" w:cs="Times New Roman"/>
          <w:sz w:val="18"/>
          <w:szCs w:val="18"/>
        </w:rPr>
        <w:footnoteRef/>
      </w:r>
      <w:r w:rsidRPr="009B1CBD">
        <w:rPr>
          <w:rFonts w:ascii="Times New Roman" w:hAnsi="Times New Roman" w:cs="Times New Roman"/>
          <w:sz w:val="18"/>
          <w:szCs w:val="18"/>
        </w:rPr>
        <w:t xml:space="preserve"> El modelo de </w:t>
      </w:r>
      <w:proofErr w:type="spellStart"/>
      <w:r w:rsidRPr="009B1CBD">
        <w:rPr>
          <w:rFonts w:ascii="Times New Roman" w:hAnsi="Times New Roman" w:cs="Times New Roman"/>
          <w:sz w:val="18"/>
          <w:szCs w:val="18"/>
        </w:rPr>
        <w:t>Cournot</w:t>
      </w:r>
      <w:proofErr w:type="spellEnd"/>
      <w:r w:rsidRPr="009B1CBD">
        <w:rPr>
          <w:rFonts w:ascii="Times New Roman" w:hAnsi="Times New Roman" w:cs="Times New Roman"/>
          <w:sz w:val="18"/>
          <w:szCs w:val="18"/>
        </w:rPr>
        <w:t xml:space="preserve"> es un modelo estático –no cambia en el tiempo- de oligopolio en donde la elección o variable estratégica de las empresas manejan para su competencia es el volumen de la producción. Es decir, compiten por cantidad. Los supuestos del modelo es que las empresas venden productos homogéneos, cada empresa decide independiente y simultáneamente la cantidad que producirá del bien, tienen igual función de costos: </w:t>
      </w:r>
      <w:proofErr w:type="spellStart"/>
      <w:r w:rsidRPr="009B1CBD">
        <w:rPr>
          <w:rFonts w:ascii="Times New Roman" w:hAnsi="Times New Roman" w:cs="Times New Roman"/>
          <w:i/>
          <w:iCs/>
          <w:sz w:val="18"/>
          <w:szCs w:val="18"/>
        </w:rPr>
        <w:t>CTi</w:t>
      </w:r>
      <w:proofErr w:type="spellEnd"/>
      <w:r w:rsidRPr="009B1CBD">
        <w:rPr>
          <w:rFonts w:ascii="Times New Roman" w:hAnsi="Times New Roman" w:cs="Times New Roman"/>
          <w:sz w:val="18"/>
          <w:szCs w:val="18"/>
        </w:rPr>
        <w:t xml:space="preserve">= </w:t>
      </w:r>
      <w:proofErr w:type="spellStart"/>
      <w:r w:rsidRPr="009B1CBD">
        <w:rPr>
          <w:rFonts w:ascii="Times New Roman" w:hAnsi="Times New Roman" w:cs="Times New Roman"/>
          <w:i/>
          <w:iCs/>
          <w:sz w:val="18"/>
          <w:szCs w:val="18"/>
        </w:rPr>
        <w:t>cqi</w:t>
      </w:r>
      <w:proofErr w:type="spellEnd"/>
      <w:r w:rsidRPr="009B1CBD">
        <w:rPr>
          <w:rFonts w:ascii="Times New Roman" w:hAnsi="Times New Roman" w:cs="Times New Roman"/>
          <w:i/>
          <w:iCs/>
          <w:sz w:val="18"/>
          <w:szCs w:val="18"/>
        </w:rPr>
        <w:t xml:space="preserve"> y</w:t>
      </w:r>
      <w:r w:rsidRPr="009B1CBD">
        <w:rPr>
          <w:rFonts w:ascii="Times New Roman" w:hAnsi="Times New Roman" w:cs="Times New Roman"/>
          <w:sz w:val="18"/>
          <w:szCs w:val="18"/>
        </w:rPr>
        <w:t xml:space="preserve"> no existen costos fijos, no enfrentan restricciones de capacidad, pueden servir toda la demanda que reciban. La hipótesis de este modelo de competencia es que el precio del mercado es el producto de la suma de las ofertas individuales de cada firma. Esto se debe, según </w:t>
      </w:r>
      <w:proofErr w:type="spellStart"/>
      <w:r w:rsidRPr="009B1CBD">
        <w:rPr>
          <w:rFonts w:ascii="Times New Roman" w:hAnsi="Times New Roman" w:cs="Times New Roman"/>
          <w:sz w:val="18"/>
          <w:szCs w:val="18"/>
        </w:rPr>
        <w:t>Cournot</w:t>
      </w:r>
      <w:proofErr w:type="spellEnd"/>
      <w:r w:rsidRPr="009B1CBD">
        <w:rPr>
          <w:rFonts w:ascii="Times New Roman" w:hAnsi="Times New Roman" w:cs="Times New Roman"/>
          <w:sz w:val="18"/>
          <w:szCs w:val="18"/>
        </w:rPr>
        <w:t xml:space="preserve">, cuando las empresas fijan la cantidad de producción que maximizan sus beneficios, cada empresa supone que la otra va a mantener constante su nivel de producción elegido. Las cantidades de producción son escogidas simultáneamente. El beneficio de cada empresa es función de la cantidad producida </w:t>
      </w:r>
      <w:r w:rsidRPr="009B1CBD">
        <w:rPr>
          <w:rFonts w:ascii="Times New Roman" w:hAnsi="Times New Roman" w:cs="Times New Roman"/>
          <w:color w:val="auto"/>
          <w:sz w:val="18"/>
          <w:szCs w:val="18"/>
        </w:rPr>
        <w:t xml:space="preserve">por esa empresa y del precio de mercado, que a su vez es función de la cantidad producida por ambas empresas. </w:t>
      </w:r>
    </w:p>
    <w:p w:rsidR="00287975" w:rsidRPr="009B1CBD" w:rsidRDefault="00287975" w:rsidP="009B1CBD">
      <w:pPr>
        <w:pStyle w:val="Default"/>
        <w:jc w:val="both"/>
        <w:rPr>
          <w:rFonts w:ascii="Times New Roman" w:hAnsi="Times New Roman" w:cs="Times New Roman"/>
          <w:sz w:val="18"/>
          <w:szCs w:val="18"/>
        </w:rPr>
      </w:pPr>
      <w:r w:rsidRPr="009B1CBD">
        <w:rPr>
          <w:rFonts w:ascii="Times New Roman" w:hAnsi="Times New Roman" w:cs="Times New Roman"/>
          <w:color w:val="auto"/>
          <w:sz w:val="18"/>
          <w:szCs w:val="18"/>
        </w:rPr>
        <w:t xml:space="preserve">La condición de maximización de beneficios es que el ingreso marginal sea igual al costo marginal. Una vez que las empresas fijan la cantidad de producción está también queda fijada en el mercado (Q = </w:t>
      </w:r>
      <w:proofErr w:type="spellStart"/>
      <w:r w:rsidRPr="009B1CBD">
        <w:rPr>
          <w:rFonts w:ascii="Times New Roman" w:hAnsi="Times New Roman" w:cs="Times New Roman"/>
          <w:color w:val="auto"/>
          <w:sz w:val="18"/>
          <w:szCs w:val="18"/>
        </w:rPr>
        <w:t>qi</w:t>
      </w:r>
      <w:proofErr w:type="spellEnd"/>
      <w:r w:rsidRPr="009B1CBD">
        <w:rPr>
          <w:rFonts w:ascii="Times New Roman" w:hAnsi="Times New Roman" w:cs="Times New Roman"/>
          <w:color w:val="auto"/>
          <w:sz w:val="18"/>
          <w:szCs w:val="18"/>
        </w:rPr>
        <w:t xml:space="preserve">+ </w:t>
      </w:r>
      <w:proofErr w:type="spellStart"/>
      <w:r w:rsidRPr="009B1CBD">
        <w:rPr>
          <w:rFonts w:ascii="Times New Roman" w:hAnsi="Times New Roman" w:cs="Times New Roman"/>
          <w:color w:val="auto"/>
          <w:sz w:val="18"/>
          <w:szCs w:val="18"/>
        </w:rPr>
        <w:t>qj</w:t>
      </w:r>
      <w:proofErr w:type="spellEnd"/>
      <w:r w:rsidRPr="009B1CBD">
        <w:rPr>
          <w:rFonts w:ascii="Times New Roman" w:hAnsi="Times New Roman" w:cs="Times New Roman"/>
          <w:color w:val="auto"/>
          <w:sz w:val="18"/>
          <w:szCs w:val="18"/>
        </w:rPr>
        <w:t>) y una vez fijada la cantidad también queda fijado el precio</w:t>
      </w:r>
      <w:sdt>
        <w:sdtPr>
          <w:rPr>
            <w:rFonts w:ascii="Times New Roman" w:hAnsi="Times New Roman" w:cs="Times New Roman"/>
            <w:color w:val="auto"/>
            <w:sz w:val="18"/>
            <w:szCs w:val="18"/>
          </w:rPr>
          <w:id w:val="1718552679"/>
          <w:citation/>
        </w:sdtPr>
        <w:sdtEndPr/>
        <w:sdtContent>
          <w:r w:rsidRPr="009B1CBD">
            <w:rPr>
              <w:rFonts w:ascii="Times New Roman" w:hAnsi="Times New Roman" w:cs="Times New Roman"/>
              <w:color w:val="auto"/>
              <w:sz w:val="18"/>
              <w:szCs w:val="18"/>
            </w:rPr>
            <w:fldChar w:fldCharType="begin"/>
          </w:r>
          <w:r w:rsidRPr="009B1CBD">
            <w:rPr>
              <w:rFonts w:ascii="Times New Roman" w:hAnsi="Times New Roman" w:cs="Times New Roman"/>
              <w:color w:val="auto"/>
              <w:sz w:val="18"/>
              <w:szCs w:val="18"/>
            </w:rPr>
            <w:instrText xml:space="preserve">CITATION Vel11 \p 10,11 \l 2058 </w:instrText>
          </w:r>
          <w:r w:rsidRPr="009B1CBD">
            <w:rPr>
              <w:rFonts w:ascii="Times New Roman" w:hAnsi="Times New Roman" w:cs="Times New Roman"/>
              <w:color w:val="auto"/>
              <w:sz w:val="18"/>
              <w:szCs w:val="18"/>
            </w:rPr>
            <w:fldChar w:fldCharType="separate"/>
          </w:r>
          <w:r w:rsidRPr="009B1CBD">
            <w:rPr>
              <w:rFonts w:ascii="Times New Roman" w:hAnsi="Times New Roman" w:cs="Times New Roman"/>
              <w:noProof/>
              <w:color w:val="auto"/>
              <w:sz w:val="18"/>
              <w:szCs w:val="18"/>
            </w:rPr>
            <w:t xml:space="preserve"> (Vela Meléndez, 2011, págs. 10,11)</w:t>
          </w:r>
          <w:r w:rsidRPr="009B1CBD">
            <w:rPr>
              <w:rFonts w:ascii="Times New Roman" w:hAnsi="Times New Roman" w:cs="Times New Roman"/>
              <w:color w:val="auto"/>
              <w:sz w:val="18"/>
              <w:szCs w:val="18"/>
            </w:rPr>
            <w:fldChar w:fldCharType="end"/>
          </w:r>
        </w:sdtContent>
      </w:sdt>
      <w:r w:rsidRPr="009B1CBD">
        <w:rPr>
          <w:rFonts w:ascii="Times New Roman" w:hAnsi="Times New Roman" w:cs="Times New Roman"/>
          <w:color w:val="auto"/>
          <w:sz w:val="18"/>
          <w:szCs w:val="18"/>
        </w:rPr>
        <w:t xml:space="preserve">. </w:t>
      </w:r>
      <w:r w:rsidRPr="009B1CBD">
        <w:rPr>
          <w:rFonts w:ascii="Times New Roman" w:hAnsi="Times New Roman" w:cs="Times New Roman"/>
          <w:sz w:val="18"/>
          <w:szCs w:val="18"/>
        </w:rPr>
        <w:t xml:space="preserve"> </w:t>
      </w:r>
    </w:p>
    <w:p w:rsidR="00287975" w:rsidRPr="009B1CBD" w:rsidRDefault="00287975" w:rsidP="009B1CBD">
      <w:pPr>
        <w:pStyle w:val="Textonotapie"/>
        <w:jc w:val="both"/>
        <w:rPr>
          <w:rFonts w:ascii="Times New Roman" w:hAnsi="Times New Roman"/>
          <w:sz w:val="18"/>
          <w:szCs w:val="18"/>
          <w:lang w:val="es-MX"/>
        </w:rPr>
      </w:pPr>
    </w:p>
  </w:footnote>
  <w:footnote w:id="28">
    <w:p w:rsidR="00287975" w:rsidRPr="009B1CBD" w:rsidRDefault="00287975" w:rsidP="009B1CBD">
      <w:pPr>
        <w:pStyle w:val="Textonotapie"/>
        <w:jc w:val="both"/>
        <w:rPr>
          <w:rFonts w:ascii="Times New Roman" w:hAnsi="Times New Roman"/>
          <w:sz w:val="18"/>
          <w:szCs w:val="18"/>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La información seleccionada para el cálculo tanto del estadístico H y la relación de estabilidad y competencia se basa en la información empleada en estudios similares para Chile y República Dominicana. Asimismo, los indicadores de concentración son los mismos que emplean estos estudios en su análisis empírico. </w:t>
      </w:r>
    </w:p>
  </w:footnote>
  <w:footnote w:id="29">
    <w:p w:rsidR="00287975" w:rsidRPr="009B1CBD" w:rsidRDefault="00287975" w:rsidP="009B1CBD">
      <w:pPr>
        <w:pStyle w:val="Textonotapie"/>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La estática comparativa es un método</w:t>
      </w:r>
      <w:r w:rsidRPr="009B1CBD">
        <w:rPr>
          <w:rStyle w:val="apple-converted-space"/>
          <w:rFonts w:ascii="Times New Roman" w:hAnsi="Times New Roman"/>
          <w:sz w:val="18"/>
          <w:szCs w:val="18"/>
        </w:rPr>
        <w:t> </w:t>
      </w:r>
      <w:r w:rsidRPr="009B1CBD">
        <w:rPr>
          <w:rFonts w:ascii="Times New Roman" w:hAnsi="Times New Roman"/>
          <w:sz w:val="18"/>
          <w:szCs w:val="18"/>
        </w:rPr>
        <w:t xml:space="preserve">de análisis empleado en economía para comparar dos o más situaciones diferentes de equilibrio. Este tipo de análisis estudia el proceso de cambio en sí y no el movimiento hacia el equilibrio (proceso de ajuste). </w:t>
      </w:r>
      <w:sdt>
        <w:sdtPr>
          <w:rPr>
            <w:rFonts w:ascii="Times New Roman" w:hAnsi="Times New Roman"/>
            <w:sz w:val="18"/>
            <w:szCs w:val="18"/>
          </w:rPr>
          <w:id w:val="1830712893"/>
          <w:citation/>
        </w:sdtPr>
        <w:sdtEndPr/>
        <w:sdtContent>
          <w:r w:rsidRPr="009B1CBD">
            <w:rPr>
              <w:rFonts w:ascii="Times New Roman" w:hAnsi="Times New Roman"/>
              <w:sz w:val="18"/>
              <w:szCs w:val="18"/>
            </w:rPr>
            <w:fldChar w:fldCharType="begin"/>
          </w:r>
          <w:r w:rsidRPr="009B1CBD">
            <w:rPr>
              <w:rFonts w:ascii="Times New Roman" w:hAnsi="Times New Roman"/>
              <w:sz w:val="18"/>
              <w:szCs w:val="18"/>
              <w:lang w:val="es-MX"/>
            </w:rPr>
            <w:instrText xml:space="preserve">CITATION LaG13 \l 2058 </w:instrText>
          </w:r>
          <w:r w:rsidRPr="009B1CBD">
            <w:rPr>
              <w:rFonts w:ascii="Times New Roman" w:hAnsi="Times New Roman"/>
              <w:sz w:val="18"/>
              <w:szCs w:val="18"/>
            </w:rPr>
            <w:fldChar w:fldCharType="separate"/>
          </w:r>
          <w:r w:rsidRPr="009B1CBD">
            <w:rPr>
              <w:rFonts w:ascii="Times New Roman" w:hAnsi="Times New Roman"/>
              <w:noProof/>
              <w:sz w:val="18"/>
              <w:szCs w:val="18"/>
              <w:lang w:val="es-MX"/>
            </w:rPr>
            <w:t>(La Gran Enciclopedia de Economía)</w:t>
          </w:r>
          <w:r w:rsidRPr="009B1CBD">
            <w:rPr>
              <w:rFonts w:ascii="Times New Roman" w:hAnsi="Times New Roman"/>
              <w:sz w:val="18"/>
              <w:szCs w:val="18"/>
            </w:rPr>
            <w:fldChar w:fldCharType="end"/>
          </w:r>
        </w:sdtContent>
      </w:sdt>
    </w:p>
  </w:footnote>
  <w:footnote w:id="30">
    <w:p w:rsidR="00287975" w:rsidRPr="009B1CBD" w:rsidRDefault="00287975" w:rsidP="009B1CBD">
      <w:pPr>
        <w:autoSpaceDE w:val="0"/>
        <w:autoSpaceDN w:val="0"/>
        <w:adjustRightInd w:val="0"/>
        <w:spacing w:after="0" w:line="240" w:lineRule="auto"/>
        <w:jc w:val="both"/>
        <w:rPr>
          <w:rFonts w:ascii="Times New Roman" w:hAnsi="Times New Roman"/>
          <w:sz w:val="18"/>
          <w:szCs w:val="18"/>
          <w:lang w:val="es-MX"/>
        </w:rPr>
      </w:pPr>
      <w:r w:rsidRPr="009B1CBD">
        <w:rPr>
          <w:rStyle w:val="Refdenotaalpie"/>
          <w:rFonts w:ascii="Times New Roman" w:hAnsi="Times New Roman"/>
          <w:sz w:val="18"/>
          <w:szCs w:val="18"/>
        </w:rPr>
        <w:footnoteRef/>
      </w:r>
      <w:r w:rsidRPr="009B1CBD">
        <w:rPr>
          <w:rFonts w:ascii="Times New Roman" w:hAnsi="Times New Roman"/>
          <w:sz w:val="18"/>
          <w:szCs w:val="18"/>
        </w:rPr>
        <w:t xml:space="preserve"> “Un modelo de datos de panel</w:t>
      </w:r>
      <w:r w:rsidRPr="009B1CBD">
        <w:rPr>
          <w:rFonts w:ascii="Times New Roman" w:eastAsiaTheme="minorHAnsi" w:hAnsi="Times New Roman"/>
          <w:sz w:val="18"/>
          <w:szCs w:val="18"/>
          <w:lang w:val="es-MX"/>
        </w:rPr>
        <w:t xml:space="preserve"> es aquel en el q se combinan cortes transversales -información de varios individuos en un momento dado- durante varios períodos de tiempo. Un modelo de datos de panel de efectos fijos supone que el  error puede descomponerse en dos una parte fija, constante para cada individuo y otra aleatoria que cumple los requisitos de Mínimos Cuadrados Ordinarios, lo que es equivalente a obtener una tendencia general por regresión dando a cada individuo un punto de origen (ordenadas) distinto</w:t>
      </w:r>
      <w:sdt>
        <w:sdtPr>
          <w:rPr>
            <w:rFonts w:ascii="Times New Roman" w:eastAsiaTheme="minorHAnsi" w:hAnsi="Times New Roman"/>
            <w:sz w:val="18"/>
            <w:szCs w:val="18"/>
            <w:lang w:val="es-MX"/>
          </w:rPr>
          <w:id w:val="29241610"/>
          <w:citation/>
        </w:sdtPr>
        <w:sdtEndPr/>
        <w:sdtContent>
          <w:r w:rsidRPr="009B1CBD">
            <w:rPr>
              <w:rFonts w:ascii="Times New Roman" w:eastAsiaTheme="minorHAnsi" w:hAnsi="Times New Roman"/>
              <w:sz w:val="18"/>
              <w:szCs w:val="18"/>
              <w:lang w:val="es-MX"/>
            </w:rPr>
            <w:fldChar w:fldCharType="begin"/>
          </w:r>
          <w:r w:rsidRPr="009B1CBD">
            <w:rPr>
              <w:rFonts w:ascii="Times New Roman" w:eastAsiaTheme="minorHAnsi" w:hAnsi="Times New Roman"/>
              <w:sz w:val="18"/>
              <w:szCs w:val="18"/>
              <w:lang w:val="es-MX"/>
            </w:rPr>
            <w:instrText xml:space="preserve">CITATION Mon11 \p 1,2 \l 2058 </w:instrText>
          </w:r>
          <w:r w:rsidRPr="009B1CBD">
            <w:rPr>
              <w:rFonts w:ascii="Times New Roman" w:eastAsiaTheme="minorHAnsi" w:hAnsi="Times New Roman"/>
              <w:sz w:val="18"/>
              <w:szCs w:val="18"/>
              <w:lang w:val="es-MX"/>
            </w:rPr>
            <w:fldChar w:fldCharType="separate"/>
          </w:r>
          <w:r w:rsidRPr="009B1CBD">
            <w:rPr>
              <w:rFonts w:ascii="Times New Roman" w:eastAsiaTheme="minorHAnsi" w:hAnsi="Times New Roman"/>
              <w:noProof/>
              <w:sz w:val="18"/>
              <w:szCs w:val="18"/>
              <w:lang w:val="es-MX"/>
            </w:rPr>
            <w:t xml:space="preserve"> (Montero G. R., 2011, págs. 1,2)</w:t>
          </w:r>
          <w:r w:rsidRPr="009B1CBD">
            <w:rPr>
              <w:rFonts w:ascii="Times New Roman" w:eastAsiaTheme="minorHAnsi" w:hAnsi="Times New Roman"/>
              <w:sz w:val="18"/>
              <w:szCs w:val="18"/>
              <w:lang w:val="es-MX"/>
            </w:rPr>
            <w:fldChar w:fldCharType="end"/>
          </w:r>
        </w:sdtContent>
      </w:sdt>
      <w:r w:rsidRPr="009B1CBD">
        <w:rPr>
          <w:rFonts w:ascii="Times New Roman" w:eastAsiaTheme="minorHAnsi" w:hAnsi="Times New Roman"/>
          <w:sz w:val="18"/>
          <w:szCs w:val="18"/>
          <w:lang w:val="es-MX"/>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975" w:rsidRDefault="00287975" w:rsidP="00232BE5">
    <w:pPr>
      <w:pStyle w:val="Encabezado"/>
      <w:tabs>
        <w:tab w:val="clear" w:pos="4419"/>
        <w:tab w:val="clear" w:pos="8838"/>
        <w:tab w:val="left" w:pos="312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133AA"/>
    <w:multiLevelType w:val="hybridMultilevel"/>
    <w:tmpl w:val="815C4862"/>
    <w:lvl w:ilvl="0" w:tplc="299C8C30">
      <w:numFmt w:val="bullet"/>
      <w:lvlText w:val="-"/>
      <w:lvlJc w:val="left"/>
      <w:pPr>
        <w:ind w:left="708" w:hanging="360"/>
      </w:pPr>
      <w:rPr>
        <w:rFonts w:ascii="Times New Roman" w:eastAsiaTheme="minorHAnsi" w:hAnsi="Times New Roman" w:cs="Times New Roman" w:hint="default"/>
      </w:rPr>
    </w:lvl>
    <w:lvl w:ilvl="1" w:tplc="080A0003">
      <w:start w:val="1"/>
      <w:numFmt w:val="bullet"/>
      <w:lvlText w:val="o"/>
      <w:lvlJc w:val="left"/>
      <w:pPr>
        <w:ind w:left="1428" w:hanging="360"/>
      </w:pPr>
      <w:rPr>
        <w:rFonts w:ascii="Courier New" w:hAnsi="Courier New" w:cs="Courier New" w:hint="default"/>
      </w:rPr>
    </w:lvl>
    <w:lvl w:ilvl="2" w:tplc="080A0005" w:tentative="1">
      <w:start w:val="1"/>
      <w:numFmt w:val="bullet"/>
      <w:lvlText w:val=""/>
      <w:lvlJc w:val="left"/>
      <w:pPr>
        <w:ind w:left="2148" w:hanging="360"/>
      </w:pPr>
      <w:rPr>
        <w:rFonts w:ascii="Wingdings" w:hAnsi="Wingdings" w:hint="default"/>
      </w:rPr>
    </w:lvl>
    <w:lvl w:ilvl="3" w:tplc="080A0001" w:tentative="1">
      <w:start w:val="1"/>
      <w:numFmt w:val="bullet"/>
      <w:lvlText w:val=""/>
      <w:lvlJc w:val="left"/>
      <w:pPr>
        <w:ind w:left="2868" w:hanging="360"/>
      </w:pPr>
      <w:rPr>
        <w:rFonts w:ascii="Symbol" w:hAnsi="Symbol" w:hint="default"/>
      </w:rPr>
    </w:lvl>
    <w:lvl w:ilvl="4" w:tplc="080A0003" w:tentative="1">
      <w:start w:val="1"/>
      <w:numFmt w:val="bullet"/>
      <w:lvlText w:val="o"/>
      <w:lvlJc w:val="left"/>
      <w:pPr>
        <w:ind w:left="3588" w:hanging="360"/>
      </w:pPr>
      <w:rPr>
        <w:rFonts w:ascii="Courier New" w:hAnsi="Courier New" w:cs="Courier New" w:hint="default"/>
      </w:rPr>
    </w:lvl>
    <w:lvl w:ilvl="5" w:tplc="080A0005" w:tentative="1">
      <w:start w:val="1"/>
      <w:numFmt w:val="bullet"/>
      <w:lvlText w:val=""/>
      <w:lvlJc w:val="left"/>
      <w:pPr>
        <w:ind w:left="4308" w:hanging="360"/>
      </w:pPr>
      <w:rPr>
        <w:rFonts w:ascii="Wingdings" w:hAnsi="Wingdings" w:hint="default"/>
      </w:rPr>
    </w:lvl>
    <w:lvl w:ilvl="6" w:tplc="080A0001" w:tentative="1">
      <w:start w:val="1"/>
      <w:numFmt w:val="bullet"/>
      <w:lvlText w:val=""/>
      <w:lvlJc w:val="left"/>
      <w:pPr>
        <w:ind w:left="5028" w:hanging="360"/>
      </w:pPr>
      <w:rPr>
        <w:rFonts w:ascii="Symbol" w:hAnsi="Symbol" w:hint="default"/>
      </w:rPr>
    </w:lvl>
    <w:lvl w:ilvl="7" w:tplc="080A0003" w:tentative="1">
      <w:start w:val="1"/>
      <w:numFmt w:val="bullet"/>
      <w:lvlText w:val="o"/>
      <w:lvlJc w:val="left"/>
      <w:pPr>
        <w:ind w:left="5748" w:hanging="360"/>
      </w:pPr>
      <w:rPr>
        <w:rFonts w:ascii="Courier New" w:hAnsi="Courier New" w:cs="Courier New" w:hint="default"/>
      </w:rPr>
    </w:lvl>
    <w:lvl w:ilvl="8" w:tplc="080A0005" w:tentative="1">
      <w:start w:val="1"/>
      <w:numFmt w:val="bullet"/>
      <w:lvlText w:val=""/>
      <w:lvlJc w:val="left"/>
      <w:pPr>
        <w:ind w:left="6468" w:hanging="360"/>
      </w:pPr>
      <w:rPr>
        <w:rFonts w:ascii="Wingdings" w:hAnsi="Wingdings" w:hint="default"/>
      </w:rPr>
    </w:lvl>
  </w:abstractNum>
  <w:abstractNum w:abstractNumId="1">
    <w:nsid w:val="049B52D5"/>
    <w:multiLevelType w:val="multilevel"/>
    <w:tmpl w:val="C8249AB2"/>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FA2678F"/>
    <w:multiLevelType w:val="hybridMultilevel"/>
    <w:tmpl w:val="336414AE"/>
    <w:lvl w:ilvl="0" w:tplc="080A000F">
      <w:start w:val="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0ED044C"/>
    <w:multiLevelType w:val="hybridMultilevel"/>
    <w:tmpl w:val="24A40E9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0F528DC"/>
    <w:multiLevelType w:val="multilevel"/>
    <w:tmpl w:val="08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1E07E11"/>
    <w:multiLevelType w:val="multilevel"/>
    <w:tmpl w:val="6CB6DE4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sz w:val="24"/>
      </w:rPr>
    </w:lvl>
    <w:lvl w:ilvl="2">
      <w:start w:val="1"/>
      <w:numFmt w:val="decimal"/>
      <w:lvlText w:val="%1.%2.%3."/>
      <w:lvlJc w:val="left"/>
      <w:pPr>
        <w:ind w:left="1004" w:hanging="720"/>
      </w:pPr>
      <w:rPr>
        <w:rFonts w:hint="default"/>
        <w:b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5C5D72"/>
    <w:multiLevelType w:val="multilevel"/>
    <w:tmpl w:val="7188E400"/>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4301852"/>
    <w:multiLevelType w:val="multilevel"/>
    <w:tmpl w:val="7C70439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7E85886"/>
    <w:multiLevelType w:val="multilevel"/>
    <w:tmpl w:val="1918139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7F07B41"/>
    <w:multiLevelType w:val="multilevel"/>
    <w:tmpl w:val="7C70439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A0908B0"/>
    <w:multiLevelType w:val="hybridMultilevel"/>
    <w:tmpl w:val="23BC416C"/>
    <w:lvl w:ilvl="0" w:tplc="2444A6F4">
      <w:start w:val="1"/>
      <w:numFmt w:val="decimal"/>
      <w:lvlText w:val="%1."/>
      <w:lvlJc w:val="left"/>
      <w:pPr>
        <w:ind w:left="709" w:hanging="360"/>
      </w:pPr>
      <w:rPr>
        <w:rFonts w:ascii="Times New Roman" w:eastAsia="Calibri" w:hAnsi="Times New Roman" w:cs="Times New Roman"/>
      </w:rPr>
    </w:lvl>
    <w:lvl w:ilvl="1" w:tplc="080A0019" w:tentative="1">
      <w:start w:val="1"/>
      <w:numFmt w:val="lowerLetter"/>
      <w:lvlText w:val="%2."/>
      <w:lvlJc w:val="left"/>
      <w:pPr>
        <w:ind w:left="1429" w:hanging="360"/>
      </w:pPr>
    </w:lvl>
    <w:lvl w:ilvl="2" w:tplc="080A001B" w:tentative="1">
      <w:start w:val="1"/>
      <w:numFmt w:val="lowerRoman"/>
      <w:lvlText w:val="%3."/>
      <w:lvlJc w:val="right"/>
      <w:pPr>
        <w:ind w:left="2149" w:hanging="180"/>
      </w:pPr>
    </w:lvl>
    <w:lvl w:ilvl="3" w:tplc="080A000F" w:tentative="1">
      <w:start w:val="1"/>
      <w:numFmt w:val="decimal"/>
      <w:lvlText w:val="%4."/>
      <w:lvlJc w:val="left"/>
      <w:pPr>
        <w:ind w:left="2869" w:hanging="360"/>
      </w:pPr>
    </w:lvl>
    <w:lvl w:ilvl="4" w:tplc="080A0019" w:tentative="1">
      <w:start w:val="1"/>
      <w:numFmt w:val="lowerLetter"/>
      <w:lvlText w:val="%5."/>
      <w:lvlJc w:val="left"/>
      <w:pPr>
        <w:ind w:left="3589" w:hanging="360"/>
      </w:pPr>
    </w:lvl>
    <w:lvl w:ilvl="5" w:tplc="080A001B" w:tentative="1">
      <w:start w:val="1"/>
      <w:numFmt w:val="lowerRoman"/>
      <w:lvlText w:val="%6."/>
      <w:lvlJc w:val="right"/>
      <w:pPr>
        <w:ind w:left="4309" w:hanging="180"/>
      </w:pPr>
    </w:lvl>
    <w:lvl w:ilvl="6" w:tplc="080A000F" w:tentative="1">
      <w:start w:val="1"/>
      <w:numFmt w:val="decimal"/>
      <w:lvlText w:val="%7."/>
      <w:lvlJc w:val="left"/>
      <w:pPr>
        <w:ind w:left="5029" w:hanging="360"/>
      </w:pPr>
    </w:lvl>
    <w:lvl w:ilvl="7" w:tplc="080A0019" w:tentative="1">
      <w:start w:val="1"/>
      <w:numFmt w:val="lowerLetter"/>
      <w:lvlText w:val="%8."/>
      <w:lvlJc w:val="left"/>
      <w:pPr>
        <w:ind w:left="5749" w:hanging="360"/>
      </w:pPr>
    </w:lvl>
    <w:lvl w:ilvl="8" w:tplc="080A001B" w:tentative="1">
      <w:start w:val="1"/>
      <w:numFmt w:val="lowerRoman"/>
      <w:lvlText w:val="%9."/>
      <w:lvlJc w:val="right"/>
      <w:pPr>
        <w:ind w:left="6469" w:hanging="180"/>
      </w:pPr>
    </w:lvl>
  </w:abstractNum>
  <w:abstractNum w:abstractNumId="11">
    <w:nsid w:val="1DE1655A"/>
    <w:multiLevelType w:val="multilevel"/>
    <w:tmpl w:val="7188E400"/>
    <w:lvl w:ilvl="0">
      <w:start w:val="4"/>
      <w:numFmt w:val="decimal"/>
      <w:lvlText w:val="%1."/>
      <w:lvlJc w:val="left"/>
      <w:pPr>
        <w:ind w:left="1776" w:hanging="360"/>
      </w:pPr>
      <w:rPr>
        <w:rFonts w:hint="default"/>
      </w:rPr>
    </w:lvl>
    <w:lvl w:ilvl="1">
      <w:start w:val="1"/>
      <w:numFmt w:val="decimal"/>
      <w:lvlText w:val="%1.%2."/>
      <w:lvlJc w:val="left"/>
      <w:pPr>
        <w:ind w:left="2208" w:hanging="432"/>
      </w:pPr>
      <w:rPr>
        <w:rFonts w:hint="default"/>
      </w:rPr>
    </w:lvl>
    <w:lvl w:ilvl="2">
      <w:start w:val="1"/>
      <w:numFmt w:val="decimal"/>
      <w:lvlText w:val="%1.%2.%3."/>
      <w:lvlJc w:val="left"/>
      <w:pPr>
        <w:ind w:left="2640" w:hanging="504"/>
      </w:pPr>
      <w:rPr>
        <w:rFonts w:hint="default"/>
      </w:rPr>
    </w:lvl>
    <w:lvl w:ilvl="3">
      <w:start w:val="1"/>
      <w:numFmt w:val="decimal"/>
      <w:lvlText w:val="%1.%2.%3.%4."/>
      <w:lvlJc w:val="left"/>
      <w:pPr>
        <w:ind w:left="3144" w:hanging="648"/>
      </w:pPr>
      <w:rPr>
        <w:rFonts w:hint="default"/>
      </w:rPr>
    </w:lvl>
    <w:lvl w:ilvl="4">
      <w:start w:val="1"/>
      <w:numFmt w:val="decimal"/>
      <w:lvlText w:val="%1.%2.%3.%4.%5."/>
      <w:lvlJc w:val="left"/>
      <w:pPr>
        <w:ind w:left="3648" w:hanging="792"/>
      </w:pPr>
      <w:rPr>
        <w:rFonts w:hint="default"/>
      </w:rPr>
    </w:lvl>
    <w:lvl w:ilvl="5">
      <w:start w:val="1"/>
      <w:numFmt w:val="decimal"/>
      <w:lvlText w:val="%1.%2.%3.%4.%5.%6."/>
      <w:lvlJc w:val="left"/>
      <w:pPr>
        <w:ind w:left="4152" w:hanging="936"/>
      </w:pPr>
      <w:rPr>
        <w:rFonts w:hint="default"/>
      </w:rPr>
    </w:lvl>
    <w:lvl w:ilvl="6">
      <w:start w:val="1"/>
      <w:numFmt w:val="decimal"/>
      <w:lvlText w:val="%1.%2.%3.%4.%5.%6.%7."/>
      <w:lvlJc w:val="left"/>
      <w:pPr>
        <w:ind w:left="4656" w:hanging="1080"/>
      </w:pPr>
      <w:rPr>
        <w:rFonts w:hint="default"/>
      </w:rPr>
    </w:lvl>
    <w:lvl w:ilvl="7">
      <w:start w:val="1"/>
      <w:numFmt w:val="decimal"/>
      <w:lvlText w:val="%1.%2.%3.%4.%5.%6.%7.%8."/>
      <w:lvlJc w:val="left"/>
      <w:pPr>
        <w:ind w:left="5160" w:hanging="1224"/>
      </w:pPr>
      <w:rPr>
        <w:rFonts w:hint="default"/>
      </w:rPr>
    </w:lvl>
    <w:lvl w:ilvl="8">
      <w:start w:val="1"/>
      <w:numFmt w:val="decimal"/>
      <w:lvlText w:val="%1.%2.%3.%4.%5.%6.%7.%8.%9."/>
      <w:lvlJc w:val="left"/>
      <w:pPr>
        <w:ind w:left="5736" w:hanging="1440"/>
      </w:pPr>
      <w:rPr>
        <w:rFonts w:hint="default"/>
      </w:rPr>
    </w:lvl>
  </w:abstractNum>
  <w:abstractNum w:abstractNumId="12">
    <w:nsid w:val="1F1221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8E91FE3"/>
    <w:multiLevelType w:val="hybridMultilevel"/>
    <w:tmpl w:val="EDAA317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nsid w:val="28F04248"/>
    <w:multiLevelType w:val="hybridMultilevel"/>
    <w:tmpl w:val="F0F44AC8"/>
    <w:lvl w:ilvl="0" w:tplc="15C80728">
      <w:start w:val="4"/>
      <w:numFmt w:val="decimal"/>
      <w:lvlText w:val="%1."/>
      <w:lvlJc w:val="left"/>
      <w:pPr>
        <w:ind w:left="1776" w:hanging="360"/>
      </w:pPr>
      <w:rPr>
        <w:rFonts w:hint="default"/>
      </w:r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15">
    <w:nsid w:val="2AFC49E8"/>
    <w:multiLevelType w:val="hybridMultilevel"/>
    <w:tmpl w:val="6598F59C"/>
    <w:lvl w:ilvl="0" w:tplc="E7C4E854">
      <w:start w:val="1"/>
      <w:numFmt w:val="decimal"/>
      <w:lvlText w:val="%1."/>
      <w:lvlJc w:val="left"/>
      <w:pPr>
        <w:ind w:left="720" w:hanging="360"/>
      </w:pPr>
      <w:rPr>
        <w:rFonts w:ascii="Times New Roman" w:eastAsia="Calibri"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2C5E5CCF"/>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5181AC1"/>
    <w:multiLevelType w:val="hybridMultilevel"/>
    <w:tmpl w:val="EBEC72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3B840731"/>
    <w:multiLevelType w:val="hybridMultilevel"/>
    <w:tmpl w:val="3196AC76"/>
    <w:lvl w:ilvl="0" w:tplc="654EDCDA">
      <w:start w:val="1"/>
      <w:numFmt w:val="decimal"/>
      <w:lvlText w:val="%1."/>
      <w:lvlJc w:val="left"/>
      <w:pPr>
        <w:ind w:left="709" w:hanging="360"/>
      </w:pPr>
      <w:rPr>
        <w:rFonts w:hint="default"/>
      </w:rPr>
    </w:lvl>
    <w:lvl w:ilvl="1" w:tplc="080A0019" w:tentative="1">
      <w:start w:val="1"/>
      <w:numFmt w:val="lowerLetter"/>
      <w:lvlText w:val="%2."/>
      <w:lvlJc w:val="left"/>
      <w:pPr>
        <w:ind w:left="1429" w:hanging="360"/>
      </w:pPr>
    </w:lvl>
    <w:lvl w:ilvl="2" w:tplc="080A001B" w:tentative="1">
      <w:start w:val="1"/>
      <w:numFmt w:val="lowerRoman"/>
      <w:lvlText w:val="%3."/>
      <w:lvlJc w:val="right"/>
      <w:pPr>
        <w:ind w:left="2149" w:hanging="180"/>
      </w:pPr>
    </w:lvl>
    <w:lvl w:ilvl="3" w:tplc="080A000F" w:tentative="1">
      <w:start w:val="1"/>
      <w:numFmt w:val="decimal"/>
      <w:lvlText w:val="%4."/>
      <w:lvlJc w:val="left"/>
      <w:pPr>
        <w:ind w:left="2869" w:hanging="360"/>
      </w:pPr>
    </w:lvl>
    <w:lvl w:ilvl="4" w:tplc="080A0019" w:tentative="1">
      <w:start w:val="1"/>
      <w:numFmt w:val="lowerLetter"/>
      <w:lvlText w:val="%5."/>
      <w:lvlJc w:val="left"/>
      <w:pPr>
        <w:ind w:left="3589" w:hanging="360"/>
      </w:pPr>
    </w:lvl>
    <w:lvl w:ilvl="5" w:tplc="080A001B" w:tentative="1">
      <w:start w:val="1"/>
      <w:numFmt w:val="lowerRoman"/>
      <w:lvlText w:val="%6."/>
      <w:lvlJc w:val="right"/>
      <w:pPr>
        <w:ind w:left="4309" w:hanging="180"/>
      </w:pPr>
    </w:lvl>
    <w:lvl w:ilvl="6" w:tplc="080A000F" w:tentative="1">
      <w:start w:val="1"/>
      <w:numFmt w:val="decimal"/>
      <w:lvlText w:val="%7."/>
      <w:lvlJc w:val="left"/>
      <w:pPr>
        <w:ind w:left="5029" w:hanging="360"/>
      </w:pPr>
    </w:lvl>
    <w:lvl w:ilvl="7" w:tplc="080A0019" w:tentative="1">
      <w:start w:val="1"/>
      <w:numFmt w:val="lowerLetter"/>
      <w:lvlText w:val="%8."/>
      <w:lvlJc w:val="left"/>
      <w:pPr>
        <w:ind w:left="5749" w:hanging="360"/>
      </w:pPr>
    </w:lvl>
    <w:lvl w:ilvl="8" w:tplc="080A001B" w:tentative="1">
      <w:start w:val="1"/>
      <w:numFmt w:val="lowerRoman"/>
      <w:lvlText w:val="%9."/>
      <w:lvlJc w:val="right"/>
      <w:pPr>
        <w:ind w:left="6469" w:hanging="180"/>
      </w:pPr>
    </w:lvl>
  </w:abstractNum>
  <w:abstractNum w:abstractNumId="19">
    <w:nsid w:val="3F4B6683"/>
    <w:multiLevelType w:val="hybridMultilevel"/>
    <w:tmpl w:val="3C3299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47AC58F3"/>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8BC0BCE"/>
    <w:multiLevelType w:val="multilevel"/>
    <w:tmpl w:val="22D21C3C"/>
    <w:lvl w:ilvl="0">
      <w:start w:val="1"/>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4"/>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C3A0E04"/>
    <w:multiLevelType w:val="multilevel"/>
    <w:tmpl w:val="9E164850"/>
    <w:lvl w:ilvl="0">
      <w:start w:val="4"/>
      <w:numFmt w:val="decimal"/>
      <w:lvlText w:val="%1."/>
      <w:lvlJc w:val="left"/>
      <w:pPr>
        <w:ind w:left="1068" w:hanging="360"/>
      </w:pPr>
      <w:rPr>
        <w:rFonts w:hint="default"/>
      </w:rPr>
    </w:lvl>
    <w:lvl w:ilvl="1" w:tentative="1">
      <w:start w:val="1"/>
      <w:numFmt w:val="lowerLetter"/>
      <w:lvlText w:val="%2."/>
      <w:lvlJc w:val="left"/>
      <w:pPr>
        <w:ind w:left="1788" w:hanging="360"/>
      </w:pPr>
    </w:lvl>
    <w:lvl w:ilvl="2" w:tentative="1">
      <w:start w:val="1"/>
      <w:numFmt w:val="lowerRoman"/>
      <w:lvlText w:val="%3."/>
      <w:lvlJc w:val="right"/>
      <w:pPr>
        <w:ind w:left="2508" w:hanging="180"/>
      </w:pPr>
    </w:lvl>
    <w:lvl w:ilvl="3" w:tentative="1">
      <w:start w:val="1"/>
      <w:numFmt w:val="decimal"/>
      <w:lvlText w:val="%4."/>
      <w:lvlJc w:val="left"/>
      <w:pPr>
        <w:ind w:left="3228" w:hanging="360"/>
      </w:pPr>
    </w:lvl>
    <w:lvl w:ilvl="4" w:tentative="1">
      <w:start w:val="1"/>
      <w:numFmt w:val="lowerLetter"/>
      <w:lvlText w:val="%5."/>
      <w:lvlJc w:val="left"/>
      <w:pPr>
        <w:ind w:left="3948" w:hanging="360"/>
      </w:pPr>
    </w:lvl>
    <w:lvl w:ilvl="5" w:tentative="1">
      <w:start w:val="1"/>
      <w:numFmt w:val="lowerRoman"/>
      <w:lvlText w:val="%6."/>
      <w:lvlJc w:val="right"/>
      <w:pPr>
        <w:ind w:left="4668" w:hanging="180"/>
      </w:pPr>
    </w:lvl>
    <w:lvl w:ilvl="6" w:tentative="1">
      <w:start w:val="1"/>
      <w:numFmt w:val="decimal"/>
      <w:lvlText w:val="%7."/>
      <w:lvlJc w:val="left"/>
      <w:pPr>
        <w:ind w:left="5388" w:hanging="360"/>
      </w:pPr>
    </w:lvl>
    <w:lvl w:ilvl="7" w:tentative="1">
      <w:start w:val="1"/>
      <w:numFmt w:val="lowerLetter"/>
      <w:lvlText w:val="%8."/>
      <w:lvlJc w:val="left"/>
      <w:pPr>
        <w:ind w:left="6108" w:hanging="360"/>
      </w:pPr>
    </w:lvl>
    <w:lvl w:ilvl="8" w:tentative="1">
      <w:start w:val="1"/>
      <w:numFmt w:val="lowerRoman"/>
      <w:lvlText w:val="%9."/>
      <w:lvlJc w:val="right"/>
      <w:pPr>
        <w:ind w:left="6828" w:hanging="180"/>
      </w:pPr>
    </w:lvl>
  </w:abstractNum>
  <w:abstractNum w:abstractNumId="23">
    <w:nsid w:val="4F867B37"/>
    <w:multiLevelType w:val="hybridMultilevel"/>
    <w:tmpl w:val="9E164850"/>
    <w:lvl w:ilvl="0" w:tplc="080A000F">
      <w:start w:val="4"/>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4">
    <w:nsid w:val="51377091"/>
    <w:multiLevelType w:val="multilevel"/>
    <w:tmpl w:val="5870537A"/>
    <w:lvl w:ilvl="0">
      <w:start w:val="2"/>
      <w:numFmt w:val="decimal"/>
      <w:lvlText w:val="%1."/>
      <w:lvlJc w:val="left"/>
      <w:pPr>
        <w:ind w:left="1211"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6239" w:hanging="720"/>
      </w:pPr>
      <w:rPr>
        <w:rFonts w:hint="default"/>
        <w:b w:val="0"/>
      </w:rPr>
    </w:lvl>
    <w:lvl w:ilvl="3">
      <w:start w:val="1"/>
      <w:numFmt w:val="decimal"/>
      <w:isLgl/>
      <w:lvlText w:val="%1.%2.%3.%4."/>
      <w:lvlJc w:val="left"/>
      <w:pPr>
        <w:ind w:left="1571" w:hanging="720"/>
      </w:pPr>
      <w:rPr>
        <w:rFonts w:hint="default"/>
        <w:b w:val="0"/>
        <w:color w:val="auto"/>
      </w:rPr>
    </w:lvl>
    <w:lvl w:ilvl="4">
      <w:start w:val="1"/>
      <w:numFmt w:val="decimal"/>
      <w:isLgl/>
      <w:lvlText w:val="%1.%2.%3.%4.%5."/>
      <w:lvlJc w:val="left"/>
      <w:pPr>
        <w:ind w:left="11267" w:hanging="1080"/>
      </w:pPr>
      <w:rPr>
        <w:rFonts w:hint="default"/>
      </w:rPr>
    </w:lvl>
    <w:lvl w:ilvl="5">
      <w:start w:val="1"/>
      <w:numFmt w:val="decimal"/>
      <w:isLgl/>
      <w:lvlText w:val="%1.%2.%3.%4.%5.%6."/>
      <w:lvlJc w:val="left"/>
      <w:pPr>
        <w:ind w:left="13601" w:hanging="1080"/>
      </w:pPr>
      <w:rPr>
        <w:rFonts w:hint="default"/>
      </w:rPr>
    </w:lvl>
    <w:lvl w:ilvl="6">
      <w:start w:val="1"/>
      <w:numFmt w:val="decimal"/>
      <w:isLgl/>
      <w:lvlText w:val="%1.%2.%3.%4.%5.%6.%7."/>
      <w:lvlJc w:val="left"/>
      <w:pPr>
        <w:ind w:left="16295" w:hanging="1440"/>
      </w:pPr>
      <w:rPr>
        <w:rFonts w:hint="default"/>
      </w:rPr>
    </w:lvl>
    <w:lvl w:ilvl="7">
      <w:start w:val="1"/>
      <w:numFmt w:val="decimal"/>
      <w:isLgl/>
      <w:lvlText w:val="%1.%2.%3.%4.%5.%6.%7.%8."/>
      <w:lvlJc w:val="left"/>
      <w:pPr>
        <w:ind w:left="18629" w:hanging="1440"/>
      </w:pPr>
      <w:rPr>
        <w:rFonts w:hint="default"/>
      </w:rPr>
    </w:lvl>
    <w:lvl w:ilvl="8">
      <w:start w:val="1"/>
      <w:numFmt w:val="decimal"/>
      <w:isLgl/>
      <w:lvlText w:val="%1.%2.%3.%4.%5.%6.%7.%8.%9."/>
      <w:lvlJc w:val="left"/>
      <w:pPr>
        <w:ind w:left="21323" w:hanging="1800"/>
      </w:pPr>
      <w:rPr>
        <w:rFonts w:hint="default"/>
      </w:rPr>
    </w:lvl>
  </w:abstractNum>
  <w:abstractNum w:abstractNumId="25">
    <w:nsid w:val="52AB37FB"/>
    <w:multiLevelType w:val="multilevel"/>
    <w:tmpl w:val="A20E8C4E"/>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585B7316"/>
    <w:multiLevelType w:val="hybridMultilevel"/>
    <w:tmpl w:val="C4545576"/>
    <w:lvl w:ilvl="0" w:tplc="299C8C30">
      <w:numFmt w:val="bullet"/>
      <w:lvlText w:val="-"/>
      <w:lvlJc w:val="left"/>
      <w:pPr>
        <w:ind w:left="360" w:hanging="360"/>
      </w:pPr>
      <w:rPr>
        <w:rFonts w:ascii="Times New Roman" w:eastAsiaTheme="minorHAnsi" w:hAnsi="Times New Roman" w:cs="Times New Roman"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7">
    <w:nsid w:val="60EC0BB0"/>
    <w:multiLevelType w:val="hybridMultilevel"/>
    <w:tmpl w:val="A50418C8"/>
    <w:lvl w:ilvl="0" w:tplc="F03CD3A2">
      <w:numFmt w:val="bullet"/>
      <w:lvlText w:val="-"/>
      <w:lvlJc w:val="left"/>
      <w:pPr>
        <w:ind w:left="1068" w:hanging="360"/>
      </w:pPr>
      <w:rPr>
        <w:rFonts w:ascii="Times New Roman" w:eastAsia="Calibri" w:hAnsi="Times New Roman" w:cs="Times New Roman"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8">
    <w:nsid w:val="63964ACD"/>
    <w:multiLevelType w:val="hybridMultilevel"/>
    <w:tmpl w:val="9C667E1A"/>
    <w:lvl w:ilvl="0" w:tplc="080A000F">
      <w:start w:val="4"/>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7E431F0D"/>
    <w:multiLevelType w:val="multilevel"/>
    <w:tmpl w:val="080A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30">
    <w:nsid w:val="7F942755"/>
    <w:multiLevelType w:val="hybridMultilevel"/>
    <w:tmpl w:val="B0BA56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8"/>
  </w:num>
  <w:num w:numId="3">
    <w:abstractNumId w:val="1"/>
  </w:num>
  <w:num w:numId="4">
    <w:abstractNumId w:val="12"/>
  </w:num>
  <w:num w:numId="5">
    <w:abstractNumId w:val="18"/>
  </w:num>
  <w:num w:numId="6">
    <w:abstractNumId w:val="15"/>
  </w:num>
  <w:num w:numId="7">
    <w:abstractNumId w:val="10"/>
  </w:num>
  <w:num w:numId="8">
    <w:abstractNumId w:val="24"/>
  </w:num>
  <w:num w:numId="9">
    <w:abstractNumId w:val="3"/>
  </w:num>
  <w:num w:numId="10">
    <w:abstractNumId w:val="25"/>
  </w:num>
  <w:num w:numId="11">
    <w:abstractNumId w:val="17"/>
  </w:num>
  <w:num w:numId="12">
    <w:abstractNumId w:val="30"/>
  </w:num>
  <w:num w:numId="13">
    <w:abstractNumId w:val="20"/>
  </w:num>
  <w:num w:numId="14">
    <w:abstractNumId w:val="2"/>
  </w:num>
  <w:num w:numId="15">
    <w:abstractNumId w:val="4"/>
  </w:num>
  <w:num w:numId="16">
    <w:abstractNumId w:val="16"/>
  </w:num>
  <w:num w:numId="17">
    <w:abstractNumId w:val="23"/>
  </w:num>
  <w:num w:numId="18">
    <w:abstractNumId w:val="22"/>
  </w:num>
  <w:num w:numId="19">
    <w:abstractNumId w:val="6"/>
  </w:num>
  <w:num w:numId="20">
    <w:abstractNumId w:val="11"/>
  </w:num>
  <w:num w:numId="21">
    <w:abstractNumId w:val="14"/>
  </w:num>
  <w:num w:numId="22">
    <w:abstractNumId w:val="7"/>
  </w:num>
  <w:num w:numId="23">
    <w:abstractNumId w:val="9"/>
  </w:num>
  <w:num w:numId="24">
    <w:abstractNumId w:val="28"/>
  </w:num>
  <w:num w:numId="25">
    <w:abstractNumId w:val="5"/>
  </w:num>
  <w:num w:numId="26">
    <w:abstractNumId w:val="27"/>
  </w:num>
  <w:num w:numId="27">
    <w:abstractNumId w:val="19"/>
  </w:num>
  <w:num w:numId="28">
    <w:abstractNumId w:val="29"/>
  </w:num>
  <w:num w:numId="29">
    <w:abstractNumId w:val="21"/>
  </w:num>
  <w:num w:numId="30">
    <w:abstractNumId w:val="13"/>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E35"/>
    <w:rsid w:val="000074D6"/>
    <w:rsid w:val="00011617"/>
    <w:rsid w:val="00013FA5"/>
    <w:rsid w:val="0001589B"/>
    <w:rsid w:val="000212B1"/>
    <w:rsid w:val="00022260"/>
    <w:rsid w:val="000228C5"/>
    <w:rsid w:val="000300B1"/>
    <w:rsid w:val="000343EF"/>
    <w:rsid w:val="000366F6"/>
    <w:rsid w:val="00036BD8"/>
    <w:rsid w:val="00044670"/>
    <w:rsid w:val="00051640"/>
    <w:rsid w:val="0006090B"/>
    <w:rsid w:val="000619CE"/>
    <w:rsid w:val="00063D13"/>
    <w:rsid w:val="00075BBF"/>
    <w:rsid w:val="00076C7F"/>
    <w:rsid w:val="0008000A"/>
    <w:rsid w:val="00083F53"/>
    <w:rsid w:val="000936CC"/>
    <w:rsid w:val="00094D79"/>
    <w:rsid w:val="000951FD"/>
    <w:rsid w:val="000A3BF3"/>
    <w:rsid w:val="000B3056"/>
    <w:rsid w:val="000B76C9"/>
    <w:rsid w:val="000D37C3"/>
    <w:rsid w:val="000D716D"/>
    <w:rsid w:val="000E3539"/>
    <w:rsid w:val="000E75CE"/>
    <w:rsid w:val="000F0C43"/>
    <w:rsid w:val="000F33BF"/>
    <w:rsid w:val="00106DAD"/>
    <w:rsid w:val="00122601"/>
    <w:rsid w:val="00124543"/>
    <w:rsid w:val="0013112D"/>
    <w:rsid w:val="00136A17"/>
    <w:rsid w:val="001449AC"/>
    <w:rsid w:val="001613C0"/>
    <w:rsid w:val="00164CBB"/>
    <w:rsid w:val="00167E3D"/>
    <w:rsid w:val="00170D64"/>
    <w:rsid w:val="00180D65"/>
    <w:rsid w:val="001869A0"/>
    <w:rsid w:val="0019043C"/>
    <w:rsid w:val="00192495"/>
    <w:rsid w:val="0019293F"/>
    <w:rsid w:val="001947C5"/>
    <w:rsid w:val="00195D02"/>
    <w:rsid w:val="001A4DB6"/>
    <w:rsid w:val="001C1DB5"/>
    <w:rsid w:val="001D42C9"/>
    <w:rsid w:val="001F3997"/>
    <w:rsid w:val="001F55D5"/>
    <w:rsid w:val="001F5F0B"/>
    <w:rsid w:val="00200992"/>
    <w:rsid w:val="00204245"/>
    <w:rsid w:val="00204ECC"/>
    <w:rsid w:val="00206715"/>
    <w:rsid w:val="00213C85"/>
    <w:rsid w:val="00215E2D"/>
    <w:rsid w:val="002218D7"/>
    <w:rsid w:val="00221A65"/>
    <w:rsid w:val="002231F3"/>
    <w:rsid w:val="00231CE6"/>
    <w:rsid w:val="00232BE5"/>
    <w:rsid w:val="002347EE"/>
    <w:rsid w:val="00256D6A"/>
    <w:rsid w:val="002862AE"/>
    <w:rsid w:val="0028684C"/>
    <w:rsid w:val="00287975"/>
    <w:rsid w:val="0029301D"/>
    <w:rsid w:val="00294EE8"/>
    <w:rsid w:val="00296758"/>
    <w:rsid w:val="002A78EC"/>
    <w:rsid w:val="002B23F5"/>
    <w:rsid w:val="002B5E62"/>
    <w:rsid w:val="002C1FA3"/>
    <w:rsid w:val="002C2160"/>
    <w:rsid w:val="002C3A80"/>
    <w:rsid w:val="002C3B21"/>
    <w:rsid w:val="002C48C2"/>
    <w:rsid w:val="002C7F3F"/>
    <w:rsid w:val="002E55C5"/>
    <w:rsid w:val="002F1CBC"/>
    <w:rsid w:val="002F2827"/>
    <w:rsid w:val="002F4311"/>
    <w:rsid w:val="002F5522"/>
    <w:rsid w:val="0030665E"/>
    <w:rsid w:val="00312574"/>
    <w:rsid w:val="00312C47"/>
    <w:rsid w:val="00314AB0"/>
    <w:rsid w:val="003157DA"/>
    <w:rsid w:val="003220B2"/>
    <w:rsid w:val="0032270F"/>
    <w:rsid w:val="003249F1"/>
    <w:rsid w:val="00327EE6"/>
    <w:rsid w:val="00343604"/>
    <w:rsid w:val="0035567A"/>
    <w:rsid w:val="003633F6"/>
    <w:rsid w:val="003642E6"/>
    <w:rsid w:val="0037294D"/>
    <w:rsid w:val="00381C3A"/>
    <w:rsid w:val="00394A0A"/>
    <w:rsid w:val="003A53F5"/>
    <w:rsid w:val="003A56F2"/>
    <w:rsid w:val="003E0F59"/>
    <w:rsid w:val="003E78F9"/>
    <w:rsid w:val="00400535"/>
    <w:rsid w:val="00401EEE"/>
    <w:rsid w:val="00410BC4"/>
    <w:rsid w:val="004160AB"/>
    <w:rsid w:val="00436230"/>
    <w:rsid w:val="004371D3"/>
    <w:rsid w:val="00446266"/>
    <w:rsid w:val="00446FB6"/>
    <w:rsid w:val="00453F85"/>
    <w:rsid w:val="00463FA9"/>
    <w:rsid w:val="00471DF0"/>
    <w:rsid w:val="00472318"/>
    <w:rsid w:val="0048264B"/>
    <w:rsid w:val="004A1A70"/>
    <w:rsid w:val="004A7063"/>
    <w:rsid w:val="004D5B07"/>
    <w:rsid w:val="004E0CA8"/>
    <w:rsid w:val="00517815"/>
    <w:rsid w:val="00536C4E"/>
    <w:rsid w:val="00541DC4"/>
    <w:rsid w:val="00543DC2"/>
    <w:rsid w:val="0055324E"/>
    <w:rsid w:val="005555D9"/>
    <w:rsid w:val="005627F5"/>
    <w:rsid w:val="00595CC6"/>
    <w:rsid w:val="005A12AF"/>
    <w:rsid w:val="005A2611"/>
    <w:rsid w:val="005A2BF4"/>
    <w:rsid w:val="005A323C"/>
    <w:rsid w:val="005B62D1"/>
    <w:rsid w:val="005C1954"/>
    <w:rsid w:val="005C2475"/>
    <w:rsid w:val="005D2D76"/>
    <w:rsid w:val="005D5E80"/>
    <w:rsid w:val="005D7A02"/>
    <w:rsid w:val="005E5C5F"/>
    <w:rsid w:val="005E6C01"/>
    <w:rsid w:val="005F5AC7"/>
    <w:rsid w:val="0060111F"/>
    <w:rsid w:val="006237DB"/>
    <w:rsid w:val="00624F47"/>
    <w:rsid w:val="00632B14"/>
    <w:rsid w:val="00643B1A"/>
    <w:rsid w:val="00646A4D"/>
    <w:rsid w:val="006474BE"/>
    <w:rsid w:val="00653E96"/>
    <w:rsid w:val="00655656"/>
    <w:rsid w:val="0066220E"/>
    <w:rsid w:val="00670935"/>
    <w:rsid w:val="00672A1B"/>
    <w:rsid w:val="0067537A"/>
    <w:rsid w:val="00676AB0"/>
    <w:rsid w:val="006771BD"/>
    <w:rsid w:val="00680600"/>
    <w:rsid w:val="00694E47"/>
    <w:rsid w:val="00697323"/>
    <w:rsid w:val="006A3A67"/>
    <w:rsid w:val="006A77EB"/>
    <w:rsid w:val="006A7E8B"/>
    <w:rsid w:val="006B1FEE"/>
    <w:rsid w:val="006B2DEE"/>
    <w:rsid w:val="006E0F60"/>
    <w:rsid w:val="006E3D5E"/>
    <w:rsid w:val="006E5F19"/>
    <w:rsid w:val="006F23FD"/>
    <w:rsid w:val="00700520"/>
    <w:rsid w:val="00702B59"/>
    <w:rsid w:val="00705372"/>
    <w:rsid w:val="007152B7"/>
    <w:rsid w:val="00716D43"/>
    <w:rsid w:val="00723253"/>
    <w:rsid w:val="0072491F"/>
    <w:rsid w:val="00725AB2"/>
    <w:rsid w:val="00733599"/>
    <w:rsid w:val="007338FA"/>
    <w:rsid w:val="00746251"/>
    <w:rsid w:val="007477CA"/>
    <w:rsid w:val="00760298"/>
    <w:rsid w:val="007646EE"/>
    <w:rsid w:val="00764D9F"/>
    <w:rsid w:val="007668A2"/>
    <w:rsid w:val="00771388"/>
    <w:rsid w:val="00773374"/>
    <w:rsid w:val="0077583D"/>
    <w:rsid w:val="00782E35"/>
    <w:rsid w:val="007830BC"/>
    <w:rsid w:val="00784862"/>
    <w:rsid w:val="00791EC2"/>
    <w:rsid w:val="00795E06"/>
    <w:rsid w:val="00796113"/>
    <w:rsid w:val="0079790A"/>
    <w:rsid w:val="007A23C1"/>
    <w:rsid w:val="007A3863"/>
    <w:rsid w:val="007B08E3"/>
    <w:rsid w:val="007E1123"/>
    <w:rsid w:val="007E234C"/>
    <w:rsid w:val="00805FE8"/>
    <w:rsid w:val="00806E28"/>
    <w:rsid w:val="0081483E"/>
    <w:rsid w:val="00820D9E"/>
    <w:rsid w:val="008210D1"/>
    <w:rsid w:val="0082414C"/>
    <w:rsid w:val="00836534"/>
    <w:rsid w:val="008540AB"/>
    <w:rsid w:val="00876965"/>
    <w:rsid w:val="00880F79"/>
    <w:rsid w:val="00884047"/>
    <w:rsid w:val="00884621"/>
    <w:rsid w:val="00887528"/>
    <w:rsid w:val="00896923"/>
    <w:rsid w:val="008A0C4C"/>
    <w:rsid w:val="008A49F2"/>
    <w:rsid w:val="008A6D1D"/>
    <w:rsid w:val="008B60AC"/>
    <w:rsid w:val="008C1D91"/>
    <w:rsid w:val="008C6ABE"/>
    <w:rsid w:val="008D0EDE"/>
    <w:rsid w:val="008D6481"/>
    <w:rsid w:val="008E54EC"/>
    <w:rsid w:val="008E5BB0"/>
    <w:rsid w:val="008E74C7"/>
    <w:rsid w:val="008F0582"/>
    <w:rsid w:val="008F1662"/>
    <w:rsid w:val="009003CF"/>
    <w:rsid w:val="009050DC"/>
    <w:rsid w:val="00910B91"/>
    <w:rsid w:val="00914B59"/>
    <w:rsid w:val="00921917"/>
    <w:rsid w:val="00924E53"/>
    <w:rsid w:val="009315D2"/>
    <w:rsid w:val="00941A04"/>
    <w:rsid w:val="009463EC"/>
    <w:rsid w:val="009523EF"/>
    <w:rsid w:val="00953B10"/>
    <w:rsid w:val="0095549E"/>
    <w:rsid w:val="00956280"/>
    <w:rsid w:val="00960104"/>
    <w:rsid w:val="009810A3"/>
    <w:rsid w:val="00996059"/>
    <w:rsid w:val="009B1CBD"/>
    <w:rsid w:val="009B2914"/>
    <w:rsid w:val="009B43E9"/>
    <w:rsid w:val="009C1A2A"/>
    <w:rsid w:val="009C5327"/>
    <w:rsid w:val="009E411A"/>
    <w:rsid w:val="009E6200"/>
    <w:rsid w:val="009F5A65"/>
    <w:rsid w:val="009F6EA5"/>
    <w:rsid w:val="00A07A90"/>
    <w:rsid w:val="00A10741"/>
    <w:rsid w:val="00A11F48"/>
    <w:rsid w:val="00A14BC0"/>
    <w:rsid w:val="00A3178C"/>
    <w:rsid w:val="00A41D77"/>
    <w:rsid w:val="00A433D1"/>
    <w:rsid w:val="00A46468"/>
    <w:rsid w:val="00A466BD"/>
    <w:rsid w:val="00A51236"/>
    <w:rsid w:val="00A51FF6"/>
    <w:rsid w:val="00A73C9F"/>
    <w:rsid w:val="00A801D9"/>
    <w:rsid w:val="00A80565"/>
    <w:rsid w:val="00A84798"/>
    <w:rsid w:val="00A858D9"/>
    <w:rsid w:val="00A8717C"/>
    <w:rsid w:val="00A93AE0"/>
    <w:rsid w:val="00AA59B7"/>
    <w:rsid w:val="00AB5BB3"/>
    <w:rsid w:val="00AB67FF"/>
    <w:rsid w:val="00AC25DF"/>
    <w:rsid w:val="00AC57CB"/>
    <w:rsid w:val="00AD57C3"/>
    <w:rsid w:val="00AE65CD"/>
    <w:rsid w:val="00B07754"/>
    <w:rsid w:val="00B13581"/>
    <w:rsid w:val="00B13801"/>
    <w:rsid w:val="00B208D0"/>
    <w:rsid w:val="00B332F8"/>
    <w:rsid w:val="00B45676"/>
    <w:rsid w:val="00B561EB"/>
    <w:rsid w:val="00B650C9"/>
    <w:rsid w:val="00B70260"/>
    <w:rsid w:val="00B71784"/>
    <w:rsid w:val="00B73108"/>
    <w:rsid w:val="00B87348"/>
    <w:rsid w:val="00B90D55"/>
    <w:rsid w:val="00B913C2"/>
    <w:rsid w:val="00B92AA3"/>
    <w:rsid w:val="00B9634D"/>
    <w:rsid w:val="00B97116"/>
    <w:rsid w:val="00BA1874"/>
    <w:rsid w:val="00BC2F0F"/>
    <w:rsid w:val="00BC5ED9"/>
    <w:rsid w:val="00BC6EFC"/>
    <w:rsid w:val="00BD2DFC"/>
    <w:rsid w:val="00C123C8"/>
    <w:rsid w:val="00C1281F"/>
    <w:rsid w:val="00C12D35"/>
    <w:rsid w:val="00C232F5"/>
    <w:rsid w:val="00C25BE1"/>
    <w:rsid w:val="00C30B62"/>
    <w:rsid w:val="00C342A7"/>
    <w:rsid w:val="00C34336"/>
    <w:rsid w:val="00C3799A"/>
    <w:rsid w:val="00C64884"/>
    <w:rsid w:val="00C760DD"/>
    <w:rsid w:val="00C8080A"/>
    <w:rsid w:val="00C865D4"/>
    <w:rsid w:val="00C960B2"/>
    <w:rsid w:val="00CB1CC6"/>
    <w:rsid w:val="00CB298D"/>
    <w:rsid w:val="00CB2F02"/>
    <w:rsid w:val="00CB4FF9"/>
    <w:rsid w:val="00CC1DA6"/>
    <w:rsid w:val="00CC777A"/>
    <w:rsid w:val="00CD25FA"/>
    <w:rsid w:val="00CD2945"/>
    <w:rsid w:val="00CD2BE3"/>
    <w:rsid w:val="00CD352E"/>
    <w:rsid w:val="00CE2475"/>
    <w:rsid w:val="00CE4F4D"/>
    <w:rsid w:val="00CE7BA2"/>
    <w:rsid w:val="00CF0DA1"/>
    <w:rsid w:val="00CF3CE0"/>
    <w:rsid w:val="00CF49ED"/>
    <w:rsid w:val="00CF7D2E"/>
    <w:rsid w:val="00D03988"/>
    <w:rsid w:val="00D03EC1"/>
    <w:rsid w:val="00D04816"/>
    <w:rsid w:val="00D05A39"/>
    <w:rsid w:val="00D062CA"/>
    <w:rsid w:val="00D1564D"/>
    <w:rsid w:val="00D15E13"/>
    <w:rsid w:val="00D179E4"/>
    <w:rsid w:val="00D252C3"/>
    <w:rsid w:val="00D32E8A"/>
    <w:rsid w:val="00D41EEF"/>
    <w:rsid w:val="00D45398"/>
    <w:rsid w:val="00D628CD"/>
    <w:rsid w:val="00D70572"/>
    <w:rsid w:val="00D742B0"/>
    <w:rsid w:val="00D867C0"/>
    <w:rsid w:val="00D90D06"/>
    <w:rsid w:val="00D9750B"/>
    <w:rsid w:val="00DA5568"/>
    <w:rsid w:val="00DB2B04"/>
    <w:rsid w:val="00DB7130"/>
    <w:rsid w:val="00DC62F4"/>
    <w:rsid w:val="00DE1A0E"/>
    <w:rsid w:val="00DE6365"/>
    <w:rsid w:val="00DF433D"/>
    <w:rsid w:val="00DF63C9"/>
    <w:rsid w:val="00DF6655"/>
    <w:rsid w:val="00DF7C40"/>
    <w:rsid w:val="00DF7E97"/>
    <w:rsid w:val="00E01762"/>
    <w:rsid w:val="00E0399F"/>
    <w:rsid w:val="00E13C05"/>
    <w:rsid w:val="00E151DE"/>
    <w:rsid w:val="00E25CA0"/>
    <w:rsid w:val="00E271A9"/>
    <w:rsid w:val="00E30271"/>
    <w:rsid w:val="00E317A1"/>
    <w:rsid w:val="00E339FA"/>
    <w:rsid w:val="00E34EE3"/>
    <w:rsid w:val="00E42858"/>
    <w:rsid w:val="00E4372F"/>
    <w:rsid w:val="00E576C3"/>
    <w:rsid w:val="00E70659"/>
    <w:rsid w:val="00E73670"/>
    <w:rsid w:val="00E853A5"/>
    <w:rsid w:val="00E924DF"/>
    <w:rsid w:val="00E926A8"/>
    <w:rsid w:val="00E92DEB"/>
    <w:rsid w:val="00E95771"/>
    <w:rsid w:val="00EC3E89"/>
    <w:rsid w:val="00EC3F9A"/>
    <w:rsid w:val="00ED4CA5"/>
    <w:rsid w:val="00EE17AA"/>
    <w:rsid w:val="00EF6A3C"/>
    <w:rsid w:val="00F00055"/>
    <w:rsid w:val="00F06A32"/>
    <w:rsid w:val="00F10DD5"/>
    <w:rsid w:val="00F228D4"/>
    <w:rsid w:val="00F24866"/>
    <w:rsid w:val="00F33B2C"/>
    <w:rsid w:val="00F34B6D"/>
    <w:rsid w:val="00F37979"/>
    <w:rsid w:val="00F41E2E"/>
    <w:rsid w:val="00F45F05"/>
    <w:rsid w:val="00F50FD3"/>
    <w:rsid w:val="00F529F6"/>
    <w:rsid w:val="00F55DAE"/>
    <w:rsid w:val="00F65C9C"/>
    <w:rsid w:val="00F71F27"/>
    <w:rsid w:val="00F73BAF"/>
    <w:rsid w:val="00F76C9D"/>
    <w:rsid w:val="00F76D67"/>
    <w:rsid w:val="00F820BD"/>
    <w:rsid w:val="00F832F3"/>
    <w:rsid w:val="00F91CDC"/>
    <w:rsid w:val="00F95718"/>
    <w:rsid w:val="00FB0ECF"/>
    <w:rsid w:val="00FB1536"/>
    <w:rsid w:val="00FB4746"/>
    <w:rsid w:val="00FC560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2E35"/>
    <w:rPr>
      <w:rFonts w:ascii="Calibri" w:eastAsia="Calibri" w:hAnsi="Calibri" w:cs="Times New Roman"/>
      <w:lang w:val="es-EC"/>
    </w:rPr>
  </w:style>
  <w:style w:type="paragraph" w:styleId="Ttulo1">
    <w:name w:val="heading 1"/>
    <w:basedOn w:val="Normal"/>
    <w:next w:val="Normal"/>
    <w:link w:val="Ttulo1Car"/>
    <w:uiPriority w:val="9"/>
    <w:qFormat/>
    <w:rsid w:val="00782E35"/>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uiPriority w:val="9"/>
    <w:unhideWhenUsed/>
    <w:qFormat/>
    <w:rsid w:val="00782E35"/>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
    <w:uiPriority w:val="9"/>
    <w:unhideWhenUsed/>
    <w:qFormat/>
    <w:rsid w:val="00782E35"/>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9"/>
    <w:unhideWhenUsed/>
    <w:qFormat/>
    <w:rsid w:val="00782E35"/>
    <w:pPr>
      <w:keepNext/>
      <w:keepLines/>
      <w:spacing w:before="200" w:after="0"/>
      <w:outlineLvl w:val="3"/>
    </w:pPr>
    <w:rPr>
      <w:rFonts w:ascii="Cambria" w:eastAsia="Times New Roman" w:hAnsi="Cambria"/>
      <w:b/>
      <w:bCs/>
      <w:i/>
      <w:iCs/>
      <w:color w:val="4F81BD"/>
    </w:rPr>
  </w:style>
  <w:style w:type="paragraph" w:styleId="Ttulo5">
    <w:name w:val="heading 5"/>
    <w:basedOn w:val="Normal"/>
    <w:next w:val="Normal"/>
    <w:link w:val="Ttulo5Car"/>
    <w:uiPriority w:val="9"/>
    <w:unhideWhenUsed/>
    <w:qFormat/>
    <w:rsid w:val="00782E35"/>
    <w:pPr>
      <w:keepNext/>
      <w:keepLines/>
      <w:spacing w:before="200" w:after="0"/>
      <w:outlineLvl w:val="4"/>
    </w:pPr>
    <w:rPr>
      <w:rFonts w:ascii="Cambria" w:eastAsia="Times New Roman" w:hAnsi="Cambria"/>
      <w:color w:val="243F6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82E35"/>
    <w:rPr>
      <w:rFonts w:ascii="Cambria" w:eastAsia="Times New Roman" w:hAnsi="Cambria" w:cs="Times New Roman"/>
      <w:b/>
      <w:bCs/>
      <w:color w:val="365F91"/>
      <w:sz w:val="28"/>
      <w:szCs w:val="28"/>
      <w:lang w:val="es-EC"/>
    </w:rPr>
  </w:style>
  <w:style w:type="character" w:customStyle="1" w:styleId="Ttulo2Car">
    <w:name w:val="Título 2 Car"/>
    <w:basedOn w:val="Fuentedeprrafopredeter"/>
    <w:link w:val="Ttulo2"/>
    <w:uiPriority w:val="9"/>
    <w:rsid w:val="00782E35"/>
    <w:rPr>
      <w:rFonts w:ascii="Cambria" w:eastAsia="Times New Roman" w:hAnsi="Cambria" w:cs="Times New Roman"/>
      <w:b/>
      <w:bCs/>
      <w:color w:val="4F81BD"/>
      <w:sz w:val="26"/>
      <w:szCs w:val="26"/>
      <w:lang w:val="es-EC"/>
    </w:rPr>
  </w:style>
  <w:style w:type="character" w:customStyle="1" w:styleId="Ttulo3Car">
    <w:name w:val="Título 3 Car"/>
    <w:basedOn w:val="Fuentedeprrafopredeter"/>
    <w:link w:val="Ttulo3"/>
    <w:uiPriority w:val="9"/>
    <w:rsid w:val="00782E35"/>
    <w:rPr>
      <w:rFonts w:ascii="Cambria" w:eastAsia="Times New Roman" w:hAnsi="Cambria" w:cs="Times New Roman"/>
      <w:b/>
      <w:bCs/>
      <w:color w:val="4F81BD"/>
      <w:lang w:val="es-EC"/>
    </w:rPr>
  </w:style>
  <w:style w:type="character" w:customStyle="1" w:styleId="Ttulo4Car">
    <w:name w:val="Título 4 Car"/>
    <w:basedOn w:val="Fuentedeprrafopredeter"/>
    <w:link w:val="Ttulo4"/>
    <w:uiPriority w:val="9"/>
    <w:rsid w:val="00782E35"/>
    <w:rPr>
      <w:rFonts w:ascii="Cambria" w:eastAsia="Times New Roman" w:hAnsi="Cambria" w:cs="Times New Roman"/>
      <w:b/>
      <w:bCs/>
      <w:i/>
      <w:iCs/>
      <w:color w:val="4F81BD"/>
      <w:lang w:val="es-EC"/>
    </w:rPr>
  </w:style>
  <w:style w:type="character" w:customStyle="1" w:styleId="Ttulo5Car">
    <w:name w:val="Título 5 Car"/>
    <w:basedOn w:val="Fuentedeprrafopredeter"/>
    <w:link w:val="Ttulo5"/>
    <w:uiPriority w:val="9"/>
    <w:rsid w:val="00782E35"/>
    <w:rPr>
      <w:rFonts w:ascii="Cambria" w:eastAsia="Times New Roman" w:hAnsi="Cambria" w:cs="Times New Roman"/>
      <w:color w:val="243F60"/>
      <w:lang w:val="es-EC"/>
    </w:rPr>
  </w:style>
  <w:style w:type="paragraph" w:styleId="Textonotapie">
    <w:name w:val="footnote text"/>
    <w:basedOn w:val="Normal"/>
    <w:link w:val="TextonotapieCar"/>
    <w:uiPriority w:val="99"/>
    <w:unhideWhenUsed/>
    <w:rsid w:val="00782E35"/>
    <w:pPr>
      <w:spacing w:after="0" w:line="240" w:lineRule="auto"/>
    </w:pPr>
    <w:rPr>
      <w:sz w:val="20"/>
      <w:szCs w:val="20"/>
    </w:rPr>
  </w:style>
  <w:style w:type="character" w:customStyle="1" w:styleId="TextonotapieCar">
    <w:name w:val="Texto nota pie Car"/>
    <w:basedOn w:val="Fuentedeprrafopredeter"/>
    <w:link w:val="Textonotapie"/>
    <w:uiPriority w:val="99"/>
    <w:rsid w:val="00782E35"/>
    <w:rPr>
      <w:rFonts w:ascii="Calibri" w:eastAsia="Calibri" w:hAnsi="Calibri" w:cs="Times New Roman"/>
      <w:sz w:val="20"/>
      <w:szCs w:val="20"/>
      <w:lang w:val="es-EC"/>
    </w:rPr>
  </w:style>
  <w:style w:type="character" w:styleId="Refdenotaalpie">
    <w:name w:val="footnote reference"/>
    <w:basedOn w:val="Fuentedeprrafopredeter"/>
    <w:uiPriority w:val="99"/>
    <w:semiHidden/>
    <w:unhideWhenUsed/>
    <w:rsid w:val="00782E35"/>
    <w:rPr>
      <w:vertAlign w:val="superscript"/>
    </w:rPr>
  </w:style>
  <w:style w:type="character" w:customStyle="1" w:styleId="apple-converted-space">
    <w:name w:val="apple-converted-space"/>
    <w:basedOn w:val="Fuentedeprrafopredeter"/>
    <w:rsid w:val="00782E35"/>
  </w:style>
  <w:style w:type="character" w:styleId="Hipervnculo">
    <w:name w:val="Hyperlink"/>
    <w:basedOn w:val="Fuentedeprrafopredeter"/>
    <w:uiPriority w:val="99"/>
    <w:unhideWhenUsed/>
    <w:rsid w:val="00782E35"/>
    <w:rPr>
      <w:color w:val="0000FF"/>
      <w:u w:val="single"/>
    </w:rPr>
  </w:style>
  <w:style w:type="paragraph" w:styleId="Prrafodelista">
    <w:name w:val="List Paragraph"/>
    <w:basedOn w:val="Normal"/>
    <w:uiPriority w:val="34"/>
    <w:qFormat/>
    <w:rsid w:val="00782E35"/>
    <w:pPr>
      <w:ind w:left="720"/>
      <w:contextualSpacing/>
    </w:pPr>
  </w:style>
  <w:style w:type="paragraph" w:styleId="NormalWeb">
    <w:name w:val="Normal (Web)"/>
    <w:basedOn w:val="Normal"/>
    <w:uiPriority w:val="99"/>
    <w:unhideWhenUsed/>
    <w:rsid w:val="00782E35"/>
    <w:pPr>
      <w:spacing w:before="100" w:beforeAutospacing="1" w:after="100" w:afterAutospacing="1" w:line="240" w:lineRule="auto"/>
    </w:pPr>
    <w:rPr>
      <w:rFonts w:ascii="Times New Roman" w:eastAsia="Times New Roman" w:hAnsi="Times New Roman"/>
      <w:sz w:val="24"/>
      <w:szCs w:val="24"/>
      <w:lang w:val="es-MX" w:eastAsia="es-MX"/>
    </w:rPr>
  </w:style>
  <w:style w:type="paragraph" w:styleId="Bibliografa">
    <w:name w:val="Bibliography"/>
    <w:basedOn w:val="Normal"/>
    <w:next w:val="Normal"/>
    <w:uiPriority w:val="37"/>
    <w:unhideWhenUsed/>
    <w:rsid w:val="00782E35"/>
  </w:style>
  <w:style w:type="paragraph" w:styleId="Textodeglobo">
    <w:name w:val="Balloon Text"/>
    <w:basedOn w:val="Normal"/>
    <w:link w:val="TextodegloboCar"/>
    <w:uiPriority w:val="99"/>
    <w:semiHidden/>
    <w:unhideWhenUsed/>
    <w:rsid w:val="00782E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E35"/>
    <w:rPr>
      <w:rFonts w:ascii="Tahoma" w:eastAsia="Calibri" w:hAnsi="Tahoma" w:cs="Tahoma"/>
      <w:sz w:val="16"/>
      <w:szCs w:val="16"/>
      <w:lang w:val="es-EC"/>
    </w:rPr>
  </w:style>
  <w:style w:type="character" w:styleId="Textodelmarcadordeposicin">
    <w:name w:val="Placeholder Text"/>
    <w:basedOn w:val="Fuentedeprrafopredeter"/>
    <w:uiPriority w:val="99"/>
    <w:semiHidden/>
    <w:rsid w:val="00192495"/>
    <w:rPr>
      <w:color w:val="808080"/>
    </w:rPr>
  </w:style>
  <w:style w:type="character" w:styleId="Refdecomentario">
    <w:name w:val="annotation reference"/>
    <w:basedOn w:val="Fuentedeprrafopredeter"/>
    <w:uiPriority w:val="99"/>
    <w:semiHidden/>
    <w:unhideWhenUsed/>
    <w:rsid w:val="00192495"/>
    <w:rPr>
      <w:sz w:val="16"/>
      <w:szCs w:val="16"/>
    </w:rPr>
  </w:style>
  <w:style w:type="paragraph" w:styleId="Textocomentario">
    <w:name w:val="annotation text"/>
    <w:basedOn w:val="Normal"/>
    <w:link w:val="TextocomentarioCar"/>
    <w:uiPriority w:val="99"/>
    <w:semiHidden/>
    <w:unhideWhenUsed/>
    <w:rsid w:val="00192495"/>
    <w:pPr>
      <w:spacing w:line="240" w:lineRule="auto"/>
    </w:pPr>
    <w:rPr>
      <w:rFonts w:asciiTheme="minorHAnsi" w:eastAsiaTheme="minorHAnsi" w:hAnsiTheme="minorHAnsi" w:cstheme="minorBidi"/>
      <w:sz w:val="20"/>
      <w:szCs w:val="20"/>
      <w:lang w:val="es-ES"/>
    </w:rPr>
  </w:style>
  <w:style w:type="character" w:customStyle="1" w:styleId="TextocomentarioCar">
    <w:name w:val="Texto comentario Car"/>
    <w:basedOn w:val="Fuentedeprrafopredeter"/>
    <w:link w:val="Textocomentario"/>
    <w:uiPriority w:val="99"/>
    <w:semiHidden/>
    <w:rsid w:val="00192495"/>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192495"/>
    <w:rPr>
      <w:b/>
      <w:bCs/>
    </w:rPr>
  </w:style>
  <w:style w:type="character" w:customStyle="1" w:styleId="AsuntodelcomentarioCar">
    <w:name w:val="Asunto del comentario Car"/>
    <w:basedOn w:val="TextocomentarioCar"/>
    <w:link w:val="Asuntodelcomentario"/>
    <w:uiPriority w:val="99"/>
    <w:semiHidden/>
    <w:rsid w:val="00192495"/>
    <w:rPr>
      <w:b/>
      <w:bCs/>
      <w:sz w:val="20"/>
      <w:szCs w:val="20"/>
      <w:lang w:val="es-ES"/>
    </w:rPr>
  </w:style>
  <w:style w:type="character" w:styleId="nfasis">
    <w:name w:val="Emphasis"/>
    <w:basedOn w:val="Fuentedeprrafopredeter"/>
    <w:uiPriority w:val="20"/>
    <w:qFormat/>
    <w:rsid w:val="00192495"/>
    <w:rPr>
      <w:i/>
      <w:iCs/>
    </w:rPr>
  </w:style>
  <w:style w:type="character" w:styleId="Hipervnculovisitado">
    <w:name w:val="FollowedHyperlink"/>
    <w:basedOn w:val="Fuentedeprrafopredeter"/>
    <w:uiPriority w:val="99"/>
    <w:semiHidden/>
    <w:unhideWhenUsed/>
    <w:rsid w:val="00192495"/>
    <w:rPr>
      <w:color w:val="800080" w:themeColor="followedHyperlink"/>
      <w:u w:val="single"/>
    </w:rPr>
  </w:style>
  <w:style w:type="table" w:styleId="Tablaconcuadrcula">
    <w:name w:val="Table Grid"/>
    <w:basedOn w:val="Tablanormal"/>
    <w:uiPriority w:val="59"/>
    <w:rsid w:val="005532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DA5568"/>
    <w:pPr>
      <w:outlineLvl w:val="9"/>
    </w:pPr>
    <w:rPr>
      <w:rFonts w:asciiTheme="majorHAnsi" w:eastAsiaTheme="majorEastAsia" w:hAnsiTheme="majorHAnsi" w:cstheme="majorBidi"/>
      <w:color w:val="365F91" w:themeColor="accent1" w:themeShade="BF"/>
      <w:lang w:val="es-MX" w:eastAsia="es-MX"/>
    </w:rPr>
  </w:style>
  <w:style w:type="paragraph" w:styleId="TDC1">
    <w:name w:val="toc 1"/>
    <w:basedOn w:val="Normal"/>
    <w:next w:val="Normal"/>
    <w:autoRedefine/>
    <w:uiPriority w:val="39"/>
    <w:unhideWhenUsed/>
    <w:rsid w:val="007830BC"/>
    <w:pPr>
      <w:tabs>
        <w:tab w:val="right" w:leader="dot" w:pos="9072"/>
      </w:tabs>
      <w:spacing w:line="360" w:lineRule="auto"/>
    </w:pPr>
  </w:style>
  <w:style w:type="paragraph" w:styleId="TDC2">
    <w:name w:val="toc 2"/>
    <w:basedOn w:val="Normal"/>
    <w:next w:val="Normal"/>
    <w:autoRedefine/>
    <w:uiPriority w:val="39"/>
    <w:unhideWhenUsed/>
    <w:rsid w:val="007830BC"/>
    <w:pPr>
      <w:tabs>
        <w:tab w:val="left" w:pos="880"/>
        <w:tab w:val="left" w:pos="1985"/>
        <w:tab w:val="right" w:leader="dot" w:pos="9072"/>
      </w:tabs>
      <w:spacing w:after="100" w:line="360" w:lineRule="auto"/>
      <w:ind w:left="220"/>
    </w:pPr>
  </w:style>
  <w:style w:type="paragraph" w:styleId="TDC3">
    <w:name w:val="toc 3"/>
    <w:basedOn w:val="Normal"/>
    <w:next w:val="Normal"/>
    <w:autoRedefine/>
    <w:uiPriority w:val="39"/>
    <w:unhideWhenUsed/>
    <w:rsid w:val="007830BC"/>
    <w:pPr>
      <w:tabs>
        <w:tab w:val="left" w:pos="1320"/>
        <w:tab w:val="right" w:leader="dot" w:pos="9072"/>
      </w:tabs>
      <w:spacing w:after="100"/>
      <w:ind w:left="440"/>
    </w:pPr>
  </w:style>
  <w:style w:type="paragraph" w:styleId="Encabezado">
    <w:name w:val="header"/>
    <w:basedOn w:val="Normal"/>
    <w:link w:val="EncabezadoCar"/>
    <w:uiPriority w:val="99"/>
    <w:unhideWhenUsed/>
    <w:rsid w:val="001F55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55D5"/>
    <w:rPr>
      <w:rFonts w:ascii="Calibri" w:eastAsia="Calibri" w:hAnsi="Calibri" w:cs="Times New Roman"/>
      <w:lang w:val="es-EC"/>
    </w:rPr>
  </w:style>
  <w:style w:type="paragraph" w:styleId="Piedepgina">
    <w:name w:val="footer"/>
    <w:basedOn w:val="Normal"/>
    <w:link w:val="PiedepginaCar"/>
    <w:uiPriority w:val="99"/>
    <w:unhideWhenUsed/>
    <w:rsid w:val="001F55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55D5"/>
    <w:rPr>
      <w:rFonts w:ascii="Calibri" w:eastAsia="Calibri" w:hAnsi="Calibri" w:cs="Times New Roman"/>
      <w:lang w:val="es-EC"/>
    </w:rPr>
  </w:style>
  <w:style w:type="paragraph" w:customStyle="1" w:styleId="Default">
    <w:name w:val="Default"/>
    <w:rsid w:val="008A0C4C"/>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2E35"/>
    <w:rPr>
      <w:rFonts w:ascii="Calibri" w:eastAsia="Calibri" w:hAnsi="Calibri" w:cs="Times New Roman"/>
      <w:lang w:val="es-EC"/>
    </w:rPr>
  </w:style>
  <w:style w:type="paragraph" w:styleId="Ttulo1">
    <w:name w:val="heading 1"/>
    <w:basedOn w:val="Normal"/>
    <w:next w:val="Normal"/>
    <w:link w:val="Ttulo1Car"/>
    <w:uiPriority w:val="9"/>
    <w:qFormat/>
    <w:rsid w:val="00782E35"/>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uiPriority w:val="9"/>
    <w:unhideWhenUsed/>
    <w:qFormat/>
    <w:rsid w:val="00782E35"/>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
    <w:uiPriority w:val="9"/>
    <w:unhideWhenUsed/>
    <w:qFormat/>
    <w:rsid w:val="00782E35"/>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9"/>
    <w:unhideWhenUsed/>
    <w:qFormat/>
    <w:rsid w:val="00782E35"/>
    <w:pPr>
      <w:keepNext/>
      <w:keepLines/>
      <w:spacing w:before="200" w:after="0"/>
      <w:outlineLvl w:val="3"/>
    </w:pPr>
    <w:rPr>
      <w:rFonts w:ascii="Cambria" w:eastAsia="Times New Roman" w:hAnsi="Cambria"/>
      <w:b/>
      <w:bCs/>
      <w:i/>
      <w:iCs/>
      <w:color w:val="4F81BD"/>
    </w:rPr>
  </w:style>
  <w:style w:type="paragraph" w:styleId="Ttulo5">
    <w:name w:val="heading 5"/>
    <w:basedOn w:val="Normal"/>
    <w:next w:val="Normal"/>
    <w:link w:val="Ttulo5Car"/>
    <w:uiPriority w:val="9"/>
    <w:unhideWhenUsed/>
    <w:qFormat/>
    <w:rsid w:val="00782E35"/>
    <w:pPr>
      <w:keepNext/>
      <w:keepLines/>
      <w:spacing w:before="200" w:after="0"/>
      <w:outlineLvl w:val="4"/>
    </w:pPr>
    <w:rPr>
      <w:rFonts w:ascii="Cambria" w:eastAsia="Times New Roman" w:hAnsi="Cambria"/>
      <w:color w:val="243F6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82E35"/>
    <w:rPr>
      <w:rFonts w:ascii="Cambria" w:eastAsia="Times New Roman" w:hAnsi="Cambria" w:cs="Times New Roman"/>
      <w:b/>
      <w:bCs/>
      <w:color w:val="365F91"/>
      <w:sz w:val="28"/>
      <w:szCs w:val="28"/>
      <w:lang w:val="es-EC"/>
    </w:rPr>
  </w:style>
  <w:style w:type="character" w:customStyle="1" w:styleId="Ttulo2Car">
    <w:name w:val="Título 2 Car"/>
    <w:basedOn w:val="Fuentedeprrafopredeter"/>
    <w:link w:val="Ttulo2"/>
    <w:uiPriority w:val="9"/>
    <w:rsid w:val="00782E35"/>
    <w:rPr>
      <w:rFonts w:ascii="Cambria" w:eastAsia="Times New Roman" w:hAnsi="Cambria" w:cs="Times New Roman"/>
      <w:b/>
      <w:bCs/>
      <w:color w:val="4F81BD"/>
      <w:sz w:val="26"/>
      <w:szCs w:val="26"/>
      <w:lang w:val="es-EC"/>
    </w:rPr>
  </w:style>
  <w:style w:type="character" w:customStyle="1" w:styleId="Ttulo3Car">
    <w:name w:val="Título 3 Car"/>
    <w:basedOn w:val="Fuentedeprrafopredeter"/>
    <w:link w:val="Ttulo3"/>
    <w:uiPriority w:val="9"/>
    <w:rsid w:val="00782E35"/>
    <w:rPr>
      <w:rFonts w:ascii="Cambria" w:eastAsia="Times New Roman" w:hAnsi="Cambria" w:cs="Times New Roman"/>
      <w:b/>
      <w:bCs/>
      <w:color w:val="4F81BD"/>
      <w:lang w:val="es-EC"/>
    </w:rPr>
  </w:style>
  <w:style w:type="character" w:customStyle="1" w:styleId="Ttulo4Car">
    <w:name w:val="Título 4 Car"/>
    <w:basedOn w:val="Fuentedeprrafopredeter"/>
    <w:link w:val="Ttulo4"/>
    <w:uiPriority w:val="9"/>
    <w:rsid w:val="00782E35"/>
    <w:rPr>
      <w:rFonts w:ascii="Cambria" w:eastAsia="Times New Roman" w:hAnsi="Cambria" w:cs="Times New Roman"/>
      <w:b/>
      <w:bCs/>
      <w:i/>
      <w:iCs/>
      <w:color w:val="4F81BD"/>
      <w:lang w:val="es-EC"/>
    </w:rPr>
  </w:style>
  <w:style w:type="character" w:customStyle="1" w:styleId="Ttulo5Car">
    <w:name w:val="Título 5 Car"/>
    <w:basedOn w:val="Fuentedeprrafopredeter"/>
    <w:link w:val="Ttulo5"/>
    <w:uiPriority w:val="9"/>
    <w:rsid w:val="00782E35"/>
    <w:rPr>
      <w:rFonts w:ascii="Cambria" w:eastAsia="Times New Roman" w:hAnsi="Cambria" w:cs="Times New Roman"/>
      <w:color w:val="243F60"/>
      <w:lang w:val="es-EC"/>
    </w:rPr>
  </w:style>
  <w:style w:type="paragraph" w:styleId="Textonotapie">
    <w:name w:val="footnote text"/>
    <w:basedOn w:val="Normal"/>
    <w:link w:val="TextonotapieCar"/>
    <w:uiPriority w:val="99"/>
    <w:unhideWhenUsed/>
    <w:rsid w:val="00782E35"/>
    <w:pPr>
      <w:spacing w:after="0" w:line="240" w:lineRule="auto"/>
    </w:pPr>
    <w:rPr>
      <w:sz w:val="20"/>
      <w:szCs w:val="20"/>
    </w:rPr>
  </w:style>
  <w:style w:type="character" w:customStyle="1" w:styleId="TextonotapieCar">
    <w:name w:val="Texto nota pie Car"/>
    <w:basedOn w:val="Fuentedeprrafopredeter"/>
    <w:link w:val="Textonotapie"/>
    <w:uiPriority w:val="99"/>
    <w:rsid w:val="00782E35"/>
    <w:rPr>
      <w:rFonts w:ascii="Calibri" w:eastAsia="Calibri" w:hAnsi="Calibri" w:cs="Times New Roman"/>
      <w:sz w:val="20"/>
      <w:szCs w:val="20"/>
      <w:lang w:val="es-EC"/>
    </w:rPr>
  </w:style>
  <w:style w:type="character" w:styleId="Refdenotaalpie">
    <w:name w:val="footnote reference"/>
    <w:basedOn w:val="Fuentedeprrafopredeter"/>
    <w:uiPriority w:val="99"/>
    <w:semiHidden/>
    <w:unhideWhenUsed/>
    <w:rsid w:val="00782E35"/>
    <w:rPr>
      <w:vertAlign w:val="superscript"/>
    </w:rPr>
  </w:style>
  <w:style w:type="character" w:customStyle="1" w:styleId="apple-converted-space">
    <w:name w:val="apple-converted-space"/>
    <w:basedOn w:val="Fuentedeprrafopredeter"/>
    <w:rsid w:val="00782E35"/>
  </w:style>
  <w:style w:type="character" w:styleId="Hipervnculo">
    <w:name w:val="Hyperlink"/>
    <w:basedOn w:val="Fuentedeprrafopredeter"/>
    <w:uiPriority w:val="99"/>
    <w:unhideWhenUsed/>
    <w:rsid w:val="00782E35"/>
    <w:rPr>
      <w:color w:val="0000FF"/>
      <w:u w:val="single"/>
    </w:rPr>
  </w:style>
  <w:style w:type="paragraph" w:styleId="Prrafodelista">
    <w:name w:val="List Paragraph"/>
    <w:basedOn w:val="Normal"/>
    <w:uiPriority w:val="34"/>
    <w:qFormat/>
    <w:rsid w:val="00782E35"/>
    <w:pPr>
      <w:ind w:left="720"/>
      <w:contextualSpacing/>
    </w:pPr>
  </w:style>
  <w:style w:type="paragraph" w:styleId="NormalWeb">
    <w:name w:val="Normal (Web)"/>
    <w:basedOn w:val="Normal"/>
    <w:uiPriority w:val="99"/>
    <w:unhideWhenUsed/>
    <w:rsid w:val="00782E35"/>
    <w:pPr>
      <w:spacing w:before="100" w:beforeAutospacing="1" w:after="100" w:afterAutospacing="1" w:line="240" w:lineRule="auto"/>
    </w:pPr>
    <w:rPr>
      <w:rFonts w:ascii="Times New Roman" w:eastAsia="Times New Roman" w:hAnsi="Times New Roman"/>
      <w:sz w:val="24"/>
      <w:szCs w:val="24"/>
      <w:lang w:val="es-MX" w:eastAsia="es-MX"/>
    </w:rPr>
  </w:style>
  <w:style w:type="paragraph" w:styleId="Bibliografa">
    <w:name w:val="Bibliography"/>
    <w:basedOn w:val="Normal"/>
    <w:next w:val="Normal"/>
    <w:uiPriority w:val="37"/>
    <w:unhideWhenUsed/>
    <w:rsid w:val="00782E35"/>
  </w:style>
  <w:style w:type="paragraph" w:styleId="Textodeglobo">
    <w:name w:val="Balloon Text"/>
    <w:basedOn w:val="Normal"/>
    <w:link w:val="TextodegloboCar"/>
    <w:uiPriority w:val="99"/>
    <w:semiHidden/>
    <w:unhideWhenUsed/>
    <w:rsid w:val="00782E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E35"/>
    <w:rPr>
      <w:rFonts w:ascii="Tahoma" w:eastAsia="Calibri" w:hAnsi="Tahoma" w:cs="Tahoma"/>
      <w:sz w:val="16"/>
      <w:szCs w:val="16"/>
      <w:lang w:val="es-EC"/>
    </w:rPr>
  </w:style>
  <w:style w:type="character" w:styleId="Textodelmarcadordeposicin">
    <w:name w:val="Placeholder Text"/>
    <w:basedOn w:val="Fuentedeprrafopredeter"/>
    <w:uiPriority w:val="99"/>
    <w:semiHidden/>
    <w:rsid w:val="00192495"/>
    <w:rPr>
      <w:color w:val="808080"/>
    </w:rPr>
  </w:style>
  <w:style w:type="character" w:styleId="Refdecomentario">
    <w:name w:val="annotation reference"/>
    <w:basedOn w:val="Fuentedeprrafopredeter"/>
    <w:uiPriority w:val="99"/>
    <w:semiHidden/>
    <w:unhideWhenUsed/>
    <w:rsid w:val="00192495"/>
    <w:rPr>
      <w:sz w:val="16"/>
      <w:szCs w:val="16"/>
    </w:rPr>
  </w:style>
  <w:style w:type="paragraph" w:styleId="Textocomentario">
    <w:name w:val="annotation text"/>
    <w:basedOn w:val="Normal"/>
    <w:link w:val="TextocomentarioCar"/>
    <w:uiPriority w:val="99"/>
    <w:semiHidden/>
    <w:unhideWhenUsed/>
    <w:rsid w:val="00192495"/>
    <w:pPr>
      <w:spacing w:line="240" w:lineRule="auto"/>
    </w:pPr>
    <w:rPr>
      <w:rFonts w:asciiTheme="minorHAnsi" w:eastAsiaTheme="minorHAnsi" w:hAnsiTheme="minorHAnsi" w:cstheme="minorBidi"/>
      <w:sz w:val="20"/>
      <w:szCs w:val="20"/>
      <w:lang w:val="es-ES"/>
    </w:rPr>
  </w:style>
  <w:style w:type="character" w:customStyle="1" w:styleId="TextocomentarioCar">
    <w:name w:val="Texto comentario Car"/>
    <w:basedOn w:val="Fuentedeprrafopredeter"/>
    <w:link w:val="Textocomentario"/>
    <w:uiPriority w:val="99"/>
    <w:semiHidden/>
    <w:rsid w:val="00192495"/>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192495"/>
    <w:rPr>
      <w:b/>
      <w:bCs/>
    </w:rPr>
  </w:style>
  <w:style w:type="character" w:customStyle="1" w:styleId="AsuntodelcomentarioCar">
    <w:name w:val="Asunto del comentario Car"/>
    <w:basedOn w:val="TextocomentarioCar"/>
    <w:link w:val="Asuntodelcomentario"/>
    <w:uiPriority w:val="99"/>
    <w:semiHidden/>
    <w:rsid w:val="00192495"/>
    <w:rPr>
      <w:b/>
      <w:bCs/>
      <w:sz w:val="20"/>
      <w:szCs w:val="20"/>
      <w:lang w:val="es-ES"/>
    </w:rPr>
  </w:style>
  <w:style w:type="character" w:styleId="nfasis">
    <w:name w:val="Emphasis"/>
    <w:basedOn w:val="Fuentedeprrafopredeter"/>
    <w:uiPriority w:val="20"/>
    <w:qFormat/>
    <w:rsid w:val="00192495"/>
    <w:rPr>
      <w:i/>
      <w:iCs/>
    </w:rPr>
  </w:style>
  <w:style w:type="character" w:styleId="Hipervnculovisitado">
    <w:name w:val="FollowedHyperlink"/>
    <w:basedOn w:val="Fuentedeprrafopredeter"/>
    <w:uiPriority w:val="99"/>
    <w:semiHidden/>
    <w:unhideWhenUsed/>
    <w:rsid w:val="00192495"/>
    <w:rPr>
      <w:color w:val="800080" w:themeColor="followedHyperlink"/>
      <w:u w:val="single"/>
    </w:rPr>
  </w:style>
  <w:style w:type="table" w:styleId="Tablaconcuadrcula">
    <w:name w:val="Table Grid"/>
    <w:basedOn w:val="Tablanormal"/>
    <w:uiPriority w:val="59"/>
    <w:rsid w:val="005532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DA5568"/>
    <w:pPr>
      <w:outlineLvl w:val="9"/>
    </w:pPr>
    <w:rPr>
      <w:rFonts w:asciiTheme="majorHAnsi" w:eastAsiaTheme="majorEastAsia" w:hAnsiTheme="majorHAnsi" w:cstheme="majorBidi"/>
      <w:color w:val="365F91" w:themeColor="accent1" w:themeShade="BF"/>
      <w:lang w:val="es-MX" w:eastAsia="es-MX"/>
    </w:rPr>
  </w:style>
  <w:style w:type="paragraph" w:styleId="TDC1">
    <w:name w:val="toc 1"/>
    <w:basedOn w:val="Normal"/>
    <w:next w:val="Normal"/>
    <w:autoRedefine/>
    <w:uiPriority w:val="39"/>
    <w:unhideWhenUsed/>
    <w:rsid w:val="007830BC"/>
    <w:pPr>
      <w:tabs>
        <w:tab w:val="right" w:leader="dot" w:pos="9072"/>
      </w:tabs>
      <w:spacing w:line="360" w:lineRule="auto"/>
    </w:pPr>
  </w:style>
  <w:style w:type="paragraph" w:styleId="TDC2">
    <w:name w:val="toc 2"/>
    <w:basedOn w:val="Normal"/>
    <w:next w:val="Normal"/>
    <w:autoRedefine/>
    <w:uiPriority w:val="39"/>
    <w:unhideWhenUsed/>
    <w:rsid w:val="007830BC"/>
    <w:pPr>
      <w:tabs>
        <w:tab w:val="left" w:pos="880"/>
        <w:tab w:val="left" w:pos="1985"/>
        <w:tab w:val="right" w:leader="dot" w:pos="9072"/>
      </w:tabs>
      <w:spacing w:after="100" w:line="360" w:lineRule="auto"/>
      <w:ind w:left="220"/>
    </w:pPr>
  </w:style>
  <w:style w:type="paragraph" w:styleId="TDC3">
    <w:name w:val="toc 3"/>
    <w:basedOn w:val="Normal"/>
    <w:next w:val="Normal"/>
    <w:autoRedefine/>
    <w:uiPriority w:val="39"/>
    <w:unhideWhenUsed/>
    <w:rsid w:val="007830BC"/>
    <w:pPr>
      <w:tabs>
        <w:tab w:val="left" w:pos="1320"/>
        <w:tab w:val="right" w:leader="dot" w:pos="9072"/>
      </w:tabs>
      <w:spacing w:after="100"/>
      <w:ind w:left="440"/>
    </w:pPr>
  </w:style>
  <w:style w:type="paragraph" w:styleId="Encabezado">
    <w:name w:val="header"/>
    <w:basedOn w:val="Normal"/>
    <w:link w:val="EncabezadoCar"/>
    <w:uiPriority w:val="99"/>
    <w:unhideWhenUsed/>
    <w:rsid w:val="001F55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55D5"/>
    <w:rPr>
      <w:rFonts w:ascii="Calibri" w:eastAsia="Calibri" w:hAnsi="Calibri" w:cs="Times New Roman"/>
      <w:lang w:val="es-EC"/>
    </w:rPr>
  </w:style>
  <w:style w:type="paragraph" w:styleId="Piedepgina">
    <w:name w:val="footer"/>
    <w:basedOn w:val="Normal"/>
    <w:link w:val="PiedepginaCar"/>
    <w:uiPriority w:val="99"/>
    <w:unhideWhenUsed/>
    <w:rsid w:val="001F55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55D5"/>
    <w:rPr>
      <w:rFonts w:ascii="Calibri" w:eastAsia="Calibri" w:hAnsi="Calibri" w:cs="Times New Roman"/>
      <w:lang w:val="es-EC"/>
    </w:rPr>
  </w:style>
  <w:style w:type="paragraph" w:customStyle="1" w:styleId="Default">
    <w:name w:val="Default"/>
    <w:rsid w:val="008A0C4C"/>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989068">
      <w:bodyDiv w:val="1"/>
      <w:marLeft w:val="0"/>
      <w:marRight w:val="0"/>
      <w:marTop w:val="0"/>
      <w:marBottom w:val="0"/>
      <w:divBdr>
        <w:top w:val="none" w:sz="0" w:space="0" w:color="auto"/>
        <w:left w:val="none" w:sz="0" w:space="0" w:color="auto"/>
        <w:bottom w:val="none" w:sz="0" w:space="0" w:color="auto"/>
        <w:right w:val="none" w:sz="0" w:space="0" w:color="auto"/>
      </w:divBdr>
    </w:div>
    <w:div w:id="130633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s>
</file>

<file path=word/_rels/footnotes.xml.rels><?xml version="1.0" encoding="UTF-8" standalone="yes"?>
<Relationships xmlns="http://schemas.openxmlformats.org/package/2006/relationships"><Relationship Id="rId3" Type="http://schemas.openxmlformats.org/officeDocument/2006/relationships/hyperlink" Target="http://es.wikipedia.org/wiki/Utilidad_(econom%C3%ADa)" TargetMode="External"/><Relationship Id="rId2" Type="http://schemas.openxmlformats.org/officeDocument/2006/relationships/hyperlink" Target="http://es.wikipedia.org/wiki/Agente_econ%C3%B3mico" TargetMode="External"/><Relationship Id="rId1" Type="http://schemas.openxmlformats.org/officeDocument/2006/relationships/hyperlink" Target="http://es.wikipedia.org/wiki/Bien_econ%C3%B3mico" TargetMode="External"/><Relationship Id="rId5" Type="http://schemas.openxmlformats.org/officeDocument/2006/relationships/hyperlink" Target="http://www.cncompetencia.es/LinkClick.aspx?link=109&amp;tabid=101" TargetMode="External"/><Relationship Id="rId4" Type="http://schemas.openxmlformats.org/officeDocument/2006/relationships/hyperlink" Target="http://www.cncompetencia.es/Inicio/FAQ/Glosario/tabid/101/Default.aspx?item=16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All03</b:Tag>
    <b:SourceType>Book</b:SourceType>
    <b:Guid>{ACAB81A9-4C88-4398-8EC5-E0D58269CC2A}</b:Guid>
    <b:Title>Competition and Financial Stability</b:Title>
    <b:Year>2003</b:Year>
    <b:Publisher>World Bank and Federal Reserve Bank of Cleveland</b:Publisher>
    <b:City>Cleveland</b:City>
    <b:Author>
      <b:Author>
        <b:NameList>
          <b:Person>
            <b:Last>Allen</b:Last>
            <b:First>Franklin</b:First>
          </b:Person>
          <b:Person>
            <b:Last>Gale</b:Last>
            <b:First>Douglas</b:First>
          </b:Person>
        </b:NameList>
      </b:Author>
    </b:Author>
    <b:RefOrder>5</b:RefOrder>
  </b:Source>
  <b:Source>
    <b:Tag>Car02</b:Tag>
    <b:SourceType>Book</b:SourceType>
    <b:Guid>{EE98C370-0217-49DA-81A3-EF3DB57F0E78}</b:Guid>
    <b:Title>Competition and Stability: Whats Special about Banking?</b:Title>
    <b:Year>2002</b:Year>
    <b:City>Frankfurt</b:City>
    <b:Publisher>European Central Bank</b:Publisher>
    <b:Author>
      <b:Author>
        <b:NameList>
          <b:Person>
            <b:Last>Carletti</b:Last>
            <b:First>Elena</b:First>
          </b:Person>
          <b:Person>
            <b:Last>Hartmann</b:Last>
            <b:First>Philipp</b:First>
          </b:Person>
        </b:NameList>
      </b:Author>
    </b:Author>
    <b:RefOrder>6</b:RefOrder>
  </b:Source>
  <b:Source>
    <b:Tag>Mor11</b:Tag>
    <b:SourceType>Report</b:SourceType>
    <b:Guid>{582E6CE8-B877-444A-93BD-0FE3B7E88233}</b:Guid>
    <b:Title>Concentración y Estabilidad Financiera: El Caso del Sistema Bancario Colombiano</b:Title>
    <b:Year>2011</b:Year>
    <b:Author>
      <b:Author>
        <b:NameList>
          <b:Person>
            <b:Last>Morales</b:Last>
            <b:First>Miguel</b:First>
          </b:Person>
        </b:NameList>
      </b:Author>
    </b:Author>
    <b:Publisher>Banco de la República</b:Publisher>
    <b:City>Bogotá</b:City>
    <b:JournalName>Reporte de Estabilia</b:JournalName>
    <b:RefOrder>35</b:RefOrder>
  </b:Source>
  <b:Source>
    <b:Tag>Can01</b:Tag>
    <b:SourceType>Book</b:SourceType>
    <b:Guid>{6B60C898-A14E-42D7-93AE-B83F06B25DB5}</b:Guid>
    <b:Title>Competition and Stability in Banking</b:Title>
    <b:Year>2001</b:Year>
    <b:Author>
      <b:Author>
        <b:NameList>
          <b:Person>
            <b:Last>Canoy</b:Last>
            <b:First>Marcel</b:First>
          </b:Person>
          <b:Person>
            <b:Last>van Dijik</b:Last>
            <b:First>Machiel</b:First>
          </b:Person>
          <b:Person>
            <b:Last>Lemmen</b:Last>
            <b:First>Jan</b:First>
          </b:Person>
          <b:Person>
            <b:Last>de Moolj</b:Last>
            <b:First>Ruud</b:First>
          </b:Person>
          <b:Person>
            <b:Last>Welgan </b:Last>
            <b:First>Jürgen</b:First>
          </b:Person>
        </b:NameList>
      </b:Author>
    </b:Author>
    <b:City>La Haya</b:City>
    <b:Publisher>CPB Netherlands Bureau for Economic Policy Analysis</b:Publisher>
    <b:RefOrder>9</b:RefOrder>
  </b:Source>
  <b:Source>
    <b:Tag>Ber13</b:Tag>
    <b:SourceType>DocumentFromInternetSite</b:SourceType>
    <b:Guid>{4CC110E0-AF57-479F-805B-A09F6F3E862B}</b:Guid>
    <b:Title>edumed.net</b:Title>
    <b:InternetSiteTitle>La Microeconomía: El Equilibrio de Nash</b:InternetSiteTitle>
    <b:YearAccessed>2013</b:YearAccessed>
    <b:MonthAccessed>Mayo</b:MonthAccessed>
    <b:DayAccessed>2</b:DayAccessed>
    <b:URL>http://www.eumed.net/cursecon/libreria/bg-micro/5b.htm</b:URL>
    <b:Author>
      <b:Author>
        <b:NameList>
          <b:Person>
            <b:Last>Guerrien</b:Last>
            <b:First>Bernard</b:First>
          </b:Person>
        </b:NameList>
      </b:Author>
    </b:Author>
    <b:RefOrder>36</b:RefOrder>
  </b:Source>
  <b:Source>
    <b:Tag>Lea11</b:Tag>
    <b:SourceType>Book</b:SourceType>
    <b:Guid>{0CDF4AC0-4801-4B65-9C8F-55C5C5CA3C32}</b:Guid>
    <b:Title>Regulación Económica: Eficiencia, Poder de Mercado y Concentración</b:Title>
    <b:Year>2011</b:Year>
    <b:Author>
      <b:Author>
        <b:NameList>
          <b:Person>
            <b:Last>Zipitría</b:Last>
            <b:First>Leandro</b:First>
          </b:Person>
        </b:NameList>
      </b:Author>
    </b:Author>
    <b:City>La Habana</b:City>
    <b:Publisher>Universidad de Montevideo</b:Publisher>
    <b:RefOrder>37</b:RefOrder>
  </b:Source>
  <b:Source>
    <b:Tag>Car05</b:Tag>
    <b:SourceType>Book</b:SourceType>
    <b:Guid>{2120B841-D512-4886-8181-6D438C40D574}</b:Guid>
    <b:Title>Branch Banking, Bank Competition, and Financial Stability</b:Title>
    <b:Year>2005</b:Year>
    <b:City>Massachusetts</b:City>
    <b:Publisher>National Bureau of Economic Research</b:Publisher>
    <b:Author>
      <b:Author>
        <b:NameList>
          <b:Person>
            <b:Last>Carlson</b:Last>
            <b:First>Mark</b:First>
          </b:Person>
          <b:Person>
            <b:Last>Mitchener</b:Last>
            <b:First>Kris</b:First>
          </b:Person>
        </b:NameList>
      </b:Author>
    </b:Author>
    <b:RefOrder>38</b:RefOrder>
  </b:Source>
  <b:Source>
    <b:Tag>Lui09</b:Tag>
    <b:SourceType>Book</b:SourceType>
    <b:Guid>{7E8A6BE3-AB9A-4B99-9CD1-F7289A8E638D}</b:Guid>
    <b:Title>Competencia y Estabilidad en el Sistema Bancario: Evidencia para la República Dominicana</b:Title>
    <b:Year>2009</b:Year>
    <b:Publisher>Pontificia Universidad Católica de Chile</b:Publisher>
    <b:City>Santiago de Chile</b:City>
    <b:Author>
      <b:Author>
        <b:NameList>
          <b:Person>
            <b:Last>Pérez</b:Last>
            <b:First>Luisa</b:First>
          </b:Person>
        </b:NameList>
      </b:Author>
    </b:Author>
    <b:RefOrder>8</b:RefOrder>
  </b:Source>
  <b:Source>
    <b:Tag>Car01</b:Tag>
    <b:SourceType>JournalArticle</b:SourceType>
    <b:Guid>{FFE898DF-06E7-4052-A10D-12DE71A50810}</b:Guid>
    <b:Title>Tendencias en el Marco de la Regulación Prudencial para las Instituciones Financieras</b:Title>
    <b:Year>2001</b:Year>
    <b:Author>
      <b:Author>
        <b:NameList>
          <b:Person>
            <b:Last>Mejía</b:Last>
            <b:First>Carlos</b:First>
          </b:Person>
        </b:NameList>
      </b:Author>
    </b:Author>
    <b:JournalName>Documentos Planning</b:JournalName>
    <b:RefOrder>39</b:RefOrder>
  </b:Source>
  <b:Source>
    <b:Tag>Fin13</b:Tag>
    <b:SourceType>InternetSite</b:SourceType>
    <b:Guid>{9D8FF07E-060C-40C0-BD5E-37B68CC68F2B}</b:Guid>
    <b:Title>Financial Times Lexicon</b:Title>
    <b:InternetSiteTitle>Risk Shifting Effect</b:InternetSiteTitle>
    <b:YearAccessed>2013</b:YearAccessed>
    <b:MonthAccessed>Mayo</b:MonthAccessed>
    <b:DayAccessed>22</b:DayAccessed>
    <b:URL>http://lexicon.ft.com/Term?term=risk-shifting</b:URL>
    <b:RefOrder>40</b:RefOrder>
  </b:Source>
  <b:Source>
    <b:Tag>Eme</b:Tag>
    <b:SourceType>Book</b:SourceType>
    <b:Guid>{BA6FF146-76B6-4CA0-8C54-49F1E4273BDA}</b:Guid>
    <b:Title>Fundamentos de la Administración Financiera</b:Title>
    <b:City>México</b:City>
    <b:Publisher>Pearson Educación</b:Publisher>
    <b:Author>
      <b:Author>
        <b:NameList>
          <b:Person>
            <b:Last>Emery</b:Last>
            <b:First>Douglas</b:First>
          </b:Person>
          <b:Person>
            <b:Last>Finnerty </b:Last>
            <b:First>John</b:First>
          </b:Person>
          <b:Person>
            <b:Last>Stowe</b:Last>
            <b:First>John</b:First>
          </b:Person>
        </b:NameList>
      </b:Author>
    </b:Author>
    <b:RefOrder>41</b:RefOrder>
  </b:Source>
  <b:Source>
    <b:Tag>Tak09</b:Tag>
    <b:SourceType>Book</b:SourceType>
    <b:Guid>{627169EA-FF08-4AC9-8882-CDA850610D14}</b:Guid>
    <b:Author>
      <b:Author>
        <b:NameList>
          <b:Person>
            <b:Last>Tabuchi</b:Last>
            <b:First>Takatoshi</b:First>
          </b:Person>
        </b:NameList>
      </b:Author>
    </b:Author>
    <b:Title>Hotelling's Spatial Competition Reconsidered</b:Title>
    <b:Year>2009</b:Year>
    <b:City>Tokyo</b:City>
    <b:Publisher>Faculty of Economics, University of Tokyo</b:Publisher>
    <b:RefOrder>42</b:RefOrder>
  </b:Source>
  <b:Source>
    <b:Tag>Mar13</b:Tag>
    <b:SourceType>DocumentFromInternetSite</b:SourceType>
    <b:Guid>{1F8A1E7E-FF77-4015-970E-5A44B904C118}</b:Guid>
    <b:Author>
      <b:Author>
        <b:NameList>
          <b:Person>
            <b:Last>Margolis</b:Last>
            <b:First>Stephen</b:First>
          </b:Person>
          <b:Person>
            <b:Last>Liebowitz</b:Last>
            <b:First>S.J</b:First>
          </b:Person>
        </b:NameList>
      </b:Author>
    </b:Author>
    <b:Title>Network Externalities (Effects)</b:Title>
    <b:InternetSiteTitle>The University of Texas at Dallas</b:InternetSiteTitle>
    <b:YearAccessed>2013</b:YearAccessed>
    <b:MonthAccessed>Junio </b:MonthAccessed>
    <b:DayAccessed>10</b:DayAccessed>
    <b:URL>http://www.utdallas.edu/~liebowit/palgrave/network.html</b:URL>
    <b:RefOrder>43</b:RefOrder>
  </b:Source>
  <b:Source>
    <b:Tag>Led07</b:Tag>
    <b:SourceType>Book</b:SourceType>
    <b:Guid>{6D4EE51A-C6B1-4BC4-BDC7-DD665EEFC4D5}</b:Guid>
    <b:Title>Las Políticas Fiscales y su Impacto en el Bienestar Social de la Población Venezolana. Un Análisis desde el Paradigma Crítica Periodo 1988-2006</b:Title>
    <b:Year>2007</b:Year>
    <b:Author>
      <b:Author>
        <b:NameList>
          <b:Person>
            <b:Last>Mesino</b:Last>
            <b:First>Ledis</b:First>
          </b:Person>
        </b:NameList>
      </b:Author>
    </b:Author>
    <b:City>Maracaibo</b:City>
    <b:Publisher>Universidad de Zulia</b:Publisher>
    <b:RefOrder>44</b:RefOrder>
  </b:Source>
  <b:Source>
    <b:Tag>Fin131</b:Tag>
    <b:SourceType>InternetSite</b:SourceType>
    <b:Guid>{26A257DA-917D-4A3F-A9B8-D999AACA4DE4}</b:Guid>
    <b:Title>Financial Times Lexicon</b:Title>
    <b:YearAccessed>2013</b:YearAccessed>
    <b:MonthAccessed>Junio</b:MonthAccessed>
    <b:DayAccessed>10</b:DayAccessed>
    <b:URL>http://lexicon.ft.com/Term?term=moral-hazard</b:URL>
    <b:RefOrder>45</b:RefOrder>
  </b:Source>
  <b:Source>
    <b:Tag>Mar91</b:Tag>
    <b:SourceType>JournalArticle</b:SourceType>
    <b:Guid>{7830F5C7-7801-4CEF-A26C-7A90EAB3ED14}</b:Guid>
    <b:Title>An Introduction to Complete Markets</b:Title>
    <b:Year>1991</b:Year>
    <b:Author>
      <b:Author>
        <b:NameList>
          <b:Person>
            <b:Last>Flood</b:Last>
            <b:First>Mark</b:First>
          </b:Person>
        </b:NameList>
      </b:Author>
    </b:Author>
    <b:JournalName>Federal Reserve of St. Louis</b:JournalName>
    <b:Pages>32-57</b:Pages>
    <b:RefOrder>46</b:RefOrder>
  </b:Source>
  <b:Source>
    <b:Tag>Fre97</b:Tag>
    <b:SourceType>Book</b:SourceType>
    <b:Guid>{B783AB96-9297-4D40-BF34-B564C78B5F0F}</b:Guid>
    <b:Title>Microeconomics of Banking</b:Title>
    <b:Year>1997</b:Year>
    <b:City>Cambridge</b:City>
    <b:Publisher>MIT Press</b:Publisher>
    <b:Author>
      <b:Author>
        <b:NameList>
          <b:Person>
            <b:Last>Freixas</b:Last>
            <b:First>Xavier</b:First>
          </b:Person>
          <b:Person>
            <b:Last>Rochet</b:Last>
            <b:First>Jean-Charles</b:First>
          </b:Person>
        </b:NameList>
      </b:Author>
    </b:Author>
    <b:RefOrder>10</b:RefOrder>
  </b:Source>
  <b:Source>
    <b:Tag>Nor04</b:Tag>
    <b:SourceType>Book</b:SourceType>
    <b:Guid>{F7ACEFCA-AC37-4E55-852F-BE1FEEAE4CAF}</b:Guid>
    <b:Author>
      <b:Author>
        <b:NameList>
          <b:Person>
            <b:Last>Northcott</b:Last>
            <b:Middle>Ann</b:Middle>
            <b:First>Carol</b:First>
          </b:Person>
        </b:NameList>
      </b:Author>
    </b:Author>
    <b:Title>Competition in Banking: A Review of the Literature</b:Title>
    <b:Year>2004</b:Year>
    <b:City>Ottawa</b:City>
    <b:Publisher>Monetary and Financial Analysis Department, Bank of Canada</b:Publisher>
    <b:RefOrder>11</b:RefOrder>
  </b:Source>
  <b:Source>
    <b:Tag>Fra02</b:Tag>
    <b:SourceType>Book</b:SourceType>
    <b:Guid>{E4A1BB96-3B0B-4B1C-A1B0-1336049EF8FE}</b:Guid>
    <b:Title>Credit Scoring and the Availability, Price, and Risk of Small Business Credit</b:Title>
    <b:Year>2002</b:Year>
    <b:City>Atlanta</b:City>
    <b:Publisher>Federal Reserve Bank of Atlanta</b:Publisher>
    <b:Author>
      <b:Author>
        <b:NameList>
          <b:Person>
            <b:Last>Frame</b:Last>
            <b:Middle>Scott</b:Middle>
            <b:First>W.</b:First>
          </b:Person>
          <b:Person>
            <b:Last>Miller</b:Last>
            <b:Middle>H.</b:Middle>
            <b:First>Nathan</b:First>
          </b:Person>
          <b:Person>
            <b:Last>Berger</b:Last>
            <b:Middle>N.</b:Middle>
            <b:First>Allen</b:First>
          </b:Person>
        </b:NameList>
      </b:Author>
    </b:Author>
    <b:RefOrder>12</b:RefOrder>
  </b:Source>
  <b:Source>
    <b:Tag>And97</b:Tag>
    <b:SourceType>JournalArticle</b:SourceType>
    <b:Guid>{6DBEFD25-2612-47A3-9D6F-D31917684281}</b:Guid>
    <b:Title>Why is financial stability a goal of public policy?</b:Title>
    <b:Year>1997</b:Year>
    <b:Author>
      <b:Author>
        <b:NameList>
          <b:Person>
            <b:Last>Crockett</b:Last>
            <b:First>Andrew</b:First>
          </b:Person>
        </b:NameList>
      </b:Author>
    </b:Author>
    <b:JournalName>Proceedings by the Federal Reserve Bank of Kansas City</b:JournalName>
    <b:Pages>7-36</b:Pages>
    <b:RefOrder>13</b:RefOrder>
  </b:Source>
  <b:Source>
    <b:Tag>Fre971</b:Tag>
    <b:SourceType>JournalArticle</b:SourceType>
    <b:Guid>{54274C8A-60F2-41E1-A136-14DE8FC233CB}</b:Guid>
    <b:Author>
      <b:Author>
        <b:NameList>
          <b:Person>
            <b:Last>Mishkin</b:Last>
            <b:First>Frederic</b:First>
          </b:Person>
        </b:NameList>
      </b:Author>
    </b:Author>
    <b:Title>The Causes and Propagation of Financial Instability: Lssons for Policy Makers</b:Title>
    <b:JournalName>Proceedings by the Federal Reserve Bank of Kansas City</b:JournalName>
    <b:Year>1997</b:Year>
    <b:Pages>55-96</b:Pages>
    <b:RefOrder>14</b:RefOrder>
  </b:Source>
  <b:Source>
    <b:Tag>Rei1</b:Tag>
    <b:SourceType>JournalArticle</b:SourceType>
    <b:Guid>{B49E9F3C-A3F4-45F7-86DB-AD6789DBA444}</b:Guid>
    <b:Title>Hacia una Regulación y Supervisión más Eficiente del Sistema Bancario</b:Title>
    <b:JournalName>Revista Estudios Públicos</b:JournalName>
    <b:Pages>99-136</b:Pages>
    <b:Author>
      <b:Author>
        <b:NameList>
          <b:Person>
            <b:Last>Reinstein</b:Last>
            <b:First>Andrés</b:First>
          </b:Person>
          <b:Person>
            <b:Last>Vergara</b:Last>
            <b:First>Rodrigo</b:First>
          </b:Person>
        </b:NameList>
      </b:Author>
    </b:Author>
    <b:RefOrder>15</b:RefOrder>
  </b:Source>
  <b:Source>
    <b:Tag>Pav01</b:Tag>
    <b:SourceType>JournalArticle</b:SourceType>
    <b:Guid>{27B015FE-074C-4ECF-9425-BC533C050AB9}</b:Guid>
    <b:Author>
      <b:Author>
        <b:NameList>
          <b:Person>
            <b:Last>Pavón</b:Last>
            <b:First>Lilianne</b:First>
          </b:Person>
        </b:NameList>
      </b:Author>
    </b:Author>
    <b:Title>Crisis Regulación  Supervisión Bancarias</b:Title>
    <b:Year>2001</b:Year>
    <b:JournalName>Boletín Económico del ICE</b:JournalName>
    <b:Pages>49-67</b:Pages>
    <b:RefOrder>16</b:RefOrder>
  </b:Source>
  <b:Source>
    <b:Tag>Ami00</b:Tag>
    <b:SourceType>Book</b:SourceType>
    <b:Guid>{11FC8B2E-4269-49D5-AD00-0ECBA49BE76A}</b:Guid>
    <b:Title>Crisis Bancarias: Causas, Costos, Duración, Efectos y Opciones de Política</b:Title>
    <b:Year>2000</b:Year>
    <b:City>Santiago de Chile</b:City>
    <b:Publisher>División de Desarrollo Económico CEPAL</b:Publisher>
    <b:Author>
      <b:Author>
        <b:NameList>
          <b:Person>
            <b:Last>Amieva Huerta</b:Last>
            <b:First>Juan</b:First>
          </b:Person>
          <b:Person>
            <b:Last>Urriza González</b:Last>
            <b:First>Bernardo</b:First>
          </b:Person>
        </b:NameList>
      </b:Author>
    </b:Author>
    <b:RefOrder>17</b:RefOrder>
  </b:Source>
  <b:Source>
    <b:Tag>Sol03</b:Tag>
    <b:SourceType>BookSection</b:SourceType>
    <b:Guid>{3B094EC6-09B5-47DF-ADB6-D6591C9EBC43}</b:Guid>
    <b:Title>Crisis y Dolarización: Visión General</b:Title>
    <b:Year>2003</b:Year>
    <b:City>Washington D.C</b:City>
    <b:Publisher>Banco Mundial</b:Publisher>
    <b:Author>
      <b:Author>
        <b:NameList>
          <b:Person>
            <b:Last>Solimano</b:Last>
            <b:First>Andrés</b:First>
          </b:Person>
        </b:NameList>
      </b:Author>
      <b:BookAuthor>
        <b:NameList>
          <b:Person>
            <b:Last>Beckerman </b:Last>
            <b:First>Paul</b:First>
          </b:Person>
          <b:Person>
            <b:Last>Solimano</b:Last>
            <b:First>Andrés</b:First>
          </b:Person>
        </b:NameList>
      </b:BookAuthor>
    </b:Author>
    <b:BookTitle>Crisis y Dolarización en el Ecuador</b:BookTitle>
    <b:Pages>15-31</b:Pages>
    <b:RefOrder>18</b:RefOrder>
  </b:Source>
  <b:Source>
    <b:Tag>Bec03</b:Tag>
    <b:SourceType>BookSection</b:SourceType>
    <b:Guid>{64A64F99-6A58-4DE6-A150-520F9F829341}</b:Guid>
    <b:Author>
      <b:Author>
        <b:NameList>
          <b:Person>
            <b:Last>Beckerman</b:Last>
            <b:First>Paul</b:First>
          </b:Person>
        </b:NameList>
      </b:Author>
      <b:BookAuthor>
        <b:NameList>
          <b:Person>
            <b:Last>Beckerman</b:Last>
            <b:First>Paul</b:First>
          </b:Person>
          <b:Person>
            <b:Last>Solimano</b:Last>
            <b:First>Andrés</b:First>
          </b:Person>
        </b:NameList>
      </b:BookAuthor>
    </b:Author>
    <b:Title>Orígenes de la Crisis "Predolarización"</b:Title>
    <b:BookTitle>Crisis y Dolarización en el Ecuador</b:BookTitle>
    <b:Year>2003</b:Year>
    <b:Pages>35-97</b:Pages>
    <b:City>Washington D.C</b:City>
    <b:Publisher>Banco Mundial</b:Publisher>
    <b:RefOrder>19</b:RefOrder>
  </b:Source>
  <b:Source>
    <b:Tag>Rom</b:Tag>
    <b:SourceType>Book</b:SourceType>
    <b:Guid>{6CC8BD90-1300-4920-A227-C11523F93ABC}</b:Guid>
    <b:Author>
      <b:Author>
        <b:NameList>
          <b:Person>
            <b:Last>Romero</b:Last>
            <b:First>Pedro</b:First>
          </b:Person>
        </b:NameList>
      </b:Author>
    </b:Author>
    <b:Title>Crisis Bancaria en Ecuador: Causas y Posibles Soluciones</b:Title>
    <b:City>Quito</b:City>
    <b:Publisher>Instituto Ecuatoriano de Economía Política</b:Publisher>
    <b:RefOrder>21</b:RefOrder>
  </b:Source>
  <b:Source>
    <b:Tag>Car051</b:Tag>
    <b:SourceType>Book</b:SourceType>
    <b:Guid>{9F489634-9EB2-48F2-AFFC-2A9A714E5D6D}</b:Guid>
    <b:Author>
      <b:Author>
        <b:NameList>
          <b:Person>
            <b:Last>Marchán</b:Last>
            <b:First>Carlos</b:First>
          </b:Person>
        </b:NameList>
      </b:Author>
    </b:Author>
    <b:Title>La Banca Central en el Entorno de la Crisis Financiera del Ecuador</b:Title>
    <b:Year>2005</b:Year>
    <b:City>Quito</b:City>
    <b:Publisher>Banco Central del Ecuador</b:Publisher>
    <b:RefOrder>22</b:RefOrder>
  </b:Source>
  <b:Source>
    <b:Tag>Bur03</b:Tag>
    <b:SourceType>Book</b:SourceType>
    <b:Guid>{74E04E9F-F505-4529-A554-FD0658972EFC}</b:Guid>
    <b:Title>Disertación de Grado: La Dolarización y su Impacto en el Margen Financiero del Sistema Bancario Ecuatoriano en el periodo 1998 - 2002</b:Title>
    <b:Year>2003</b:Year>
    <b:City>Quito</b:City>
    <b:Publisher>Facultad de Economía, Pontificia Universidad Católica del Ecuador</b:Publisher>
    <b:Author>
      <b:Author>
        <b:NameList>
          <b:Person>
            <b:Last>Burbano Robalino</b:Last>
            <b:First>Silvia</b:First>
          </b:Person>
        </b:NameList>
      </b:Author>
    </b:Author>
    <b:RefOrder>23</b:RefOrder>
  </b:Source>
  <b:Source>
    <b:Tag>Ped00</b:Tag>
    <b:SourceType>Book</b:SourceType>
    <b:Guid>{DBC035B2-D222-4430-B15E-BAF211007EEC}</b:Guid>
    <b:Title>Pánicos Bancarios, Suspensión de Convertibilidad y Garantía de Depósitos. Una Revisión General</b:Title>
    <b:Year>2000</b:Year>
    <b:City>Quito</b:City>
    <b:Publisher>Apuntes de Economía, Banco Central del Ecuador</b:Publisher>
    <b:Author>
      <b:Author>
        <b:NameList>
          <b:Person>
            <b:Last>Brito</b:Last>
            <b:First>Pedro</b:First>
          </b:Person>
        </b:NameList>
      </b:Author>
    </b:Author>
    <b:RefOrder>24</b:RefOrder>
  </b:Source>
  <b:Source>
    <b:Tag>Ale09</b:Tag>
    <b:SourceType>JournalArticle</b:SourceType>
    <b:Guid>{850578AF-5D2F-4CAE-AE31-9D81B87C9075}</b:Guid>
    <b:Title>Concentración Económica</b:Title>
    <b:Year>2009</b:Year>
    <b:Pages>II-1</b:Pages>
    <b:Author>
      <b:Author>
        <b:NameList>
          <b:Person>
            <b:Last>Peralta</b:Last>
            <b:First>Alejandro</b:First>
          </b:Person>
        </b:NameList>
      </b:Author>
    </b:Author>
    <b:JournalName>Área Indicadores Económicos &amp; Financieros</b:JournalName>
    <b:RefOrder>25</b:RefOrder>
  </b:Source>
  <b:Source>
    <b:Tag>Mic05</b:Tag>
    <b:SourceType>Book</b:SourceType>
    <b:Guid>{A76B6842-E742-4F47-9151-BB97EB31B9E8}</b:Guid>
    <b:Title>Bank Concentration and Credit Volatility</b:Title>
    <b:Year>2005</b:Year>
    <b:City>Santiago de Chile</b:City>
    <b:Publisher>Banco Central de Chile</b:Publisher>
    <b:Author>
      <b:Author>
        <b:NameList>
          <b:Person>
            <b:Last>Micco</b:Last>
            <b:First>Alejandro</b:First>
          </b:Person>
          <b:Person>
            <b:Last>Panizza</b:Last>
            <b:First>Ugo</b:First>
          </b:Person>
        </b:NameList>
      </b:Author>
    </b:Author>
    <b:RefOrder>26</b:RefOrder>
  </b:Source>
  <b:Source>
    <b:Tag>Dep13</b:Tag>
    <b:SourceType>InternetSite</b:SourceType>
    <b:Guid>{3BC88C4B-F246-46A1-A65E-A34C5674355E}</b:Guid>
    <b:Title>Unites States Department of Justice</b:Title>
    <b:Author>
      <b:Author>
        <b:Corporate>Departamento de Justicia de los Estados Unidos</b:Corporate>
      </b:Author>
    </b:Author>
    <b:InternetSiteTitle>Merger Enforcement: Herfindahl-Hirschmann</b:InternetSiteTitle>
    <b:YearAccessed>2013</b:YearAccessed>
    <b:MonthAccessed>Octubre</b:MonthAccessed>
    <b:DayAccessed>08</b:DayAccessed>
    <b:URL>http://www.justice.gov/atr/public/guidelines/hhi.html</b:URL>
    <b:RefOrder>27</b:RefOrder>
  </b:Source>
  <b:Source>
    <b:Tag>Dur09</b:Tag>
    <b:SourceType>Book</b:SourceType>
    <b:Guid>{65B48894-3982-4C6E-8857-618940D08A71}</b:Guid>
    <b:Title>Análisis de la Competitividad del Sistema Finanicero Costarricense</b:Title>
    <b:Year>2009</b:Year>
    <b:City>San José</b:City>
    <b:Publisher>Banco Central de Costa Rica</b:Publisher>
    <b:Author>
      <b:Author>
        <b:NameList>
          <b:Person>
            <b:Last>Durán Víquez</b:Last>
            <b:First>Rodolfo</b:First>
          </b:Person>
          <b:Person>
            <b:Last>Quirós Solano</b:Last>
            <b:First>Juan</b:First>
          </b:Person>
          <b:Person>
            <b:Last>Rojas Sánchez</b:Last>
            <b:First>Mario</b:First>
          </b:Person>
        </b:NameList>
      </b:Author>
    </b:Author>
    <b:RefOrder>28</b:RefOrder>
  </b:Source>
  <b:Source>
    <b:Tag>Rob05</b:Tag>
    <b:SourceType>Book</b:SourceType>
    <b:Guid>{13215349-2319-418B-9D1B-B71B3FA04A97}</b:Guid>
    <b:Author>
      <b:Author>
        <b:NameList>
          <b:Person>
            <b:Last>Montero</b:Last>
            <b:First>Roberto</b:First>
          </b:Person>
        </b:NameList>
      </b:Author>
    </b:Author>
    <b:Title>Test de Hausman</b:Title>
    <b:Year>2005</b:Year>
    <b:City>Granada</b:City>
    <b:Publisher>Universidad de Granada</b:Publisher>
    <b:RefOrder>29</b:RefOrder>
  </b:Source>
  <b:Source>
    <b:Tag>Pin</b:Tag>
    <b:SourceType>Book</b:SourceType>
    <b:Guid>{75C68168-4726-48BB-8269-4BF9A602C90C}</b:Guid>
    <b:Title>Competitividad y Estabilidad Bancaria ¿Hermanos Gemelos?</b:Title>
    <b:City>Santiago de Chile</b:City>
    <b:Publisher>Universidad de Concepción</b:Publisher>
    <b:Author>
      <b:Author>
        <b:NameList>
          <b:Person>
            <b:Last>Pino Saldías</b:Last>
            <b:First>Gabriel</b:First>
          </b:Person>
          <b:Person>
            <b:Last>Araya Gómez </b:Last>
            <b:First>Iván</b:First>
          </b:Person>
        </b:NameList>
      </b:Author>
    </b:Author>
    <b:RefOrder>33</b:RefOrder>
  </b:Source>
  <b:Source>
    <b:Tag>Mon10</b:Tag>
    <b:SourceType>Book</b:SourceType>
    <b:Guid>{1132EEA4-90C7-47BF-94E8-09B61528EDE3}</b:Guid>
    <b:Title>Panel Dinámico</b:Title>
    <b:Year>2010</b:Year>
    <b:City>Granada</b:City>
    <b:Publisher>Universidad de Granada, España</b:Publisher>
    <b:Author>
      <b:Author>
        <b:NameList>
          <b:Person>
            <b:Last>Montero Granados</b:Last>
            <b:First>Roberto</b:First>
          </b:Person>
        </b:NameList>
      </b:Author>
    </b:Author>
    <b:RefOrder>34</b:RefOrder>
  </b:Source>
  <b:Source>
    <b:Tag>Mar08</b:Tag>
    <b:SourceType>Book</b:SourceType>
    <b:Guid>{386DB2AA-1445-4715-A6EA-A94DB21C5754}</b:Guid>
    <b:Title>Does Competition Reduce the Risk of Failure</b:Title>
    <b:Year>2008</b:Year>
    <b:Author>
      <b:Author>
        <b:NameList>
          <b:Person>
            <b:Last>Martínez-Miera</b:Last>
            <b:First>David</b:First>
          </b:Person>
          <b:Person>
            <b:Last>Repullo</b:Last>
            <b:First>Rafael</b:First>
          </b:Person>
        </b:NameList>
      </b:Author>
    </b:Author>
    <b:City>Madrid</b:City>
    <b:Publisher>CEMFI Working Paper No. 0801</b:Publisher>
    <b:RefOrder>47</b:RefOrder>
  </b:Source>
  <b:Source>
    <b:Tag>MarcadorDePosición2</b:Tag>
    <b:SourceType>Book</b:SourceType>
    <b:Guid>{7480A541-8145-458F-BA10-5A38EDDB5B4A}</b:Guid>
    <b:RefOrder>48</b:RefOrder>
  </b:Source>
  <b:Source>
    <b:Tag>Gra05</b:Tag>
    <b:SourceType>Book</b:SourceType>
    <b:Guid>{CD28C3F8-85FB-4410-9DCF-4141C6D65B51}</b:Guid>
    <b:Title>Test de Hausman</b:Title>
    <b:Year>2005</b:Year>
    <b:City>Granada</b:City>
    <b:Publisher>Universidad de Granada, España</b:Publisher>
    <b:Author>
      <b:Author>
        <b:NameList>
          <b:Person>
            <b:Last>Granados Montero</b:Last>
            <b:First>Roberto</b:First>
          </b:Person>
        </b:NameList>
      </b:Author>
    </b:Author>
    <b:RefOrder>49</b:RefOrder>
  </b:Source>
  <b:Source>
    <b:Tag>Alo</b:Tag>
    <b:SourceType>Book</b:SourceType>
    <b:Guid>{5869063E-9603-4F28-8B4C-BC3E3F7964B4}</b:Guid>
    <b:Title>STATA Guía de Utilización</b:Title>
    <b:City>Madrid</b:City>
    <b:Publisher>Universidad Carlos III de Madrid</b:Publisher>
    <b:Author>
      <b:Author>
        <b:NameList>
          <b:Person>
            <b:Last>Alonso Borrego</b:Last>
            <b:First>César</b:First>
          </b:Person>
          <b:Person>
            <b:Last>Sánchez Mangas</b:Last>
            <b:First>Rocío</b:First>
          </b:Person>
        </b:NameList>
      </b:Author>
    </b:Author>
    <b:RefOrder>50</b:RefOrder>
  </b:Source>
  <b:Source>
    <b:Tag>Cob</b:Tag>
    <b:SourceType>Book</b:SourceType>
    <b:Guid>{E444D5FD-177C-44E5-8D8B-A77A923E30CA}</b:Guid>
    <b:Title>Contrastes de Hipótesis en Datos de Panel</b:Title>
    <b:Publisher>XIII Jornadas de ASEPUMa</b:Publisher>
    <b:Author>
      <b:Author>
        <b:NameList>
          <b:Person>
            <b:Last>Cobacho Tornel</b:Last>
            <b:First>Ma. Belén</b:First>
          </b:Person>
          <b:Person>
            <b:Last>Bosch Mossi</b:Last>
            <b:First>Mariano</b:First>
          </b:Person>
        </b:NameList>
      </b:Author>
    </b:Author>
    <b:RefOrder>51</b:RefOrder>
  </b:Source>
  <b:Source>
    <b:Tag>Mon11</b:Tag>
    <b:SourceType>Book</b:SourceType>
    <b:Guid>{F4970171-3866-42DA-A5F9-A38A20646D50}</b:Guid>
    <b:Title>Efectos Fijos o Aleatorios: Test de Especificación</b:Title>
    <b:Year>2011</b:Year>
    <b:City>Granada</b:City>
    <b:Publisher>Universidad de Granada, España</b:Publisher>
    <b:Author>
      <b:Author>
        <b:NameList>
          <b:Person>
            <b:Last>Montero</b:Last>
            <b:Middle>Roberto</b:Middle>
            <b:First>Granados</b:First>
          </b:Person>
        </b:NameList>
      </b:Author>
    </b:Author>
    <b:RefOrder>52</b:RefOrder>
  </b:Source>
  <b:Source>
    <b:Tag>Aba10</b:Tag>
    <b:SourceType>Book</b:SourceType>
    <b:Guid>{BFCA0341-1F66-466B-A7E1-2898F8A6D018}</b:Guid>
    <b:Title>Modelos para Datos de Panel</b:Title>
    <b:Year>2010</b:Year>
    <b:City>Alicante </b:City>
    <b:Publisher>Universidad de Alicante</b:Publisher>
    <b:Author>
      <b:Author>
        <b:NameList>
          <b:Person>
            <b:Last>Abarán Pérez</b:Last>
            <b:First>Pedro</b:First>
          </b:Person>
        </b:NameList>
      </b:Author>
    </b:Author>
    <b:RefOrder>53</b:RefOrder>
  </b:Source>
  <b:Source>
    <b:Tag>Dav03</b:Tag>
    <b:SourceType>JournalArticle</b:SourceType>
    <b:Guid>{FC30E1DA-3773-4811-B5AC-2212AD7D892F}</b:Guid>
    <b:Title>Testing for Serial Correlation in Linear Panel-Data Models</b:Title>
    <b:Year>2003</b:Year>
    <b:Author>
      <b:Author>
        <b:NameList>
          <b:Person>
            <b:Last>Drukker</b:Last>
            <b:First>David</b:First>
          </b:Person>
        </b:NameList>
      </b:Author>
    </b:Author>
    <b:JournalName>The Stata Journal</b:JournalName>
    <b:Pages>168-177</b:Pages>
    <b:RefOrder>54</b:RefOrder>
  </b:Source>
  <b:Source>
    <b:Tag>Tor</b:Tag>
    <b:SourceType>Book</b:SourceType>
    <b:Guid>{357C14C5-B54E-47DC-A6FA-57565A2D747A}</b:Guid>
    <b:Author>
      <b:Author>
        <b:NameList>
          <b:Person>
            <b:Last>Torres-Reyna</b:Last>
            <b:First>Oscar</b:First>
          </b:Person>
        </b:NameList>
      </b:Author>
    </b:Author>
    <b:Title>Panel Data Analysis</b:Title>
    <b:City>Princenton</b:City>
    <b:Publisher>Princenton University</b:Publisher>
    <b:RefOrder>55</b:RefOrder>
  </b:Source>
  <b:Source>
    <b:Tag>Mar081</b:Tag>
    <b:SourceType>Book</b:SourceType>
    <b:Guid>{F9A46EA7-8C6E-499C-B4E3-41CBF648DEF9}</b:Guid>
    <b:Title>Does Competition Reduce The Risk of Bank Failure?</b:Title>
    <b:Year>2008</b:Year>
    <b:City>Madrid</b:City>
    <b:Publisher>Centro de Estudios Monetarios y Financieros</b:Publisher>
    <b:Author>
      <b:Author>
        <b:NameList>
          <b:Person>
            <b:Last>Martínez-Miera</b:Last>
            <b:First>David</b:First>
          </b:Person>
          <b:Person>
            <b:Last>Repullo </b:Last>
            <b:First>Rafael</b:First>
          </b:Person>
        </b:NameList>
      </b:Author>
    </b:Author>
    <b:RefOrder>56</b:RefOrder>
  </b:Source>
  <b:Source>
    <b:Tag>Sos11</b:Tag>
    <b:SourceType>Book</b:SourceType>
    <b:Guid>{1138446E-E9F6-4527-84AD-78E316B8EA63}</b:Guid>
    <b:Title>Econometría de Datos en Paneles</b:Title>
    <b:Year>2011</b:Year>
    <b:City>San Andrés</b:City>
    <b:Publisher>Universidad de San Andrés</b:Publisher>
    <b:Author>
      <b:Author>
        <b:NameList>
          <b:Person>
            <b:Last>Sosa-Escudero</b:Last>
            <b:First>Walter</b:First>
          </b:Person>
        </b:NameList>
      </b:Author>
    </b:Author>
    <b:RefOrder>57</b:RefOrder>
  </b:Source>
  <b:Source>
    <b:Tag>Wil12</b:Tag>
    <b:SourceType>Book</b:SourceType>
    <b:Guid>{A004AB72-9F05-479C-ACE9-B8F2B58DB37D}</b:Guid>
    <b:Author>
      <b:Author>
        <b:NameList>
          <b:Person>
            <b:Last>Toledo</b:Last>
            <b:First>Wilfredo</b:First>
          </b:Person>
        </b:NameList>
      </b:Author>
    </b:Author>
    <b:Title>Una introducción a la Econometría con datos de Panel</b:Title>
    <b:Year>2012</b:Year>
    <b:Publisher>Universidad de Puerto Rico</b:Publisher>
    <b:RefOrder>58</b:RefOrder>
  </b:Source>
  <b:Source>
    <b:Tag>Cam</b:Tag>
    <b:SourceType>Book</b:SourceType>
    <b:Guid>{042365D8-4DD0-4AB8-A2F8-8E820B4C8AF4}</b:Guid>
    <b:Title>Microeconometrics using Stata</b:Title>
    <b:City>College Station</b:City>
    <b:Publisher>StataCorp LP</b:Publisher>
    <b:Author>
      <b:Author>
        <b:NameList>
          <b:Person>
            <b:Last>Cameron</b:Last>
            <b:First>Colin</b:First>
          </b:Person>
          <b:Person>
            <b:Last>Trivedi</b:Last>
            <b:First>Pravin</b:First>
          </b:Person>
        </b:NameList>
      </b:Author>
    </b:Author>
    <b:RefOrder>59</b:RefOrder>
  </b:Source>
  <b:Source>
    <b:Tag>Woo</b:Tag>
    <b:SourceType>Book</b:SourceType>
    <b:Guid>{83503734-0991-4D38-8C0C-44CE88564A77}</b:Guid>
    <b:Title>Econometric Analysis of Cross Section and Panel Data</b:Title>
    <b:City>Cambridge</b:City>
    <b:Publisher>MIT Press</b:Publisher>
    <b:Author>
      <b:Author>
        <b:NameList>
          <b:Person>
            <b:Last>Wooldridge </b:Last>
            <b:First>Jeffrey</b:First>
          </b:Person>
        </b:NameList>
      </b:Author>
    </b:Author>
    <b:RefOrder>60</b:RefOrder>
  </b:Source>
  <b:Source>
    <b:Tag>LaG13</b:Tag>
    <b:SourceType>InternetSite</b:SourceType>
    <b:Guid>{48069584-A885-4E1F-9DAB-A80A802D89A6}</b:Guid>
    <b:Author>
      <b:Author>
        <b:Corporate>La Gran Enciclopedia de Economía</b:Corporate>
      </b:Author>
    </b:Author>
    <b:Title>Glosario</b:Title>
    <b:YearAccessed>2013</b:YearAccessed>
    <b:MonthAccessed>Octubre</b:MonthAccessed>
    <b:DayAccessed>13</b:DayAccessed>
    <b:URL>http://www.economia48.com/spa/d/estatica-comparativa/estatica-comparativa.htm</b:URL>
    <b:RefOrder>61</b:RefOrder>
  </b:Source>
  <b:Source>
    <b:Tag>Fer06</b:Tag>
    <b:SourceType>ConferenceProceedings</b:SourceType>
    <b:Guid>{8BDDD572-CF80-45D5-BE22-4C51CF330285}</b:Guid>
    <b:Title>Gestión de la Liquidez, Crédito y Sistema Financiero en Ecuador</b:Title>
    <b:Year>2006</b:Year>
    <b:Pages>1-58</b:Pages>
    <b:Author>
      <b:Author>
        <b:NameList>
          <b:Person>
            <b:Last>Uzcátegui</b:Last>
            <b:First>Fernando</b:First>
          </b:Person>
        </b:NameList>
      </b:Author>
    </b:Author>
    <b:ConferenceName>XXII Encuentro de la Red Latinoamericana de Bancos Centrales y Ministros de Finanzas</b:ConferenceName>
    <b:City>Quito</b:City>
    <b:Publisher>Banco Central del Ecuador</b:Publisher>
    <b:RefOrder>1</b:RefOrder>
  </b:Source>
  <b:Source>
    <b:Tag>Red12</b:Tag>
    <b:SourceType>JournalArticle</b:SourceType>
    <b:Guid>{3F737EF8-BE0A-4436-AEB9-371411E1F735}</b:Guid>
    <b:Author>
      <b:Author>
        <b:Corporate>Redacción EKOS</b:Corporate>
      </b:Author>
    </b:Author>
    <b:Title>Análisis del Sistema Financiero en Ecuador</b:Title>
    <b:JournalName>EKOS</b:JournalName>
    <b:Year>2012</b:Year>
    <b:RefOrder>2</b:RefOrder>
  </b:Source>
  <b:Source>
    <b:Tag>Cám12</b:Tag>
    <b:SourceType>JournalArticle</b:SourceType>
    <b:Guid>{B3652AB6-3419-440A-8693-A9DAFDF5DDB6}</b:Guid>
    <b:Title>Banca Privada, Crédito y Crecimiento Eonómico: Restricciones al Financiamiento del Sectro Productivo</b:Title>
    <b:Pages>1-3</b:Pages>
    <b:Year>2012</b:Year>
    <b:Author>
      <b:Author>
        <b:Corporate>Cámara de Comercio de Guayaquil</b:Corporate>
      </b:Author>
    </b:Author>
    <b:JournalName>Boletín Económico</b:JournalName>
    <b:RefOrder>3</b:RefOrder>
  </b:Source>
  <b:Source>
    <b:Tag>Red11</b:Tag>
    <b:SourceType>ArticleInAPeriodical</b:SourceType>
    <b:Guid>{BC121A35-AE65-41C7-8560-D8B8318FF904}</b:Guid>
    <b:Author>
      <b:Author>
        <b:Corporate>Redacción Diario El Universo</b:Corporate>
      </b:Author>
    </b:Author>
    <b:Title>Correa Anuncia Ley para Regular Monopolios en Ecuador</b:Title>
    <b:Year>2011</b:Year>
    <b:PeriodicalTitle>Diaro El Universo</b:PeriodicalTitle>
    <b:Month>Julio</b:Month>
    <b:Day>9</b:Day>
    <b:RefOrder>4</b:RefOrder>
  </b:Source>
  <b:Source>
    <b:Tag>Com13</b:Tag>
    <b:SourceType>InternetSite</b:SourceType>
    <b:Guid>{DE6245CF-AEAB-4174-B595-74668FF7A649}</b:Guid>
    <b:Title>Comisión Nacional de la Competencia: Glosario</b:Title>
    <b:InternetSiteTitle>Glosario</b:InternetSiteTitle>
    <b:YearAccessed>2013</b:YearAccessed>
    <b:MonthAccessed>Junio</b:MonthAccessed>
    <b:DayAccessed>06</b:DayAccessed>
    <b:URL>http://www.cncompetencia.es/Inicio/FAQ/Glosario/tabid/101/Default.aspx?item=169</b:URL>
    <b:RefOrder>62</b:RefOrder>
  </b:Source>
  <b:Source>
    <b:Tag>Lau07</b:Tag>
    <b:SourceType>JournalArticle</b:SourceType>
    <b:Guid>{4CF4CB81-31E9-41A3-8209-D24BC318A97A}</b:Guid>
    <b:Title>Un Enfoque Económico Psicológico del Comportamiento de Rebaño</b:Title>
    <b:Year>2007</b:Year>
    <b:Pages>203-233</b:Pages>
    <b:Author>
      <b:Author>
        <b:NameList>
          <b:Person>
            <b:Last>Rook</b:Last>
            <b:First>Laurens</b:First>
          </b:Person>
        </b:NameList>
      </b:Author>
    </b:Author>
    <b:JournalName>Cuadernos de Economía</b:JournalName>
    <b:RefOrder>63</b:RefOrder>
  </b:Source>
  <b:Source>
    <b:Tag>Ley11</b:Tag>
    <b:SourceType>Book</b:SourceType>
    <b:Guid>{4D22D209-4239-4F3F-9B9D-A0C12652C917}</b:Guid>
    <b:Title>Ley Orgánica de Regulación y Control del Poder de Mercado</b:Title>
    <b:Year>2011</b:Year>
    <b:City>Quito</b:City>
    <b:Publisher>Corporación de Estudios y Publicaciones</b:Publisher>
    <b:RefOrder>7</b:RefOrder>
  </b:Source>
  <b:Source>
    <b:Tag>The13</b:Tag>
    <b:SourceType>InternetSite</b:SourceType>
    <b:Guid>{22EDD203-5729-417A-9CEF-D324DBD40035}</b:Guid>
    <b:Title>The Economic Times: Definitions Economy</b:Title>
    <b:Author>
      <b:Author>
        <b:Corporate>The Economic Times</b:Corporate>
      </b:Author>
    </b:Author>
    <b:YearAccessed>2013</b:YearAccessed>
    <b:MonthAccessed>Noviembre</b:MonthAccessed>
    <b:DayAccessed>17</b:DayAccessed>
    <b:URL>http://economictimes.indiatimes.com/definition/search-costs</b:URL>
    <b:RefOrder>64</b:RefOrder>
  </b:Source>
  <b:Source>
    <b:Tag>Cré99</b:Tag>
    <b:SourceType>ArticleInAPeriodical</b:SourceType>
    <b:Guid>{097AF07F-7B40-4A0A-8305-40D6A163801F}</b:Guid>
    <b:Title>Diario Hoy</b:Title>
    <b:Year>1999</b:Year>
    <b:Month>Marzo</b:Month>
    <b:Day>30</b:Day>
    <b:PeriodicalTitle>Créditos Vinculados la Ley los Permitió en un 100 por ciento</b:PeriodicalTitle>
    <b:RefOrder>65</b:RefOrder>
  </b:Source>
  <b:Source>
    <b:Tag>Cal07</b:Tag>
    <b:SourceType>Book</b:SourceType>
    <b:Guid>{43A8CDBF-7DBF-4975-9145-2985AA118A9A}</b:Guid>
    <b:Title>Enfoque del riesgo en el Sistema Bancario Ecuatoriano</b:Title>
    <b:Year>2007</b:Year>
    <b:City>Quito</b:City>
    <b:Publisher>Universidad Politécnica Salesiana del Ecuador</b:Publisher>
    <b:Author>
      <b:Author>
        <b:NameList>
          <b:Person>
            <b:Last>Calle Ramírez</b:Last>
            <b:First>Diana</b:First>
          </b:Person>
          <b:Person>
            <b:Last>Morocho Matute </b:Last>
            <b:First>Diana</b:First>
          </b:Person>
          <b:Person>
            <b:Last>Vázconoz Argudo </b:Last>
            <b:First>Dolores</b:First>
          </b:Person>
        </b:NameList>
      </b:Author>
    </b:Author>
    <b:RefOrder>20</b:RefOrder>
  </b:Source>
  <b:Source>
    <b:Tag>Vel11</b:Tag>
    <b:SourceType>Book</b:SourceType>
    <b:Guid>{AAF78CBB-7817-48DF-A275-759F2D8F1CD1}</b:Guid>
    <b:Title>Teoría de Juegos y Modelos de Oligopolio</b:Title>
    <b:Year>2011</b:Year>
    <b:City>Lambayeque, Perú</b:City>
    <b:Publisher>Universidad Nacional Pedro Ruiz Gallo</b:Publisher>
    <b:Author>
      <b:Author>
        <b:NameList>
          <b:Person>
            <b:Last>Vela Meléndez</b:Last>
            <b:First>Lindon</b:First>
          </b:Person>
        </b:NameList>
      </b:Author>
    </b:Author>
    <b:RefOrder>66</b:RefOrder>
  </b:Source>
  <b:Source>
    <b:Tag>Lóp03</b:Tag>
    <b:SourceType>JournalArticle</b:SourceType>
    <b:Guid>{FBE11231-5110-461C-827E-C1943489DDEA}</b:Guid>
    <b:Title>La Situación del Sistema Financiero</b:Title>
    <b:Year>2003</b:Year>
    <b:Pages>21-26</b:Pages>
    <b:JournalName>Análisis Coyuntura Económica 2002</b:JournalName>
    <b:Author>
      <b:Author>
        <b:NameList>
          <b:Person>
            <b:Last>López Olivares</b:Last>
            <b:First>Susana</b:First>
          </b:Person>
          <b:Person>
            <b:Last>Villamar David</b:Last>
          </b:Person>
        </b:NameList>
      </b:Author>
    </b:Author>
    <b:RefOrder>30</b:RefOrder>
  </b:Source>
  <b:Source>
    <b:Tag>Pac10</b:Tag>
    <b:SourceType>Report</b:SourceType>
    <b:Guid>{4F841669-A734-4FD8-B868-AC2EF22C00C1}</b:Guid>
    <b:Title>Informe Sectorial Ecuador: Sistema Bancario</b:Title>
    <b:Year>2010</b:Year>
    <b:City>Quito</b:City>
    <b:Publisher>Pacific Credit Rating</b:Publisher>
    <b:Author>
      <b:Author>
        <b:NameList>
          <b:Person>
            <b:Last>Delgado</b:Last>
            <b:First>Daniel</b:First>
          </b:Person>
        </b:NameList>
      </b:Author>
    </b:Author>
    <b:RefOrder>31</b:RefOrder>
  </b:Source>
  <b:Source>
    <b:Tag>Enm11</b:Tag>
    <b:SourceType>ArticleInAPeriodical</b:SourceType>
    <b:Guid>{7886DD18-80C1-403E-B083-23D650AC03C4}</b:Guid>
    <b:Title>En mayo de 2011 el sistema financiero registró niveles de liquidez por USD 810.5 millones</b:Title>
    <b:Year>2011</b:Year>
    <b:PeriodicalTitle>El Mercurio</b:PeriodicalTitle>
    <b:Month>Julio</b:Month>
    <b:Day>5</b:Day>
    <b:RefOrder>32</b:RefOrder>
  </b:Source>
</b:Sources>
</file>

<file path=customXml/itemProps1.xml><?xml version="1.0" encoding="utf-8"?>
<ds:datastoreItem xmlns:ds="http://schemas.openxmlformats.org/officeDocument/2006/customXml" ds:itemID="{8DAB9D38-F0E5-455F-BDB2-BF4A76C43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30463</Words>
  <Characters>167547</Characters>
  <Application>Microsoft Office Word</Application>
  <DocSecurity>0</DocSecurity>
  <Lines>1396</Lines>
  <Paragraphs>395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197615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dc:creator>
  <cp:lastModifiedBy>Soluciones Graficas</cp:lastModifiedBy>
  <cp:revision>2</cp:revision>
  <dcterms:created xsi:type="dcterms:W3CDTF">2013-11-20T19:41:00Z</dcterms:created>
  <dcterms:modified xsi:type="dcterms:W3CDTF">2013-11-20T19:41:00Z</dcterms:modified>
</cp:coreProperties>
</file>