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ABD706" w14:textId="59709B37" w:rsidR="008033D3" w:rsidRPr="00AC3D7C" w:rsidRDefault="008033D3" w:rsidP="008033D3">
      <w:pPr>
        <w:pStyle w:val="Sinespaciado"/>
        <w:jc w:val="center"/>
      </w:pPr>
      <w:r w:rsidRPr="00AC3D7C">
        <w:rPr>
          <w:noProof/>
          <w:lang w:val="es-EC" w:eastAsia="es-EC"/>
        </w:rPr>
        <w:drawing>
          <wp:inline distT="0" distB="0" distL="0" distR="0" wp14:anchorId="5FA080F6" wp14:editId="2B8035B6">
            <wp:extent cx="4108450" cy="908050"/>
            <wp:effectExtent l="0" t="0" r="6350" b="6350"/>
            <wp:docPr id="1" name="Imagen 1" descr="http://www.unisabana.edu.co/typo3temp/pics/4b613f6fc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unisabana.edu.co/typo3temp/pics/4b613f6fc5.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08450" cy="908050"/>
                    </a:xfrm>
                    <a:prstGeom prst="rect">
                      <a:avLst/>
                    </a:prstGeom>
                    <a:noFill/>
                    <a:ln>
                      <a:noFill/>
                    </a:ln>
                  </pic:spPr>
                </pic:pic>
              </a:graphicData>
            </a:graphic>
          </wp:inline>
        </w:drawing>
      </w:r>
    </w:p>
    <w:p w14:paraId="6164D3E6" w14:textId="77777777" w:rsidR="008033D3" w:rsidRDefault="008033D3" w:rsidP="008033D3">
      <w:pPr>
        <w:spacing w:line="360" w:lineRule="auto"/>
        <w:jc w:val="center"/>
        <w:rPr>
          <w:rFonts w:cs="Times New Roman"/>
        </w:rPr>
      </w:pPr>
    </w:p>
    <w:p w14:paraId="74220CC5" w14:textId="77777777" w:rsidR="008033D3" w:rsidRPr="002E0B95" w:rsidRDefault="008033D3" w:rsidP="008033D3">
      <w:pPr>
        <w:spacing w:line="360" w:lineRule="auto"/>
        <w:jc w:val="center"/>
        <w:rPr>
          <w:rFonts w:cs="Times New Roman"/>
          <w:szCs w:val="24"/>
        </w:rPr>
      </w:pPr>
      <w:r w:rsidRPr="002E0B95">
        <w:rPr>
          <w:rFonts w:cs="Times New Roman"/>
          <w:szCs w:val="24"/>
        </w:rPr>
        <w:t xml:space="preserve">Facultad de Ciencias Empresariales y Economía </w:t>
      </w:r>
    </w:p>
    <w:p w14:paraId="5950E92F" w14:textId="77777777" w:rsidR="008033D3" w:rsidRPr="002E0B95" w:rsidRDefault="008033D3" w:rsidP="008033D3">
      <w:pPr>
        <w:spacing w:line="360" w:lineRule="auto"/>
        <w:jc w:val="center"/>
        <w:rPr>
          <w:rFonts w:cs="Times New Roman"/>
          <w:szCs w:val="24"/>
        </w:rPr>
      </w:pPr>
      <w:r w:rsidRPr="002E0B95">
        <w:rPr>
          <w:rFonts w:cs="Times New Roman"/>
          <w:szCs w:val="24"/>
        </w:rPr>
        <w:t xml:space="preserve">Ciencias Empresariales </w:t>
      </w:r>
    </w:p>
    <w:p w14:paraId="100EA797" w14:textId="77777777" w:rsidR="008033D3" w:rsidRPr="002E0B95" w:rsidRDefault="008033D3" w:rsidP="008033D3">
      <w:pPr>
        <w:spacing w:line="360" w:lineRule="auto"/>
        <w:jc w:val="center"/>
        <w:rPr>
          <w:rFonts w:cs="Times New Roman"/>
          <w:szCs w:val="24"/>
        </w:rPr>
      </w:pPr>
    </w:p>
    <w:p w14:paraId="1D3FF478" w14:textId="77777777" w:rsidR="008033D3" w:rsidRDefault="008033D3" w:rsidP="008033D3">
      <w:pPr>
        <w:spacing w:line="360" w:lineRule="auto"/>
        <w:rPr>
          <w:rFonts w:cs="Times New Roman"/>
          <w:szCs w:val="24"/>
        </w:rPr>
      </w:pPr>
    </w:p>
    <w:p w14:paraId="3992644E" w14:textId="77777777" w:rsidR="008033D3" w:rsidRPr="002E0B95" w:rsidRDefault="008033D3" w:rsidP="008033D3">
      <w:pPr>
        <w:spacing w:line="360" w:lineRule="auto"/>
        <w:rPr>
          <w:rFonts w:cs="Times New Roman"/>
          <w:szCs w:val="24"/>
        </w:rPr>
      </w:pPr>
    </w:p>
    <w:p w14:paraId="401ECD77" w14:textId="77777777" w:rsidR="008033D3" w:rsidRPr="002E0B95" w:rsidRDefault="008033D3" w:rsidP="008033D3">
      <w:pPr>
        <w:spacing w:line="360" w:lineRule="auto"/>
        <w:jc w:val="center"/>
        <w:rPr>
          <w:rFonts w:cs="Times New Roman"/>
          <w:szCs w:val="24"/>
        </w:rPr>
      </w:pPr>
      <w:r w:rsidRPr="002E0B95">
        <w:rPr>
          <w:rFonts w:cs="Times New Roman"/>
          <w:szCs w:val="24"/>
        </w:rPr>
        <w:t xml:space="preserve">Incentivos para la industria de ensamblaje de equipos celulares como estímulo a la sustitución de importaciones </w:t>
      </w:r>
    </w:p>
    <w:p w14:paraId="78BD32DB" w14:textId="77777777" w:rsidR="008033D3" w:rsidRPr="002E0B95" w:rsidRDefault="008033D3" w:rsidP="008033D3">
      <w:pPr>
        <w:spacing w:line="360" w:lineRule="auto"/>
        <w:jc w:val="center"/>
        <w:rPr>
          <w:rFonts w:cs="Times New Roman"/>
          <w:szCs w:val="24"/>
        </w:rPr>
      </w:pPr>
      <w:r>
        <w:rPr>
          <w:rFonts w:cs="Times New Roman"/>
          <w:szCs w:val="24"/>
        </w:rPr>
        <w:t>Informe</w:t>
      </w:r>
      <w:r w:rsidRPr="002E0B95">
        <w:rPr>
          <w:rFonts w:cs="Times New Roman"/>
          <w:szCs w:val="24"/>
        </w:rPr>
        <w:t xml:space="preserve"> de Investigación</w:t>
      </w:r>
    </w:p>
    <w:p w14:paraId="0D54F997" w14:textId="77777777" w:rsidR="008033D3" w:rsidRPr="002E0B95" w:rsidRDefault="008033D3" w:rsidP="008033D3">
      <w:pPr>
        <w:spacing w:line="360" w:lineRule="auto"/>
        <w:rPr>
          <w:rFonts w:cs="Times New Roman"/>
          <w:szCs w:val="24"/>
        </w:rPr>
      </w:pPr>
    </w:p>
    <w:p w14:paraId="0FF7DD6A" w14:textId="77777777" w:rsidR="008033D3" w:rsidRPr="002E0B95" w:rsidRDefault="008033D3" w:rsidP="008033D3">
      <w:pPr>
        <w:spacing w:line="360" w:lineRule="auto"/>
        <w:jc w:val="center"/>
        <w:rPr>
          <w:rFonts w:cs="Times New Roman"/>
          <w:szCs w:val="24"/>
        </w:rPr>
      </w:pPr>
      <w:r w:rsidRPr="002E0B95">
        <w:rPr>
          <w:rFonts w:cs="Times New Roman"/>
          <w:szCs w:val="24"/>
        </w:rPr>
        <w:t>Trabajo de titulación presentado en conformidad con los requisitos establecidos para la obtención del título de Ingeniero Comercial con énfasis en Negocios Internacionales</w:t>
      </w:r>
    </w:p>
    <w:p w14:paraId="32F5F0E4" w14:textId="77777777" w:rsidR="008033D3" w:rsidRPr="002E0B95" w:rsidRDefault="008033D3" w:rsidP="008033D3">
      <w:pPr>
        <w:spacing w:line="360" w:lineRule="auto"/>
        <w:rPr>
          <w:rFonts w:cs="Times New Roman"/>
          <w:szCs w:val="24"/>
        </w:rPr>
      </w:pPr>
    </w:p>
    <w:p w14:paraId="20273C50" w14:textId="77777777" w:rsidR="008033D3" w:rsidRPr="002E0B95" w:rsidRDefault="008033D3" w:rsidP="008033D3">
      <w:pPr>
        <w:spacing w:line="360" w:lineRule="auto"/>
        <w:jc w:val="center"/>
        <w:rPr>
          <w:rFonts w:cs="Times New Roman"/>
          <w:szCs w:val="24"/>
        </w:rPr>
      </w:pPr>
      <w:r>
        <w:rPr>
          <w:rFonts w:cs="Times New Roman"/>
          <w:szCs w:val="24"/>
        </w:rPr>
        <w:t xml:space="preserve">Autor: </w:t>
      </w:r>
      <w:r w:rsidRPr="002E0B95">
        <w:rPr>
          <w:rFonts w:cs="Times New Roman"/>
          <w:szCs w:val="24"/>
        </w:rPr>
        <w:t xml:space="preserve">Héctor David </w:t>
      </w:r>
      <w:proofErr w:type="spellStart"/>
      <w:r w:rsidRPr="002E0B95">
        <w:rPr>
          <w:rFonts w:cs="Times New Roman"/>
          <w:szCs w:val="24"/>
        </w:rPr>
        <w:t>Ruilova</w:t>
      </w:r>
      <w:proofErr w:type="spellEnd"/>
      <w:r w:rsidRPr="002E0B95">
        <w:rPr>
          <w:rFonts w:cs="Times New Roman"/>
          <w:szCs w:val="24"/>
        </w:rPr>
        <w:t xml:space="preserve"> Vidal </w:t>
      </w:r>
    </w:p>
    <w:p w14:paraId="1C41889B" w14:textId="77777777" w:rsidR="008033D3" w:rsidRPr="002E0B95" w:rsidRDefault="008033D3" w:rsidP="008033D3">
      <w:pPr>
        <w:spacing w:line="360" w:lineRule="auto"/>
        <w:jc w:val="center"/>
        <w:rPr>
          <w:rFonts w:cs="Times New Roman"/>
          <w:szCs w:val="24"/>
        </w:rPr>
      </w:pPr>
    </w:p>
    <w:p w14:paraId="192256FC" w14:textId="77777777" w:rsidR="008033D3" w:rsidRPr="002E0B95" w:rsidRDefault="008033D3" w:rsidP="008033D3">
      <w:pPr>
        <w:spacing w:line="360" w:lineRule="auto"/>
        <w:jc w:val="center"/>
        <w:rPr>
          <w:rFonts w:cs="Times New Roman"/>
          <w:szCs w:val="24"/>
        </w:rPr>
      </w:pPr>
      <w:r>
        <w:rPr>
          <w:rFonts w:cs="Times New Roman"/>
          <w:szCs w:val="24"/>
        </w:rPr>
        <w:t xml:space="preserve">Profesor guía: </w:t>
      </w:r>
      <w:r w:rsidRPr="002E0B95">
        <w:rPr>
          <w:rFonts w:cs="Times New Roman"/>
          <w:szCs w:val="24"/>
        </w:rPr>
        <w:t xml:space="preserve">María Belén Castillo </w:t>
      </w:r>
      <w:r>
        <w:rPr>
          <w:rFonts w:cs="Times New Roman"/>
          <w:szCs w:val="24"/>
        </w:rPr>
        <w:t>Quintana</w:t>
      </w:r>
    </w:p>
    <w:p w14:paraId="556FCF9F" w14:textId="77777777" w:rsidR="008033D3" w:rsidRPr="002E0B95" w:rsidRDefault="008033D3" w:rsidP="008033D3">
      <w:pPr>
        <w:spacing w:line="360" w:lineRule="auto"/>
        <w:jc w:val="center"/>
        <w:rPr>
          <w:rFonts w:cs="Times New Roman"/>
          <w:szCs w:val="24"/>
        </w:rPr>
      </w:pPr>
    </w:p>
    <w:p w14:paraId="3D7CEAF1" w14:textId="77777777" w:rsidR="008033D3" w:rsidRDefault="008033D3" w:rsidP="008033D3">
      <w:pPr>
        <w:spacing w:line="360" w:lineRule="auto"/>
        <w:jc w:val="center"/>
        <w:rPr>
          <w:rFonts w:cs="Times New Roman"/>
          <w:szCs w:val="24"/>
        </w:rPr>
      </w:pPr>
      <w:r>
        <w:rPr>
          <w:rFonts w:cs="Times New Roman"/>
          <w:szCs w:val="24"/>
        </w:rPr>
        <w:t>Febrero, 2016</w:t>
      </w:r>
    </w:p>
    <w:p w14:paraId="7C4DF3C4" w14:textId="77777777" w:rsidR="008033D3" w:rsidRDefault="008033D3" w:rsidP="008033D3">
      <w:pPr>
        <w:rPr>
          <w:rFonts w:cs="Times New Roman"/>
          <w:szCs w:val="24"/>
        </w:rPr>
      </w:pPr>
    </w:p>
    <w:p w14:paraId="558DACB3" w14:textId="77777777" w:rsidR="008033D3" w:rsidRDefault="008033D3" w:rsidP="008033D3">
      <w:pPr>
        <w:tabs>
          <w:tab w:val="left" w:pos="3260"/>
        </w:tabs>
        <w:jc w:val="left"/>
        <w:rPr>
          <w:rFonts w:cs="Times New Roman"/>
          <w:szCs w:val="24"/>
        </w:rPr>
        <w:sectPr w:rsidR="008033D3" w:rsidSect="008033D3">
          <w:footerReference w:type="even" r:id="rId10"/>
          <w:footerReference w:type="default" r:id="rId11"/>
          <w:footerReference w:type="first" r:id="rId12"/>
          <w:pgSz w:w="12242" w:h="15842" w:code="1"/>
          <w:pgMar w:top="1418" w:right="1418" w:bottom="1418" w:left="1701" w:header="709" w:footer="709" w:gutter="0"/>
          <w:cols w:space="708"/>
          <w:titlePg/>
          <w:docGrid w:linePitch="360"/>
        </w:sectPr>
      </w:pPr>
    </w:p>
    <w:p w14:paraId="2FEBBF62" w14:textId="77777777" w:rsidR="002444D6" w:rsidRDefault="002444D6" w:rsidP="008033D3">
      <w:pPr>
        <w:pStyle w:val="Titulo1"/>
      </w:pPr>
      <w:bookmarkStart w:id="0" w:name="_Toc442343894"/>
    </w:p>
    <w:p w14:paraId="0219DD62" w14:textId="77777777" w:rsidR="002444D6" w:rsidRDefault="002444D6" w:rsidP="008033D3">
      <w:pPr>
        <w:pStyle w:val="Titulo1"/>
      </w:pPr>
    </w:p>
    <w:p w14:paraId="67FFFCE0" w14:textId="77777777" w:rsidR="008033D3" w:rsidRDefault="008033D3" w:rsidP="008033D3">
      <w:pPr>
        <w:pStyle w:val="Titulo1"/>
      </w:pPr>
      <w:r>
        <w:t>DECLARACIÓN DE ACEPTACIÓN DE  NORMA ÉTICA Y DERECHOS</w:t>
      </w:r>
      <w:bookmarkEnd w:id="0"/>
    </w:p>
    <w:p w14:paraId="62950EAA" w14:textId="77777777" w:rsidR="008033D3" w:rsidRDefault="008033D3" w:rsidP="008033D3">
      <w:pPr>
        <w:autoSpaceDE w:val="0"/>
        <w:autoSpaceDN w:val="0"/>
        <w:adjustRightInd w:val="0"/>
        <w:spacing w:line="360" w:lineRule="auto"/>
        <w:rPr>
          <w:rFonts w:cs="Times New Roman"/>
          <w:iCs/>
          <w:szCs w:val="24"/>
          <w:lang w:val="es-EC"/>
        </w:rPr>
      </w:pPr>
      <w:r w:rsidRPr="002E0B95">
        <w:rPr>
          <w:rFonts w:cs="Times New Roman"/>
          <w:iCs/>
          <w:szCs w:val="24"/>
          <w:lang w:val="es-EC"/>
        </w:rPr>
        <w:t>El presente documento se ciñe a las normas éticas y reglamentarias de la Universidad</w:t>
      </w:r>
      <w:r>
        <w:rPr>
          <w:rFonts w:cs="Times New Roman"/>
          <w:iCs/>
          <w:szCs w:val="24"/>
          <w:lang w:val="es-EC"/>
        </w:rPr>
        <w:t xml:space="preserve"> </w:t>
      </w:r>
      <w:r w:rsidRPr="002E0B95">
        <w:rPr>
          <w:rFonts w:cs="Times New Roman"/>
          <w:iCs/>
          <w:szCs w:val="24"/>
          <w:lang w:val="es-EC"/>
        </w:rPr>
        <w:t xml:space="preserve">de Los Hemisferios. Así, declaro que lo contenido en éste ha sido </w:t>
      </w:r>
      <w:r>
        <w:rPr>
          <w:rFonts w:cs="Times New Roman"/>
          <w:iCs/>
          <w:szCs w:val="24"/>
          <w:lang w:val="es-EC"/>
        </w:rPr>
        <w:t xml:space="preserve">redactado con entera </w:t>
      </w:r>
      <w:r w:rsidRPr="002E0B95">
        <w:rPr>
          <w:rFonts w:cs="Times New Roman"/>
          <w:iCs/>
          <w:szCs w:val="24"/>
          <w:lang w:val="es-EC"/>
        </w:rPr>
        <w:t>sujeción al respeto de los derechos de autor, citando</w:t>
      </w:r>
      <w:r>
        <w:rPr>
          <w:rFonts w:cs="Times New Roman"/>
          <w:iCs/>
          <w:szCs w:val="24"/>
          <w:lang w:val="es-EC"/>
        </w:rPr>
        <w:t xml:space="preserve"> adecuadamente las fuentes. Por </w:t>
      </w:r>
      <w:r w:rsidRPr="002E0B95">
        <w:rPr>
          <w:rFonts w:cs="Times New Roman"/>
          <w:iCs/>
          <w:szCs w:val="24"/>
          <w:lang w:val="es-EC"/>
        </w:rPr>
        <w:t>tal motivo, autorizo a la Biblioteca a que haga pública su</w:t>
      </w:r>
      <w:r>
        <w:rPr>
          <w:rFonts w:cs="Times New Roman"/>
          <w:iCs/>
          <w:szCs w:val="24"/>
          <w:lang w:val="es-EC"/>
        </w:rPr>
        <w:t xml:space="preserve"> disponibilidad para lectura, a </w:t>
      </w:r>
      <w:r w:rsidRPr="002E0B95">
        <w:rPr>
          <w:rFonts w:cs="Times New Roman"/>
          <w:iCs/>
          <w:szCs w:val="24"/>
          <w:lang w:val="es-EC"/>
        </w:rPr>
        <w:t xml:space="preserve">la vez que cedo los derechos de publicación a la </w:t>
      </w:r>
      <w:r>
        <w:rPr>
          <w:rFonts w:cs="Times New Roman"/>
          <w:iCs/>
          <w:szCs w:val="24"/>
          <w:lang w:val="es-EC"/>
        </w:rPr>
        <w:t>Universidad de Los Hemisferios.</w:t>
      </w:r>
    </w:p>
    <w:p w14:paraId="0B60822D" w14:textId="77777777" w:rsidR="008033D3" w:rsidRPr="002E0B95" w:rsidRDefault="008033D3" w:rsidP="008033D3">
      <w:pPr>
        <w:autoSpaceDE w:val="0"/>
        <w:autoSpaceDN w:val="0"/>
        <w:adjustRightInd w:val="0"/>
        <w:spacing w:line="360" w:lineRule="auto"/>
        <w:rPr>
          <w:rFonts w:cs="Times New Roman"/>
          <w:iCs/>
          <w:szCs w:val="24"/>
          <w:lang w:val="es-EC"/>
        </w:rPr>
      </w:pPr>
      <w:r w:rsidRPr="002E0B95">
        <w:rPr>
          <w:rFonts w:cs="Times New Roman"/>
          <w:iCs/>
          <w:szCs w:val="24"/>
          <w:lang w:val="es-EC"/>
        </w:rPr>
        <w:t>De comprobarse que no cumplí con las estipulaciones</w:t>
      </w:r>
      <w:r>
        <w:rPr>
          <w:rFonts w:cs="Times New Roman"/>
          <w:iCs/>
          <w:szCs w:val="24"/>
          <w:lang w:val="es-EC"/>
        </w:rPr>
        <w:t xml:space="preserve"> éticas, incurriendo en caso de </w:t>
      </w:r>
      <w:r w:rsidRPr="002E0B95">
        <w:rPr>
          <w:rFonts w:cs="Times New Roman"/>
          <w:iCs/>
          <w:szCs w:val="24"/>
          <w:lang w:val="es-EC"/>
        </w:rPr>
        <w:t>plagio, me someto a las determinaciones que la propia</w:t>
      </w:r>
      <w:r>
        <w:rPr>
          <w:rFonts w:cs="Times New Roman"/>
          <w:iCs/>
          <w:szCs w:val="24"/>
          <w:lang w:val="es-EC"/>
        </w:rPr>
        <w:t xml:space="preserve"> Universidad plantee. Asimismo, </w:t>
      </w:r>
      <w:r w:rsidRPr="002E0B95">
        <w:rPr>
          <w:rFonts w:cs="Times New Roman"/>
          <w:iCs/>
          <w:szCs w:val="24"/>
          <w:lang w:val="es-EC"/>
        </w:rPr>
        <w:t>no podré disponer del contenido de la presente inve</w:t>
      </w:r>
      <w:r>
        <w:rPr>
          <w:rFonts w:cs="Times New Roman"/>
          <w:iCs/>
          <w:szCs w:val="24"/>
          <w:lang w:val="es-EC"/>
        </w:rPr>
        <w:t xml:space="preserve">stigación a menos que eleve por </w:t>
      </w:r>
      <w:r w:rsidRPr="002E0B95">
        <w:rPr>
          <w:rFonts w:cs="Times New Roman"/>
          <w:iCs/>
          <w:szCs w:val="24"/>
          <w:lang w:val="es-EC"/>
        </w:rPr>
        <w:t>escrito el requerimiento para su evaluación</w:t>
      </w:r>
      <w:r>
        <w:rPr>
          <w:rFonts w:cs="Times New Roman"/>
          <w:iCs/>
          <w:szCs w:val="24"/>
          <w:lang w:val="es-EC"/>
        </w:rPr>
        <w:t xml:space="preserve"> a la Comisión Permanente de la </w:t>
      </w:r>
      <w:r w:rsidRPr="002E0B95">
        <w:rPr>
          <w:rFonts w:cs="Times New Roman"/>
          <w:iCs/>
          <w:szCs w:val="24"/>
          <w:lang w:val="es-EC"/>
        </w:rPr>
        <w:t>Universidad de Los Hemisferios.</w:t>
      </w:r>
    </w:p>
    <w:p w14:paraId="106EB9D7" w14:textId="77777777" w:rsidR="008033D3" w:rsidRDefault="008033D3" w:rsidP="008033D3">
      <w:pPr>
        <w:pStyle w:val="Estilo3"/>
        <w:spacing w:after="200" w:line="360" w:lineRule="auto"/>
        <w:rPr>
          <w:rFonts w:cs="Times New Roman"/>
          <w:iCs w:val="0"/>
          <w:szCs w:val="24"/>
          <w:lang w:val="es-EC"/>
        </w:rPr>
      </w:pPr>
    </w:p>
    <w:p w14:paraId="02DC1725" w14:textId="77777777" w:rsidR="008033D3" w:rsidRDefault="008033D3" w:rsidP="008033D3">
      <w:pPr>
        <w:pStyle w:val="Estilo3"/>
        <w:spacing w:after="200" w:line="360" w:lineRule="auto"/>
        <w:rPr>
          <w:rFonts w:cs="Times New Roman"/>
          <w:iCs w:val="0"/>
          <w:szCs w:val="24"/>
          <w:lang w:val="es-EC"/>
        </w:rPr>
      </w:pPr>
    </w:p>
    <w:p w14:paraId="50709618" w14:textId="77777777" w:rsidR="008033D3" w:rsidRDefault="008033D3" w:rsidP="008033D3">
      <w:pPr>
        <w:rPr>
          <w:lang w:val="es-EC"/>
        </w:rPr>
      </w:pPr>
    </w:p>
    <w:p w14:paraId="0A3B04A5" w14:textId="77777777" w:rsidR="008033D3" w:rsidRDefault="008033D3" w:rsidP="008033D3">
      <w:pPr>
        <w:rPr>
          <w:lang w:val="es-EC"/>
        </w:rPr>
      </w:pPr>
      <w:r>
        <w:rPr>
          <w:lang w:val="es-EC"/>
        </w:rPr>
        <w:t>Firma del estudiante</w:t>
      </w:r>
    </w:p>
    <w:p w14:paraId="152DE3F8" w14:textId="77777777" w:rsidR="008033D3" w:rsidRDefault="008033D3" w:rsidP="008033D3">
      <w:pPr>
        <w:rPr>
          <w:lang w:val="es-EC"/>
        </w:rPr>
      </w:pPr>
      <w:r>
        <w:rPr>
          <w:lang w:val="es-EC"/>
        </w:rPr>
        <w:t xml:space="preserve">Héctor David </w:t>
      </w:r>
      <w:proofErr w:type="spellStart"/>
      <w:r>
        <w:rPr>
          <w:lang w:val="es-EC"/>
        </w:rPr>
        <w:t>Ruilova</w:t>
      </w:r>
      <w:proofErr w:type="spellEnd"/>
      <w:r>
        <w:rPr>
          <w:lang w:val="es-EC"/>
        </w:rPr>
        <w:t xml:space="preserve"> Vidal</w:t>
      </w:r>
    </w:p>
    <w:p w14:paraId="1C8F5326" w14:textId="77777777" w:rsidR="008033D3" w:rsidRDefault="008033D3" w:rsidP="008033D3">
      <w:pPr>
        <w:rPr>
          <w:lang w:val="es-EC"/>
        </w:rPr>
      </w:pPr>
      <w:r>
        <w:rPr>
          <w:lang w:val="es-EC"/>
        </w:rPr>
        <w:t>CI No: 171224172-6</w:t>
      </w:r>
    </w:p>
    <w:p w14:paraId="4175992B" w14:textId="77777777" w:rsidR="008033D3" w:rsidRDefault="008033D3" w:rsidP="008033D3">
      <w:pPr>
        <w:rPr>
          <w:lang w:val="es-EC"/>
        </w:rPr>
      </w:pPr>
    </w:p>
    <w:p w14:paraId="5781E195" w14:textId="77777777" w:rsidR="008033D3" w:rsidRDefault="008033D3" w:rsidP="008033D3">
      <w:pPr>
        <w:rPr>
          <w:lang w:val="es-EC"/>
        </w:rPr>
      </w:pPr>
    </w:p>
    <w:p w14:paraId="2CB7FE9A" w14:textId="77777777" w:rsidR="008033D3" w:rsidRDefault="008033D3" w:rsidP="008033D3">
      <w:pPr>
        <w:rPr>
          <w:lang w:val="es-EC"/>
        </w:rPr>
      </w:pPr>
    </w:p>
    <w:p w14:paraId="29AF1BE2" w14:textId="77777777" w:rsidR="008033D3" w:rsidRDefault="008033D3" w:rsidP="008033D3">
      <w:pPr>
        <w:rPr>
          <w:lang w:val="es-EC"/>
        </w:rPr>
      </w:pPr>
    </w:p>
    <w:p w14:paraId="3DCD80F2" w14:textId="77777777" w:rsidR="008033D3" w:rsidRDefault="008033D3" w:rsidP="008033D3">
      <w:pPr>
        <w:rPr>
          <w:lang w:val="es-EC"/>
        </w:rPr>
      </w:pPr>
      <w:bookmarkStart w:id="1" w:name="_GoBack"/>
      <w:bookmarkEnd w:id="1"/>
    </w:p>
    <w:p w14:paraId="05A155D9" w14:textId="77777777" w:rsidR="008033D3" w:rsidRDefault="008033D3" w:rsidP="008033D3">
      <w:pPr>
        <w:rPr>
          <w:lang w:val="es-EC"/>
        </w:rPr>
      </w:pPr>
    </w:p>
    <w:p w14:paraId="19671617" w14:textId="77777777" w:rsidR="008033D3" w:rsidRDefault="008033D3" w:rsidP="008033D3">
      <w:pPr>
        <w:rPr>
          <w:lang w:val="es-EC"/>
        </w:rPr>
      </w:pPr>
    </w:p>
    <w:p w14:paraId="22C722EF" w14:textId="77777777" w:rsidR="008033D3" w:rsidRPr="0093614A" w:rsidRDefault="008033D3" w:rsidP="008033D3">
      <w:pPr>
        <w:rPr>
          <w:lang w:val="es-EC"/>
        </w:rPr>
      </w:pPr>
    </w:p>
    <w:p w14:paraId="4C93F59A" w14:textId="77777777" w:rsidR="008033D3" w:rsidRDefault="008033D3" w:rsidP="008033D3">
      <w:pPr>
        <w:pStyle w:val="Titulo1"/>
      </w:pPr>
      <w:bookmarkStart w:id="2" w:name="_Toc442343895"/>
      <w:r>
        <w:t>RESUMEN</w:t>
      </w:r>
      <w:bookmarkEnd w:id="2"/>
    </w:p>
    <w:p w14:paraId="6341F96C" w14:textId="77777777" w:rsidR="008033D3" w:rsidRDefault="008033D3" w:rsidP="008033D3">
      <w:pPr>
        <w:spacing w:line="360" w:lineRule="auto"/>
        <w:rPr>
          <w:rFonts w:cs="Times New Roman"/>
          <w:szCs w:val="24"/>
        </w:rPr>
      </w:pPr>
      <w:r>
        <w:t xml:space="preserve">La industria de ensamblaje de celulares en el Ecuador empieza a finales del 2011 luego de que en Junio del mismo año se restringió  cuantitativamente la importación de celulares terminados. </w:t>
      </w:r>
      <w:r w:rsidRPr="00B7133B">
        <w:t>La presión sobre el sector manufacturero</w:t>
      </w:r>
      <w:r>
        <w:t xml:space="preserve"> se debe a </w:t>
      </w:r>
      <w:r w:rsidRPr="00B7133B">
        <w:t xml:space="preserve"> la propuesta del gobierno actual de cambiar el modelo de la matriz productiva nacional, es decir, pasar de un país exportador de materias primas a ser un país exportador de productos terminados con valor agregado</w:t>
      </w:r>
      <w:r>
        <w:t>.</w:t>
      </w:r>
      <w:r w:rsidRPr="00B7133B">
        <w:rPr>
          <w:rFonts w:cs="Times New Roman"/>
          <w:szCs w:val="24"/>
        </w:rPr>
        <w:t xml:space="preserve"> </w:t>
      </w:r>
      <w:r>
        <w:rPr>
          <w:rFonts w:cs="Times New Roman"/>
          <w:szCs w:val="24"/>
        </w:rPr>
        <w:t>Dados los cambios en</w:t>
      </w:r>
      <w:r w:rsidRPr="003264E2">
        <w:rPr>
          <w:rFonts w:cs="Times New Roman"/>
          <w:szCs w:val="24"/>
        </w:rPr>
        <w:t xml:space="preserve"> la legislación</w:t>
      </w:r>
      <w:r>
        <w:rPr>
          <w:rFonts w:cs="Times New Roman"/>
          <w:szCs w:val="24"/>
        </w:rPr>
        <w:t xml:space="preserve"> ecuatoriana a favor del cambio de la matriz productiva se buscó incentivar</w:t>
      </w:r>
      <w:r w:rsidRPr="003264E2">
        <w:rPr>
          <w:rFonts w:cs="Times New Roman"/>
          <w:szCs w:val="24"/>
        </w:rPr>
        <w:t xml:space="preserve"> la inclusión</w:t>
      </w:r>
      <w:r>
        <w:rPr>
          <w:rFonts w:cs="Times New Roman"/>
          <w:szCs w:val="24"/>
        </w:rPr>
        <w:t xml:space="preserve"> e inversión</w:t>
      </w:r>
      <w:r w:rsidRPr="003264E2">
        <w:rPr>
          <w:rFonts w:cs="Times New Roman"/>
          <w:szCs w:val="24"/>
        </w:rPr>
        <w:t xml:space="preserve"> de las empresas ensambladoras</w:t>
      </w:r>
      <w:r>
        <w:rPr>
          <w:rFonts w:cs="Times New Roman"/>
          <w:szCs w:val="24"/>
        </w:rPr>
        <w:t xml:space="preserve">. </w:t>
      </w:r>
    </w:p>
    <w:p w14:paraId="750A9453" w14:textId="77777777" w:rsidR="008033D3" w:rsidRDefault="008033D3" w:rsidP="008033D3">
      <w:pPr>
        <w:spacing w:line="360" w:lineRule="auto"/>
        <w:rPr>
          <w:rFonts w:cs="Times New Roman"/>
          <w:szCs w:val="24"/>
        </w:rPr>
      </w:pPr>
      <w:r w:rsidRPr="00AC3D7C">
        <w:rPr>
          <w:rFonts w:cs="Times New Roman"/>
          <w:szCs w:val="24"/>
        </w:rPr>
        <w:t xml:space="preserve">El proyecto será de observación documental ya que </w:t>
      </w:r>
      <w:r>
        <w:rPr>
          <w:rFonts w:cs="Times New Roman"/>
          <w:szCs w:val="24"/>
        </w:rPr>
        <w:t xml:space="preserve">analiza e </w:t>
      </w:r>
      <w:proofErr w:type="spellStart"/>
      <w:r>
        <w:rPr>
          <w:rFonts w:cs="Times New Roman"/>
          <w:szCs w:val="24"/>
        </w:rPr>
        <w:t>interpreta</w:t>
      </w:r>
      <w:r w:rsidRPr="00AC3D7C">
        <w:rPr>
          <w:rFonts w:cs="Times New Roman"/>
          <w:szCs w:val="24"/>
        </w:rPr>
        <w:t>datos</w:t>
      </w:r>
      <w:proofErr w:type="spellEnd"/>
      <w:r w:rsidRPr="00AC3D7C">
        <w:rPr>
          <w:rFonts w:cs="Times New Roman"/>
          <w:szCs w:val="24"/>
        </w:rPr>
        <w:t xml:space="preserve"> tomados de normativas legales oficiales con el objetivo de plantear las razones por la cuales se tomaron estas medidas y concluir si efectivamente llegaron a sus objetivos</w:t>
      </w:r>
      <w:r>
        <w:rPr>
          <w:rFonts w:cs="Times New Roman"/>
          <w:szCs w:val="24"/>
        </w:rPr>
        <w:t xml:space="preserve">. </w:t>
      </w:r>
      <w:r w:rsidRPr="00AC3D7C">
        <w:rPr>
          <w:rFonts w:cs="Times New Roman"/>
          <w:szCs w:val="24"/>
        </w:rPr>
        <w:t>Adicionalmente, el proyecto en su tip</w:t>
      </w:r>
      <w:r>
        <w:rPr>
          <w:rFonts w:cs="Times New Roman"/>
          <w:szCs w:val="24"/>
        </w:rPr>
        <w:t>ología es un estudio descriptivo, l</w:t>
      </w:r>
      <w:r w:rsidRPr="00AC3D7C">
        <w:rPr>
          <w:rFonts w:cs="Times New Roman"/>
          <w:szCs w:val="24"/>
        </w:rPr>
        <w:t>a hermenéutica aplicada en el proyecto a las normativas arancelarias</w:t>
      </w:r>
      <w:r>
        <w:rPr>
          <w:rFonts w:cs="Times New Roman"/>
          <w:szCs w:val="24"/>
        </w:rPr>
        <w:t>, que son la fuente principal de ésta investigación,</w:t>
      </w:r>
      <w:r w:rsidRPr="00AC3D7C">
        <w:rPr>
          <w:rFonts w:cs="Times New Roman"/>
          <w:szCs w:val="24"/>
        </w:rPr>
        <w:t xml:space="preserve"> da a entender un mapa de la complejidad de las decisiones tomadas en cuanto a importaciones y sus objetivos</w:t>
      </w:r>
      <w:r>
        <w:rPr>
          <w:rFonts w:cs="Times New Roman"/>
          <w:szCs w:val="24"/>
        </w:rPr>
        <w:t xml:space="preserve"> adaptado</w:t>
      </w:r>
      <w:r w:rsidRPr="00AC3D7C">
        <w:rPr>
          <w:rFonts w:cs="Times New Roman"/>
          <w:szCs w:val="24"/>
        </w:rPr>
        <w:t>s a la realidad del país</w:t>
      </w:r>
      <w:r>
        <w:rPr>
          <w:rFonts w:cs="Times New Roman"/>
          <w:szCs w:val="24"/>
        </w:rPr>
        <w:t>.</w:t>
      </w:r>
    </w:p>
    <w:p w14:paraId="31E92A2A" w14:textId="77777777" w:rsidR="008033D3" w:rsidRDefault="008033D3" w:rsidP="008033D3">
      <w:pPr>
        <w:spacing w:line="360" w:lineRule="auto"/>
        <w:rPr>
          <w:rFonts w:cs="Times New Roman"/>
          <w:szCs w:val="24"/>
        </w:rPr>
      </w:pPr>
      <w:r>
        <w:rPr>
          <w:rFonts w:cs="Times New Roman"/>
          <w:szCs w:val="24"/>
        </w:rPr>
        <w:t>Por último, este proyecto busca concluir los beneficios que podría traer la independencia tecnológica propuesta por el gobierno y que los incentivos aplicados a la industria beneficien a la producción local con producto ecuatoriano aplicado. Así mismo, se analizará a la industria en este periodo y los beneficios de tener una industria tecnológica desarrollada en el país.</w:t>
      </w:r>
    </w:p>
    <w:p w14:paraId="59036A64" w14:textId="234064C4" w:rsidR="008033D3" w:rsidRPr="00210A69" w:rsidRDefault="008033D3" w:rsidP="008033D3">
      <w:pPr>
        <w:pStyle w:val="Titulo1"/>
        <w:jc w:val="both"/>
        <w:rPr>
          <w:b w:val="0"/>
        </w:rPr>
      </w:pPr>
      <w:bookmarkStart w:id="3" w:name="_Toc442343896"/>
      <w:r>
        <w:t>PALABRAS CLAVE</w:t>
      </w:r>
      <w:r w:rsidRPr="00210A69">
        <w:rPr>
          <w:b w:val="0"/>
        </w:rPr>
        <w:t>: Cambio de la matriz productiva; CKD (</w:t>
      </w:r>
      <w:proofErr w:type="spellStart"/>
      <w:r w:rsidRPr="00210A69">
        <w:rPr>
          <w:b w:val="0"/>
        </w:rPr>
        <w:t>Completely</w:t>
      </w:r>
      <w:proofErr w:type="spellEnd"/>
      <w:r w:rsidR="00EE0310">
        <w:rPr>
          <w:b w:val="0"/>
        </w:rPr>
        <w:t xml:space="preserve"> </w:t>
      </w:r>
      <w:proofErr w:type="spellStart"/>
      <w:r w:rsidRPr="00210A69">
        <w:rPr>
          <w:b w:val="0"/>
        </w:rPr>
        <w:t>Knocked</w:t>
      </w:r>
      <w:proofErr w:type="spellEnd"/>
      <w:r w:rsidRPr="00210A69">
        <w:rPr>
          <w:b w:val="0"/>
        </w:rPr>
        <w:t xml:space="preserve"> Down); Normativas Arancelarias; Cupos de importación; </w:t>
      </w:r>
      <w:r w:rsidRPr="00210A69">
        <w:rPr>
          <w:b w:val="0"/>
          <w:lang w:val="es-EC"/>
        </w:rPr>
        <w:t>Producto Ecuatoriano Incorporado (PEI)</w:t>
      </w:r>
      <w:bookmarkEnd w:id="3"/>
    </w:p>
    <w:p w14:paraId="73157610" w14:textId="77777777" w:rsidR="008033D3" w:rsidRPr="00210A69" w:rsidRDefault="008033D3" w:rsidP="008033D3">
      <w:pPr>
        <w:rPr>
          <w:lang w:val="es-EC"/>
        </w:rPr>
      </w:pPr>
    </w:p>
    <w:p w14:paraId="15DE6D38" w14:textId="354EB6B8" w:rsidR="008033D3" w:rsidRDefault="009E77CA" w:rsidP="002444D6">
      <w:pPr>
        <w:pStyle w:val="Titulo1"/>
        <w:tabs>
          <w:tab w:val="left" w:pos="6240"/>
        </w:tabs>
        <w:spacing w:before="0" w:after="200"/>
        <w:jc w:val="left"/>
        <w:rPr>
          <w:lang w:val="es-EC"/>
        </w:rPr>
      </w:pPr>
      <w:r>
        <w:rPr>
          <w:lang w:val="es-EC"/>
        </w:rPr>
        <w:tab/>
      </w:r>
    </w:p>
    <w:p w14:paraId="26C02F1E" w14:textId="77777777" w:rsidR="009E77CA" w:rsidRPr="00EC3BAE" w:rsidRDefault="009E77CA">
      <w:pPr>
        <w:spacing w:after="160" w:line="259" w:lineRule="auto"/>
        <w:jc w:val="left"/>
        <w:rPr>
          <w:rFonts w:eastAsia="Calibri" w:cs="Times New Roman"/>
          <w:b/>
          <w:bCs/>
          <w:color w:val="000000"/>
          <w:szCs w:val="24"/>
          <w:u w:color="000000"/>
          <w:bdr w:val="nil"/>
          <w:lang w:val="es-EC" w:eastAsia="es-EC"/>
        </w:rPr>
      </w:pPr>
      <w:bookmarkStart w:id="4" w:name="_Toc442343897"/>
      <w:r w:rsidRPr="00EC3BAE">
        <w:rPr>
          <w:lang w:val="es-EC"/>
        </w:rPr>
        <w:br w:type="page"/>
      </w:r>
    </w:p>
    <w:p w14:paraId="1110ACED" w14:textId="4650D9CC" w:rsidR="008033D3" w:rsidRDefault="008033D3" w:rsidP="008033D3">
      <w:pPr>
        <w:pStyle w:val="Titulo1"/>
        <w:spacing w:before="0" w:after="200"/>
        <w:rPr>
          <w:lang w:val="en-US"/>
        </w:rPr>
      </w:pPr>
      <w:r>
        <w:rPr>
          <w:lang w:val="en-US"/>
        </w:rPr>
        <w:lastRenderedPageBreak/>
        <w:t>ABSTRACT</w:t>
      </w:r>
      <w:bookmarkEnd w:id="4"/>
    </w:p>
    <w:p w14:paraId="47C6C0B0" w14:textId="77777777" w:rsidR="008033D3" w:rsidRPr="000C4A2D" w:rsidRDefault="008033D3" w:rsidP="008033D3">
      <w:pPr>
        <w:spacing w:line="360" w:lineRule="auto"/>
        <w:rPr>
          <w:lang w:val="en-US"/>
        </w:rPr>
      </w:pPr>
      <w:r>
        <w:rPr>
          <w:lang w:val="en-US"/>
        </w:rPr>
        <w:t>Cellphones in the E</w:t>
      </w:r>
      <w:r w:rsidRPr="008A4801">
        <w:rPr>
          <w:lang w:val="en-US"/>
        </w:rPr>
        <w:t>cuador</w:t>
      </w:r>
      <w:r>
        <w:rPr>
          <w:lang w:val="en-US"/>
        </w:rPr>
        <w:t>ian a</w:t>
      </w:r>
      <w:r w:rsidRPr="008A4801">
        <w:rPr>
          <w:lang w:val="en-US"/>
        </w:rPr>
        <w:t>ssembly industry starts</w:t>
      </w:r>
      <w:r>
        <w:rPr>
          <w:lang w:val="en-US"/>
        </w:rPr>
        <w:t xml:space="preserve"> around the end of 2011 after that in</w:t>
      </w:r>
      <w:r w:rsidRPr="008A4801">
        <w:rPr>
          <w:lang w:val="en-US"/>
        </w:rPr>
        <w:t xml:space="preserve"> June of the same year were quantitatively restricted the import of finished mobile phones. Pressure on the manufacturing sector has incidence on the proposal of the current Government of changing the model of the national productive matrix, i.e., move from an exporter of raw materials to be</w:t>
      </w:r>
      <w:r>
        <w:rPr>
          <w:lang w:val="en-US"/>
        </w:rPr>
        <w:t>come</w:t>
      </w:r>
      <w:r w:rsidRPr="008A4801">
        <w:rPr>
          <w:lang w:val="en-US"/>
        </w:rPr>
        <w:t xml:space="preserve"> a finished value-added products exporting country. Given the changes in</w:t>
      </w:r>
      <w:r>
        <w:rPr>
          <w:lang w:val="en-US"/>
        </w:rPr>
        <w:t xml:space="preserve"> Ecuadorian legislation in favo</w:t>
      </w:r>
      <w:r w:rsidRPr="008A4801">
        <w:rPr>
          <w:lang w:val="en-US"/>
        </w:rPr>
        <w:t xml:space="preserve">r of </w:t>
      </w:r>
      <w:r>
        <w:rPr>
          <w:lang w:val="en-US"/>
        </w:rPr>
        <w:t xml:space="preserve">the </w:t>
      </w:r>
      <w:r w:rsidRPr="008A4801">
        <w:rPr>
          <w:lang w:val="en-US"/>
        </w:rPr>
        <w:t>productive matrix change sou</w:t>
      </w:r>
      <w:r>
        <w:rPr>
          <w:lang w:val="en-US"/>
        </w:rPr>
        <w:t xml:space="preserve">ght to encourage inclusion and </w:t>
      </w:r>
      <w:r w:rsidRPr="008A4801">
        <w:rPr>
          <w:lang w:val="en-US"/>
        </w:rPr>
        <w:t>investment</w:t>
      </w:r>
      <w:r>
        <w:rPr>
          <w:lang w:val="en-US"/>
        </w:rPr>
        <w:t xml:space="preserve"> to the assembly industry</w:t>
      </w:r>
    </w:p>
    <w:p w14:paraId="2EDAE972" w14:textId="77777777" w:rsidR="008033D3" w:rsidRDefault="008033D3" w:rsidP="008033D3">
      <w:pPr>
        <w:spacing w:line="360" w:lineRule="auto"/>
        <w:rPr>
          <w:lang w:val="en-US"/>
        </w:rPr>
      </w:pPr>
      <w:r w:rsidRPr="008A4801">
        <w:rPr>
          <w:lang w:val="en-US"/>
        </w:rPr>
        <w:t>The project will be do</w:t>
      </w:r>
      <w:r>
        <w:rPr>
          <w:lang w:val="en-US"/>
        </w:rPr>
        <w:t>cumentary observation since it</w:t>
      </w:r>
      <w:r w:rsidRPr="008A4801">
        <w:rPr>
          <w:lang w:val="en-US"/>
        </w:rPr>
        <w:t xml:space="preserve"> will analyze and interpret data taken from official regulations in order to consider the reasons for which these measures were taken, and whether they effectively reached its objectives. In addition, the project in its typology is a descriptive study, hermeneutics applied in the project to the tariff regulations, that are the main source of this research, gives an understanding of the complexity of the decisions in terms of imports and its objectives adapted to the reality of the country.</w:t>
      </w:r>
    </w:p>
    <w:p w14:paraId="1F3A7529" w14:textId="77777777" w:rsidR="008033D3" w:rsidRPr="008A4801" w:rsidRDefault="008033D3" w:rsidP="008033D3">
      <w:pPr>
        <w:spacing w:line="360" w:lineRule="auto"/>
        <w:rPr>
          <w:lang w:val="en-US"/>
        </w:rPr>
      </w:pPr>
      <w:r w:rsidRPr="000C4A2D">
        <w:rPr>
          <w:lang w:val="en-US"/>
        </w:rPr>
        <w:t xml:space="preserve">Finally, this project aims to conclude the benefits that could bring the technological independence proposed by the Government and incentives applied to the industry will benefit the local production with Ecuadorian product applied. Likewise, it will analyze the industry in this period and the benefits of having </w:t>
      </w:r>
      <w:r>
        <w:rPr>
          <w:lang w:val="en-US"/>
        </w:rPr>
        <w:t>a developed</w:t>
      </w:r>
      <w:r w:rsidRPr="000C4A2D">
        <w:rPr>
          <w:lang w:val="en-US"/>
        </w:rPr>
        <w:t xml:space="preserve"> technology industry in the country.</w:t>
      </w:r>
    </w:p>
    <w:p w14:paraId="20AD68F5" w14:textId="77777777" w:rsidR="008033D3" w:rsidRDefault="008033D3" w:rsidP="008033D3">
      <w:pPr>
        <w:spacing w:line="360" w:lineRule="auto"/>
        <w:rPr>
          <w:lang w:val="en-US"/>
        </w:rPr>
      </w:pPr>
    </w:p>
    <w:p w14:paraId="37A04849" w14:textId="1A1B455B" w:rsidR="008033D3" w:rsidRPr="00210A69" w:rsidRDefault="008033D3" w:rsidP="008033D3">
      <w:pPr>
        <w:pStyle w:val="Titulo1"/>
        <w:spacing w:before="0" w:after="200"/>
        <w:jc w:val="left"/>
        <w:rPr>
          <w:lang w:val="en-US"/>
        </w:rPr>
      </w:pPr>
      <w:bookmarkStart w:id="5" w:name="_Toc442343898"/>
      <w:r w:rsidRPr="00132692">
        <w:rPr>
          <w:lang w:val="en-US"/>
        </w:rPr>
        <w:t>Key words</w:t>
      </w:r>
      <w:r>
        <w:rPr>
          <w:lang w:val="en-US"/>
        </w:rPr>
        <w:t xml:space="preserve">: </w:t>
      </w:r>
      <w:r w:rsidRPr="00210A69">
        <w:rPr>
          <w:b w:val="0"/>
          <w:lang w:val="en-US"/>
        </w:rPr>
        <w:t>Change of the productive matrix; CKD (Completely</w:t>
      </w:r>
      <w:r w:rsidR="00EE0310">
        <w:rPr>
          <w:b w:val="0"/>
          <w:lang w:val="en-US"/>
        </w:rPr>
        <w:t xml:space="preserve"> </w:t>
      </w:r>
      <w:r w:rsidRPr="00210A69">
        <w:rPr>
          <w:b w:val="0"/>
          <w:lang w:val="en-US"/>
        </w:rPr>
        <w:t xml:space="preserve">Knocked Down); Import </w:t>
      </w:r>
      <w:proofErr w:type="spellStart"/>
      <w:r w:rsidRPr="00210A69">
        <w:rPr>
          <w:b w:val="0"/>
          <w:lang w:val="en-US"/>
        </w:rPr>
        <w:t>tarif</w:t>
      </w:r>
      <w:proofErr w:type="spellEnd"/>
      <w:r w:rsidRPr="00210A69">
        <w:rPr>
          <w:b w:val="0"/>
          <w:lang w:val="en-US"/>
        </w:rPr>
        <w:t xml:space="preserve"> regulations; Import quota; Incorporated Ecuadorean Product (IEP)</w:t>
      </w:r>
      <w:bookmarkEnd w:id="5"/>
    </w:p>
    <w:p w14:paraId="1B01E4B9" w14:textId="77777777" w:rsidR="008033D3" w:rsidRPr="00210A69" w:rsidRDefault="008033D3" w:rsidP="008033D3">
      <w:pPr>
        <w:rPr>
          <w:lang w:val="en-US"/>
        </w:rPr>
      </w:pPr>
    </w:p>
    <w:p w14:paraId="32B05CA2" w14:textId="77777777" w:rsidR="008033D3" w:rsidRPr="00210A69" w:rsidRDefault="008033D3" w:rsidP="008033D3">
      <w:pPr>
        <w:rPr>
          <w:lang w:val="en-US"/>
        </w:rPr>
      </w:pPr>
    </w:p>
    <w:p w14:paraId="32DE7B02" w14:textId="77777777" w:rsidR="008033D3" w:rsidRPr="00210A69" w:rsidRDefault="008033D3" w:rsidP="008033D3">
      <w:pPr>
        <w:rPr>
          <w:lang w:val="en-US"/>
        </w:rPr>
      </w:pPr>
    </w:p>
    <w:p w14:paraId="1C21D27F" w14:textId="77777777" w:rsidR="008033D3" w:rsidRPr="00210A69" w:rsidRDefault="008033D3" w:rsidP="008033D3">
      <w:pPr>
        <w:rPr>
          <w:lang w:val="en-US"/>
        </w:rPr>
      </w:pPr>
    </w:p>
    <w:p w14:paraId="589512A6" w14:textId="77777777" w:rsidR="008033D3" w:rsidRPr="00210A69" w:rsidRDefault="008033D3" w:rsidP="008033D3">
      <w:pPr>
        <w:rPr>
          <w:lang w:val="en-US"/>
        </w:rPr>
      </w:pPr>
    </w:p>
    <w:p w14:paraId="3A880590" w14:textId="77777777" w:rsidR="00596F4D" w:rsidRPr="00EC3BAE" w:rsidRDefault="00596F4D" w:rsidP="008033D3">
      <w:pPr>
        <w:pStyle w:val="Titulo1"/>
        <w:rPr>
          <w:lang w:val="en-US"/>
        </w:rPr>
      </w:pPr>
      <w:bookmarkStart w:id="6" w:name="_Toc442343899"/>
    </w:p>
    <w:p w14:paraId="0F4A277A" w14:textId="77777777" w:rsidR="00596F4D" w:rsidRPr="00EC3BAE" w:rsidRDefault="00596F4D" w:rsidP="008033D3">
      <w:pPr>
        <w:pStyle w:val="Titulo1"/>
        <w:rPr>
          <w:lang w:val="en-US"/>
        </w:rPr>
      </w:pPr>
    </w:p>
    <w:p w14:paraId="69F95334" w14:textId="77777777" w:rsidR="008033D3" w:rsidRDefault="008033D3" w:rsidP="008033D3">
      <w:pPr>
        <w:pStyle w:val="Titulo1"/>
      </w:pPr>
      <w:r w:rsidRPr="00F22304">
        <w:t>DEDICATORIA</w:t>
      </w:r>
      <w:bookmarkEnd w:id="6"/>
    </w:p>
    <w:p w14:paraId="1CF9D71F" w14:textId="77777777" w:rsidR="008033D3" w:rsidRPr="00F22304" w:rsidRDefault="008033D3" w:rsidP="008033D3">
      <w:pPr>
        <w:pStyle w:val="Titulo1"/>
      </w:pPr>
    </w:p>
    <w:p w14:paraId="37BE82F3" w14:textId="77777777" w:rsidR="008033D3" w:rsidRDefault="008033D3" w:rsidP="008033D3">
      <w:pPr>
        <w:jc w:val="right"/>
      </w:pPr>
      <w:r>
        <w:t>A mis padres por su paciencia y cariño.</w:t>
      </w:r>
    </w:p>
    <w:p w14:paraId="22B27115" w14:textId="77777777" w:rsidR="008033D3" w:rsidRDefault="008033D3" w:rsidP="008033D3">
      <w:pPr>
        <w:jc w:val="right"/>
      </w:pPr>
    </w:p>
    <w:p w14:paraId="32A8ED13" w14:textId="77777777" w:rsidR="008033D3" w:rsidRDefault="008033D3" w:rsidP="008033D3">
      <w:pPr>
        <w:jc w:val="right"/>
      </w:pPr>
    </w:p>
    <w:p w14:paraId="159BBF75" w14:textId="77777777" w:rsidR="008033D3" w:rsidRDefault="008033D3" w:rsidP="008033D3">
      <w:pPr>
        <w:jc w:val="right"/>
      </w:pPr>
    </w:p>
    <w:p w14:paraId="130C9EE8" w14:textId="77777777" w:rsidR="008033D3" w:rsidRDefault="008033D3" w:rsidP="008033D3">
      <w:pPr>
        <w:jc w:val="right"/>
      </w:pPr>
    </w:p>
    <w:p w14:paraId="6638F4FC" w14:textId="77777777" w:rsidR="008033D3" w:rsidRDefault="008033D3" w:rsidP="008033D3">
      <w:pPr>
        <w:jc w:val="right"/>
      </w:pPr>
    </w:p>
    <w:p w14:paraId="321B450F" w14:textId="77777777" w:rsidR="008033D3" w:rsidRDefault="008033D3" w:rsidP="008033D3">
      <w:pPr>
        <w:jc w:val="right"/>
      </w:pPr>
    </w:p>
    <w:p w14:paraId="5B351E4C" w14:textId="77777777" w:rsidR="008033D3" w:rsidRDefault="008033D3" w:rsidP="008033D3">
      <w:pPr>
        <w:jc w:val="right"/>
      </w:pPr>
    </w:p>
    <w:p w14:paraId="1FD83F40" w14:textId="77777777" w:rsidR="008033D3" w:rsidRDefault="008033D3" w:rsidP="008033D3">
      <w:pPr>
        <w:jc w:val="right"/>
      </w:pPr>
    </w:p>
    <w:p w14:paraId="45FF3478" w14:textId="77777777" w:rsidR="008033D3" w:rsidRDefault="008033D3" w:rsidP="008033D3">
      <w:pPr>
        <w:jc w:val="right"/>
      </w:pPr>
    </w:p>
    <w:p w14:paraId="6A8CBE9A" w14:textId="77777777" w:rsidR="008033D3" w:rsidRDefault="008033D3" w:rsidP="008033D3">
      <w:pPr>
        <w:jc w:val="right"/>
      </w:pPr>
    </w:p>
    <w:p w14:paraId="34790013" w14:textId="77777777" w:rsidR="008033D3" w:rsidRDefault="008033D3" w:rsidP="008033D3">
      <w:pPr>
        <w:jc w:val="right"/>
      </w:pPr>
    </w:p>
    <w:p w14:paraId="2104A27C" w14:textId="77777777" w:rsidR="008033D3" w:rsidRDefault="008033D3" w:rsidP="008033D3">
      <w:pPr>
        <w:jc w:val="right"/>
      </w:pPr>
    </w:p>
    <w:p w14:paraId="49DA30C2" w14:textId="77777777" w:rsidR="008033D3" w:rsidRDefault="008033D3" w:rsidP="008033D3">
      <w:pPr>
        <w:jc w:val="right"/>
      </w:pPr>
    </w:p>
    <w:p w14:paraId="528D67C7" w14:textId="77777777" w:rsidR="008033D3" w:rsidRDefault="008033D3" w:rsidP="008033D3">
      <w:pPr>
        <w:jc w:val="right"/>
      </w:pPr>
    </w:p>
    <w:p w14:paraId="15D32D50" w14:textId="77777777" w:rsidR="008033D3" w:rsidRDefault="008033D3" w:rsidP="008033D3">
      <w:pPr>
        <w:jc w:val="right"/>
      </w:pPr>
    </w:p>
    <w:p w14:paraId="617E1EBE" w14:textId="77777777" w:rsidR="008033D3" w:rsidRDefault="008033D3" w:rsidP="008033D3">
      <w:pPr>
        <w:jc w:val="right"/>
      </w:pPr>
    </w:p>
    <w:p w14:paraId="3E6E4035" w14:textId="77777777" w:rsidR="008033D3" w:rsidRDefault="008033D3" w:rsidP="008033D3">
      <w:pPr>
        <w:jc w:val="right"/>
      </w:pPr>
    </w:p>
    <w:p w14:paraId="26A1FB49" w14:textId="77777777" w:rsidR="008033D3" w:rsidRDefault="008033D3" w:rsidP="008033D3"/>
    <w:p w14:paraId="2F31E4AE" w14:textId="77777777" w:rsidR="008033D3" w:rsidRDefault="008033D3" w:rsidP="008033D3">
      <w:pPr>
        <w:spacing w:line="360" w:lineRule="auto"/>
        <w:jc w:val="right"/>
      </w:pPr>
    </w:p>
    <w:p w14:paraId="281EB3CA" w14:textId="77777777" w:rsidR="008033D3" w:rsidRDefault="008033D3" w:rsidP="008033D3">
      <w:pPr>
        <w:spacing w:line="360" w:lineRule="auto"/>
      </w:pPr>
    </w:p>
    <w:p w14:paraId="3CE41849" w14:textId="77777777" w:rsidR="008033D3" w:rsidRDefault="008033D3" w:rsidP="008033D3">
      <w:pPr>
        <w:spacing w:line="360" w:lineRule="auto"/>
      </w:pPr>
    </w:p>
    <w:p w14:paraId="15848270" w14:textId="77777777" w:rsidR="008033D3" w:rsidRDefault="008033D3" w:rsidP="008033D3">
      <w:pPr>
        <w:pStyle w:val="Titulo1"/>
        <w:spacing w:before="0" w:after="200"/>
      </w:pPr>
      <w:bookmarkStart w:id="7" w:name="_Toc442343900"/>
      <w:r w:rsidRPr="00F22304">
        <w:t xml:space="preserve">ÍNDICE </w:t>
      </w:r>
      <w:r>
        <w:t>GENERAL</w:t>
      </w:r>
      <w:bookmarkEnd w:id="7"/>
    </w:p>
    <w:p w14:paraId="178CB4F8" w14:textId="77777777" w:rsidR="008033D3" w:rsidRDefault="008033D3" w:rsidP="008033D3">
      <w:pPr>
        <w:pStyle w:val="Sinespaciado"/>
        <w:jc w:val="center"/>
        <w:rPr>
          <w:rFonts w:cs="Times New Roman"/>
          <w:b/>
          <w:szCs w:val="24"/>
        </w:rPr>
      </w:pPr>
    </w:p>
    <w:p w14:paraId="0C073D01" w14:textId="77777777" w:rsidR="008033D3" w:rsidRDefault="008033D3" w:rsidP="008033D3">
      <w:pPr>
        <w:pStyle w:val="TDC1"/>
        <w:tabs>
          <w:tab w:val="right" w:leader="dot" w:pos="9113"/>
        </w:tabs>
        <w:spacing w:after="200" w:line="360" w:lineRule="auto"/>
        <w:rPr>
          <w:rFonts w:asciiTheme="minorHAnsi" w:eastAsiaTheme="minorEastAsia" w:hAnsiTheme="minorHAnsi"/>
          <w:b w:val="0"/>
          <w:noProof/>
          <w:sz w:val="22"/>
          <w:lang w:val="es-EC" w:eastAsia="es-EC"/>
        </w:rPr>
      </w:pPr>
      <w:r>
        <w:rPr>
          <w:rFonts w:cs="Times New Roman"/>
          <w:szCs w:val="24"/>
        </w:rPr>
        <w:fldChar w:fldCharType="begin"/>
      </w:r>
      <w:r>
        <w:rPr>
          <w:rFonts w:cs="Times New Roman"/>
          <w:szCs w:val="24"/>
        </w:rPr>
        <w:instrText xml:space="preserve"> TOC \o "1-4" \h \z \u </w:instrText>
      </w:r>
      <w:r>
        <w:rPr>
          <w:rFonts w:cs="Times New Roman"/>
          <w:szCs w:val="24"/>
        </w:rPr>
        <w:fldChar w:fldCharType="separate"/>
      </w:r>
      <w:hyperlink w:anchor="_Toc442343894" w:history="1">
        <w:r w:rsidRPr="0039625A">
          <w:rPr>
            <w:rStyle w:val="Hipervnculo"/>
            <w:noProof/>
          </w:rPr>
          <w:t>DECLARACIÓN DE ACEPTACIÓN DE  NORMA ÉTICA Y DERECHOS</w:t>
        </w:r>
        <w:r>
          <w:rPr>
            <w:noProof/>
            <w:webHidden/>
          </w:rPr>
          <w:tab/>
        </w:r>
        <w:r>
          <w:rPr>
            <w:noProof/>
            <w:webHidden/>
          </w:rPr>
          <w:fldChar w:fldCharType="begin"/>
        </w:r>
        <w:r>
          <w:rPr>
            <w:noProof/>
            <w:webHidden/>
          </w:rPr>
          <w:instrText xml:space="preserve"> PAGEREF _Toc442343894 \h </w:instrText>
        </w:r>
        <w:r>
          <w:rPr>
            <w:noProof/>
            <w:webHidden/>
          </w:rPr>
        </w:r>
        <w:r>
          <w:rPr>
            <w:noProof/>
            <w:webHidden/>
          </w:rPr>
          <w:fldChar w:fldCharType="separate"/>
        </w:r>
        <w:r w:rsidR="009E77CA">
          <w:rPr>
            <w:noProof/>
            <w:webHidden/>
          </w:rPr>
          <w:t>1</w:t>
        </w:r>
        <w:r>
          <w:rPr>
            <w:noProof/>
            <w:webHidden/>
          </w:rPr>
          <w:fldChar w:fldCharType="end"/>
        </w:r>
      </w:hyperlink>
    </w:p>
    <w:p w14:paraId="0CBBF79A" w14:textId="77777777" w:rsidR="008033D3" w:rsidRDefault="00A82D2C" w:rsidP="008033D3">
      <w:pPr>
        <w:pStyle w:val="TDC1"/>
        <w:tabs>
          <w:tab w:val="right" w:leader="dot" w:pos="9113"/>
        </w:tabs>
        <w:spacing w:after="200" w:line="360" w:lineRule="auto"/>
        <w:rPr>
          <w:rFonts w:asciiTheme="minorHAnsi" w:eastAsiaTheme="minorEastAsia" w:hAnsiTheme="minorHAnsi"/>
          <w:b w:val="0"/>
          <w:noProof/>
          <w:sz w:val="22"/>
          <w:lang w:val="es-EC" w:eastAsia="es-EC"/>
        </w:rPr>
      </w:pPr>
      <w:hyperlink w:anchor="_Toc442343895" w:history="1">
        <w:r w:rsidR="008033D3" w:rsidRPr="0039625A">
          <w:rPr>
            <w:rStyle w:val="Hipervnculo"/>
            <w:noProof/>
          </w:rPr>
          <w:t>RESUMEN</w:t>
        </w:r>
        <w:r w:rsidR="008033D3">
          <w:rPr>
            <w:noProof/>
            <w:webHidden/>
          </w:rPr>
          <w:tab/>
        </w:r>
        <w:r w:rsidR="008033D3">
          <w:rPr>
            <w:noProof/>
            <w:webHidden/>
          </w:rPr>
          <w:fldChar w:fldCharType="begin"/>
        </w:r>
        <w:r w:rsidR="008033D3">
          <w:rPr>
            <w:noProof/>
            <w:webHidden/>
          </w:rPr>
          <w:instrText xml:space="preserve"> PAGEREF _Toc442343895 \h </w:instrText>
        </w:r>
        <w:r w:rsidR="008033D3">
          <w:rPr>
            <w:noProof/>
            <w:webHidden/>
          </w:rPr>
        </w:r>
        <w:r w:rsidR="008033D3">
          <w:rPr>
            <w:noProof/>
            <w:webHidden/>
          </w:rPr>
          <w:fldChar w:fldCharType="separate"/>
        </w:r>
        <w:r w:rsidR="009E77CA">
          <w:rPr>
            <w:noProof/>
            <w:webHidden/>
          </w:rPr>
          <w:t>2</w:t>
        </w:r>
        <w:r w:rsidR="008033D3">
          <w:rPr>
            <w:noProof/>
            <w:webHidden/>
          </w:rPr>
          <w:fldChar w:fldCharType="end"/>
        </w:r>
      </w:hyperlink>
    </w:p>
    <w:p w14:paraId="2216972E" w14:textId="77777777" w:rsidR="008033D3" w:rsidRDefault="00A82D2C" w:rsidP="008033D3">
      <w:pPr>
        <w:pStyle w:val="TDC1"/>
        <w:tabs>
          <w:tab w:val="right" w:leader="dot" w:pos="9113"/>
        </w:tabs>
        <w:spacing w:after="200" w:line="360" w:lineRule="auto"/>
        <w:rPr>
          <w:rFonts w:asciiTheme="minorHAnsi" w:eastAsiaTheme="minorEastAsia" w:hAnsiTheme="minorHAnsi"/>
          <w:b w:val="0"/>
          <w:noProof/>
          <w:sz w:val="22"/>
          <w:lang w:val="es-EC" w:eastAsia="es-EC"/>
        </w:rPr>
      </w:pPr>
      <w:hyperlink w:anchor="_Toc442343897" w:history="1">
        <w:r w:rsidR="008033D3" w:rsidRPr="0039625A">
          <w:rPr>
            <w:rStyle w:val="Hipervnculo"/>
            <w:noProof/>
            <w:lang w:val="en-US"/>
          </w:rPr>
          <w:t>ABSTRACT</w:t>
        </w:r>
        <w:r w:rsidR="008033D3">
          <w:rPr>
            <w:noProof/>
            <w:webHidden/>
          </w:rPr>
          <w:tab/>
        </w:r>
        <w:r w:rsidR="008033D3">
          <w:rPr>
            <w:noProof/>
            <w:webHidden/>
          </w:rPr>
          <w:fldChar w:fldCharType="begin"/>
        </w:r>
        <w:r w:rsidR="008033D3">
          <w:rPr>
            <w:noProof/>
            <w:webHidden/>
          </w:rPr>
          <w:instrText xml:space="preserve"> PAGEREF _Toc442343897 \h </w:instrText>
        </w:r>
        <w:r w:rsidR="008033D3">
          <w:rPr>
            <w:noProof/>
            <w:webHidden/>
          </w:rPr>
        </w:r>
        <w:r w:rsidR="008033D3">
          <w:rPr>
            <w:noProof/>
            <w:webHidden/>
          </w:rPr>
          <w:fldChar w:fldCharType="separate"/>
        </w:r>
        <w:r w:rsidR="009E77CA">
          <w:rPr>
            <w:noProof/>
            <w:webHidden/>
          </w:rPr>
          <w:t>3</w:t>
        </w:r>
        <w:r w:rsidR="008033D3">
          <w:rPr>
            <w:noProof/>
            <w:webHidden/>
          </w:rPr>
          <w:fldChar w:fldCharType="end"/>
        </w:r>
      </w:hyperlink>
    </w:p>
    <w:p w14:paraId="57B27715" w14:textId="77777777" w:rsidR="008033D3" w:rsidRDefault="00A82D2C" w:rsidP="008033D3">
      <w:pPr>
        <w:pStyle w:val="TDC1"/>
        <w:tabs>
          <w:tab w:val="right" w:leader="dot" w:pos="9113"/>
        </w:tabs>
        <w:spacing w:after="200" w:line="360" w:lineRule="auto"/>
        <w:rPr>
          <w:rFonts w:asciiTheme="minorHAnsi" w:eastAsiaTheme="minorEastAsia" w:hAnsiTheme="minorHAnsi"/>
          <w:b w:val="0"/>
          <w:noProof/>
          <w:sz w:val="22"/>
          <w:lang w:val="es-EC" w:eastAsia="es-EC"/>
        </w:rPr>
      </w:pPr>
      <w:hyperlink w:anchor="_Toc442343899" w:history="1">
        <w:r w:rsidR="008033D3" w:rsidRPr="0039625A">
          <w:rPr>
            <w:rStyle w:val="Hipervnculo"/>
            <w:noProof/>
          </w:rPr>
          <w:t>DEDICATORIA</w:t>
        </w:r>
        <w:r w:rsidR="008033D3">
          <w:rPr>
            <w:noProof/>
            <w:webHidden/>
          </w:rPr>
          <w:tab/>
        </w:r>
        <w:r w:rsidR="008033D3">
          <w:rPr>
            <w:noProof/>
            <w:webHidden/>
          </w:rPr>
          <w:fldChar w:fldCharType="begin"/>
        </w:r>
        <w:r w:rsidR="008033D3">
          <w:rPr>
            <w:noProof/>
            <w:webHidden/>
          </w:rPr>
          <w:instrText xml:space="preserve"> PAGEREF _Toc442343899 \h </w:instrText>
        </w:r>
        <w:r w:rsidR="008033D3">
          <w:rPr>
            <w:noProof/>
            <w:webHidden/>
          </w:rPr>
        </w:r>
        <w:r w:rsidR="008033D3">
          <w:rPr>
            <w:noProof/>
            <w:webHidden/>
          </w:rPr>
          <w:fldChar w:fldCharType="separate"/>
        </w:r>
        <w:r w:rsidR="009E77CA">
          <w:rPr>
            <w:noProof/>
            <w:webHidden/>
          </w:rPr>
          <w:t>4</w:t>
        </w:r>
        <w:r w:rsidR="008033D3">
          <w:rPr>
            <w:noProof/>
            <w:webHidden/>
          </w:rPr>
          <w:fldChar w:fldCharType="end"/>
        </w:r>
      </w:hyperlink>
    </w:p>
    <w:p w14:paraId="748F4362" w14:textId="77777777" w:rsidR="008033D3" w:rsidRDefault="00A82D2C" w:rsidP="008033D3">
      <w:pPr>
        <w:pStyle w:val="TDC1"/>
        <w:tabs>
          <w:tab w:val="right" w:leader="dot" w:pos="9113"/>
        </w:tabs>
        <w:spacing w:after="200" w:line="360" w:lineRule="auto"/>
        <w:rPr>
          <w:rFonts w:asciiTheme="minorHAnsi" w:eastAsiaTheme="minorEastAsia" w:hAnsiTheme="minorHAnsi"/>
          <w:b w:val="0"/>
          <w:noProof/>
          <w:sz w:val="22"/>
          <w:lang w:val="es-EC" w:eastAsia="es-EC"/>
        </w:rPr>
      </w:pPr>
      <w:hyperlink w:anchor="_Toc442343900" w:history="1">
        <w:r w:rsidR="008033D3" w:rsidRPr="0039625A">
          <w:rPr>
            <w:rStyle w:val="Hipervnculo"/>
            <w:noProof/>
          </w:rPr>
          <w:t>ÍNDICE GENERAL</w:t>
        </w:r>
        <w:r w:rsidR="008033D3">
          <w:rPr>
            <w:noProof/>
            <w:webHidden/>
          </w:rPr>
          <w:tab/>
        </w:r>
        <w:r w:rsidR="008033D3">
          <w:rPr>
            <w:noProof/>
            <w:webHidden/>
          </w:rPr>
          <w:fldChar w:fldCharType="begin"/>
        </w:r>
        <w:r w:rsidR="008033D3">
          <w:rPr>
            <w:noProof/>
            <w:webHidden/>
          </w:rPr>
          <w:instrText xml:space="preserve"> PAGEREF _Toc442343900 \h </w:instrText>
        </w:r>
        <w:r w:rsidR="008033D3">
          <w:rPr>
            <w:noProof/>
            <w:webHidden/>
          </w:rPr>
        </w:r>
        <w:r w:rsidR="008033D3">
          <w:rPr>
            <w:noProof/>
            <w:webHidden/>
          </w:rPr>
          <w:fldChar w:fldCharType="separate"/>
        </w:r>
        <w:r w:rsidR="009E77CA">
          <w:rPr>
            <w:noProof/>
            <w:webHidden/>
          </w:rPr>
          <w:t>5</w:t>
        </w:r>
        <w:r w:rsidR="008033D3">
          <w:rPr>
            <w:noProof/>
            <w:webHidden/>
          </w:rPr>
          <w:fldChar w:fldCharType="end"/>
        </w:r>
      </w:hyperlink>
    </w:p>
    <w:p w14:paraId="3718EFE0" w14:textId="77777777" w:rsidR="008033D3" w:rsidRDefault="00A82D2C" w:rsidP="008033D3">
      <w:pPr>
        <w:pStyle w:val="TDC1"/>
        <w:tabs>
          <w:tab w:val="right" w:leader="dot" w:pos="9113"/>
        </w:tabs>
        <w:spacing w:after="200" w:line="360" w:lineRule="auto"/>
        <w:rPr>
          <w:rFonts w:asciiTheme="minorHAnsi" w:eastAsiaTheme="minorEastAsia" w:hAnsiTheme="minorHAnsi"/>
          <w:b w:val="0"/>
          <w:noProof/>
          <w:sz w:val="22"/>
          <w:lang w:val="es-EC" w:eastAsia="es-EC"/>
        </w:rPr>
      </w:pPr>
      <w:hyperlink w:anchor="_Toc442343901" w:history="1">
        <w:r w:rsidR="008033D3" w:rsidRPr="0039625A">
          <w:rPr>
            <w:rStyle w:val="Hipervnculo"/>
            <w:noProof/>
          </w:rPr>
          <w:t>INTRODUCCIÓN</w:t>
        </w:r>
        <w:r w:rsidR="008033D3">
          <w:rPr>
            <w:noProof/>
            <w:webHidden/>
          </w:rPr>
          <w:tab/>
        </w:r>
        <w:r w:rsidR="008033D3">
          <w:rPr>
            <w:noProof/>
            <w:webHidden/>
          </w:rPr>
          <w:fldChar w:fldCharType="begin"/>
        </w:r>
        <w:r w:rsidR="008033D3">
          <w:rPr>
            <w:noProof/>
            <w:webHidden/>
          </w:rPr>
          <w:instrText xml:space="preserve"> PAGEREF _Toc442343901 \h </w:instrText>
        </w:r>
        <w:r w:rsidR="008033D3">
          <w:rPr>
            <w:noProof/>
            <w:webHidden/>
          </w:rPr>
        </w:r>
        <w:r w:rsidR="008033D3">
          <w:rPr>
            <w:noProof/>
            <w:webHidden/>
          </w:rPr>
          <w:fldChar w:fldCharType="separate"/>
        </w:r>
        <w:r w:rsidR="009E77CA">
          <w:rPr>
            <w:noProof/>
            <w:webHidden/>
          </w:rPr>
          <w:t>8</w:t>
        </w:r>
        <w:r w:rsidR="008033D3">
          <w:rPr>
            <w:noProof/>
            <w:webHidden/>
          </w:rPr>
          <w:fldChar w:fldCharType="end"/>
        </w:r>
      </w:hyperlink>
    </w:p>
    <w:p w14:paraId="52B74628" w14:textId="77777777" w:rsidR="008033D3" w:rsidRDefault="00A82D2C" w:rsidP="008033D3">
      <w:pPr>
        <w:pStyle w:val="TDC2"/>
        <w:tabs>
          <w:tab w:val="left" w:pos="660"/>
          <w:tab w:val="right" w:leader="dot" w:pos="9113"/>
        </w:tabs>
        <w:spacing w:after="200" w:line="360" w:lineRule="auto"/>
        <w:rPr>
          <w:rFonts w:asciiTheme="minorHAnsi" w:eastAsiaTheme="minorEastAsia" w:hAnsiTheme="minorHAnsi"/>
          <w:noProof/>
          <w:sz w:val="22"/>
          <w:lang w:val="es-EC" w:eastAsia="es-EC"/>
        </w:rPr>
      </w:pPr>
      <w:hyperlink w:anchor="_Toc442343902" w:history="1">
        <w:r w:rsidR="008033D3" w:rsidRPr="0039625A">
          <w:rPr>
            <w:rStyle w:val="Hipervnculo"/>
            <w:noProof/>
          </w:rPr>
          <w:t>1.</w:t>
        </w:r>
        <w:r w:rsidR="008033D3">
          <w:rPr>
            <w:rFonts w:asciiTheme="minorHAnsi" w:eastAsiaTheme="minorEastAsia" w:hAnsiTheme="minorHAnsi"/>
            <w:noProof/>
            <w:sz w:val="22"/>
            <w:lang w:val="es-EC" w:eastAsia="es-EC"/>
          </w:rPr>
          <w:tab/>
        </w:r>
        <w:r w:rsidR="008033D3" w:rsidRPr="0039625A">
          <w:rPr>
            <w:rStyle w:val="Hipervnculo"/>
            <w:noProof/>
          </w:rPr>
          <w:t>Planteamiento del problema</w:t>
        </w:r>
        <w:r w:rsidR="008033D3">
          <w:rPr>
            <w:noProof/>
            <w:webHidden/>
          </w:rPr>
          <w:tab/>
        </w:r>
        <w:r w:rsidR="008033D3">
          <w:rPr>
            <w:noProof/>
            <w:webHidden/>
          </w:rPr>
          <w:fldChar w:fldCharType="begin"/>
        </w:r>
        <w:r w:rsidR="008033D3">
          <w:rPr>
            <w:noProof/>
            <w:webHidden/>
          </w:rPr>
          <w:instrText xml:space="preserve"> PAGEREF _Toc442343902 \h </w:instrText>
        </w:r>
        <w:r w:rsidR="008033D3">
          <w:rPr>
            <w:noProof/>
            <w:webHidden/>
          </w:rPr>
        </w:r>
        <w:r w:rsidR="008033D3">
          <w:rPr>
            <w:noProof/>
            <w:webHidden/>
          </w:rPr>
          <w:fldChar w:fldCharType="separate"/>
        </w:r>
        <w:r w:rsidR="009E77CA">
          <w:rPr>
            <w:noProof/>
            <w:webHidden/>
          </w:rPr>
          <w:t>10</w:t>
        </w:r>
        <w:r w:rsidR="008033D3">
          <w:rPr>
            <w:noProof/>
            <w:webHidden/>
          </w:rPr>
          <w:fldChar w:fldCharType="end"/>
        </w:r>
      </w:hyperlink>
    </w:p>
    <w:p w14:paraId="5C0B47F1" w14:textId="77777777" w:rsidR="008033D3" w:rsidRDefault="00A82D2C" w:rsidP="008033D3">
      <w:pPr>
        <w:pStyle w:val="TDC3"/>
        <w:tabs>
          <w:tab w:val="left" w:pos="1100"/>
          <w:tab w:val="right" w:leader="dot" w:pos="9113"/>
        </w:tabs>
        <w:spacing w:after="200" w:line="360" w:lineRule="auto"/>
        <w:rPr>
          <w:rFonts w:asciiTheme="minorHAnsi" w:eastAsiaTheme="minorEastAsia" w:hAnsiTheme="minorHAnsi"/>
          <w:noProof/>
          <w:sz w:val="22"/>
          <w:lang w:val="es-EC" w:eastAsia="es-EC"/>
        </w:rPr>
      </w:pPr>
      <w:hyperlink w:anchor="_Toc442343903" w:history="1">
        <w:r w:rsidR="008033D3" w:rsidRPr="0039625A">
          <w:rPr>
            <w:rStyle w:val="Hipervnculo"/>
            <w:noProof/>
          </w:rPr>
          <w:t>1.1.</w:t>
        </w:r>
        <w:r w:rsidR="008033D3">
          <w:rPr>
            <w:rFonts w:asciiTheme="minorHAnsi" w:eastAsiaTheme="minorEastAsia" w:hAnsiTheme="minorHAnsi"/>
            <w:noProof/>
            <w:sz w:val="22"/>
            <w:lang w:val="es-EC" w:eastAsia="es-EC"/>
          </w:rPr>
          <w:tab/>
        </w:r>
        <w:r w:rsidR="008033D3" w:rsidRPr="0039625A">
          <w:rPr>
            <w:rStyle w:val="Hipervnculo"/>
            <w:noProof/>
          </w:rPr>
          <w:t>Definición del problema</w:t>
        </w:r>
        <w:r w:rsidR="008033D3">
          <w:rPr>
            <w:noProof/>
            <w:webHidden/>
          </w:rPr>
          <w:tab/>
        </w:r>
        <w:r w:rsidR="008033D3">
          <w:rPr>
            <w:noProof/>
            <w:webHidden/>
          </w:rPr>
          <w:fldChar w:fldCharType="begin"/>
        </w:r>
        <w:r w:rsidR="008033D3">
          <w:rPr>
            <w:noProof/>
            <w:webHidden/>
          </w:rPr>
          <w:instrText xml:space="preserve"> PAGEREF _Toc442343903 \h </w:instrText>
        </w:r>
        <w:r w:rsidR="008033D3">
          <w:rPr>
            <w:noProof/>
            <w:webHidden/>
          </w:rPr>
        </w:r>
        <w:r w:rsidR="008033D3">
          <w:rPr>
            <w:noProof/>
            <w:webHidden/>
          </w:rPr>
          <w:fldChar w:fldCharType="separate"/>
        </w:r>
        <w:r w:rsidR="009E77CA">
          <w:rPr>
            <w:noProof/>
            <w:webHidden/>
          </w:rPr>
          <w:t>10</w:t>
        </w:r>
        <w:r w:rsidR="008033D3">
          <w:rPr>
            <w:noProof/>
            <w:webHidden/>
          </w:rPr>
          <w:fldChar w:fldCharType="end"/>
        </w:r>
      </w:hyperlink>
    </w:p>
    <w:p w14:paraId="37D3D978" w14:textId="77777777" w:rsidR="008033D3" w:rsidRDefault="00A82D2C" w:rsidP="008033D3">
      <w:pPr>
        <w:pStyle w:val="TDC3"/>
        <w:tabs>
          <w:tab w:val="left" w:pos="1100"/>
          <w:tab w:val="right" w:leader="dot" w:pos="9113"/>
        </w:tabs>
        <w:spacing w:after="200" w:line="360" w:lineRule="auto"/>
        <w:rPr>
          <w:rFonts w:asciiTheme="minorHAnsi" w:eastAsiaTheme="minorEastAsia" w:hAnsiTheme="minorHAnsi"/>
          <w:noProof/>
          <w:sz w:val="22"/>
          <w:lang w:val="es-EC" w:eastAsia="es-EC"/>
        </w:rPr>
      </w:pPr>
      <w:hyperlink w:anchor="_Toc442343904" w:history="1">
        <w:r w:rsidR="008033D3" w:rsidRPr="0039625A">
          <w:rPr>
            <w:rStyle w:val="Hipervnculo"/>
            <w:noProof/>
          </w:rPr>
          <w:t>1.2.</w:t>
        </w:r>
        <w:r w:rsidR="008033D3">
          <w:rPr>
            <w:rFonts w:asciiTheme="minorHAnsi" w:eastAsiaTheme="minorEastAsia" w:hAnsiTheme="minorHAnsi"/>
            <w:noProof/>
            <w:sz w:val="22"/>
            <w:lang w:val="es-EC" w:eastAsia="es-EC"/>
          </w:rPr>
          <w:tab/>
        </w:r>
        <w:r w:rsidR="008033D3" w:rsidRPr="0039625A">
          <w:rPr>
            <w:rStyle w:val="Hipervnculo"/>
            <w:noProof/>
          </w:rPr>
          <w:t>Formulación del problema</w:t>
        </w:r>
        <w:r w:rsidR="008033D3">
          <w:rPr>
            <w:noProof/>
            <w:webHidden/>
          </w:rPr>
          <w:tab/>
        </w:r>
        <w:r w:rsidR="008033D3">
          <w:rPr>
            <w:noProof/>
            <w:webHidden/>
          </w:rPr>
          <w:fldChar w:fldCharType="begin"/>
        </w:r>
        <w:r w:rsidR="008033D3">
          <w:rPr>
            <w:noProof/>
            <w:webHidden/>
          </w:rPr>
          <w:instrText xml:space="preserve"> PAGEREF _Toc442343904 \h </w:instrText>
        </w:r>
        <w:r w:rsidR="008033D3">
          <w:rPr>
            <w:noProof/>
            <w:webHidden/>
          </w:rPr>
        </w:r>
        <w:r w:rsidR="008033D3">
          <w:rPr>
            <w:noProof/>
            <w:webHidden/>
          </w:rPr>
          <w:fldChar w:fldCharType="separate"/>
        </w:r>
        <w:r w:rsidR="009E77CA">
          <w:rPr>
            <w:noProof/>
            <w:webHidden/>
          </w:rPr>
          <w:t>11</w:t>
        </w:r>
        <w:r w:rsidR="008033D3">
          <w:rPr>
            <w:noProof/>
            <w:webHidden/>
          </w:rPr>
          <w:fldChar w:fldCharType="end"/>
        </w:r>
      </w:hyperlink>
    </w:p>
    <w:p w14:paraId="554AA02B" w14:textId="77777777" w:rsidR="008033D3" w:rsidRDefault="00A82D2C" w:rsidP="008033D3">
      <w:pPr>
        <w:pStyle w:val="TDC2"/>
        <w:tabs>
          <w:tab w:val="left" w:pos="660"/>
          <w:tab w:val="right" w:leader="dot" w:pos="9113"/>
        </w:tabs>
        <w:spacing w:after="200" w:line="360" w:lineRule="auto"/>
        <w:rPr>
          <w:rFonts w:asciiTheme="minorHAnsi" w:eastAsiaTheme="minorEastAsia" w:hAnsiTheme="minorHAnsi"/>
          <w:noProof/>
          <w:sz w:val="22"/>
          <w:lang w:val="es-EC" w:eastAsia="es-EC"/>
        </w:rPr>
      </w:pPr>
      <w:hyperlink w:anchor="_Toc442343905" w:history="1">
        <w:r w:rsidR="008033D3" w:rsidRPr="0039625A">
          <w:rPr>
            <w:rStyle w:val="Hipervnculo"/>
            <w:noProof/>
          </w:rPr>
          <w:t>2.</w:t>
        </w:r>
        <w:r w:rsidR="008033D3">
          <w:rPr>
            <w:rFonts w:asciiTheme="minorHAnsi" w:eastAsiaTheme="minorEastAsia" w:hAnsiTheme="minorHAnsi"/>
            <w:noProof/>
            <w:sz w:val="22"/>
            <w:lang w:val="es-EC" w:eastAsia="es-EC"/>
          </w:rPr>
          <w:tab/>
        </w:r>
        <w:r w:rsidR="008033D3" w:rsidRPr="0039625A">
          <w:rPr>
            <w:rStyle w:val="Hipervnculo"/>
            <w:noProof/>
          </w:rPr>
          <w:t>Objetivos de la investigación</w:t>
        </w:r>
        <w:r w:rsidR="008033D3">
          <w:rPr>
            <w:noProof/>
            <w:webHidden/>
          </w:rPr>
          <w:tab/>
        </w:r>
        <w:r w:rsidR="008033D3">
          <w:rPr>
            <w:noProof/>
            <w:webHidden/>
          </w:rPr>
          <w:fldChar w:fldCharType="begin"/>
        </w:r>
        <w:r w:rsidR="008033D3">
          <w:rPr>
            <w:noProof/>
            <w:webHidden/>
          </w:rPr>
          <w:instrText xml:space="preserve"> PAGEREF _Toc442343905 \h </w:instrText>
        </w:r>
        <w:r w:rsidR="008033D3">
          <w:rPr>
            <w:noProof/>
            <w:webHidden/>
          </w:rPr>
        </w:r>
        <w:r w:rsidR="008033D3">
          <w:rPr>
            <w:noProof/>
            <w:webHidden/>
          </w:rPr>
          <w:fldChar w:fldCharType="separate"/>
        </w:r>
        <w:r w:rsidR="009E77CA">
          <w:rPr>
            <w:noProof/>
            <w:webHidden/>
          </w:rPr>
          <w:t>11</w:t>
        </w:r>
        <w:r w:rsidR="008033D3">
          <w:rPr>
            <w:noProof/>
            <w:webHidden/>
          </w:rPr>
          <w:fldChar w:fldCharType="end"/>
        </w:r>
      </w:hyperlink>
    </w:p>
    <w:p w14:paraId="2AEF67B7" w14:textId="77777777" w:rsidR="008033D3" w:rsidRDefault="00A82D2C" w:rsidP="008033D3">
      <w:pPr>
        <w:pStyle w:val="TDC2"/>
        <w:tabs>
          <w:tab w:val="left" w:pos="660"/>
          <w:tab w:val="right" w:leader="dot" w:pos="9113"/>
        </w:tabs>
        <w:spacing w:after="200" w:line="360" w:lineRule="auto"/>
        <w:rPr>
          <w:rFonts w:asciiTheme="minorHAnsi" w:eastAsiaTheme="minorEastAsia" w:hAnsiTheme="minorHAnsi"/>
          <w:noProof/>
          <w:sz w:val="22"/>
          <w:lang w:val="es-EC" w:eastAsia="es-EC"/>
        </w:rPr>
      </w:pPr>
      <w:hyperlink w:anchor="_Toc442343906" w:history="1">
        <w:r w:rsidR="008033D3" w:rsidRPr="0039625A">
          <w:rPr>
            <w:rStyle w:val="Hipervnculo"/>
            <w:noProof/>
          </w:rPr>
          <w:t>3.</w:t>
        </w:r>
        <w:r w:rsidR="008033D3">
          <w:rPr>
            <w:rFonts w:asciiTheme="minorHAnsi" w:eastAsiaTheme="minorEastAsia" w:hAnsiTheme="minorHAnsi"/>
            <w:noProof/>
            <w:sz w:val="22"/>
            <w:lang w:val="es-EC" w:eastAsia="es-EC"/>
          </w:rPr>
          <w:tab/>
        </w:r>
        <w:r w:rsidR="008033D3" w:rsidRPr="0039625A">
          <w:rPr>
            <w:rStyle w:val="Hipervnculo"/>
            <w:noProof/>
          </w:rPr>
          <w:t>Delimitación de la Investigación</w:t>
        </w:r>
        <w:r w:rsidR="008033D3">
          <w:rPr>
            <w:noProof/>
            <w:webHidden/>
          </w:rPr>
          <w:tab/>
        </w:r>
        <w:r w:rsidR="008033D3">
          <w:rPr>
            <w:noProof/>
            <w:webHidden/>
          </w:rPr>
          <w:fldChar w:fldCharType="begin"/>
        </w:r>
        <w:r w:rsidR="008033D3">
          <w:rPr>
            <w:noProof/>
            <w:webHidden/>
          </w:rPr>
          <w:instrText xml:space="preserve"> PAGEREF _Toc442343906 \h </w:instrText>
        </w:r>
        <w:r w:rsidR="008033D3">
          <w:rPr>
            <w:noProof/>
            <w:webHidden/>
          </w:rPr>
        </w:r>
        <w:r w:rsidR="008033D3">
          <w:rPr>
            <w:noProof/>
            <w:webHidden/>
          </w:rPr>
          <w:fldChar w:fldCharType="separate"/>
        </w:r>
        <w:r w:rsidR="009E77CA">
          <w:rPr>
            <w:noProof/>
            <w:webHidden/>
          </w:rPr>
          <w:t>12</w:t>
        </w:r>
        <w:r w:rsidR="008033D3">
          <w:rPr>
            <w:noProof/>
            <w:webHidden/>
          </w:rPr>
          <w:fldChar w:fldCharType="end"/>
        </w:r>
      </w:hyperlink>
    </w:p>
    <w:p w14:paraId="3D6AA601" w14:textId="77777777" w:rsidR="008033D3" w:rsidRDefault="00A82D2C" w:rsidP="008033D3">
      <w:pPr>
        <w:pStyle w:val="TDC1"/>
        <w:tabs>
          <w:tab w:val="right" w:leader="dot" w:pos="9113"/>
        </w:tabs>
        <w:spacing w:after="200" w:line="360" w:lineRule="auto"/>
        <w:rPr>
          <w:rFonts w:asciiTheme="minorHAnsi" w:eastAsiaTheme="minorEastAsia" w:hAnsiTheme="minorHAnsi"/>
          <w:b w:val="0"/>
          <w:noProof/>
          <w:sz w:val="22"/>
          <w:lang w:val="es-EC" w:eastAsia="es-EC"/>
        </w:rPr>
      </w:pPr>
      <w:hyperlink w:anchor="_Toc442343907" w:history="1">
        <w:r w:rsidR="008033D3" w:rsidRPr="0039625A">
          <w:rPr>
            <w:rStyle w:val="Hipervnculo"/>
            <w:noProof/>
          </w:rPr>
          <w:t>MARCO REFERENCIAL</w:t>
        </w:r>
        <w:r w:rsidR="008033D3">
          <w:rPr>
            <w:noProof/>
            <w:webHidden/>
          </w:rPr>
          <w:tab/>
        </w:r>
        <w:r w:rsidR="008033D3">
          <w:rPr>
            <w:noProof/>
            <w:webHidden/>
          </w:rPr>
          <w:fldChar w:fldCharType="begin"/>
        </w:r>
        <w:r w:rsidR="008033D3">
          <w:rPr>
            <w:noProof/>
            <w:webHidden/>
          </w:rPr>
          <w:instrText xml:space="preserve"> PAGEREF _Toc442343907 \h </w:instrText>
        </w:r>
        <w:r w:rsidR="008033D3">
          <w:rPr>
            <w:noProof/>
            <w:webHidden/>
          </w:rPr>
        </w:r>
        <w:r w:rsidR="008033D3">
          <w:rPr>
            <w:noProof/>
            <w:webHidden/>
          </w:rPr>
          <w:fldChar w:fldCharType="separate"/>
        </w:r>
        <w:r w:rsidR="009E77CA">
          <w:rPr>
            <w:noProof/>
            <w:webHidden/>
          </w:rPr>
          <w:t>13</w:t>
        </w:r>
        <w:r w:rsidR="008033D3">
          <w:rPr>
            <w:noProof/>
            <w:webHidden/>
          </w:rPr>
          <w:fldChar w:fldCharType="end"/>
        </w:r>
      </w:hyperlink>
    </w:p>
    <w:p w14:paraId="3F6F5BFD" w14:textId="77777777" w:rsidR="008033D3" w:rsidRDefault="00A82D2C" w:rsidP="008033D3">
      <w:pPr>
        <w:pStyle w:val="TDC2"/>
        <w:tabs>
          <w:tab w:val="left" w:pos="660"/>
          <w:tab w:val="right" w:leader="dot" w:pos="9113"/>
        </w:tabs>
        <w:spacing w:after="200" w:line="360" w:lineRule="auto"/>
        <w:rPr>
          <w:rFonts w:asciiTheme="minorHAnsi" w:eastAsiaTheme="minorEastAsia" w:hAnsiTheme="minorHAnsi"/>
          <w:noProof/>
          <w:sz w:val="22"/>
          <w:lang w:val="es-EC" w:eastAsia="es-EC"/>
        </w:rPr>
      </w:pPr>
      <w:hyperlink w:anchor="_Toc442343908" w:history="1">
        <w:r w:rsidR="008033D3" w:rsidRPr="0039625A">
          <w:rPr>
            <w:rStyle w:val="Hipervnculo"/>
            <w:noProof/>
          </w:rPr>
          <w:t>1.</w:t>
        </w:r>
        <w:r w:rsidR="008033D3">
          <w:rPr>
            <w:rFonts w:asciiTheme="minorHAnsi" w:eastAsiaTheme="minorEastAsia" w:hAnsiTheme="minorHAnsi"/>
            <w:noProof/>
            <w:sz w:val="22"/>
            <w:lang w:val="es-EC" w:eastAsia="es-EC"/>
          </w:rPr>
          <w:tab/>
        </w:r>
        <w:r w:rsidR="008033D3" w:rsidRPr="0039625A">
          <w:rPr>
            <w:rStyle w:val="Hipervnculo"/>
            <w:noProof/>
          </w:rPr>
          <w:t>Antecedentes de la Investigación</w:t>
        </w:r>
        <w:r w:rsidR="008033D3">
          <w:rPr>
            <w:noProof/>
            <w:webHidden/>
          </w:rPr>
          <w:tab/>
        </w:r>
        <w:r w:rsidR="008033D3">
          <w:rPr>
            <w:noProof/>
            <w:webHidden/>
          </w:rPr>
          <w:fldChar w:fldCharType="begin"/>
        </w:r>
        <w:r w:rsidR="008033D3">
          <w:rPr>
            <w:noProof/>
            <w:webHidden/>
          </w:rPr>
          <w:instrText xml:space="preserve"> PAGEREF _Toc442343908 \h </w:instrText>
        </w:r>
        <w:r w:rsidR="008033D3">
          <w:rPr>
            <w:noProof/>
            <w:webHidden/>
          </w:rPr>
        </w:r>
        <w:r w:rsidR="008033D3">
          <w:rPr>
            <w:noProof/>
            <w:webHidden/>
          </w:rPr>
          <w:fldChar w:fldCharType="separate"/>
        </w:r>
        <w:r w:rsidR="009E77CA">
          <w:rPr>
            <w:noProof/>
            <w:webHidden/>
          </w:rPr>
          <w:t>13</w:t>
        </w:r>
        <w:r w:rsidR="008033D3">
          <w:rPr>
            <w:noProof/>
            <w:webHidden/>
          </w:rPr>
          <w:fldChar w:fldCharType="end"/>
        </w:r>
      </w:hyperlink>
    </w:p>
    <w:p w14:paraId="2E28DAC5" w14:textId="77777777" w:rsidR="008033D3" w:rsidRDefault="00A82D2C" w:rsidP="008033D3">
      <w:pPr>
        <w:pStyle w:val="TDC2"/>
        <w:tabs>
          <w:tab w:val="left" w:pos="660"/>
          <w:tab w:val="right" w:leader="dot" w:pos="9113"/>
        </w:tabs>
        <w:spacing w:after="200" w:line="360" w:lineRule="auto"/>
        <w:rPr>
          <w:rFonts w:asciiTheme="minorHAnsi" w:eastAsiaTheme="minorEastAsia" w:hAnsiTheme="minorHAnsi"/>
          <w:noProof/>
          <w:sz w:val="22"/>
          <w:lang w:val="es-EC" w:eastAsia="es-EC"/>
        </w:rPr>
      </w:pPr>
      <w:hyperlink w:anchor="_Toc442343909" w:history="1">
        <w:r w:rsidR="008033D3" w:rsidRPr="0039625A">
          <w:rPr>
            <w:rStyle w:val="Hipervnculo"/>
            <w:noProof/>
          </w:rPr>
          <w:t>2.</w:t>
        </w:r>
        <w:r w:rsidR="008033D3">
          <w:rPr>
            <w:rFonts w:asciiTheme="minorHAnsi" w:eastAsiaTheme="minorEastAsia" w:hAnsiTheme="minorHAnsi"/>
            <w:noProof/>
            <w:sz w:val="22"/>
            <w:lang w:val="es-EC" w:eastAsia="es-EC"/>
          </w:rPr>
          <w:tab/>
        </w:r>
        <w:r w:rsidR="008033D3" w:rsidRPr="0039625A">
          <w:rPr>
            <w:rStyle w:val="Hipervnculo"/>
            <w:noProof/>
          </w:rPr>
          <w:t>Bases teóricas</w:t>
        </w:r>
        <w:r w:rsidR="008033D3">
          <w:rPr>
            <w:noProof/>
            <w:webHidden/>
          </w:rPr>
          <w:tab/>
        </w:r>
        <w:r w:rsidR="008033D3">
          <w:rPr>
            <w:noProof/>
            <w:webHidden/>
          </w:rPr>
          <w:fldChar w:fldCharType="begin"/>
        </w:r>
        <w:r w:rsidR="008033D3">
          <w:rPr>
            <w:noProof/>
            <w:webHidden/>
          </w:rPr>
          <w:instrText xml:space="preserve"> PAGEREF _Toc442343909 \h </w:instrText>
        </w:r>
        <w:r w:rsidR="008033D3">
          <w:rPr>
            <w:noProof/>
            <w:webHidden/>
          </w:rPr>
        </w:r>
        <w:r w:rsidR="008033D3">
          <w:rPr>
            <w:noProof/>
            <w:webHidden/>
          </w:rPr>
          <w:fldChar w:fldCharType="separate"/>
        </w:r>
        <w:r w:rsidR="009E77CA">
          <w:rPr>
            <w:noProof/>
            <w:webHidden/>
          </w:rPr>
          <w:t>18</w:t>
        </w:r>
        <w:r w:rsidR="008033D3">
          <w:rPr>
            <w:noProof/>
            <w:webHidden/>
          </w:rPr>
          <w:fldChar w:fldCharType="end"/>
        </w:r>
      </w:hyperlink>
    </w:p>
    <w:p w14:paraId="705D7395" w14:textId="77777777" w:rsidR="008033D3" w:rsidRDefault="00A82D2C" w:rsidP="008033D3">
      <w:pPr>
        <w:pStyle w:val="TDC3"/>
        <w:tabs>
          <w:tab w:val="left" w:pos="1100"/>
          <w:tab w:val="right" w:leader="dot" w:pos="9113"/>
        </w:tabs>
        <w:spacing w:after="200" w:line="360" w:lineRule="auto"/>
        <w:rPr>
          <w:rFonts w:asciiTheme="minorHAnsi" w:eastAsiaTheme="minorEastAsia" w:hAnsiTheme="minorHAnsi"/>
          <w:noProof/>
          <w:sz w:val="22"/>
          <w:lang w:val="es-EC" w:eastAsia="es-EC"/>
        </w:rPr>
      </w:pPr>
      <w:hyperlink w:anchor="_Toc442343910" w:history="1">
        <w:r w:rsidR="008033D3" w:rsidRPr="0039625A">
          <w:rPr>
            <w:rStyle w:val="Hipervnculo"/>
            <w:noProof/>
          </w:rPr>
          <w:t>2.1</w:t>
        </w:r>
        <w:r w:rsidR="008033D3">
          <w:rPr>
            <w:rFonts w:asciiTheme="minorHAnsi" w:eastAsiaTheme="minorEastAsia" w:hAnsiTheme="minorHAnsi"/>
            <w:noProof/>
            <w:sz w:val="22"/>
            <w:lang w:val="es-EC" w:eastAsia="es-EC"/>
          </w:rPr>
          <w:tab/>
        </w:r>
        <w:r w:rsidR="008033D3" w:rsidRPr="0039625A">
          <w:rPr>
            <w:rStyle w:val="Hipervnculo"/>
            <w:noProof/>
          </w:rPr>
          <w:t>Escuela Clásica del Comercio Internacional</w:t>
        </w:r>
        <w:r w:rsidR="008033D3">
          <w:rPr>
            <w:noProof/>
            <w:webHidden/>
          </w:rPr>
          <w:tab/>
        </w:r>
        <w:r w:rsidR="008033D3">
          <w:rPr>
            <w:noProof/>
            <w:webHidden/>
          </w:rPr>
          <w:fldChar w:fldCharType="begin"/>
        </w:r>
        <w:r w:rsidR="008033D3">
          <w:rPr>
            <w:noProof/>
            <w:webHidden/>
          </w:rPr>
          <w:instrText xml:space="preserve"> PAGEREF _Toc442343910 \h </w:instrText>
        </w:r>
        <w:r w:rsidR="008033D3">
          <w:rPr>
            <w:noProof/>
            <w:webHidden/>
          </w:rPr>
        </w:r>
        <w:r w:rsidR="008033D3">
          <w:rPr>
            <w:noProof/>
            <w:webHidden/>
          </w:rPr>
          <w:fldChar w:fldCharType="separate"/>
        </w:r>
        <w:r w:rsidR="009E77CA">
          <w:rPr>
            <w:noProof/>
            <w:webHidden/>
          </w:rPr>
          <w:t>18</w:t>
        </w:r>
        <w:r w:rsidR="008033D3">
          <w:rPr>
            <w:noProof/>
            <w:webHidden/>
          </w:rPr>
          <w:fldChar w:fldCharType="end"/>
        </w:r>
      </w:hyperlink>
    </w:p>
    <w:p w14:paraId="4C2807ED" w14:textId="77777777" w:rsidR="008033D3" w:rsidRDefault="00A82D2C" w:rsidP="008033D3">
      <w:pPr>
        <w:pStyle w:val="TDC3"/>
        <w:tabs>
          <w:tab w:val="left" w:pos="1100"/>
          <w:tab w:val="right" w:leader="dot" w:pos="9113"/>
        </w:tabs>
        <w:spacing w:after="200" w:line="360" w:lineRule="auto"/>
        <w:rPr>
          <w:rFonts w:asciiTheme="minorHAnsi" w:eastAsiaTheme="minorEastAsia" w:hAnsiTheme="minorHAnsi"/>
          <w:noProof/>
          <w:sz w:val="22"/>
          <w:lang w:val="es-EC" w:eastAsia="es-EC"/>
        </w:rPr>
      </w:pPr>
      <w:hyperlink w:anchor="_Toc442343911" w:history="1">
        <w:r w:rsidR="008033D3" w:rsidRPr="0039625A">
          <w:rPr>
            <w:rStyle w:val="Hipervnculo"/>
            <w:noProof/>
          </w:rPr>
          <w:t>2.2</w:t>
        </w:r>
        <w:r w:rsidR="008033D3">
          <w:rPr>
            <w:rFonts w:asciiTheme="minorHAnsi" w:eastAsiaTheme="minorEastAsia" w:hAnsiTheme="minorHAnsi"/>
            <w:noProof/>
            <w:sz w:val="22"/>
            <w:lang w:val="es-EC" w:eastAsia="es-EC"/>
          </w:rPr>
          <w:tab/>
        </w:r>
        <w:r w:rsidR="008033D3" w:rsidRPr="0039625A">
          <w:rPr>
            <w:rStyle w:val="Hipervnculo"/>
            <w:noProof/>
          </w:rPr>
          <w:t>Escuela Neoclásica del Comercio Internacional</w:t>
        </w:r>
        <w:r w:rsidR="008033D3">
          <w:rPr>
            <w:noProof/>
            <w:webHidden/>
          </w:rPr>
          <w:tab/>
        </w:r>
        <w:r w:rsidR="008033D3">
          <w:rPr>
            <w:noProof/>
            <w:webHidden/>
          </w:rPr>
          <w:fldChar w:fldCharType="begin"/>
        </w:r>
        <w:r w:rsidR="008033D3">
          <w:rPr>
            <w:noProof/>
            <w:webHidden/>
          </w:rPr>
          <w:instrText xml:space="preserve"> PAGEREF _Toc442343911 \h </w:instrText>
        </w:r>
        <w:r w:rsidR="008033D3">
          <w:rPr>
            <w:noProof/>
            <w:webHidden/>
          </w:rPr>
        </w:r>
        <w:r w:rsidR="008033D3">
          <w:rPr>
            <w:noProof/>
            <w:webHidden/>
          </w:rPr>
          <w:fldChar w:fldCharType="separate"/>
        </w:r>
        <w:r w:rsidR="009E77CA">
          <w:rPr>
            <w:noProof/>
            <w:webHidden/>
          </w:rPr>
          <w:t>18</w:t>
        </w:r>
        <w:r w:rsidR="008033D3">
          <w:rPr>
            <w:noProof/>
            <w:webHidden/>
          </w:rPr>
          <w:fldChar w:fldCharType="end"/>
        </w:r>
      </w:hyperlink>
    </w:p>
    <w:p w14:paraId="36C4DF0C" w14:textId="77777777" w:rsidR="008033D3" w:rsidRDefault="00A82D2C" w:rsidP="008033D3">
      <w:pPr>
        <w:pStyle w:val="TDC3"/>
        <w:tabs>
          <w:tab w:val="left" w:pos="1100"/>
          <w:tab w:val="right" w:leader="dot" w:pos="9113"/>
        </w:tabs>
        <w:spacing w:after="200" w:line="360" w:lineRule="auto"/>
        <w:rPr>
          <w:rFonts w:asciiTheme="minorHAnsi" w:eastAsiaTheme="minorEastAsia" w:hAnsiTheme="minorHAnsi"/>
          <w:noProof/>
          <w:sz w:val="22"/>
          <w:lang w:val="es-EC" w:eastAsia="es-EC"/>
        </w:rPr>
      </w:pPr>
      <w:hyperlink w:anchor="_Toc442343912" w:history="1">
        <w:r w:rsidR="008033D3" w:rsidRPr="0039625A">
          <w:rPr>
            <w:rStyle w:val="Hipervnculo"/>
            <w:noProof/>
          </w:rPr>
          <w:t xml:space="preserve">2.3. </w:t>
        </w:r>
        <w:r w:rsidR="008033D3">
          <w:rPr>
            <w:rFonts w:asciiTheme="minorHAnsi" w:eastAsiaTheme="minorEastAsia" w:hAnsiTheme="minorHAnsi"/>
            <w:noProof/>
            <w:sz w:val="22"/>
            <w:lang w:val="es-EC" w:eastAsia="es-EC"/>
          </w:rPr>
          <w:tab/>
        </w:r>
        <w:r w:rsidR="008033D3" w:rsidRPr="0039625A">
          <w:rPr>
            <w:rStyle w:val="Hipervnculo"/>
            <w:noProof/>
          </w:rPr>
          <w:t>Nueva teoría del comercio internacional</w:t>
        </w:r>
        <w:r w:rsidR="008033D3">
          <w:rPr>
            <w:noProof/>
            <w:webHidden/>
          </w:rPr>
          <w:tab/>
        </w:r>
        <w:r w:rsidR="008033D3">
          <w:rPr>
            <w:noProof/>
            <w:webHidden/>
          </w:rPr>
          <w:fldChar w:fldCharType="begin"/>
        </w:r>
        <w:r w:rsidR="008033D3">
          <w:rPr>
            <w:noProof/>
            <w:webHidden/>
          </w:rPr>
          <w:instrText xml:space="preserve"> PAGEREF _Toc442343912 \h </w:instrText>
        </w:r>
        <w:r w:rsidR="008033D3">
          <w:rPr>
            <w:noProof/>
            <w:webHidden/>
          </w:rPr>
        </w:r>
        <w:r w:rsidR="008033D3">
          <w:rPr>
            <w:noProof/>
            <w:webHidden/>
          </w:rPr>
          <w:fldChar w:fldCharType="separate"/>
        </w:r>
        <w:r w:rsidR="009E77CA">
          <w:rPr>
            <w:noProof/>
            <w:webHidden/>
          </w:rPr>
          <w:t>19</w:t>
        </w:r>
        <w:r w:rsidR="008033D3">
          <w:rPr>
            <w:noProof/>
            <w:webHidden/>
          </w:rPr>
          <w:fldChar w:fldCharType="end"/>
        </w:r>
      </w:hyperlink>
    </w:p>
    <w:p w14:paraId="39ADA1EE" w14:textId="77777777" w:rsidR="008033D3" w:rsidRDefault="00A82D2C" w:rsidP="008033D3">
      <w:pPr>
        <w:pStyle w:val="TDC2"/>
        <w:tabs>
          <w:tab w:val="left" w:pos="660"/>
          <w:tab w:val="right" w:leader="dot" w:pos="9113"/>
        </w:tabs>
        <w:spacing w:after="200" w:line="360" w:lineRule="auto"/>
        <w:rPr>
          <w:rFonts w:asciiTheme="minorHAnsi" w:eastAsiaTheme="minorEastAsia" w:hAnsiTheme="minorHAnsi"/>
          <w:noProof/>
          <w:sz w:val="22"/>
          <w:lang w:val="es-EC" w:eastAsia="es-EC"/>
        </w:rPr>
      </w:pPr>
      <w:hyperlink w:anchor="_Toc442343913" w:history="1">
        <w:r w:rsidR="008033D3" w:rsidRPr="0039625A">
          <w:rPr>
            <w:rStyle w:val="Hipervnculo"/>
            <w:noProof/>
          </w:rPr>
          <w:t>3</w:t>
        </w:r>
        <w:r w:rsidR="008033D3">
          <w:rPr>
            <w:rFonts w:asciiTheme="minorHAnsi" w:eastAsiaTheme="minorEastAsia" w:hAnsiTheme="minorHAnsi"/>
            <w:noProof/>
            <w:sz w:val="22"/>
            <w:lang w:val="es-EC" w:eastAsia="es-EC"/>
          </w:rPr>
          <w:tab/>
        </w:r>
        <w:r w:rsidR="008033D3" w:rsidRPr="0039625A">
          <w:rPr>
            <w:rStyle w:val="Hipervnculo"/>
            <w:noProof/>
          </w:rPr>
          <w:t>Herramienta de estudio</w:t>
        </w:r>
        <w:r w:rsidR="008033D3">
          <w:rPr>
            <w:noProof/>
            <w:webHidden/>
          </w:rPr>
          <w:tab/>
        </w:r>
        <w:r w:rsidR="008033D3">
          <w:rPr>
            <w:noProof/>
            <w:webHidden/>
          </w:rPr>
          <w:fldChar w:fldCharType="begin"/>
        </w:r>
        <w:r w:rsidR="008033D3">
          <w:rPr>
            <w:noProof/>
            <w:webHidden/>
          </w:rPr>
          <w:instrText xml:space="preserve"> PAGEREF _Toc442343913 \h </w:instrText>
        </w:r>
        <w:r w:rsidR="008033D3">
          <w:rPr>
            <w:noProof/>
            <w:webHidden/>
          </w:rPr>
        </w:r>
        <w:r w:rsidR="008033D3">
          <w:rPr>
            <w:noProof/>
            <w:webHidden/>
          </w:rPr>
          <w:fldChar w:fldCharType="separate"/>
        </w:r>
        <w:r w:rsidR="009E77CA">
          <w:rPr>
            <w:noProof/>
            <w:webHidden/>
          </w:rPr>
          <w:t>20</w:t>
        </w:r>
        <w:r w:rsidR="008033D3">
          <w:rPr>
            <w:noProof/>
            <w:webHidden/>
          </w:rPr>
          <w:fldChar w:fldCharType="end"/>
        </w:r>
      </w:hyperlink>
    </w:p>
    <w:p w14:paraId="552A07BE" w14:textId="77777777" w:rsidR="008033D3" w:rsidRDefault="00A82D2C" w:rsidP="008033D3">
      <w:pPr>
        <w:pStyle w:val="TDC3"/>
        <w:tabs>
          <w:tab w:val="left" w:pos="1100"/>
          <w:tab w:val="right" w:leader="dot" w:pos="9113"/>
        </w:tabs>
        <w:spacing w:after="200" w:line="360" w:lineRule="auto"/>
        <w:rPr>
          <w:rFonts w:asciiTheme="minorHAnsi" w:eastAsiaTheme="minorEastAsia" w:hAnsiTheme="minorHAnsi"/>
          <w:noProof/>
          <w:sz w:val="22"/>
          <w:lang w:val="es-EC" w:eastAsia="es-EC"/>
        </w:rPr>
      </w:pPr>
      <w:hyperlink w:anchor="_Toc442343914" w:history="1">
        <w:r w:rsidR="008033D3" w:rsidRPr="0039625A">
          <w:rPr>
            <w:rStyle w:val="Hipervnculo"/>
            <w:noProof/>
          </w:rPr>
          <w:t>3.1</w:t>
        </w:r>
        <w:r w:rsidR="008033D3">
          <w:rPr>
            <w:rFonts w:asciiTheme="minorHAnsi" w:eastAsiaTheme="minorEastAsia" w:hAnsiTheme="minorHAnsi"/>
            <w:noProof/>
            <w:sz w:val="22"/>
            <w:lang w:val="es-EC" w:eastAsia="es-EC"/>
          </w:rPr>
          <w:tab/>
        </w:r>
        <w:r w:rsidR="008033D3" w:rsidRPr="0039625A">
          <w:rPr>
            <w:rStyle w:val="Hipervnculo"/>
            <w:noProof/>
          </w:rPr>
          <w:t>Normativas arancelarias</w:t>
        </w:r>
        <w:r w:rsidR="008033D3">
          <w:rPr>
            <w:noProof/>
            <w:webHidden/>
          </w:rPr>
          <w:tab/>
        </w:r>
        <w:r w:rsidR="008033D3">
          <w:rPr>
            <w:noProof/>
            <w:webHidden/>
          </w:rPr>
          <w:fldChar w:fldCharType="begin"/>
        </w:r>
        <w:r w:rsidR="008033D3">
          <w:rPr>
            <w:noProof/>
            <w:webHidden/>
          </w:rPr>
          <w:instrText xml:space="preserve"> PAGEREF _Toc442343914 \h </w:instrText>
        </w:r>
        <w:r w:rsidR="008033D3">
          <w:rPr>
            <w:noProof/>
            <w:webHidden/>
          </w:rPr>
        </w:r>
        <w:r w:rsidR="008033D3">
          <w:rPr>
            <w:noProof/>
            <w:webHidden/>
          </w:rPr>
          <w:fldChar w:fldCharType="separate"/>
        </w:r>
        <w:r w:rsidR="009E77CA">
          <w:rPr>
            <w:noProof/>
            <w:webHidden/>
          </w:rPr>
          <w:t>20</w:t>
        </w:r>
        <w:r w:rsidR="008033D3">
          <w:rPr>
            <w:noProof/>
            <w:webHidden/>
          </w:rPr>
          <w:fldChar w:fldCharType="end"/>
        </w:r>
      </w:hyperlink>
    </w:p>
    <w:p w14:paraId="4877ED86" w14:textId="77777777" w:rsidR="008033D3" w:rsidRDefault="00A82D2C" w:rsidP="008033D3">
      <w:pPr>
        <w:pStyle w:val="TDC4"/>
        <w:tabs>
          <w:tab w:val="left" w:pos="1540"/>
          <w:tab w:val="right" w:leader="dot" w:pos="9113"/>
        </w:tabs>
        <w:spacing w:before="0" w:after="200" w:line="360" w:lineRule="auto"/>
        <w:rPr>
          <w:rFonts w:asciiTheme="minorHAnsi" w:eastAsiaTheme="minorEastAsia" w:hAnsiTheme="minorHAnsi" w:cstheme="minorBidi"/>
          <w:bCs w:val="0"/>
          <w:iCs w:val="0"/>
          <w:noProof/>
          <w:color w:val="auto"/>
          <w:sz w:val="22"/>
          <w:szCs w:val="22"/>
          <w:bdr w:val="none" w:sz="0" w:space="0" w:color="auto"/>
          <w:lang w:val="es-EC"/>
        </w:rPr>
      </w:pPr>
      <w:hyperlink w:anchor="_Toc442343915" w:history="1">
        <w:r w:rsidR="008033D3" w:rsidRPr="0039625A">
          <w:rPr>
            <w:rStyle w:val="Hipervnculo"/>
            <w:noProof/>
          </w:rPr>
          <w:t>3.1.1</w:t>
        </w:r>
        <w:r w:rsidR="008033D3">
          <w:rPr>
            <w:rFonts w:asciiTheme="minorHAnsi" w:eastAsiaTheme="minorEastAsia" w:hAnsiTheme="minorHAnsi" w:cstheme="minorBidi"/>
            <w:bCs w:val="0"/>
            <w:iCs w:val="0"/>
            <w:noProof/>
            <w:color w:val="auto"/>
            <w:sz w:val="22"/>
            <w:szCs w:val="22"/>
            <w:bdr w:val="none" w:sz="0" w:space="0" w:color="auto"/>
            <w:lang w:val="es-EC"/>
          </w:rPr>
          <w:tab/>
        </w:r>
        <w:r w:rsidR="008033D3" w:rsidRPr="0039625A">
          <w:rPr>
            <w:rStyle w:val="Hipervnculo"/>
            <w:noProof/>
          </w:rPr>
          <w:t>Modificaciones Históricas</w:t>
        </w:r>
        <w:r w:rsidR="008033D3">
          <w:rPr>
            <w:noProof/>
            <w:webHidden/>
          </w:rPr>
          <w:tab/>
        </w:r>
        <w:r w:rsidR="008033D3">
          <w:rPr>
            <w:noProof/>
            <w:webHidden/>
          </w:rPr>
          <w:fldChar w:fldCharType="begin"/>
        </w:r>
        <w:r w:rsidR="008033D3">
          <w:rPr>
            <w:noProof/>
            <w:webHidden/>
          </w:rPr>
          <w:instrText xml:space="preserve"> PAGEREF _Toc442343915 \h </w:instrText>
        </w:r>
        <w:r w:rsidR="008033D3">
          <w:rPr>
            <w:noProof/>
            <w:webHidden/>
          </w:rPr>
        </w:r>
        <w:r w:rsidR="008033D3">
          <w:rPr>
            <w:noProof/>
            <w:webHidden/>
          </w:rPr>
          <w:fldChar w:fldCharType="separate"/>
        </w:r>
        <w:r w:rsidR="009E77CA">
          <w:rPr>
            <w:noProof/>
            <w:webHidden/>
          </w:rPr>
          <w:t>20</w:t>
        </w:r>
        <w:r w:rsidR="008033D3">
          <w:rPr>
            <w:noProof/>
            <w:webHidden/>
          </w:rPr>
          <w:fldChar w:fldCharType="end"/>
        </w:r>
      </w:hyperlink>
    </w:p>
    <w:p w14:paraId="3BDFFDEE" w14:textId="77777777" w:rsidR="008033D3" w:rsidRDefault="00A82D2C" w:rsidP="008033D3">
      <w:pPr>
        <w:pStyle w:val="TDC4"/>
        <w:tabs>
          <w:tab w:val="left" w:pos="1540"/>
          <w:tab w:val="right" w:leader="dot" w:pos="9113"/>
        </w:tabs>
        <w:spacing w:before="0" w:after="200" w:line="360" w:lineRule="auto"/>
        <w:rPr>
          <w:rFonts w:asciiTheme="minorHAnsi" w:eastAsiaTheme="minorEastAsia" w:hAnsiTheme="minorHAnsi" w:cstheme="minorBidi"/>
          <w:bCs w:val="0"/>
          <w:iCs w:val="0"/>
          <w:noProof/>
          <w:color w:val="auto"/>
          <w:sz w:val="22"/>
          <w:szCs w:val="22"/>
          <w:bdr w:val="none" w:sz="0" w:space="0" w:color="auto"/>
          <w:lang w:val="es-EC"/>
        </w:rPr>
      </w:pPr>
      <w:hyperlink w:anchor="_Toc442343916" w:history="1">
        <w:r w:rsidR="008033D3" w:rsidRPr="0039625A">
          <w:rPr>
            <w:rStyle w:val="Hipervnculo"/>
            <w:noProof/>
          </w:rPr>
          <w:t>3.1.2</w:t>
        </w:r>
        <w:r w:rsidR="008033D3">
          <w:rPr>
            <w:rFonts w:asciiTheme="minorHAnsi" w:eastAsiaTheme="minorEastAsia" w:hAnsiTheme="minorHAnsi" w:cstheme="minorBidi"/>
            <w:bCs w:val="0"/>
            <w:iCs w:val="0"/>
            <w:noProof/>
            <w:color w:val="auto"/>
            <w:sz w:val="22"/>
            <w:szCs w:val="22"/>
            <w:bdr w:val="none" w:sz="0" w:space="0" w:color="auto"/>
            <w:lang w:val="es-EC"/>
          </w:rPr>
          <w:tab/>
        </w:r>
        <w:r w:rsidR="008033D3" w:rsidRPr="0039625A">
          <w:rPr>
            <w:rStyle w:val="Hipervnculo"/>
            <w:noProof/>
          </w:rPr>
          <w:t>Regímenes Arancelarios</w:t>
        </w:r>
        <w:r w:rsidR="008033D3">
          <w:rPr>
            <w:noProof/>
            <w:webHidden/>
          </w:rPr>
          <w:tab/>
        </w:r>
        <w:r w:rsidR="008033D3">
          <w:rPr>
            <w:noProof/>
            <w:webHidden/>
          </w:rPr>
          <w:fldChar w:fldCharType="begin"/>
        </w:r>
        <w:r w:rsidR="008033D3">
          <w:rPr>
            <w:noProof/>
            <w:webHidden/>
          </w:rPr>
          <w:instrText xml:space="preserve"> PAGEREF _Toc442343916 \h </w:instrText>
        </w:r>
        <w:r w:rsidR="008033D3">
          <w:rPr>
            <w:noProof/>
            <w:webHidden/>
          </w:rPr>
        </w:r>
        <w:r w:rsidR="008033D3">
          <w:rPr>
            <w:noProof/>
            <w:webHidden/>
          </w:rPr>
          <w:fldChar w:fldCharType="separate"/>
        </w:r>
        <w:r w:rsidR="009E77CA">
          <w:rPr>
            <w:noProof/>
            <w:webHidden/>
          </w:rPr>
          <w:t>22</w:t>
        </w:r>
        <w:r w:rsidR="008033D3">
          <w:rPr>
            <w:noProof/>
            <w:webHidden/>
          </w:rPr>
          <w:fldChar w:fldCharType="end"/>
        </w:r>
      </w:hyperlink>
    </w:p>
    <w:p w14:paraId="1B1D5B8B" w14:textId="77777777" w:rsidR="008033D3" w:rsidRDefault="00A82D2C" w:rsidP="008033D3">
      <w:pPr>
        <w:pStyle w:val="TDC1"/>
        <w:tabs>
          <w:tab w:val="right" w:leader="dot" w:pos="9113"/>
        </w:tabs>
        <w:spacing w:after="200" w:line="360" w:lineRule="auto"/>
        <w:rPr>
          <w:rFonts w:asciiTheme="minorHAnsi" w:eastAsiaTheme="minorEastAsia" w:hAnsiTheme="minorHAnsi"/>
          <w:b w:val="0"/>
          <w:noProof/>
          <w:sz w:val="22"/>
          <w:lang w:val="es-EC" w:eastAsia="es-EC"/>
        </w:rPr>
      </w:pPr>
      <w:hyperlink w:anchor="_Toc442343917" w:history="1">
        <w:r w:rsidR="008033D3" w:rsidRPr="0039625A">
          <w:rPr>
            <w:rStyle w:val="Hipervnculo"/>
            <w:noProof/>
          </w:rPr>
          <w:t>METODOLOGÍA DE LA INVESTIGACIÓN</w:t>
        </w:r>
        <w:r w:rsidR="008033D3">
          <w:rPr>
            <w:noProof/>
            <w:webHidden/>
          </w:rPr>
          <w:tab/>
        </w:r>
        <w:r w:rsidR="008033D3">
          <w:rPr>
            <w:noProof/>
            <w:webHidden/>
          </w:rPr>
          <w:fldChar w:fldCharType="begin"/>
        </w:r>
        <w:r w:rsidR="008033D3">
          <w:rPr>
            <w:noProof/>
            <w:webHidden/>
          </w:rPr>
          <w:instrText xml:space="preserve"> PAGEREF _Toc442343917 \h </w:instrText>
        </w:r>
        <w:r w:rsidR="008033D3">
          <w:rPr>
            <w:noProof/>
            <w:webHidden/>
          </w:rPr>
        </w:r>
        <w:r w:rsidR="008033D3">
          <w:rPr>
            <w:noProof/>
            <w:webHidden/>
          </w:rPr>
          <w:fldChar w:fldCharType="separate"/>
        </w:r>
        <w:r w:rsidR="009E77CA">
          <w:rPr>
            <w:noProof/>
            <w:webHidden/>
          </w:rPr>
          <w:t>24</w:t>
        </w:r>
        <w:r w:rsidR="008033D3">
          <w:rPr>
            <w:noProof/>
            <w:webHidden/>
          </w:rPr>
          <w:fldChar w:fldCharType="end"/>
        </w:r>
      </w:hyperlink>
    </w:p>
    <w:p w14:paraId="504DB34B" w14:textId="77777777" w:rsidR="008033D3" w:rsidRDefault="00A82D2C" w:rsidP="008033D3">
      <w:pPr>
        <w:pStyle w:val="TDC3"/>
        <w:tabs>
          <w:tab w:val="left" w:pos="1100"/>
          <w:tab w:val="right" w:leader="dot" w:pos="9113"/>
        </w:tabs>
        <w:spacing w:after="200" w:line="360" w:lineRule="auto"/>
        <w:rPr>
          <w:rFonts w:asciiTheme="minorHAnsi" w:eastAsiaTheme="minorEastAsia" w:hAnsiTheme="minorHAnsi"/>
          <w:noProof/>
          <w:sz w:val="22"/>
          <w:lang w:val="es-EC" w:eastAsia="es-EC"/>
        </w:rPr>
      </w:pPr>
      <w:hyperlink w:anchor="_Toc442343918" w:history="1">
        <w:r w:rsidR="008033D3" w:rsidRPr="0039625A">
          <w:rPr>
            <w:rStyle w:val="Hipervnculo"/>
            <w:noProof/>
          </w:rPr>
          <w:t>1.1</w:t>
        </w:r>
        <w:r w:rsidR="008033D3">
          <w:rPr>
            <w:rFonts w:asciiTheme="minorHAnsi" w:eastAsiaTheme="minorEastAsia" w:hAnsiTheme="minorHAnsi"/>
            <w:noProof/>
            <w:sz w:val="22"/>
            <w:lang w:val="es-EC" w:eastAsia="es-EC"/>
          </w:rPr>
          <w:tab/>
        </w:r>
        <w:r w:rsidR="008033D3" w:rsidRPr="0039625A">
          <w:rPr>
            <w:rStyle w:val="Hipervnculo"/>
            <w:noProof/>
          </w:rPr>
          <w:t>Tipo de Investigación</w:t>
        </w:r>
        <w:r w:rsidR="008033D3">
          <w:rPr>
            <w:noProof/>
            <w:webHidden/>
          </w:rPr>
          <w:tab/>
        </w:r>
        <w:r w:rsidR="008033D3">
          <w:rPr>
            <w:noProof/>
            <w:webHidden/>
          </w:rPr>
          <w:fldChar w:fldCharType="begin"/>
        </w:r>
        <w:r w:rsidR="008033D3">
          <w:rPr>
            <w:noProof/>
            <w:webHidden/>
          </w:rPr>
          <w:instrText xml:space="preserve"> PAGEREF _Toc442343918 \h </w:instrText>
        </w:r>
        <w:r w:rsidR="008033D3">
          <w:rPr>
            <w:noProof/>
            <w:webHidden/>
          </w:rPr>
        </w:r>
        <w:r w:rsidR="008033D3">
          <w:rPr>
            <w:noProof/>
            <w:webHidden/>
          </w:rPr>
          <w:fldChar w:fldCharType="separate"/>
        </w:r>
        <w:r w:rsidR="009E77CA">
          <w:rPr>
            <w:noProof/>
            <w:webHidden/>
          </w:rPr>
          <w:t>24</w:t>
        </w:r>
        <w:r w:rsidR="008033D3">
          <w:rPr>
            <w:noProof/>
            <w:webHidden/>
          </w:rPr>
          <w:fldChar w:fldCharType="end"/>
        </w:r>
      </w:hyperlink>
    </w:p>
    <w:p w14:paraId="4FE42F3E" w14:textId="77777777" w:rsidR="008033D3" w:rsidRDefault="00A82D2C" w:rsidP="008033D3">
      <w:pPr>
        <w:pStyle w:val="TDC3"/>
        <w:tabs>
          <w:tab w:val="left" w:pos="1100"/>
          <w:tab w:val="right" w:leader="dot" w:pos="9113"/>
        </w:tabs>
        <w:spacing w:after="200" w:line="360" w:lineRule="auto"/>
        <w:rPr>
          <w:rFonts w:asciiTheme="minorHAnsi" w:eastAsiaTheme="minorEastAsia" w:hAnsiTheme="minorHAnsi"/>
          <w:noProof/>
          <w:sz w:val="22"/>
          <w:lang w:val="es-EC" w:eastAsia="es-EC"/>
        </w:rPr>
      </w:pPr>
      <w:hyperlink w:anchor="_Toc442343919" w:history="1">
        <w:r w:rsidR="008033D3" w:rsidRPr="0039625A">
          <w:rPr>
            <w:rStyle w:val="Hipervnculo"/>
            <w:noProof/>
          </w:rPr>
          <w:t>1.2</w:t>
        </w:r>
        <w:r w:rsidR="008033D3">
          <w:rPr>
            <w:rFonts w:asciiTheme="minorHAnsi" w:eastAsiaTheme="minorEastAsia" w:hAnsiTheme="minorHAnsi"/>
            <w:noProof/>
            <w:sz w:val="22"/>
            <w:lang w:val="es-EC" w:eastAsia="es-EC"/>
          </w:rPr>
          <w:tab/>
        </w:r>
        <w:r w:rsidR="008033D3" w:rsidRPr="0039625A">
          <w:rPr>
            <w:rStyle w:val="Hipervnculo"/>
            <w:noProof/>
          </w:rPr>
          <w:t>Diseño de la investigación</w:t>
        </w:r>
        <w:r w:rsidR="008033D3">
          <w:rPr>
            <w:noProof/>
            <w:webHidden/>
          </w:rPr>
          <w:tab/>
        </w:r>
        <w:r w:rsidR="008033D3">
          <w:rPr>
            <w:noProof/>
            <w:webHidden/>
          </w:rPr>
          <w:fldChar w:fldCharType="begin"/>
        </w:r>
        <w:r w:rsidR="008033D3">
          <w:rPr>
            <w:noProof/>
            <w:webHidden/>
          </w:rPr>
          <w:instrText xml:space="preserve"> PAGEREF _Toc442343919 \h </w:instrText>
        </w:r>
        <w:r w:rsidR="008033D3">
          <w:rPr>
            <w:noProof/>
            <w:webHidden/>
          </w:rPr>
        </w:r>
        <w:r w:rsidR="008033D3">
          <w:rPr>
            <w:noProof/>
            <w:webHidden/>
          </w:rPr>
          <w:fldChar w:fldCharType="separate"/>
        </w:r>
        <w:r w:rsidR="009E77CA">
          <w:rPr>
            <w:noProof/>
            <w:webHidden/>
          </w:rPr>
          <w:t>25</w:t>
        </w:r>
        <w:r w:rsidR="008033D3">
          <w:rPr>
            <w:noProof/>
            <w:webHidden/>
          </w:rPr>
          <w:fldChar w:fldCharType="end"/>
        </w:r>
      </w:hyperlink>
    </w:p>
    <w:p w14:paraId="7FF5460B" w14:textId="77777777" w:rsidR="008033D3" w:rsidRDefault="00A82D2C" w:rsidP="008033D3">
      <w:pPr>
        <w:pStyle w:val="TDC3"/>
        <w:tabs>
          <w:tab w:val="left" w:pos="1100"/>
          <w:tab w:val="right" w:leader="dot" w:pos="9113"/>
        </w:tabs>
        <w:spacing w:after="200" w:line="360" w:lineRule="auto"/>
        <w:rPr>
          <w:rFonts w:asciiTheme="minorHAnsi" w:eastAsiaTheme="minorEastAsia" w:hAnsiTheme="minorHAnsi"/>
          <w:noProof/>
          <w:sz w:val="22"/>
          <w:lang w:val="es-EC" w:eastAsia="es-EC"/>
        </w:rPr>
      </w:pPr>
      <w:hyperlink w:anchor="_Toc442343920" w:history="1">
        <w:r w:rsidR="008033D3" w:rsidRPr="0039625A">
          <w:rPr>
            <w:rStyle w:val="Hipervnculo"/>
            <w:noProof/>
          </w:rPr>
          <w:t>1.3</w:t>
        </w:r>
        <w:r w:rsidR="008033D3">
          <w:rPr>
            <w:rFonts w:asciiTheme="minorHAnsi" w:eastAsiaTheme="minorEastAsia" w:hAnsiTheme="minorHAnsi"/>
            <w:noProof/>
            <w:sz w:val="22"/>
            <w:lang w:val="es-EC" w:eastAsia="es-EC"/>
          </w:rPr>
          <w:tab/>
        </w:r>
        <w:r w:rsidR="008033D3" w:rsidRPr="0039625A">
          <w:rPr>
            <w:rStyle w:val="Hipervnculo"/>
            <w:noProof/>
          </w:rPr>
          <w:t>Población</w:t>
        </w:r>
        <w:r w:rsidR="008033D3">
          <w:rPr>
            <w:noProof/>
            <w:webHidden/>
          </w:rPr>
          <w:tab/>
        </w:r>
        <w:r w:rsidR="008033D3">
          <w:rPr>
            <w:noProof/>
            <w:webHidden/>
          </w:rPr>
          <w:fldChar w:fldCharType="begin"/>
        </w:r>
        <w:r w:rsidR="008033D3">
          <w:rPr>
            <w:noProof/>
            <w:webHidden/>
          </w:rPr>
          <w:instrText xml:space="preserve"> PAGEREF _Toc442343920 \h </w:instrText>
        </w:r>
        <w:r w:rsidR="008033D3">
          <w:rPr>
            <w:noProof/>
            <w:webHidden/>
          </w:rPr>
        </w:r>
        <w:r w:rsidR="008033D3">
          <w:rPr>
            <w:noProof/>
            <w:webHidden/>
          </w:rPr>
          <w:fldChar w:fldCharType="separate"/>
        </w:r>
        <w:r w:rsidR="009E77CA">
          <w:rPr>
            <w:noProof/>
            <w:webHidden/>
          </w:rPr>
          <w:t>25</w:t>
        </w:r>
        <w:r w:rsidR="008033D3">
          <w:rPr>
            <w:noProof/>
            <w:webHidden/>
          </w:rPr>
          <w:fldChar w:fldCharType="end"/>
        </w:r>
      </w:hyperlink>
    </w:p>
    <w:p w14:paraId="7F8D231B" w14:textId="77777777" w:rsidR="008033D3" w:rsidRDefault="00A82D2C" w:rsidP="008033D3">
      <w:pPr>
        <w:pStyle w:val="TDC3"/>
        <w:tabs>
          <w:tab w:val="left" w:pos="1100"/>
          <w:tab w:val="right" w:leader="dot" w:pos="9113"/>
        </w:tabs>
        <w:spacing w:after="200" w:line="360" w:lineRule="auto"/>
        <w:rPr>
          <w:rFonts w:asciiTheme="minorHAnsi" w:eastAsiaTheme="minorEastAsia" w:hAnsiTheme="minorHAnsi"/>
          <w:noProof/>
          <w:sz w:val="22"/>
          <w:lang w:val="es-EC" w:eastAsia="es-EC"/>
        </w:rPr>
      </w:pPr>
      <w:hyperlink w:anchor="_Toc442343921" w:history="1">
        <w:r w:rsidR="008033D3" w:rsidRPr="0039625A">
          <w:rPr>
            <w:rStyle w:val="Hipervnculo"/>
            <w:rFonts w:cs="Times New Roman"/>
            <w:noProof/>
          </w:rPr>
          <w:t>1.4</w:t>
        </w:r>
        <w:r w:rsidR="008033D3">
          <w:rPr>
            <w:rFonts w:asciiTheme="minorHAnsi" w:eastAsiaTheme="minorEastAsia" w:hAnsiTheme="minorHAnsi"/>
            <w:noProof/>
            <w:sz w:val="22"/>
            <w:lang w:val="es-EC" w:eastAsia="es-EC"/>
          </w:rPr>
          <w:tab/>
        </w:r>
        <w:r w:rsidR="008033D3" w:rsidRPr="0039625A">
          <w:rPr>
            <w:rStyle w:val="Hipervnculo"/>
            <w:noProof/>
          </w:rPr>
          <w:t>Técnica de observación</w:t>
        </w:r>
        <w:r w:rsidR="008033D3">
          <w:rPr>
            <w:noProof/>
            <w:webHidden/>
          </w:rPr>
          <w:tab/>
        </w:r>
        <w:r w:rsidR="008033D3">
          <w:rPr>
            <w:noProof/>
            <w:webHidden/>
          </w:rPr>
          <w:fldChar w:fldCharType="begin"/>
        </w:r>
        <w:r w:rsidR="008033D3">
          <w:rPr>
            <w:noProof/>
            <w:webHidden/>
          </w:rPr>
          <w:instrText xml:space="preserve"> PAGEREF _Toc442343921 \h </w:instrText>
        </w:r>
        <w:r w:rsidR="008033D3">
          <w:rPr>
            <w:noProof/>
            <w:webHidden/>
          </w:rPr>
        </w:r>
        <w:r w:rsidR="008033D3">
          <w:rPr>
            <w:noProof/>
            <w:webHidden/>
          </w:rPr>
          <w:fldChar w:fldCharType="separate"/>
        </w:r>
        <w:r w:rsidR="009E77CA">
          <w:rPr>
            <w:noProof/>
            <w:webHidden/>
          </w:rPr>
          <w:t>26</w:t>
        </w:r>
        <w:r w:rsidR="008033D3">
          <w:rPr>
            <w:noProof/>
            <w:webHidden/>
          </w:rPr>
          <w:fldChar w:fldCharType="end"/>
        </w:r>
      </w:hyperlink>
    </w:p>
    <w:p w14:paraId="6488C09C" w14:textId="77777777" w:rsidR="008033D3" w:rsidRDefault="00A82D2C" w:rsidP="008033D3">
      <w:pPr>
        <w:pStyle w:val="TDC3"/>
        <w:tabs>
          <w:tab w:val="left" w:pos="1100"/>
          <w:tab w:val="right" w:leader="dot" w:pos="9113"/>
        </w:tabs>
        <w:spacing w:after="200" w:line="360" w:lineRule="auto"/>
        <w:rPr>
          <w:rFonts w:asciiTheme="minorHAnsi" w:eastAsiaTheme="minorEastAsia" w:hAnsiTheme="minorHAnsi"/>
          <w:noProof/>
          <w:sz w:val="22"/>
          <w:lang w:val="es-EC" w:eastAsia="es-EC"/>
        </w:rPr>
      </w:pPr>
      <w:hyperlink w:anchor="_Toc442343922" w:history="1">
        <w:r w:rsidR="008033D3" w:rsidRPr="0039625A">
          <w:rPr>
            <w:rStyle w:val="Hipervnculo"/>
            <w:noProof/>
          </w:rPr>
          <w:t>1.5</w:t>
        </w:r>
        <w:r w:rsidR="008033D3">
          <w:rPr>
            <w:rFonts w:asciiTheme="minorHAnsi" w:eastAsiaTheme="minorEastAsia" w:hAnsiTheme="minorHAnsi"/>
            <w:noProof/>
            <w:sz w:val="22"/>
            <w:lang w:val="es-EC" w:eastAsia="es-EC"/>
          </w:rPr>
          <w:tab/>
        </w:r>
        <w:r w:rsidR="008033D3" w:rsidRPr="0039625A">
          <w:rPr>
            <w:rStyle w:val="Hipervnculo"/>
            <w:noProof/>
          </w:rPr>
          <w:t>Técnica de análisis de datos</w:t>
        </w:r>
        <w:r w:rsidR="008033D3">
          <w:rPr>
            <w:noProof/>
            <w:webHidden/>
          </w:rPr>
          <w:tab/>
        </w:r>
        <w:r w:rsidR="008033D3">
          <w:rPr>
            <w:noProof/>
            <w:webHidden/>
          </w:rPr>
          <w:fldChar w:fldCharType="begin"/>
        </w:r>
        <w:r w:rsidR="008033D3">
          <w:rPr>
            <w:noProof/>
            <w:webHidden/>
          </w:rPr>
          <w:instrText xml:space="preserve"> PAGEREF _Toc442343922 \h </w:instrText>
        </w:r>
        <w:r w:rsidR="008033D3">
          <w:rPr>
            <w:noProof/>
            <w:webHidden/>
          </w:rPr>
        </w:r>
        <w:r w:rsidR="008033D3">
          <w:rPr>
            <w:noProof/>
            <w:webHidden/>
          </w:rPr>
          <w:fldChar w:fldCharType="separate"/>
        </w:r>
        <w:r w:rsidR="009E77CA">
          <w:rPr>
            <w:noProof/>
            <w:webHidden/>
          </w:rPr>
          <w:t>26</w:t>
        </w:r>
        <w:r w:rsidR="008033D3">
          <w:rPr>
            <w:noProof/>
            <w:webHidden/>
          </w:rPr>
          <w:fldChar w:fldCharType="end"/>
        </w:r>
      </w:hyperlink>
    </w:p>
    <w:p w14:paraId="6D521FF9" w14:textId="77777777" w:rsidR="008033D3" w:rsidRDefault="00A82D2C" w:rsidP="008033D3">
      <w:pPr>
        <w:pStyle w:val="TDC1"/>
        <w:tabs>
          <w:tab w:val="right" w:leader="dot" w:pos="9113"/>
        </w:tabs>
        <w:spacing w:after="200" w:line="360" w:lineRule="auto"/>
        <w:rPr>
          <w:rFonts w:asciiTheme="minorHAnsi" w:eastAsiaTheme="minorEastAsia" w:hAnsiTheme="minorHAnsi"/>
          <w:b w:val="0"/>
          <w:noProof/>
          <w:sz w:val="22"/>
          <w:lang w:val="es-EC" w:eastAsia="es-EC"/>
        </w:rPr>
      </w:pPr>
      <w:hyperlink w:anchor="_Toc442343923" w:history="1">
        <w:r w:rsidR="008033D3" w:rsidRPr="0039625A">
          <w:rPr>
            <w:rStyle w:val="Hipervnculo"/>
            <w:noProof/>
          </w:rPr>
          <w:t>HALLAZGOS</w:t>
        </w:r>
        <w:r w:rsidR="008033D3">
          <w:rPr>
            <w:noProof/>
            <w:webHidden/>
          </w:rPr>
          <w:tab/>
        </w:r>
        <w:r w:rsidR="008033D3">
          <w:rPr>
            <w:noProof/>
            <w:webHidden/>
          </w:rPr>
          <w:fldChar w:fldCharType="begin"/>
        </w:r>
        <w:r w:rsidR="008033D3">
          <w:rPr>
            <w:noProof/>
            <w:webHidden/>
          </w:rPr>
          <w:instrText xml:space="preserve"> PAGEREF _Toc442343923 \h </w:instrText>
        </w:r>
        <w:r w:rsidR="008033D3">
          <w:rPr>
            <w:noProof/>
            <w:webHidden/>
          </w:rPr>
        </w:r>
        <w:r w:rsidR="008033D3">
          <w:rPr>
            <w:noProof/>
            <w:webHidden/>
          </w:rPr>
          <w:fldChar w:fldCharType="separate"/>
        </w:r>
        <w:r w:rsidR="009E77CA">
          <w:rPr>
            <w:noProof/>
            <w:webHidden/>
          </w:rPr>
          <w:t>28</w:t>
        </w:r>
        <w:r w:rsidR="008033D3">
          <w:rPr>
            <w:noProof/>
            <w:webHidden/>
          </w:rPr>
          <w:fldChar w:fldCharType="end"/>
        </w:r>
      </w:hyperlink>
    </w:p>
    <w:p w14:paraId="02A1849A" w14:textId="77777777" w:rsidR="008033D3" w:rsidRDefault="00A82D2C" w:rsidP="008033D3">
      <w:pPr>
        <w:pStyle w:val="TDC3"/>
        <w:tabs>
          <w:tab w:val="left" w:pos="1100"/>
          <w:tab w:val="right" w:leader="dot" w:pos="9113"/>
        </w:tabs>
        <w:spacing w:after="200" w:line="360" w:lineRule="auto"/>
        <w:rPr>
          <w:rFonts w:asciiTheme="minorHAnsi" w:eastAsiaTheme="minorEastAsia" w:hAnsiTheme="minorHAnsi"/>
          <w:noProof/>
          <w:sz w:val="22"/>
          <w:lang w:val="es-EC" w:eastAsia="es-EC"/>
        </w:rPr>
      </w:pPr>
      <w:hyperlink w:anchor="_Toc442343924" w:history="1">
        <w:r w:rsidR="008033D3" w:rsidRPr="0039625A">
          <w:rPr>
            <w:rStyle w:val="Hipervnculo"/>
            <w:rFonts w:cs="Times New Roman"/>
            <w:noProof/>
          </w:rPr>
          <w:t>1.1</w:t>
        </w:r>
        <w:r w:rsidR="008033D3">
          <w:rPr>
            <w:rFonts w:asciiTheme="minorHAnsi" w:eastAsiaTheme="minorEastAsia" w:hAnsiTheme="minorHAnsi"/>
            <w:noProof/>
            <w:sz w:val="22"/>
            <w:lang w:val="es-EC" w:eastAsia="es-EC"/>
          </w:rPr>
          <w:tab/>
        </w:r>
        <w:r w:rsidR="008033D3" w:rsidRPr="0039625A">
          <w:rPr>
            <w:rStyle w:val="Hipervnculo"/>
            <w:noProof/>
          </w:rPr>
          <w:t>Incentivos aplicados a la Industria y su situación actual</w:t>
        </w:r>
        <w:r w:rsidR="008033D3">
          <w:rPr>
            <w:noProof/>
            <w:webHidden/>
          </w:rPr>
          <w:tab/>
        </w:r>
        <w:r w:rsidR="008033D3">
          <w:rPr>
            <w:noProof/>
            <w:webHidden/>
          </w:rPr>
          <w:fldChar w:fldCharType="begin"/>
        </w:r>
        <w:r w:rsidR="008033D3">
          <w:rPr>
            <w:noProof/>
            <w:webHidden/>
          </w:rPr>
          <w:instrText xml:space="preserve"> PAGEREF _Toc442343924 \h </w:instrText>
        </w:r>
        <w:r w:rsidR="008033D3">
          <w:rPr>
            <w:noProof/>
            <w:webHidden/>
          </w:rPr>
        </w:r>
        <w:r w:rsidR="008033D3">
          <w:rPr>
            <w:noProof/>
            <w:webHidden/>
          </w:rPr>
          <w:fldChar w:fldCharType="separate"/>
        </w:r>
        <w:r w:rsidR="009E77CA">
          <w:rPr>
            <w:noProof/>
            <w:webHidden/>
          </w:rPr>
          <w:t>28</w:t>
        </w:r>
        <w:r w:rsidR="008033D3">
          <w:rPr>
            <w:noProof/>
            <w:webHidden/>
          </w:rPr>
          <w:fldChar w:fldCharType="end"/>
        </w:r>
      </w:hyperlink>
    </w:p>
    <w:p w14:paraId="0968C637" w14:textId="77777777" w:rsidR="008033D3" w:rsidRDefault="00A82D2C" w:rsidP="008033D3">
      <w:pPr>
        <w:pStyle w:val="TDC4"/>
        <w:tabs>
          <w:tab w:val="right" w:leader="dot" w:pos="9113"/>
        </w:tabs>
        <w:spacing w:before="0" w:after="200" w:line="360" w:lineRule="auto"/>
        <w:rPr>
          <w:rFonts w:asciiTheme="minorHAnsi" w:eastAsiaTheme="minorEastAsia" w:hAnsiTheme="minorHAnsi" w:cstheme="minorBidi"/>
          <w:bCs w:val="0"/>
          <w:iCs w:val="0"/>
          <w:noProof/>
          <w:color w:val="auto"/>
          <w:sz w:val="22"/>
          <w:szCs w:val="22"/>
          <w:bdr w:val="none" w:sz="0" w:space="0" w:color="auto"/>
          <w:lang w:val="es-EC"/>
        </w:rPr>
      </w:pPr>
      <w:hyperlink w:anchor="_Toc442343925" w:history="1">
        <w:r w:rsidR="008033D3" w:rsidRPr="0039625A">
          <w:rPr>
            <w:rStyle w:val="Hipervnculo"/>
            <w:noProof/>
          </w:rPr>
          <w:t>Cuadro 1.</w:t>
        </w:r>
        <w:r w:rsidR="008033D3">
          <w:rPr>
            <w:noProof/>
            <w:webHidden/>
          </w:rPr>
          <w:tab/>
        </w:r>
        <w:r w:rsidR="008033D3">
          <w:rPr>
            <w:noProof/>
            <w:webHidden/>
          </w:rPr>
          <w:fldChar w:fldCharType="begin"/>
        </w:r>
        <w:r w:rsidR="008033D3">
          <w:rPr>
            <w:noProof/>
            <w:webHidden/>
          </w:rPr>
          <w:instrText xml:space="preserve"> PAGEREF _Toc442343925 \h </w:instrText>
        </w:r>
        <w:r w:rsidR="008033D3">
          <w:rPr>
            <w:noProof/>
            <w:webHidden/>
          </w:rPr>
        </w:r>
        <w:r w:rsidR="008033D3">
          <w:rPr>
            <w:noProof/>
            <w:webHidden/>
          </w:rPr>
          <w:fldChar w:fldCharType="separate"/>
        </w:r>
        <w:r w:rsidR="009E77CA">
          <w:rPr>
            <w:noProof/>
            <w:webHidden/>
          </w:rPr>
          <w:t>30</w:t>
        </w:r>
        <w:r w:rsidR="008033D3">
          <w:rPr>
            <w:noProof/>
            <w:webHidden/>
          </w:rPr>
          <w:fldChar w:fldCharType="end"/>
        </w:r>
      </w:hyperlink>
    </w:p>
    <w:p w14:paraId="1388DD4A" w14:textId="77777777" w:rsidR="008033D3" w:rsidRDefault="00A82D2C" w:rsidP="008033D3">
      <w:pPr>
        <w:pStyle w:val="TDC3"/>
        <w:tabs>
          <w:tab w:val="left" w:pos="1100"/>
          <w:tab w:val="right" w:leader="dot" w:pos="9113"/>
        </w:tabs>
        <w:spacing w:after="200" w:line="360" w:lineRule="auto"/>
        <w:rPr>
          <w:rFonts w:asciiTheme="minorHAnsi" w:eastAsiaTheme="minorEastAsia" w:hAnsiTheme="minorHAnsi"/>
          <w:noProof/>
          <w:sz w:val="22"/>
          <w:lang w:val="es-EC" w:eastAsia="es-EC"/>
        </w:rPr>
      </w:pPr>
      <w:hyperlink w:anchor="_Toc442343926" w:history="1">
        <w:r w:rsidR="008033D3" w:rsidRPr="0039625A">
          <w:rPr>
            <w:rStyle w:val="Hipervnculo"/>
            <w:rFonts w:cs="Times New Roman"/>
            <w:noProof/>
          </w:rPr>
          <w:t>1.2</w:t>
        </w:r>
        <w:r w:rsidR="008033D3">
          <w:rPr>
            <w:rFonts w:asciiTheme="minorHAnsi" w:eastAsiaTheme="minorEastAsia" w:hAnsiTheme="minorHAnsi"/>
            <w:noProof/>
            <w:sz w:val="22"/>
            <w:lang w:val="es-EC" w:eastAsia="es-EC"/>
          </w:rPr>
          <w:tab/>
        </w:r>
        <w:r w:rsidR="008033D3" w:rsidRPr="0039625A">
          <w:rPr>
            <w:rStyle w:val="Hipervnculo"/>
            <w:noProof/>
          </w:rPr>
          <w:t>Análisis de la Industria</w:t>
        </w:r>
        <w:r w:rsidR="008033D3">
          <w:rPr>
            <w:noProof/>
            <w:webHidden/>
          </w:rPr>
          <w:tab/>
        </w:r>
        <w:r w:rsidR="008033D3">
          <w:rPr>
            <w:noProof/>
            <w:webHidden/>
          </w:rPr>
          <w:fldChar w:fldCharType="begin"/>
        </w:r>
        <w:r w:rsidR="008033D3">
          <w:rPr>
            <w:noProof/>
            <w:webHidden/>
          </w:rPr>
          <w:instrText xml:space="preserve"> PAGEREF _Toc442343926 \h </w:instrText>
        </w:r>
        <w:r w:rsidR="008033D3">
          <w:rPr>
            <w:noProof/>
            <w:webHidden/>
          </w:rPr>
        </w:r>
        <w:r w:rsidR="008033D3">
          <w:rPr>
            <w:noProof/>
            <w:webHidden/>
          </w:rPr>
          <w:fldChar w:fldCharType="separate"/>
        </w:r>
        <w:r w:rsidR="009E77CA">
          <w:rPr>
            <w:noProof/>
            <w:webHidden/>
          </w:rPr>
          <w:t>31</w:t>
        </w:r>
        <w:r w:rsidR="008033D3">
          <w:rPr>
            <w:noProof/>
            <w:webHidden/>
          </w:rPr>
          <w:fldChar w:fldCharType="end"/>
        </w:r>
      </w:hyperlink>
    </w:p>
    <w:p w14:paraId="049E17EC" w14:textId="77777777" w:rsidR="008033D3" w:rsidRDefault="00A82D2C" w:rsidP="008033D3">
      <w:pPr>
        <w:pStyle w:val="TDC4"/>
        <w:tabs>
          <w:tab w:val="right" w:leader="dot" w:pos="9113"/>
        </w:tabs>
        <w:spacing w:before="0" w:after="200" w:line="360" w:lineRule="auto"/>
        <w:rPr>
          <w:rFonts w:asciiTheme="minorHAnsi" w:eastAsiaTheme="minorEastAsia" w:hAnsiTheme="minorHAnsi" w:cstheme="minorBidi"/>
          <w:bCs w:val="0"/>
          <w:iCs w:val="0"/>
          <w:noProof/>
          <w:color w:val="auto"/>
          <w:sz w:val="22"/>
          <w:szCs w:val="22"/>
          <w:bdr w:val="none" w:sz="0" w:space="0" w:color="auto"/>
          <w:lang w:val="es-EC"/>
        </w:rPr>
      </w:pPr>
      <w:hyperlink w:anchor="_Toc442343927" w:history="1">
        <w:r w:rsidR="008033D3" w:rsidRPr="0039625A">
          <w:rPr>
            <w:rStyle w:val="Hipervnculo"/>
            <w:noProof/>
          </w:rPr>
          <w:t>Cuadro 2.</w:t>
        </w:r>
        <w:r w:rsidR="008033D3">
          <w:rPr>
            <w:noProof/>
            <w:webHidden/>
          </w:rPr>
          <w:tab/>
        </w:r>
        <w:r w:rsidR="008033D3">
          <w:rPr>
            <w:noProof/>
            <w:webHidden/>
          </w:rPr>
          <w:fldChar w:fldCharType="begin"/>
        </w:r>
        <w:r w:rsidR="008033D3">
          <w:rPr>
            <w:noProof/>
            <w:webHidden/>
          </w:rPr>
          <w:instrText xml:space="preserve"> PAGEREF _Toc442343927 \h </w:instrText>
        </w:r>
        <w:r w:rsidR="008033D3">
          <w:rPr>
            <w:noProof/>
            <w:webHidden/>
          </w:rPr>
        </w:r>
        <w:r w:rsidR="008033D3">
          <w:rPr>
            <w:noProof/>
            <w:webHidden/>
          </w:rPr>
          <w:fldChar w:fldCharType="separate"/>
        </w:r>
        <w:r w:rsidR="009E77CA">
          <w:rPr>
            <w:noProof/>
            <w:webHidden/>
          </w:rPr>
          <w:t>31</w:t>
        </w:r>
        <w:r w:rsidR="008033D3">
          <w:rPr>
            <w:noProof/>
            <w:webHidden/>
          </w:rPr>
          <w:fldChar w:fldCharType="end"/>
        </w:r>
      </w:hyperlink>
    </w:p>
    <w:p w14:paraId="40087E3B" w14:textId="77777777" w:rsidR="008033D3" w:rsidRDefault="00A82D2C" w:rsidP="008033D3">
      <w:pPr>
        <w:pStyle w:val="TDC3"/>
        <w:tabs>
          <w:tab w:val="left" w:pos="1100"/>
          <w:tab w:val="right" w:leader="dot" w:pos="9113"/>
        </w:tabs>
        <w:spacing w:after="200" w:line="360" w:lineRule="auto"/>
        <w:rPr>
          <w:rFonts w:asciiTheme="minorHAnsi" w:eastAsiaTheme="minorEastAsia" w:hAnsiTheme="minorHAnsi"/>
          <w:noProof/>
          <w:sz w:val="22"/>
          <w:lang w:val="es-EC" w:eastAsia="es-EC"/>
        </w:rPr>
      </w:pPr>
      <w:hyperlink w:anchor="_Toc442343928" w:history="1">
        <w:r w:rsidR="008033D3" w:rsidRPr="0039625A">
          <w:rPr>
            <w:rStyle w:val="Hipervnculo"/>
            <w:rFonts w:cs="Times New Roman"/>
            <w:noProof/>
          </w:rPr>
          <w:t>1.3</w:t>
        </w:r>
        <w:r w:rsidR="008033D3">
          <w:rPr>
            <w:rFonts w:asciiTheme="minorHAnsi" w:eastAsiaTheme="minorEastAsia" w:hAnsiTheme="minorHAnsi"/>
            <w:noProof/>
            <w:sz w:val="22"/>
            <w:lang w:val="es-EC" w:eastAsia="es-EC"/>
          </w:rPr>
          <w:tab/>
        </w:r>
        <w:r w:rsidR="008033D3" w:rsidRPr="0039625A">
          <w:rPr>
            <w:rStyle w:val="Hipervnculo"/>
            <w:noProof/>
          </w:rPr>
          <w:t>Beneficios a los consumidores</w:t>
        </w:r>
        <w:r w:rsidR="008033D3">
          <w:rPr>
            <w:noProof/>
            <w:webHidden/>
          </w:rPr>
          <w:tab/>
        </w:r>
        <w:r w:rsidR="008033D3">
          <w:rPr>
            <w:noProof/>
            <w:webHidden/>
          </w:rPr>
          <w:fldChar w:fldCharType="begin"/>
        </w:r>
        <w:r w:rsidR="008033D3">
          <w:rPr>
            <w:noProof/>
            <w:webHidden/>
          </w:rPr>
          <w:instrText xml:space="preserve"> PAGEREF _Toc442343928 \h </w:instrText>
        </w:r>
        <w:r w:rsidR="008033D3">
          <w:rPr>
            <w:noProof/>
            <w:webHidden/>
          </w:rPr>
        </w:r>
        <w:r w:rsidR="008033D3">
          <w:rPr>
            <w:noProof/>
            <w:webHidden/>
          </w:rPr>
          <w:fldChar w:fldCharType="separate"/>
        </w:r>
        <w:r w:rsidR="009E77CA">
          <w:rPr>
            <w:noProof/>
            <w:webHidden/>
          </w:rPr>
          <w:t>34</w:t>
        </w:r>
        <w:r w:rsidR="008033D3">
          <w:rPr>
            <w:noProof/>
            <w:webHidden/>
          </w:rPr>
          <w:fldChar w:fldCharType="end"/>
        </w:r>
      </w:hyperlink>
    </w:p>
    <w:p w14:paraId="20DF7630" w14:textId="77777777" w:rsidR="008033D3" w:rsidRDefault="00A82D2C" w:rsidP="008033D3">
      <w:pPr>
        <w:pStyle w:val="TDC3"/>
        <w:tabs>
          <w:tab w:val="left" w:pos="1100"/>
          <w:tab w:val="right" w:leader="dot" w:pos="9113"/>
        </w:tabs>
        <w:spacing w:after="200" w:line="360" w:lineRule="auto"/>
        <w:rPr>
          <w:rFonts w:asciiTheme="minorHAnsi" w:eastAsiaTheme="minorEastAsia" w:hAnsiTheme="minorHAnsi"/>
          <w:noProof/>
          <w:sz w:val="22"/>
          <w:lang w:val="es-EC" w:eastAsia="es-EC"/>
        </w:rPr>
      </w:pPr>
      <w:hyperlink w:anchor="_Toc442343929" w:history="1">
        <w:r w:rsidR="008033D3" w:rsidRPr="0039625A">
          <w:rPr>
            <w:rStyle w:val="Hipervnculo"/>
            <w:noProof/>
          </w:rPr>
          <w:t>1.4</w:t>
        </w:r>
        <w:r w:rsidR="008033D3">
          <w:rPr>
            <w:rFonts w:asciiTheme="minorHAnsi" w:eastAsiaTheme="minorEastAsia" w:hAnsiTheme="minorHAnsi"/>
            <w:noProof/>
            <w:sz w:val="22"/>
            <w:lang w:val="es-EC" w:eastAsia="es-EC"/>
          </w:rPr>
          <w:tab/>
        </w:r>
        <w:r w:rsidR="008033D3" w:rsidRPr="0039625A">
          <w:rPr>
            <w:rStyle w:val="Hipervnculo"/>
            <w:noProof/>
          </w:rPr>
          <w:t>Normativas Gubernamentales y su aplicación</w:t>
        </w:r>
        <w:r w:rsidR="008033D3">
          <w:rPr>
            <w:noProof/>
            <w:webHidden/>
          </w:rPr>
          <w:tab/>
        </w:r>
        <w:r w:rsidR="008033D3">
          <w:rPr>
            <w:noProof/>
            <w:webHidden/>
          </w:rPr>
          <w:fldChar w:fldCharType="begin"/>
        </w:r>
        <w:r w:rsidR="008033D3">
          <w:rPr>
            <w:noProof/>
            <w:webHidden/>
          </w:rPr>
          <w:instrText xml:space="preserve"> PAGEREF _Toc442343929 \h </w:instrText>
        </w:r>
        <w:r w:rsidR="008033D3">
          <w:rPr>
            <w:noProof/>
            <w:webHidden/>
          </w:rPr>
        </w:r>
        <w:r w:rsidR="008033D3">
          <w:rPr>
            <w:noProof/>
            <w:webHidden/>
          </w:rPr>
          <w:fldChar w:fldCharType="separate"/>
        </w:r>
        <w:r w:rsidR="009E77CA">
          <w:rPr>
            <w:noProof/>
            <w:webHidden/>
          </w:rPr>
          <w:t>36</w:t>
        </w:r>
        <w:r w:rsidR="008033D3">
          <w:rPr>
            <w:noProof/>
            <w:webHidden/>
          </w:rPr>
          <w:fldChar w:fldCharType="end"/>
        </w:r>
      </w:hyperlink>
    </w:p>
    <w:p w14:paraId="37C5DC04" w14:textId="77777777" w:rsidR="008033D3" w:rsidRDefault="00A82D2C" w:rsidP="008033D3">
      <w:pPr>
        <w:pStyle w:val="TDC4"/>
        <w:tabs>
          <w:tab w:val="right" w:leader="dot" w:pos="9113"/>
        </w:tabs>
        <w:spacing w:before="0" w:after="200" w:line="360" w:lineRule="auto"/>
        <w:rPr>
          <w:rFonts w:asciiTheme="minorHAnsi" w:eastAsiaTheme="minorEastAsia" w:hAnsiTheme="minorHAnsi" w:cstheme="minorBidi"/>
          <w:bCs w:val="0"/>
          <w:iCs w:val="0"/>
          <w:noProof/>
          <w:color w:val="auto"/>
          <w:sz w:val="22"/>
          <w:szCs w:val="22"/>
          <w:bdr w:val="none" w:sz="0" w:space="0" w:color="auto"/>
          <w:lang w:val="es-EC"/>
        </w:rPr>
      </w:pPr>
      <w:hyperlink w:anchor="_Toc442343930" w:history="1">
        <w:r w:rsidR="008033D3" w:rsidRPr="0039625A">
          <w:rPr>
            <w:rStyle w:val="Hipervnculo"/>
            <w:noProof/>
          </w:rPr>
          <w:t>Cuadro 3.</w:t>
        </w:r>
        <w:r w:rsidR="008033D3">
          <w:rPr>
            <w:noProof/>
            <w:webHidden/>
          </w:rPr>
          <w:tab/>
        </w:r>
        <w:r w:rsidR="008033D3">
          <w:rPr>
            <w:noProof/>
            <w:webHidden/>
          </w:rPr>
          <w:fldChar w:fldCharType="begin"/>
        </w:r>
        <w:r w:rsidR="008033D3">
          <w:rPr>
            <w:noProof/>
            <w:webHidden/>
          </w:rPr>
          <w:instrText xml:space="preserve"> PAGEREF _Toc442343930 \h </w:instrText>
        </w:r>
        <w:r w:rsidR="008033D3">
          <w:rPr>
            <w:noProof/>
            <w:webHidden/>
          </w:rPr>
        </w:r>
        <w:r w:rsidR="008033D3">
          <w:rPr>
            <w:noProof/>
            <w:webHidden/>
          </w:rPr>
          <w:fldChar w:fldCharType="separate"/>
        </w:r>
        <w:r w:rsidR="009E77CA">
          <w:rPr>
            <w:noProof/>
            <w:webHidden/>
          </w:rPr>
          <w:t>37</w:t>
        </w:r>
        <w:r w:rsidR="008033D3">
          <w:rPr>
            <w:noProof/>
            <w:webHidden/>
          </w:rPr>
          <w:fldChar w:fldCharType="end"/>
        </w:r>
      </w:hyperlink>
    </w:p>
    <w:p w14:paraId="3C96515B" w14:textId="77777777" w:rsidR="008033D3" w:rsidRDefault="00A82D2C" w:rsidP="008033D3">
      <w:pPr>
        <w:pStyle w:val="TDC4"/>
        <w:tabs>
          <w:tab w:val="right" w:leader="dot" w:pos="9113"/>
        </w:tabs>
        <w:spacing w:before="0" w:after="200" w:line="360" w:lineRule="auto"/>
        <w:rPr>
          <w:rFonts w:asciiTheme="minorHAnsi" w:eastAsiaTheme="minorEastAsia" w:hAnsiTheme="minorHAnsi" w:cstheme="minorBidi"/>
          <w:bCs w:val="0"/>
          <w:iCs w:val="0"/>
          <w:noProof/>
          <w:color w:val="auto"/>
          <w:sz w:val="22"/>
          <w:szCs w:val="22"/>
          <w:bdr w:val="none" w:sz="0" w:space="0" w:color="auto"/>
          <w:lang w:val="es-EC"/>
        </w:rPr>
      </w:pPr>
      <w:hyperlink w:anchor="_Toc442343931" w:history="1">
        <w:r w:rsidR="008033D3" w:rsidRPr="0039625A">
          <w:rPr>
            <w:rStyle w:val="Hipervnculo"/>
            <w:noProof/>
          </w:rPr>
          <w:t>Cuadro 4.</w:t>
        </w:r>
        <w:r w:rsidR="008033D3">
          <w:rPr>
            <w:noProof/>
            <w:webHidden/>
          </w:rPr>
          <w:tab/>
        </w:r>
        <w:r w:rsidR="008033D3">
          <w:rPr>
            <w:noProof/>
            <w:webHidden/>
          </w:rPr>
          <w:fldChar w:fldCharType="begin"/>
        </w:r>
        <w:r w:rsidR="008033D3">
          <w:rPr>
            <w:noProof/>
            <w:webHidden/>
          </w:rPr>
          <w:instrText xml:space="preserve"> PAGEREF _Toc442343931 \h </w:instrText>
        </w:r>
        <w:r w:rsidR="008033D3">
          <w:rPr>
            <w:noProof/>
            <w:webHidden/>
          </w:rPr>
        </w:r>
        <w:r w:rsidR="008033D3">
          <w:rPr>
            <w:noProof/>
            <w:webHidden/>
          </w:rPr>
          <w:fldChar w:fldCharType="separate"/>
        </w:r>
        <w:r w:rsidR="009E77CA">
          <w:rPr>
            <w:noProof/>
            <w:webHidden/>
          </w:rPr>
          <w:t>37</w:t>
        </w:r>
        <w:r w:rsidR="008033D3">
          <w:rPr>
            <w:noProof/>
            <w:webHidden/>
          </w:rPr>
          <w:fldChar w:fldCharType="end"/>
        </w:r>
      </w:hyperlink>
    </w:p>
    <w:p w14:paraId="6DBBE9F8" w14:textId="77777777" w:rsidR="008033D3" w:rsidRDefault="00A82D2C" w:rsidP="008033D3">
      <w:pPr>
        <w:pStyle w:val="TDC4"/>
        <w:tabs>
          <w:tab w:val="right" w:leader="dot" w:pos="9113"/>
        </w:tabs>
        <w:spacing w:before="0" w:after="200" w:line="360" w:lineRule="auto"/>
        <w:rPr>
          <w:rFonts w:asciiTheme="minorHAnsi" w:eastAsiaTheme="minorEastAsia" w:hAnsiTheme="minorHAnsi" w:cstheme="minorBidi"/>
          <w:bCs w:val="0"/>
          <w:iCs w:val="0"/>
          <w:noProof/>
          <w:color w:val="auto"/>
          <w:sz w:val="22"/>
          <w:szCs w:val="22"/>
          <w:bdr w:val="none" w:sz="0" w:space="0" w:color="auto"/>
          <w:lang w:val="es-EC"/>
        </w:rPr>
      </w:pPr>
      <w:hyperlink w:anchor="_Toc442343932" w:history="1">
        <w:r w:rsidR="008033D3" w:rsidRPr="0039625A">
          <w:rPr>
            <w:rStyle w:val="Hipervnculo"/>
            <w:noProof/>
          </w:rPr>
          <w:t>Cuadro 5.</w:t>
        </w:r>
        <w:r w:rsidR="008033D3">
          <w:rPr>
            <w:noProof/>
            <w:webHidden/>
          </w:rPr>
          <w:tab/>
        </w:r>
        <w:r w:rsidR="008033D3">
          <w:rPr>
            <w:noProof/>
            <w:webHidden/>
          </w:rPr>
          <w:fldChar w:fldCharType="begin"/>
        </w:r>
        <w:r w:rsidR="008033D3">
          <w:rPr>
            <w:noProof/>
            <w:webHidden/>
          </w:rPr>
          <w:instrText xml:space="preserve"> PAGEREF _Toc442343932 \h </w:instrText>
        </w:r>
        <w:r w:rsidR="008033D3">
          <w:rPr>
            <w:noProof/>
            <w:webHidden/>
          </w:rPr>
        </w:r>
        <w:r w:rsidR="008033D3">
          <w:rPr>
            <w:noProof/>
            <w:webHidden/>
          </w:rPr>
          <w:fldChar w:fldCharType="separate"/>
        </w:r>
        <w:r w:rsidR="009E77CA">
          <w:rPr>
            <w:noProof/>
            <w:webHidden/>
          </w:rPr>
          <w:t>38</w:t>
        </w:r>
        <w:r w:rsidR="008033D3">
          <w:rPr>
            <w:noProof/>
            <w:webHidden/>
          </w:rPr>
          <w:fldChar w:fldCharType="end"/>
        </w:r>
      </w:hyperlink>
    </w:p>
    <w:p w14:paraId="5D0BCE19" w14:textId="77777777" w:rsidR="008033D3" w:rsidRDefault="00A82D2C" w:rsidP="008033D3">
      <w:pPr>
        <w:pStyle w:val="TDC4"/>
        <w:tabs>
          <w:tab w:val="right" w:leader="dot" w:pos="9113"/>
        </w:tabs>
        <w:spacing w:before="0" w:after="200" w:line="360" w:lineRule="auto"/>
        <w:rPr>
          <w:rFonts w:asciiTheme="minorHAnsi" w:eastAsiaTheme="minorEastAsia" w:hAnsiTheme="minorHAnsi" w:cstheme="minorBidi"/>
          <w:bCs w:val="0"/>
          <w:iCs w:val="0"/>
          <w:noProof/>
          <w:color w:val="auto"/>
          <w:sz w:val="22"/>
          <w:szCs w:val="22"/>
          <w:bdr w:val="none" w:sz="0" w:space="0" w:color="auto"/>
          <w:lang w:val="es-EC"/>
        </w:rPr>
      </w:pPr>
      <w:hyperlink w:anchor="_Toc442343933" w:history="1">
        <w:r w:rsidR="008033D3" w:rsidRPr="0039625A">
          <w:rPr>
            <w:rStyle w:val="Hipervnculo"/>
            <w:noProof/>
          </w:rPr>
          <w:t>Cuadro 6.</w:t>
        </w:r>
        <w:r w:rsidR="008033D3">
          <w:rPr>
            <w:noProof/>
            <w:webHidden/>
          </w:rPr>
          <w:tab/>
        </w:r>
        <w:r w:rsidR="008033D3">
          <w:rPr>
            <w:noProof/>
            <w:webHidden/>
          </w:rPr>
          <w:fldChar w:fldCharType="begin"/>
        </w:r>
        <w:r w:rsidR="008033D3">
          <w:rPr>
            <w:noProof/>
            <w:webHidden/>
          </w:rPr>
          <w:instrText xml:space="preserve"> PAGEREF _Toc442343933 \h </w:instrText>
        </w:r>
        <w:r w:rsidR="008033D3">
          <w:rPr>
            <w:noProof/>
            <w:webHidden/>
          </w:rPr>
        </w:r>
        <w:r w:rsidR="008033D3">
          <w:rPr>
            <w:noProof/>
            <w:webHidden/>
          </w:rPr>
          <w:fldChar w:fldCharType="separate"/>
        </w:r>
        <w:r w:rsidR="009E77CA">
          <w:rPr>
            <w:noProof/>
            <w:webHidden/>
          </w:rPr>
          <w:t>38</w:t>
        </w:r>
        <w:r w:rsidR="008033D3">
          <w:rPr>
            <w:noProof/>
            <w:webHidden/>
          </w:rPr>
          <w:fldChar w:fldCharType="end"/>
        </w:r>
      </w:hyperlink>
    </w:p>
    <w:p w14:paraId="28EE6A6D" w14:textId="77777777" w:rsidR="008033D3" w:rsidRDefault="00A82D2C" w:rsidP="008033D3">
      <w:pPr>
        <w:pStyle w:val="TDC4"/>
        <w:tabs>
          <w:tab w:val="right" w:leader="dot" w:pos="9113"/>
        </w:tabs>
        <w:spacing w:before="0" w:after="200" w:line="360" w:lineRule="auto"/>
        <w:rPr>
          <w:rFonts w:asciiTheme="minorHAnsi" w:eastAsiaTheme="minorEastAsia" w:hAnsiTheme="minorHAnsi" w:cstheme="minorBidi"/>
          <w:bCs w:val="0"/>
          <w:iCs w:val="0"/>
          <w:noProof/>
          <w:color w:val="auto"/>
          <w:sz w:val="22"/>
          <w:szCs w:val="22"/>
          <w:bdr w:val="none" w:sz="0" w:space="0" w:color="auto"/>
          <w:lang w:val="es-EC"/>
        </w:rPr>
      </w:pPr>
      <w:hyperlink w:anchor="_Toc442343934" w:history="1">
        <w:r w:rsidR="008033D3" w:rsidRPr="0039625A">
          <w:rPr>
            <w:rStyle w:val="Hipervnculo"/>
            <w:noProof/>
          </w:rPr>
          <w:t>Cuadro 7.</w:t>
        </w:r>
        <w:r w:rsidR="008033D3">
          <w:rPr>
            <w:noProof/>
            <w:webHidden/>
          </w:rPr>
          <w:tab/>
        </w:r>
        <w:r w:rsidR="008033D3">
          <w:rPr>
            <w:noProof/>
            <w:webHidden/>
          </w:rPr>
          <w:fldChar w:fldCharType="begin"/>
        </w:r>
        <w:r w:rsidR="008033D3">
          <w:rPr>
            <w:noProof/>
            <w:webHidden/>
          </w:rPr>
          <w:instrText xml:space="preserve"> PAGEREF _Toc442343934 \h </w:instrText>
        </w:r>
        <w:r w:rsidR="008033D3">
          <w:rPr>
            <w:noProof/>
            <w:webHidden/>
          </w:rPr>
        </w:r>
        <w:r w:rsidR="008033D3">
          <w:rPr>
            <w:noProof/>
            <w:webHidden/>
          </w:rPr>
          <w:fldChar w:fldCharType="separate"/>
        </w:r>
        <w:r w:rsidR="009E77CA">
          <w:rPr>
            <w:noProof/>
            <w:webHidden/>
          </w:rPr>
          <w:t>41</w:t>
        </w:r>
        <w:r w:rsidR="008033D3">
          <w:rPr>
            <w:noProof/>
            <w:webHidden/>
          </w:rPr>
          <w:fldChar w:fldCharType="end"/>
        </w:r>
      </w:hyperlink>
    </w:p>
    <w:p w14:paraId="5D75AD2A" w14:textId="77777777" w:rsidR="008033D3" w:rsidRDefault="00A82D2C" w:rsidP="008033D3">
      <w:pPr>
        <w:pStyle w:val="TDC4"/>
        <w:tabs>
          <w:tab w:val="right" w:leader="dot" w:pos="9113"/>
        </w:tabs>
        <w:spacing w:before="0" w:after="200" w:line="360" w:lineRule="auto"/>
        <w:rPr>
          <w:rFonts w:asciiTheme="minorHAnsi" w:eastAsiaTheme="minorEastAsia" w:hAnsiTheme="minorHAnsi" w:cstheme="minorBidi"/>
          <w:bCs w:val="0"/>
          <w:iCs w:val="0"/>
          <w:noProof/>
          <w:color w:val="auto"/>
          <w:sz w:val="22"/>
          <w:szCs w:val="22"/>
          <w:bdr w:val="none" w:sz="0" w:space="0" w:color="auto"/>
          <w:lang w:val="es-EC"/>
        </w:rPr>
      </w:pPr>
      <w:hyperlink w:anchor="_Toc442343935" w:history="1">
        <w:r w:rsidR="008033D3" w:rsidRPr="0039625A">
          <w:rPr>
            <w:rStyle w:val="Hipervnculo"/>
            <w:noProof/>
          </w:rPr>
          <w:t>Cuadro 8.</w:t>
        </w:r>
        <w:r w:rsidR="008033D3">
          <w:rPr>
            <w:noProof/>
            <w:webHidden/>
          </w:rPr>
          <w:tab/>
        </w:r>
        <w:r w:rsidR="008033D3">
          <w:rPr>
            <w:noProof/>
            <w:webHidden/>
          </w:rPr>
          <w:fldChar w:fldCharType="begin"/>
        </w:r>
        <w:r w:rsidR="008033D3">
          <w:rPr>
            <w:noProof/>
            <w:webHidden/>
          </w:rPr>
          <w:instrText xml:space="preserve"> PAGEREF _Toc442343935 \h </w:instrText>
        </w:r>
        <w:r w:rsidR="008033D3">
          <w:rPr>
            <w:noProof/>
            <w:webHidden/>
          </w:rPr>
        </w:r>
        <w:r w:rsidR="008033D3">
          <w:rPr>
            <w:noProof/>
            <w:webHidden/>
          </w:rPr>
          <w:fldChar w:fldCharType="separate"/>
        </w:r>
        <w:r w:rsidR="009E77CA">
          <w:rPr>
            <w:noProof/>
            <w:webHidden/>
          </w:rPr>
          <w:t>43</w:t>
        </w:r>
        <w:r w:rsidR="008033D3">
          <w:rPr>
            <w:noProof/>
            <w:webHidden/>
          </w:rPr>
          <w:fldChar w:fldCharType="end"/>
        </w:r>
      </w:hyperlink>
    </w:p>
    <w:p w14:paraId="06810EBC" w14:textId="77777777" w:rsidR="008033D3" w:rsidRDefault="00A82D2C" w:rsidP="008033D3">
      <w:pPr>
        <w:pStyle w:val="TDC4"/>
        <w:tabs>
          <w:tab w:val="right" w:leader="dot" w:pos="9113"/>
        </w:tabs>
        <w:spacing w:before="0" w:after="200" w:line="360" w:lineRule="auto"/>
        <w:rPr>
          <w:rFonts w:asciiTheme="minorHAnsi" w:eastAsiaTheme="minorEastAsia" w:hAnsiTheme="minorHAnsi" w:cstheme="minorBidi"/>
          <w:bCs w:val="0"/>
          <w:iCs w:val="0"/>
          <w:noProof/>
          <w:color w:val="auto"/>
          <w:sz w:val="22"/>
          <w:szCs w:val="22"/>
          <w:bdr w:val="none" w:sz="0" w:space="0" w:color="auto"/>
          <w:lang w:val="es-EC"/>
        </w:rPr>
      </w:pPr>
      <w:hyperlink w:anchor="_Toc442343936" w:history="1">
        <w:r w:rsidR="008033D3" w:rsidRPr="0039625A">
          <w:rPr>
            <w:rStyle w:val="Hipervnculo"/>
            <w:noProof/>
          </w:rPr>
          <w:t>Cuadro 9.</w:t>
        </w:r>
        <w:r w:rsidR="008033D3">
          <w:rPr>
            <w:noProof/>
            <w:webHidden/>
          </w:rPr>
          <w:tab/>
        </w:r>
        <w:r w:rsidR="008033D3">
          <w:rPr>
            <w:noProof/>
            <w:webHidden/>
          </w:rPr>
          <w:fldChar w:fldCharType="begin"/>
        </w:r>
        <w:r w:rsidR="008033D3">
          <w:rPr>
            <w:noProof/>
            <w:webHidden/>
          </w:rPr>
          <w:instrText xml:space="preserve"> PAGEREF _Toc442343936 \h </w:instrText>
        </w:r>
        <w:r w:rsidR="008033D3">
          <w:rPr>
            <w:noProof/>
            <w:webHidden/>
          </w:rPr>
        </w:r>
        <w:r w:rsidR="008033D3">
          <w:rPr>
            <w:noProof/>
            <w:webHidden/>
          </w:rPr>
          <w:fldChar w:fldCharType="separate"/>
        </w:r>
        <w:r w:rsidR="009E77CA">
          <w:rPr>
            <w:noProof/>
            <w:webHidden/>
          </w:rPr>
          <w:t>43</w:t>
        </w:r>
        <w:r w:rsidR="008033D3">
          <w:rPr>
            <w:noProof/>
            <w:webHidden/>
          </w:rPr>
          <w:fldChar w:fldCharType="end"/>
        </w:r>
      </w:hyperlink>
    </w:p>
    <w:p w14:paraId="201EFA0C" w14:textId="77777777" w:rsidR="008033D3" w:rsidRDefault="00A82D2C" w:rsidP="008033D3">
      <w:pPr>
        <w:pStyle w:val="TDC4"/>
        <w:tabs>
          <w:tab w:val="right" w:leader="dot" w:pos="9113"/>
        </w:tabs>
        <w:spacing w:before="0" w:after="200" w:line="360" w:lineRule="auto"/>
        <w:rPr>
          <w:rFonts w:asciiTheme="minorHAnsi" w:eastAsiaTheme="minorEastAsia" w:hAnsiTheme="minorHAnsi" w:cstheme="minorBidi"/>
          <w:bCs w:val="0"/>
          <w:iCs w:val="0"/>
          <w:noProof/>
          <w:color w:val="auto"/>
          <w:sz w:val="22"/>
          <w:szCs w:val="22"/>
          <w:bdr w:val="none" w:sz="0" w:space="0" w:color="auto"/>
          <w:lang w:val="es-EC"/>
        </w:rPr>
      </w:pPr>
      <w:hyperlink w:anchor="_Toc442343937" w:history="1">
        <w:r w:rsidR="008033D3" w:rsidRPr="0039625A">
          <w:rPr>
            <w:rStyle w:val="Hipervnculo"/>
            <w:noProof/>
          </w:rPr>
          <w:t>Cuadro 10.</w:t>
        </w:r>
        <w:r w:rsidR="008033D3">
          <w:rPr>
            <w:noProof/>
            <w:webHidden/>
          </w:rPr>
          <w:tab/>
        </w:r>
        <w:r w:rsidR="008033D3">
          <w:rPr>
            <w:noProof/>
            <w:webHidden/>
          </w:rPr>
          <w:fldChar w:fldCharType="begin"/>
        </w:r>
        <w:r w:rsidR="008033D3">
          <w:rPr>
            <w:noProof/>
            <w:webHidden/>
          </w:rPr>
          <w:instrText xml:space="preserve"> PAGEREF _Toc442343937 \h </w:instrText>
        </w:r>
        <w:r w:rsidR="008033D3">
          <w:rPr>
            <w:noProof/>
            <w:webHidden/>
          </w:rPr>
        </w:r>
        <w:r w:rsidR="008033D3">
          <w:rPr>
            <w:noProof/>
            <w:webHidden/>
          </w:rPr>
          <w:fldChar w:fldCharType="separate"/>
        </w:r>
        <w:r w:rsidR="009E77CA">
          <w:rPr>
            <w:noProof/>
            <w:webHidden/>
          </w:rPr>
          <w:t>44</w:t>
        </w:r>
        <w:r w:rsidR="008033D3">
          <w:rPr>
            <w:noProof/>
            <w:webHidden/>
          </w:rPr>
          <w:fldChar w:fldCharType="end"/>
        </w:r>
      </w:hyperlink>
    </w:p>
    <w:p w14:paraId="5F6B573A" w14:textId="77777777" w:rsidR="008033D3" w:rsidRDefault="00A82D2C" w:rsidP="008033D3">
      <w:pPr>
        <w:pStyle w:val="TDC1"/>
        <w:tabs>
          <w:tab w:val="right" w:leader="dot" w:pos="9113"/>
        </w:tabs>
        <w:spacing w:after="200" w:line="360" w:lineRule="auto"/>
        <w:rPr>
          <w:rFonts w:asciiTheme="minorHAnsi" w:eastAsiaTheme="minorEastAsia" w:hAnsiTheme="minorHAnsi"/>
          <w:b w:val="0"/>
          <w:noProof/>
          <w:sz w:val="22"/>
          <w:lang w:val="es-EC" w:eastAsia="es-EC"/>
        </w:rPr>
      </w:pPr>
      <w:hyperlink w:anchor="_Toc442343938" w:history="1">
        <w:r w:rsidR="008033D3" w:rsidRPr="0039625A">
          <w:rPr>
            <w:rStyle w:val="Hipervnculo"/>
            <w:noProof/>
          </w:rPr>
          <w:t>CONCLUSIONES</w:t>
        </w:r>
        <w:r w:rsidR="008033D3">
          <w:rPr>
            <w:noProof/>
            <w:webHidden/>
          </w:rPr>
          <w:tab/>
        </w:r>
        <w:r w:rsidR="008033D3">
          <w:rPr>
            <w:noProof/>
            <w:webHidden/>
          </w:rPr>
          <w:fldChar w:fldCharType="begin"/>
        </w:r>
        <w:r w:rsidR="008033D3">
          <w:rPr>
            <w:noProof/>
            <w:webHidden/>
          </w:rPr>
          <w:instrText xml:space="preserve"> PAGEREF _Toc442343938 \h </w:instrText>
        </w:r>
        <w:r w:rsidR="008033D3">
          <w:rPr>
            <w:noProof/>
            <w:webHidden/>
          </w:rPr>
        </w:r>
        <w:r w:rsidR="008033D3">
          <w:rPr>
            <w:noProof/>
            <w:webHidden/>
          </w:rPr>
          <w:fldChar w:fldCharType="separate"/>
        </w:r>
        <w:r w:rsidR="009E77CA">
          <w:rPr>
            <w:noProof/>
            <w:webHidden/>
          </w:rPr>
          <w:t>45</w:t>
        </w:r>
        <w:r w:rsidR="008033D3">
          <w:rPr>
            <w:noProof/>
            <w:webHidden/>
          </w:rPr>
          <w:fldChar w:fldCharType="end"/>
        </w:r>
      </w:hyperlink>
    </w:p>
    <w:p w14:paraId="33FE471B" w14:textId="77777777" w:rsidR="008033D3" w:rsidRDefault="00A82D2C" w:rsidP="008033D3">
      <w:pPr>
        <w:pStyle w:val="TDC1"/>
        <w:tabs>
          <w:tab w:val="right" w:leader="dot" w:pos="9113"/>
        </w:tabs>
        <w:spacing w:after="200" w:line="360" w:lineRule="auto"/>
        <w:rPr>
          <w:rFonts w:asciiTheme="minorHAnsi" w:eastAsiaTheme="minorEastAsia" w:hAnsiTheme="minorHAnsi"/>
          <w:b w:val="0"/>
          <w:noProof/>
          <w:sz w:val="22"/>
          <w:lang w:val="es-EC" w:eastAsia="es-EC"/>
        </w:rPr>
      </w:pPr>
      <w:hyperlink w:anchor="_Toc442343939" w:history="1">
        <w:r w:rsidR="008033D3" w:rsidRPr="0039625A">
          <w:rPr>
            <w:rStyle w:val="Hipervnculo"/>
            <w:noProof/>
          </w:rPr>
          <w:t>RECOMENDACIONES</w:t>
        </w:r>
        <w:r w:rsidR="008033D3">
          <w:rPr>
            <w:noProof/>
            <w:webHidden/>
          </w:rPr>
          <w:tab/>
        </w:r>
        <w:r w:rsidR="008033D3">
          <w:rPr>
            <w:noProof/>
            <w:webHidden/>
          </w:rPr>
          <w:fldChar w:fldCharType="begin"/>
        </w:r>
        <w:r w:rsidR="008033D3">
          <w:rPr>
            <w:noProof/>
            <w:webHidden/>
          </w:rPr>
          <w:instrText xml:space="preserve"> PAGEREF _Toc442343939 \h </w:instrText>
        </w:r>
        <w:r w:rsidR="008033D3">
          <w:rPr>
            <w:noProof/>
            <w:webHidden/>
          </w:rPr>
        </w:r>
        <w:r w:rsidR="008033D3">
          <w:rPr>
            <w:noProof/>
            <w:webHidden/>
          </w:rPr>
          <w:fldChar w:fldCharType="separate"/>
        </w:r>
        <w:r w:rsidR="009E77CA">
          <w:rPr>
            <w:noProof/>
            <w:webHidden/>
          </w:rPr>
          <w:t>47</w:t>
        </w:r>
        <w:r w:rsidR="008033D3">
          <w:rPr>
            <w:noProof/>
            <w:webHidden/>
          </w:rPr>
          <w:fldChar w:fldCharType="end"/>
        </w:r>
      </w:hyperlink>
    </w:p>
    <w:p w14:paraId="3CFA9407" w14:textId="77777777" w:rsidR="008033D3" w:rsidRDefault="00A82D2C" w:rsidP="008033D3">
      <w:pPr>
        <w:pStyle w:val="TDC1"/>
        <w:tabs>
          <w:tab w:val="right" w:leader="dot" w:pos="9113"/>
        </w:tabs>
        <w:spacing w:after="200" w:line="360" w:lineRule="auto"/>
        <w:rPr>
          <w:rFonts w:asciiTheme="minorHAnsi" w:eastAsiaTheme="minorEastAsia" w:hAnsiTheme="minorHAnsi"/>
          <w:b w:val="0"/>
          <w:noProof/>
          <w:sz w:val="22"/>
          <w:lang w:val="es-EC" w:eastAsia="es-EC"/>
        </w:rPr>
      </w:pPr>
      <w:hyperlink w:anchor="_Toc442343940" w:history="1">
        <w:r w:rsidR="008033D3" w:rsidRPr="0039625A">
          <w:rPr>
            <w:rStyle w:val="Hipervnculo"/>
            <w:noProof/>
          </w:rPr>
          <w:t>BIBLIOGRAFÍA</w:t>
        </w:r>
        <w:r w:rsidR="008033D3">
          <w:rPr>
            <w:noProof/>
            <w:webHidden/>
          </w:rPr>
          <w:tab/>
        </w:r>
        <w:r w:rsidR="008033D3">
          <w:rPr>
            <w:noProof/>
            <w:webHidden/>
          </w:rPr>
          <w:fldChar w:fldCharType="begin"/>
        </w:r>
        <w:r w:rsidR="008033D3">
          <w:rPr>
            <w:noProof/>
            <w:webHidden/>
          </w:rPr>
          <w:instrText xml:space="preserve"> PAGEREF _Toc442343940 \h </w:instrText>
        </w:r>
        <w:r w:rsidR="008033D3">
          <w:rPr>
            <w:noProof/>
            <w:webHidden/>
          </w:rPr>
        </w:r>
        <w:r w:rsidR="008033D3">
          <w:rPr>
            <w:noProof/>
            <w:webHidden/>
          </w:rPr>
          <w:fldChar w:fldCharType="separate"/>
        </w:r>
        <w:r w:rsidR="009E77CA">
          <w:rPr>
            <w:noProof/>
            <w:webHidden/>
          </w:rPr>
          <w:t>49</w:t>
        </w:r>
        <w:r w:rsidR="008033D3">
          <w:rPr>
            <w:noProof/>
            <w:webHidden/>
          </w:rPr>
          <w:fldChar w:fldCharType="end"/>
        </w:r>
      </w:hyperlink>
    </w:p>
    <w:p w14:paraId="740D9360" w14:textId="77777777" w:rsidR="008033D3" w:rsidRDefault="008033D3" w:rsidP="008033D3">
      <w:pPr>
        <w:pStyle w:val="Sinespaciado"/>
        <w:spacing w:after="200"/>
        <w:rPr>
          <w:rFonts w:cs="Times New Roman"/>
          <w:szCs w:val="24"/>
        </w:rPr>
      </w:pPr>
      <w:r>
        <w:rPr>
          <w:rFonts w:cs="Times New Roman"/>
          <w:szCs w:val="24"/>
        </w:rPr>
        <w:fldChar w:fldCharType="end"/>
      </w:r>
    </w:p>
    <w:p w14:paraId="47DBCAFA" w14:textId="77777777" w:rsidR="008033D3" w:rsidRDefault="008033D3" w:rsidP="008033D3">
      <w:pPr>
        <w:pStyle w:val="Sinespaciado"/>
        <w:rPr>
          <w:rFonts w:cs="Times New Roman"/>
          <w:szCs w:val="24"/>
        </w:rPr>
      </w:pPr>
    </w:p>
    <w:p w14:paraId="5606B176" w14:textId="77777777" w:rsidR="008033D3" w:rsidRDefault="008033D3" w:rsidP="008033D3">
      <w:pPr>
        <w:pStyle w:val="Sinespaciado"/>
        <w:rPr>
          <w:rFonts w:cs="Times New Roman"/>
          <w:szCs w:val="24"/>
        </w:rPr>
      </w:pPr>
    </w:p>
    <w:p w14:paraId="59D2D122" w14:textId="77777777" w:rsidR="008033D3" w:rsidRDefault="008033D3" w:rsidP="008033D3">
      <w:pPr>
        <w:pStyle w:val="Sinespaciado"/>
        <w:rPr>
          <w:rFonts w:cs="Times New Roman"/>
          <w:szCs w:val="24"/>
        </w:rPr>
      </w:pPr>
    </w:p>
    <w:p w14:paraId="07ADFA52" w14:textId="77777777" w:rsidR="008033D3" w:rsidRDefault="008033D3" w:rsidP="008033D3">
      <w:pPr>
        <w:pStyle w:val="Sinespaciado"/>
        <w:rPr>
          <w:rFonts w:cs="Times New Roman"/>
          <w:szCs w:val="24"/>
        </w:rPr>
      </w:pPr>
    </w:p>
    <w:p w14:paraId="3868BDA8" w14:textId="77777777" w:rsidR="008033D3" w:rsidRDefault="008033D3" w:rsidP="008033D3">
      <w:pPr>
        <w:pStyle w:val="Sinespaciado"/>
        <w:rPr>
          <w:rFonts w:cs="Times New Roman"/>
          <w:szCs w:val="24"/>
        </w:rPr>
      </w:pPr>
    </w:p>
    <w:p w14:paraId="2540B3C5" w14:textId="77777777" w:rsidR="008033D3" w:rsidRDefault="008033D3" w:rsidP="008033D3">
      <w:pPr>
        <w:pStyle w:val="Sinespaciado"/>
        <w:rPr>
          <w:rFonts w:cs="Times New Roman"/>
          <w:szCs w:val="24"/>
        </w:rPr>
      </w:pPr>
    </w:p>
    <w:p w14:paraId="3E3D48F6" w14:textId="77777777" w:rsidR="008033D3" w:rsidRDefault="008033D3" w:rsidP="008033D3">
      <w:pPr>
        <w:pStyle w:val="Sinespaciado"/>
        <w:rPr>
          <w:rFonts w:cs="Times New Roman"/>
          <w:szCs w:val="24"/>
        </w:rPr>
      </w:pPr>
    </w:p>
    <w:p w14:paraId="5024C847" w14:textId="77777777" w:rsidR="008033D3" w:rsidRDefault="008033D3" w:rsidP="008033D3">
      <w:pPr>
        <w:pStyle w:val="Sinespaciado"/>
        <w:rPr>
          <w:rFonts w:cs="Times New Roman"/>
          <w:szCs w:val="24"/>
        </w:rPr>
      </w:pPr>
    </w:p>
    <w:p w14:paraId="2E242D80" w14:textId="77777777" w:rsidR="008033D3" w:rsidRDefault="008033D3" w:rsidP="008033D3">
      <w:pPr>
        <w:pStyle w:val="Sinespaciado"/>
        <w:rPr>
          <w:rFonts w:cs="Times New Roman"/>
          <w:szCs w:val="24"/>
        </w:rPr>
      </w:pPr>
    </w:p>
    <w:p w14:paraId="3CF25BF2" w14:textId="77777777" w:rsidR="008033D3" w:rsidRDefault="008033D3" w:rsidP="008033D3">
      <w:pPr>
        <w:pStyle w:val="Sinespaciado"/>
        <w:rPr>
          <w:rFonts w:cs="Times New Roman"/>
          <w:szCs w:val="24"/>
        </w:rPr>
      </w:pPr>
    </w:p>
    <w:p w14:paraId="38BE2197" w14:textId="77777777" w:rsidR="008033D3" w:rsidRDefault="008033D3" w:rsidP="008033D3">
      <w:pPr>
        <w:pStyle w:val="Sinespaciado"/>
        <w:rPr>
          <w:rFonts w:cs="Times New Roman"/>
          <w:szCs w:val="24"/>
        </w:rPr>
      </w:pPr>
    </w:p>
    <w:p w14:paraId="711B6D0D" w14:textId="77777777" w:rsidR="008033D3" w:rsidRDefault="008033D3" w:rsidP="008033D3">
      <w:pPr>
        <w:pStyle w:val="Sinespaciado"/>
        <w:rPr>
          <w:rFonts w:cs="Times New Roman"/>
          <w:szCs w:val="24"/>
        </w:rPr>
      </w:pPr>
    </w:p>
    <w:p w14:paraId="44338BB3" w14:textId="77777777" w:rsidR="008033D3" w:rsidRDefault="008033D3" w:rsidP="008033D3">
      <w:pPr>
        <w:pStyle w:val="Sinespaciado"/>
        <w:rPr>
          <w:rFonts w:cs="Times New Roman"/>
          <w:szCs w:val="24"/>
        </w:rPr>
      </w:pPr>
    </w:p>
    <w:p w14:paraId="2AD935B5" w14:textId="77777777" w:rsidR="00596F4D" w:rsidRDefault="00596F4D" w:rsidP="008033D3">
      <w:pPr>
        <w:pStyle w:val="Titulo1"/>
        <w:spacing w:before="0" w:after="200"/>
      </w:pPr>
      <w:bookmarkStart w:id="8" w:name="_Toc442343901"/>
    </w:p>
    <w:p w14:paraId="69EE380B" w14:textId="77777777" w:rsidR="00596F4D" w:rsidRDefault="00596F4D" w:rsidP="008033D3">
      <w:pPr>
        <w:pStyle w:val="Titulo1"/>
        <w:spacing w:before="0" w:after="200"/>
      </w:pPr>
    </w:p>
    <w:p w14:paraId="23F36015" w14:textId="77777777" w:rsidR="008033D3" w:rsidRPr="000D0F7D" w:rsidRDefault="008033D3" w:rsidP="008033D3">
      <w:pPr>
        <w:pStyle w:val="Titulo1"/>
        <w:spacing w:before="0" w:after="200"/>
      </w:pPr>
      <w:r>
        <w:t>INTRODUCCIÓN</w:t>
      </w:r>
      <w:bookmarkEnd w:id="8"/>
    </w:p>
    <w:p w14:paraId="4AB9C2B2" w14:textId="77777777" w:rsidR="008033D3" w:rsidRPr="00D06F87" w:rsidRDefault="008033D3" w:rsidP="008033D3">
      <w:pPr>
        <w:spacing w:line="360" w:lineRule="auto"/>
        <w:rPr>
          <w:rFonts w:cs="Times New Roman"/>
          <w:szCs w:val="24"/>
        </w:rPr>
      </w:pPr>
      <w:r w:rsidRPr="00D06F87">
        <w:rPr>
          <w:rFonts w:cs="Times New Roman"/>
          <w:szCs w:val="24"/>
        </w:rPr>
        <w:t>Con la crisis económica mundial, para el mundo empresarial es más difícil la búsqueda de precios competitivos, especialmente para aquell</w:t>
      </w:r>
      <w:r>
        <w:rPr>
          <w:rFonts w:cs="Times New Roman"/>
          <w:szCs w:val="24"/>
        </w:rPr>
        <w:t xml:space="preserve">os que se </w:t>
      </w:r>
      <w:r w:rsidRPr="00D06F87">
        <w:rPr>
          <w:rFonts w:cs="Times New Roman"/>
          <w:szCs w:val="24"/>
        </w:rPr>
        <w:t xml:space="preserve"> dedica</w:t>
      </w:r>
      <w:r>
        <w:rPr>
          <w:rFonts w:cs="Times New Roman"/>
          <w:szCs w:val="24"/>
        </w:rPr>
        <w:t>n</w:t>
      </w:r>
      <w:r w:rsidRPr="00D06F87">
        <w:rPr>
          <w:rFonts w:cs="Times New Roman"/>
          <w:szCs w:val="24"/>
        </w:rPr>
        <w:t xml:space="preserve"> a la producción, situación que se torna más compleja al tomar en cuenta la incorporación de nuevas tecnologías, lo cual hace más costoso el producto final.</w:t>
      </w:r>
    </w:p>
    <w:p w14:paraId="536F01ED" w14:textId="77777777" w:rsidR="008033D3" w:rsidRPr="00D06F87" w:rsidRDefault="008033D3" w:rsidP="008033D3">
      <w:pPr>
        <w:spacing w:line="360" w:lineRule="auto"/>
        <w:rPr>
          <w:rFonts w:cs="Times New Roman"/>
          <w:szCs w:val="24"/>
        </w:rPr>
      </w:pPr>
      <w:r>
        <w:rPr>
          <w:rFonts w:cs="Times New Roman"/>
          <w:szCs w:val="24"/>
        </w:rPr>
        <w:t xml:space="preserve">En </w:t>
      </w:r>
      <w:r w:rsidRPr="00D06F87">
        <w:rPr>
          <w:rFonts w:cs="Times New Roman"/>
          <w:szCs w:val="24"/>
        </w:rPr>
        <w:t>el caso del mercado nacional</w:t>
      </w:r>
      <w:r>
        <w:rPr>
          <w:rFonts w:cs="Times New Roman"/>
          <w:szCs w:val="24"/>
        </w:rPr>
        <w:t xml:space="preserve">, el </w:t>
      </w:r>
      <w:r w:rsidRPr="00D06F87">
        <w:rPr>
          <w:rFonts w:cs="Times New Roman"/>
          <w:szCs w:val="24"/>
        </w:rPr>
        <w:t>ensamblaje de celulares empieza a finales del 2011</w:t>
      </w:r>
      <w:r>
        <w:rPr>
          <w:rFonts w:cs="Times New Roman"/>
          <w:szCs w:val="24"/>
        </w:rPr>
        <w:t>,</w:t>
      </w:r>
      <w:r w:rsidRPr="00D06F87">
        <w:rPr>
          <w:rFonts w:cs="Times New Roman"/>
          <w:szCs w:val="24"/>
        </w:rPr>
        <w:t xml:space="preserve"> cuando la compañía </w:t>
      </w:r>
      <w:proofErr w:type="spellStart"/>
      <w:r w:rsidRPr="00D06F87">
        <w:rPr>
          <w:rFonts w:cs="Times New Roman"/>
          <w:szCs w:val="24"/>
        </w:rPr>
        <w:t>Audioelec</w:t>
      </w:r>
      <w:proofErr w:type="spellEnd"/>
      <w:r w:rsidRPr="00D06F87">
        <w:rPr>
          <w:rFonts w:cs="Times New Roman"/>
          <w:szCs w:val="24"/>
        </w:rPr>
        <w:t xml:space="preserve"> anuncia el inicio de operaciones para armar celulares en su planta de Durán.  En el mismo año salió al mercado un primer lote con 30.000 celulares de la marca Riviera, cuyos equipos de gama baja tenían reproductor de MP3, linterna y radio. Mientras que otro modelo, el C06 Riviera, contaba con pantalla táctil y estaba habilitado para navegar en redes sociales. Sus costos oscilaban entre US$ 35 y 150</w:t>
      </w:r>
      <w:sdt>
        <w:sdtPr>
          <w:rPr>
            <w:rFonts w:cs="Times New Roman"/>
            <w:szCs w:val="24"/>
          </w:rPr>
          <w:id w:val="955221894"/>
          <w:citation/>
        </w:sdtPr>
        <w:sdtEndPr/>
        <w:sdtContent>
          <w:r w:rsidRPr="00D06F87">
            <w:rPr>
              <w:rFonts w:cs="Times New Roman"/>
              <w:szCs w:val="24"/>
            </w:rPr>
            <w:fldChar w:fldCharType="begin"/>
          </w:r>
          <w:r w:rsidRPr="00D06F87">
            <w:rPr>
              <w:rFonts w:cs="Times New Roman"/>
              <w:szCs w:val="24"/>
            </w:rPr>
            <w:instrText xml:space="preserve">CITATION ELC15 \l 3082 </w:instrText>
          </w:r>
          <w:r w:rsidRPr="00D06F87">
            <w:rPr>
              <w:rFonts w:cs="Times New Roman"/>
              <w:szCs w:val="24"/>
            </w:rPr>
            <w:fldChar w:fldCharType="separate"/>
          </w:r>
          <w:r w:rsidRPr="00D06F87">
            <w:rPr>
              <w:rFonts w:cs="Times New Roman"/>
              <w:noProof/>
              <w:szCs w:val="24"/>
            </w:rPr>
            <w:t xml:space="preserve"> (Comercio, 2014)</w:t>
          </w:r>
          <w:r w:rsidRPr="00D06F87">
            <w:rPr>
              <w:rFonts w:cs="Times New Roman"/>
              <w:szCs w:val="24"/>
            </w:rPr>
            <w:fldChar w:fldCharType="end"/>
          </w:r>
        </w:sdtContent>
      </w:sdt>
    </w:p>
    <w:p w14:paraId="64A9C413" w14:textId="77777777" w:rsidR="008033D3" w:rsidRPr="002E0B95" w:rsidRDefault="008033D3" w:rsidP="008033D3">
      <w:pPr>
        <w:spacing w:line="360" w:lineRule="auto"/>
        <w:rPr>
          <w:rFonts w:cs="Times New Roman"/>
          <w:szCs w:val="24"/>
        </w:rPr>
      </w:pPr>
      <w:r w:rsidRPr="002E0B95">
        <w:rPr>
          <w:rFonts w:cs="Times New Roman"/>
          <w:szCs w:val="24"/>
        </w:rPr>
        <w:t xml:space="preserve">En este sentido, según datos del Ministerio de Industrias, en el 2014 se ensamblaron 544.067 unidades celulares en estas empresas, con la ayuda de 18 empresas de Quito, Guayaquil y Cuenca, que se encargan del suministro de partes como: cargadores, estuches, carcasas, micas, tarjetas electrónicas, software y papelería para manuales y empaques, según información del Ministerio de Industrias. </w:t>
      </w:r>
      <w:sdt>
        <w:sdtPr>
          <w:rPr>
            <w:rFonts w:cs="Times New Roman"/>
            <w:szCs w:val="24"/>
          </w:rPr>
          <w:id w:val="-1163774296"/>
          <w:citation/>
        </w:sdtPr>
        <w:sdtEndPr/>
        <w:sdtContent>
          <w:r w:rsidRPr="002E0B95">
            <w:rPr>
              <w:rFonts w:cs="Times New Roman"/>
              <w:szCs w:val="24"/>
            </w:rPr>
            <w:fldChar w:fldCharType="begin"/>
          </w:r>
          <w:r w:rsidRPr="002E0B95">
            <w:rPr>
              <w:rFonts w:cs="Times New Roman"/>
              <w:szCs w:val="24"/>
            </w:rPr>
            <w:instrText xml:space="preserve"> CITATION ELC15 \l 3082 </w:instrText>
          </w:r>
          <w:r w:rsidRPr="002E0B95">
            <w:rPr>
              <w:rFonts w:cs="Times New Roman"/>
              <w:szCs w:val="24"/>
            </w:rPr>
            <w:fldChar w:fldCharType="separate"/>
          </w:r>
          <w:r w:rsidRPr="002E0B95">
            <w:rPr>
              <w:rFonts w:cs="Times New Roman"/>
              <w:noProof/>
              <w:szCs w:val="24"/>
            </w:rPr>
            <w:t>(Comercio, 2014)</w:t>
          </w:r>
          <w:r w:rsidRPr="002E0B95">
            <w:rPr>
              <w:rFonts w:cs="Times New Roman"/>
              <w:szCs w:val="24"/>
            </w:rPr>
            <w:fldChar w:fldCharType="end"/>
          </w:r>
        </w:sdtContent>
      </w:sdt>
    </w:p>
    <w:p w14:paraId="5FD40B14" w14:textId="69F1D3E4" w:rsidR="008033D3" w:rsidRPr="002E0B95" w:rsidRDefault="008033D3" w:rsidP="008033D3">
      <w:pPr>
        <w:spacing w:line="360" w:lineRule="auto"/>
        <w:rPr>
          <w:rFonts w:cs="Times New Roman"/>
          <w:szCs w:val="24"/>
        </w:rPr>
      </w:pPr>
      <w:r w:rsidRPr="002E0B95">
        <w:rPr>
          <w:rFonts w:cs="Times New Roman"/>
          <w:szCs w:val="24"/>
        </w:rPr>
        <w:t>Las organizaciones antes mencionadas, con el objetivo de reducir costos de producción</w:t>
      </w:r>
      <w:r>
        <w:rPr>
          <w:rFonts w:cs="Times New Roman"/>
          <w:szCs w:val="24"/>
        </w:rPr>
        <w:t>,</w:t>
      </w:r>
      <w:r w:rsidRPr="002E0B95">
        <w:rPr>
          <w:rFonts w:cs="Times New Roman"/>
          <w:szCs w:val="24"/>
        </w:rPr>
        <w:t xml:space="preserve"> han dispuesto que </w:t>
      </w:r>
      <w:r>
        <w:rPr>
          <w:rFonts w:cs="Times New Roman"/>
          <w:szCs w:val="24"/>
        </w:rPr>
        <w:t xml:space="preserve">las </w:t>
      </w:r>
      <w:r w:rsidRPr="002E0B95">
        <w:rPr>
          <w:rFonts w:cs="Times New Roman"/>
          <w:szCs w:val="24"/>
        </w:rPr>
        <w:t>empresas fabricantes de equipo original (OEM por sus siglas en inglés)</w:t>
      </w:r>
      <w:r>
        <w:rPr>
          <w:rFonts w:cs="Times New Roman"/>
          <w:szCs w:val="24"/>
        </w:rPr>
        <w:t>,</w:t>
      </w:r>
      <w:r w:rsidRPr="002E0B95">
        <w:rPr>
          <w:rFonts w:cs="Times New Roman"/>
          <w:szCs w:val="24"/>
        </w:rPr>
        <w:t xml:space="preserve"> contraten servicios de manufactura a empresas especializadas llamadas </w:t>
      </w:r>
      <w:proofErr w:type="spellStart"/>
      <w:r w:rsidRPr="002E0B95">
        <w:rPr>
          <w:rFonts w:cs="Times New Roman"/>
          <w:i/>
          <w:szCs w:val="24"/>
        </w:rPr>
        <w:t>Electronic</w:t>
      </w:r>
      <w:proofErr w:type="spellEnd"/>
      <w:r w:rsidRPr="002E0B95">
        <w:rPr>
          <w:rFonts w:cs="Times New Roman"/>
          <w:i/>
          <w:szCs w:val="24"/>
        </w:rPr>
        <w:t xml:space="preserve"> </w:t>
      </w:r>
      <w:proofErr w:type="spellStart"/>
      <w:r w:rsidRPr="002E0B95">
        <w:rPr>
          <w:rFonts w:cs="Times New Roman"/>
          <w:i/>
          <w:szCs w:val="24"/>
        </w:rPr>
        <w:t>Manufacturing</w:t>
      </w:r>
      <w:proofErr w:type="spellEnd"/>
      <w:r w:rsidRPr="002E0B95">
        <w:rPr>
          <w:rFonts w:cs="Times New Roman"/>
          <w:i/>
          <w:szCs w:val="24"/>
        </w:rPr>
        <w:t xml:space="preserve"> </w:t>
      </w:r>
      <w:proofErr w:type="spellStart"/>
      <w:r w:rsidRPr="002E0B95">
        <w:rPr>
          <w:rFonts w:cs="Times New Roman"/>
          <w:i/>
          <w:szCs w:val="24"/>
        </w:rPr>
        <w:t>Services</w:t>
      </w:r>
      <w:proofErr w:type="spellEnd"/>
      <w:r w:rsidRPr="002E0B95">
        <w:rPr>
          <w:rFonts w:cs="Times New Roman"/>
          <w:szCs w:val="24"/>
        </w:rPr>
        <w:t xml:space="preserve"> (EMS), lo cual ha derivado </w:t>
      </w:r>
      <w:r>
        <w:rPr>
          <w:rFonts w:cs="Times New Roman"/>
          <w:szCs w:val="24"/>
        </w:rPr>
        <w:t xml:space="preserve">en la </w:t>
      </w:r>
      <w:r w:rsidRPr="002E0B95">
        <w:rPr>
          <w:rFonts w:cs="Times New Roman"/>
          <w:szCs w:val="24"/>
        </w:rPr>
        <w:t>concent</w:t>
      </w:r>
      <w:r>
        <w:rPr>
          <w:rFonts w:cs="Times New Roman"/>
          <w:szCs w:val="24"/>
        </w:rPr>
        <w:t>ración</w:t>
      </w:r>
      <w:r w:rsidRPr="002E0B95">
        <w:rPr>
          <w:rFonts w:cs="Times New Roman"/>
          <w:szCs w:val="24"/>
        </w:rPr>
        <w:t xml:space="preserve"> </w:t>
      </w:r>
      <w:r>
        <w:rPr>
          <w:rFonts w:cs="Times New Roman"/>
          <w:szCs w:val="24"/>
        </w:rPr>
        <w:t xml:space="preserve">de </w:t>
      </w:r>
      <w:r w:rsidRPr="002E0B95">
        <w:rPr>
          <w:rFonts w:cs="Times New Roman"/>
          <w:szCs w:val="24"/>
        </w:rPr>
        <w:t>los esfuerzos en diseño, innovación, marketing y posventa</w:t>
      </w:r>
      <w:r>
        <w:rPr>
          <w:rFonts w:cs="Times New Roman"/>
          <w:szCs w:val="24"/>
        </w:rPr>
        <w:t xml:space="preserve">. La </w:t>
      </w:r>
      <w:r w:rsidR="00EE0310">
        <w:rPr>
          <w:rFonts w:cs="Times New Roman"/>
          <w:szCs w:val="24"/>
        </w:rPr>
        <w:t>subcontratación</w:t>
      </w:r>
      <w:r w:rsidR="00EE0310" w:rsidRPr="002E0B95">
        <w:rPr>
          <w:rFonts w:cs="Times New Roman"/>
          <w:szCs w:val="24"/>
        </w:rPr>
        <w:t xml:space="preserve"> de</w:t>
      </w:r>
      <w:r w:rsidRPr="002E0B95">
        <w:rPr>
          <w:rFonts w:cs="Times New Roman"/>
          <w:szCs w:val="24"/>
        </w:rPr>
        <w:t xml:space="preserve"> procesos de manufactura </w:t>
      </w:r>
      <w:r>
        <w:rPr>
          <w:rFonts w:cs="Times New Roman"/>
          <w:szCs w:val="24"/>
        </w:rPr>
        <w:t xml:space="preserve">ha permitido el </w:t>
      </w:r>
      <w:r w:rsidRPr="002E0B95">
        <w:rPr>
          <w:rFonts w:cs="Times New Roman"/>
          <w:szCs w:val="24"/>
        </w:rPr>
        <w:t>acceso a nuevas tecnologías, manuales y capacitaciones continuas, procesos de producción de vanguardia, consolidación de compras según la demanda y reducción de capital trabajo.</w:t>
      </w:r>
    </w:p>
    <w:p w14:paraId="64B9F9F8" w14:textId="77777777" w:rsidR="008033D3" w:rsidRPr="002E0B95" w:rsidRDefault="008033D3" w:rsidP="008033D3">
      <w:pPr>
        <w:spacing w:line="360" w:lineRule="auto"/>
        <w:rPr>
          <w:rFonts w:cs="Times New Roman"/>
          <w:szCs w:val="24"/>
        </w:rPr>
      </w:pPr>
      <w:r w:rsidRPr="002E0B95">
        <w:rPr>
          <w:rFonts w:cs="Times New Roman"/>
          <w:szCs w:val="24"/>
        </w:rPr>
        <w:t xml:space="preserve">Según la evolución de la balanza de pagos en el período 2007 </w:t>
      </w:r>
      <w:r>
        <w:rPr>
          <w:rFonts w:cs="Times New Roman"/>
          <w:szCs w:val="24"/>
        </w:rPr>
        <w:t>–</w:t>
      </w:r>
      <w:r w:rsidRPr="002E0B95">
        <w:rPr>
          <w:rFonts w:cs="Times New Roman"/>
          <w:szCs w:val="24"/>
        </w:rPr>
        <w:t xml:space="preserve"> 2008</w:t>
      </w:r>
      <w:r>
        <w:rPr>
          <w:rFonts w:cs="Times New Roman"/>
          <w:szCs w:val="24"/>
        </w:rPr>
        <w:t>,</w:t>
      </w:r>
      <w:r w:rsidRPr="002E0B95">
        <w:rPr>
          <w:rFonts w:cs="Times New Roman"/>
          <w:szCs w:val="24"/>
        </w:rPr>
        <w:t xml:space="preserve"> elaborado por el Banco Central</w:t>
      </w:r>
      <w:r>
        <w:rPr>
          <w:rFonts w:cs="Times New Roman"/>
          <w:szCs w:val="24"/>
        </w:rPr>
        <w:t>,</w:t>
      </w:r>
      <w:r w:rsidRPr="002E0B95">
        <w:rPr>
          <w:rFonts w:cs="Times New Roman"/>
          <w:szCs w:val="24"/>
        </w:rPr>
        <w:t xml:space="preserve"> a pesar</w:t>
      </w:r>
      <w:r>
        <w:rPr>
          <w:rFonts w:cs="Times New Roman"/>
          <w:szCs w:val="24"/>
        </w:rPr>
        <w:t xml:space="preserve"> de</w:t>
      </w:r>
      <w:r w:rsidRPr="002E0B95">
        <w:rPr>
          <w:rFonts w:cs="Times New Roman"/>
          <w:szCs w:val="24"/>
        </w:rPr>
        <w:t xml:space="preserve"> que en 2006 hubo un superávit de la balanza comercial </w:t>
      </w:r>
      <w:r>
        <w:rPr>
          <w:rFonts w:cs="Times New Roman"/>
          <w:szCs w:val="24"/>
        </w:rPr>
        <w:t>del</w:t>
      </w:r>
      <w:r w:rsidRPr="002E0B95">
        <w:rPr>
          <w:rFonts w:cs="Times New Roman"/>
          <w:szCs w:val="24"/>
        </w:rPr>
        <w:t xml:space="preserve"> sector </w:t>
      </w:r>
      <w:r w:rsidRPr="002E0B95">
        <w:rPr>
          <w:rFonts w:cs="Times New Roman"/>
          <w:szCs w:val="24"/>
        </w:rPr>
        <w:lastRenderedPageBreak/>
        <w:t>telecomunicaciones de US$ 1,449 millones</w:t>
      </w:r>
      <w:r>
        <w:rPr>
          <w:rFonts w:cs="Times New Roman"/>
          <w:szCs w:val="24"/>
        </w:rPr>
        <w:t>,</w:t>
      </w:r>
      <w:r w:rsidRPr="002E0B95">
        <w:rPr>
          <w:rFonts w:cs="Times New Roman"/>
          <w:szCs w:val="24"/>
        </w:rPr>
        <w:t xml:space="preserve"> </w:t>
      </w:r>
      <w:r>
        <w:rPr>
          <w:rFonts w:cs="Times New Roman"/>
          <w:szCs w:val="24"/>
        </w:rPr>
        <w:t>a</w:t>
      </w:r>
      <w:r w:rsidRPr="002E0B95">
        <w:rPr>
          <w:rFonts w:cs="Times New Roman"/>
          <w:szCs w:val="24"/>
        </w:rPr>
        <w:t xml:space="preserve"> partir del 2007 este valor </w:t>
      </w:r>
      <w:r>
        <w:rPr>
          <w:rFonts w:cs="Times New Roman"/>
          <w:szCs w:val="24"/>
        </w:rPr>
        <w:t>decayó</w:t>
      </w:r>
      <w:r w:rsidRPr="002E0B95">
        <w:rPr>
          <w:rFonts w:cs="Times New Roman"/>
          <w:szCs w:val="24"/>
        </w:rPr>
        <w:t xml:space="preserve"> a US$ 1,415 millones y en 2008 llega a US$ 908 millones.</w:t>
      </w:r>
      <w:r>
        <w:rPr>
          <w:rFonts w:cs="Times New Roman"/>
          <w:szCs w:val="24"/>
        </w:rPr>
        <w:t xml:space="preserve"> El hecho de que las  </w:t>
      </w:r>
      <w:r w:rsidRPr="002E0B95">
        <w:rPr>
          <w:rFonts w:cs="Times New Roman"/>
          <w:szCs w:val="24"/>
        </w:rPr>
        <w:t>exportaciones no regist</w:t>
      </w:r>
      <w:r>
        <w:rPr>
          <w:rFonts w:cs="Times New Roman"/>
          <w:szCs w:val="24"/>
        </w:rPr>
        <w:t>raron</w:t>
      </w:r>
      <w:r w:rsidRPr="002E0B95">
        <w:rPr>
          <w:rFonts w:cs="Times New Roman"/>
          <w:szCs w:val="24"/>
        </w:rPr>
        <w:t xml:space="preserve"> </w:t>
      </w:r>
      <w:r>
        <w:rPr>
          <w:rFonts w:cs="Times New Roman"/>
          <w:szCs w:val="24"/>
        </w:rPr>
        <w:t xml:space="preserve">un </w:t>
      </w:r>
      <w:r w:rsidRPr="002E0B95">
        <w:rPr>
          <w:rFonts w:cs="Times New Roman"/>
          <w:szCs w:val="24"/>
        </w:rPr>
        <w:t>aumento</w:t>
      </w:r>
      <w:r>
        <w:rPr>
          <w:rFonts w:cs="Times New Roman"/>
          <w:szCs w:val="24"/>
        </w:rPr>
        <w:t>, combinado con  una</w:t>
      </w:r>
      <w:r w:rsidRPr="002E0B95">
        <w:rPr>
          <w:rFonts w:cs="Times New Roman"/>
          <w:szCs w:val="24"/>
        </w:rPr>
        <w:t xml:space="preserve"> tendencia al alza de las importaciones, </w:t>
      </w:r>
      <w:r>
        <w:rPr>
          <w:rFonts w:cs="Times New Roman"/>
          <w:szCs w:val="24"/>
        </w:rPr>
        <w:t xml:space="preserve">provocó </w:t>
      </w:r>
      <w:r w:rsidRPr="002E0B95">
        <w:rPr>
          <w:rFonts w:cs="Times New Roman"/>
          <w:szCs w:val="24"/>
        </w:rPr>
        <w:t xml:space="preserve"> un deterioro en la Balanza Comercial a partir del 2007. </w:t>
      </w:r>
    </w:p>
    <w:p w14:paraId="4DB79B06" w14:textId="77777777" w:rsidR="008033D3" w:rsidRPr="002E0B95" w:rsidRDefault="008033D3" w:rsidP="008033D3">
      <w:pPr>
        <w:spacing w:line="360" w:lineRule="auto"/>
        <w:rPr>
          <w:rFonts w:cs="Times New Roman"/>
          <w:szCs w:val="24"/>
        </w:rPr>
      </w:pPr>
      <w:r w:rsidRPr="002E0B95">
        <w:rPr>
          <w:rFonts w:cs="Times New Roman"/>
          <w:szCs w:val="24"/>
        </w:rPr>
        <w:t>Ante e</w:t>
      </w:r>
      <w:r>
        <w:rPr>
          <w:rFonts w:cs="Times New Roman"/>
          <w:szCs w:val="24"/>
        </w:rPr>
        <w:t>l</w:t>
      </w:r>
      <w:r w:rsidRPr="002E0B95">
        <w:rPr>
          <w:rFonts w:cs="Times New Roman"/>
          <w:szCs w:val="24"/>
        </w:rPr>
        <w:t xml:space="preserve"> panorama de una eventual crisis en la balanza comercial, el gobierno central implementó mecanismos arancelarios para poder reducir estos indicadores. Estos mecanismos fueron cupos de importaciones para teléfonos celulares, incremento de aranceles a productos relacionados con la industria de telecomunicaciones y la restricción de </w:t>
      </w:r>
      <w:proofErr w:type="spellStart"/>
      <w:r w:rsidRPr="002E0B95">
        <w:rPr>
          <w:rFonts w:cs="Times New Roman"/>
          <w:szCs w:val="24"/>
        </w:rPr>
        <w:t>aduanización</w:t>
      </w:r>
      <w:proofErr w:type="spellEnd"/>
      <w:r w:rsidRPr="002E0B95">
        <w:rPr>
          <w:rFonts w:cs="Times New Roman"/>
          <w:szCs w:val="24"/>
        </w:rPr>
        <w:t xml:space="preserve"> de plataformas 4G y LTE para ser una futura carta de renegociación con entidades gubernamentales. </w:t>
      </w:r>
    </w:p>
    <w:p w14:paraId="17C31FA8" w14:textId="77777777" w:rsidR="008033D3" w:rsidRPr="002E0B95" w:rsidRDefault="008033D3" w:rsidP="008033D3">
      <w:pPr>
        <w:spacing w:line="360" w:lineRule="auto"/>
        <w:rPr>
          <w:rFonts w:cs="Times New Roman"/>
          <w:szCs w:val="24"/>
        </w:rPr>
      </w:pPr>
      <w:r w:rsidRPr="002E0B95">
        <w:rPr>
          <w:rFonts w:cs="Times New Roman"/>
          <w:szCs w:val="24"/>
        </w:rPr>
        <w:t>Posteriormente en Junio del 2012, se aplicaron cupos a la importación a los teléfonos celulares a través de la resolución 66 del Comité de Comercio Exterior (COMEX)</w:t>
      </w:r>
      <w:r>
        <w:rPr>
          <w:rFonts w:cs="Times New Roman"/>
          <w:szCs w:val="24"/>
        </w:rPr>
        <w:t>. Dicha r</w:t>
      </w:r>
      <w:r w:rsidRPr="002E0B95">
        <w:rPr>
          <w:rFonts w:cs="Times New Roman"/>
          <w:szCs w:val="24"/>
        </w:rPr>
        <w:t>esolución</w:t>
      </w:r>
      <w:r>
        <w:rPr>
          <w:rFonts w:cs="Times New Roman"/>
          <w:szCs w:val="24"/>
        </w:rPr>
        <w:t>,</w:t>
      </w:r>
      <w:r w:rsidRPr="002E0B95">
        <w:rPr>
          <w:rFonts w:cs="Times New Roman"/>
          <w:szCs w:val="24"/>
        </w:rPr>
        <w:t xml:space="preserve"> que tenía como plazo hasta el 31 de Diciembre de 2014</w:t>
      </w:r>
      <w:r>
        <w:rPr>
          <w:rFonts w:cs="Times New Roman"/>
          <w:szCs w:val="24"/>
        </w:rPr>
        <w:t>,</w:t>
      </w:r>
      <w:r w:rsidRPr="002E0B95">
        <w:rPr>
          <w:rFonts w:cs="Times New Roman"/>
          <w:szCs w:val="24"/>
        </w:rPr>
        <w:t xml:space="preserve"> se extendió al primer trimestre de 2015 </w:t>
      </w:r>
      <w:r>
        <w:rPr>
          <w:rFonts w:cs="Times New Roman"/>
          <w:szCs w:val="24"/>
        </w:rPr>
        <w:t xml:space="preserve">y se llegó a modificar la </w:t>
      </w:r>
      <w:r w:rsidRPr="002E0B95">
        <w:rPr>
          <w:rFonts w:cs="Times New Roman"/>
          <w:szCs w:val="24"/>
        </w:rPr>
        <w:t>Resolución 69 del COMEX. Desde el 11 de Marzo del 2015 el Gobierno ecuatoriano aplicó una salvaguardia de balanza de pagos para el 32% de las importaciones generales, es decir, aranceles que van 5% al 45% a 2800 partidas arancelarias según el tipo de producto. Esta medida se aplic</w:t>
      </w:r>
      <w:r>
        <w:rPr>
          <w:rFonts w:cs="Times New Roman"/>
          <w:szCs w:val="24"/>
        </w:rPr>
        <w:t>ó</w:t>
      </w:r>
      <w:r w:rsidRPr="002E0B95">
        <w:rPr>
          <w:rFonts w:cs="Times New Roman"/>
          <w:szCs w:val="24"/>
        </w:rPr>
        <w:t xml:space="preserve"> para los siguientes 15 meses a partir de su implementación o hasta que el Estado considere que las salvaguardias no son necesarias. A los equipos celulares se aplicó una salvaguardia del 25% adicional al impuesto en 2012 según la Resolución No. 011-2015 COMEX. </w:t>
      </w:r>
    </w:p>
    <w:p w14:paraId="33A227C7" w14:textId="77777777" w:rsidR="008033D3" w:rsidRPr="002E0B95" w:rsidRDefault="008033D3" w:rsidP="008033D3">
      <w:pPr>
        <w:spacing w:line="360" w:lineRule="auto"/>
        <w:rPr>
          <w:rFonts w:cs="Times New Roman"/>
          <w:szCs w:val="24"/>
        </w:rPr>
      </w:pPr>
      <w:r w:rsidRPr="002E0B95">
        <w:rPr>
          <w:rFonts w:cs="Times New Roman"/>
          <w:szCs w:val="24"/>
        </w:rPr>
        <w:t xml:space="preserve">Ecuador apuesta al </w:t>
      </w:r>
      <w:r w:rsidRPr="00BA1A22">
        <w:rPr>
          <w:rFonts w:cs="Times New Roman"/>
          <w:i/>
          <w:szCs w:val="24"/>
        </w:rPr>
        <w:t>cambio de la matriz productiva</w:t>
      </w:r>
      <w:r w:rsidRPr="002E0B95">
        <w:rPr>
          <w:rFonts w:cs="Times New Roman"/>
          <w:szCs w:val="24"/>
        </w:rPr>
        <w:t xml:space="preserve"> lo cual incluye, entre otras cosas, el fortalecimiento de la producción nacional que permita sustituir importaciones, atraer inversiones y generar empleo de calidad. Existe una enorme vulnerabilidad cuando se depende de determinados productos que no tienen transformación, valor agregado e innovación. Bajo la sombra de una posible recesión del mercado internacional se consumiría menos petróleo y productos primarios, con el respectivo impacto para la economía ecuatoriana además </w:t>
      </w:r>
      <w:r>
        <w:rPr>
          <w:rFonts w:cs="Times New Roman"/>
          <w:szCs w:val="24"/>
        </w:rPr>
        <w:t xml:space="preserve">de </w:t>
      </w:r>
      <w:r w:rsidRPr="002E0B95">
        <w:rPr>
          <w:rFonts w:cs="Times New Roman"/>
          <w:szCs w:val="24"/>
        </w:rPr>
        <w:t xml:space="preserve">que estos productos dependen de factores externos y del país. </w:t>
      </w:r>
      <w:sdt>
        <w:sdtPr>
          <w:rPr>
            <w:rFonts w:cs="Times New Roman"/>
            <w:szCs w:val="24"/>
          </w:rPr>
          <w:id w:val="-762444803"/>
          <w:citation/>
        </w:sdtPr>
        <w:sdtEndPr/>
        <w:sdtContent>
          <w:r w:rsidRPr="002E0B95">
            <w:rPr>
              <w:rFonts w:cs="Times New Roman"/>
              <w:szCs w:val="24"/>
            </w:rPr>
            <w:fldChar w:fldCharType="begin"/>
          </w:r>
          <w:r w:rsidRPr="002E0B95">
            <w:rPr>
              <w:rFonts w:cs="Times New Roman"/>
              <w:szCs w:val="24"/>
            </w:rPr>
            <w:instrText xml:space="preserve"> CITATION Kar14 \l 3082 </w:instrText>
          </w:r>
          <w:r w:rsidRPr="002E0B95">
            <w:rPr>
              <w:rFonts w:cs="Times New Roman"/>
              <w:szCs w:val="24"/>
            </w:rPr>
            <w:fldChar w:fldCharType="separate"/>
          </w:r>
          <w:r w:rsidRPr="002E0B95">
            <w:rPr>
              <w:rFonts w:cs="Times New Roman"/>
              <w:noProof/>
              <w:szCs w:val="24"/>
            </w:rPr>
            <w:t>(Zák, 2014)</w:t>
          </w:r>
          <w:r w:rsidRPr="002E0B95">
            <w:rPr>
              <w:rFonts w:cs="Times New Roman"/>
              <w:szCs w:val="24"/>
            </w:rPr>
            <w:fldChar w:fldCharType="end"/>
          </w:r>
        </w:sdtContent>
      </w:sdt>
      <w:r w:rsidRPr="002E0B95">
        <w:rPr>
          <w:rFonts w:cs="Times New Roman"/>
          <w:szCs w:val="24"/>
        </w:rPr>
        <w:t xml:space="preserve"> </w:t>
      </w:r>
    </w:p>
    <w:p w14:paraId="6EDCDC86" w14:textId="77777777" w:rsidR="008033D3" w:rsidRPr="002E0B95" w:rsidRDefault="008033D3" w:rsidP="008033D3">
      <w:pPr>
        <w:spacing w:line="360" w:lineRule="auto"/>
        <w:rPr>
          <w:rFonts w:cs="Times New Roman"/>
          <w:szCs w:val="24"/>
        </w:rPr>
      </w:pPr>
      <w:r w:rsidRPr="002E0B95">
        <w:rPr>
          <w:rFonts w:cs="Times New Roman"/>
          <w:szCs w:val="24"/>
        </w:rPr>
        <w:t xml:space="preserve">Los </w:t>
      </w:r>
      <w:r>
        <w:rPr>
          <w:rFonts w:cs="Times New Roman"/>
          <w:szCs w:val="24"/>
        </w:rPr>
        <w:t>go</w:t>
      </w:r>
      <w:r w:rsidRPr="002E0B95">
        <w:rPr>
          <w:rFonts w:cs="Times New Roman"/>
          <w:szCs w:val="24"/>
        </w:rPr>
        <w:t xml:space="preserve">biernos usan estrategias de atracción y retención de inversión, y usualmente utilizan incentivos para atraer nuevas inversiones o mantener las inversiones vigentes dentro del país. </w:t>
      </w:r>
      <w:r>
        <w:rPr>
          <w:rFonts w:cs="Times New Roman"/>
          <w:szCs w:val="24"/>
        </w:rPr>
        <w:lastRenderedPageBreak/>
        <w:t>Dentro de ciertas políticas de Gobierno algunos incentivos se utilizan</w:t>
      </w:r>
      <w:r w:rsidRPr="002E0B95">
        <w:rPr>
          <w:rFonts w:cs="Times New Roman"/>
          <w:szCs w:val="24"/>
        </w:rPr>
        <w:t xml:space="preserve"> como mecanismos de mercadeo para incentivar la relocalización de empresas</w:t>
      </w:r>
      <w:r>
        <w:rPr>
          <w:rFonts w:cs="Times New Roman"/>
          <w:szCs w:val="24"/>
        </w:rPr>
        <w:t xml:space="preserve"> a sus propios países o</w:t>
      </w:r>
      <w:r w:rsidRPr="002E0B95">
        <w:rPr>
          <w:rFonts w:cs="Times New Roman"/>
          <w:szCs w:val="24"/>
        </w:rPr>
        <w:t xml:space="preserve"> como instrumentos de negociación</w:t>
      </w:r>
      <w:r>
        <w:rPr>
          <w:rFonts w:cs="Times New Roman"/>
          <w:szCs w:val="24"/>
        </w:rPr>
        <w:t>. P</w:t>
      </w:r>
      <w:r w:rsidRPr="002E0B95">
        <w:rPr>
          <w:rFonts w:cs="Times New Roman"/>
          <w:szCs w:val="24"/>
        </w:rPr>
        <w:t>robablemente la más utilizada por los Gobiernos sea para incentivar a la inversión extranjera</w:t>
      </w:r>
      <w:r>
        <w:rPr>
          <w:rFonts w:cs="Times New Roman"/>
          <w:szCs w:val="24"/>
        </w:rPr>
        <w:t>,</w:t>
      </w:r>
      <w:r w:rsidRPr="002E0B95">
        <w:rPr>
          <w:rFonts w:cs="Times New Roman"/>
          <w:szCs w:val="24"/>
        </w:rPr>
        <w:t xml:space="preserve"> y son mejor utilizadas cuando apuntan directamente a las necesidades de los inversionistas. </w:t>
      </w:r>
      <w:sdt>
        <w:sdtPr>
          <w:rPr>
            <w:rFonts w:cs="Times New Roman"/>
            <w:szCs w:val="24"/>
          </w:rPr>
          <w:id w:val="-540588603"/>
          <w:citation/>
        </w:sdtPr>
        <w:sdtEndPr/>
        <w:sdtContent>
          <w:r w:rsidRPr="002E0B95">
            <w:rPr>
              <w:rFonts w:cs="Times New Roman"/>
              <w:szCs w:val="24"/>
            </w:rPr>
            <w:fldChar w:fldCharType="begin"/>
          </w:r>
          <w:r w:rsidRPr="002E0B95">
            <w:rPr>
              <w:rFonts w:cs="Times New Roman"/>
              <w:szCs w:val="24"/>
            </w:rPr>
            <w:instrText xml:space="preserve"> CITATION Lyo03 \l 3082 </w:instrText>
          </w:r>
          <w:r w:rsidRPr="002E0B95">
            <w:rPr>
              <w:rFonts w:cs="Times New Roman"/>
              <w:szCs w:val="24"/>
            </w:rPr>
            <w:fldChar w:fldCharType="separate"/>
          </w:r>
          <w:r w:rsidRPr="002E0B95">
            <w:rPr>
              <w:rFonts w:cs="Times New Roman"/>
              <w:noProof/>
              <w:szCs w:val="24"/>
            </w:rPr>
            <w:t>(Lyons, 2003)</w:t>
          </w:r>
          <w:r w:rsidRPr="002E0B95">
            <w:rPr>
              <w:rFonts w:cs="Times New Roman"/>
              <w:szCs w:val="24"/>
            </w:rPr>
            <w:fldChar w:fldCharType="end"/>
          </w:r>
        </w:sdtContent>
      </w:sdt>
      <w:r w:rsidRPr="002E0B95">
        <w:rPr>
          <w:rFonts w:cs="Times New Roman"/>
          <w:szCs w:val="24"/>
        </w:rPr>
        <w:t xml:space="preserve"> Para beneficio del país que adquiere inversión extranjera</w:t>
      </w:r>
      <w:r>
        <w:rPr>
          <w:rFonts w:cs="Times New Roman"/>
          <w:szCs w:val="24"/>
        </w:rPr>
        <w:t>,</w:t>
      </w:r>
      <w:r w:rsidRPr="002E0B95">
        <w:rPr>
          <w:rFonts w:cs="Times New Roman"/>
          <w:szCs w:val="24"/>
        </w:rPr>
        <w:t xml:space="preserve"> las empresas emplean trabajadores locales, compran bienes raíces e instalan sus operaciones en el país lo cual trae recaudación de impuestos, producción local, disminución de la tasa de desempleo y abastecimiento de mercados locales e incluso proyección de expansión dentro de la región.</w:t>
      </w:r>
    </w:p>
    <w:p w14:paraId="2A04FBB7" w14:textId="7A67F47C" w:rsidR="008033D3" w:rsidRPr="002E0B95" w:rsidRDefault="008033D3" w:rsidP="008033D3">
      <w:pPr>
        <w:spacing w:line="360" w:lineRule="auto"/>
        <w:rPr>
          <w:rFonts w:cs="Times New Roman"/>
          <w:szCs w:val="24"/>
        </w:rPr>
      </w:pPr>
      <w:r w:rsidRPr="002E0B95">
        <w:rPr>
          <w:rFonts w:cs="Times New Roman"/>
          <w:szCs w:val="24"/>
        </w:rPr>
        <w:t>La inversión extranjera y la producción local específicamente en la industria del ensamblaje de tecnología trae beneficios como: la capacitación a los empleados en funciones técnicas, generar ingresos a través de impuestos, los mismos que son esenciales para proveer de servicios públicos e infraestructura. Si las inversiones aumentan la competitividad local, este crecimiento favorece al progreso económico de la región y son una inversión a largo plazo para las comunidades y su desarrollo</w:t>
      </w:r>
      <w:r>
        <w:rPr>
          <w:rFonts w:cs="Times New Roman"/>
          <w:szCs w:val="24"/>
        </w:rPr>
        <w:t>,</w:t>
      </w:r>
      <w:r w:rsidRPr="002E0B95">
        <w:rPr>
          <w:rFonts w:cs="Times New Roman"/>
          <w:szCs w:val="24"/>
        </w:rPr>
        <w:t xml:space="preserve"> por lo cual </w:t>
      </w:r>
      <w:r>
        <w:rPr>
          <w:rFonts w:cs="Times New Roman"/>
          <w:szCs w:val="24"/>
        </w:rPr>
        <w:t xml:space="preserve">es importante la intervención tanto de </w:t>
      </w:r>
      <w:r w:rsidRPr="002E0B95">
        <w:rPr>
          <w:rFonts w:cs="Times New Roman"/>
          <w:szCs w:val="24"/>
        </w:rPr>
        <w:t xml:space="preserve">Municipios </w:t>
      </w:r>
      <w:r>
        <w:rPr>
          <w:rFonts w:cs="Times New Roman"/>
          <w:szCs w:val="24"/>
        </w:rPr>
        <w:t xml:space="preserve">como </w:t>
      </w:r>
      <w:r w:rsidRPr="002E0B95">
        <w:rPr>
          <w:rFonts w:cs="Times New Roman"/>
          <w:szCs w:val="24"/>
        </w:rPr>
        <w:t xml:space="preserve">organizaciones sociales. Por otro lado, no captar inversión extranjera </w:t>
      </w:r>
      <w:r>
        <w:rPr>
          <w:rFonts w:cs="Times New Roman"/>
          <w:szCs w:val="24"/>
        </w:rPr>
        <w:t xml:space="preserve">a fin </w:t>
      </w:r>
      <w:r w:rsidR="00EE0310">
        <w:rPr>
          <w:rFonts w:cs="Times New Roman"/>
          <w:szCs w:val="24"/>
        </w:rPr>
        <w:t>de generar</w:t>
      </w:r>
      <w:r>
        <w:rPr>
          <w:rFonts w:cs="Times New Roman"/>
          <w:szCs w:val="24"/>
        </w:rPr>
        <w:t xml:space="preserve"> </w:t>
      </w:r>
      <w:r w:rsidRPr="002E0B95">
        <w:rPr>
          <w:rFonts w:cs="Times New Roman"/>
          <w:szCs w:val="24"/>
        </w:rPr>
        <w:t>producción local en un país dolarizado, trae consecuencias a la economía interna</w:t>
      </w:r>
      <w:r>
        <w:rPr>
          <w:rFonts w:cs="Times New Roman"/>
          <w:szCs w:val="24"/>
        </w:rPr>
        <w:t>.</w:t>
      </w:r>
      <w:r w:rsidRPr="002E0B95">
        <w:rPr>
          <w:rFonts w:cs="Times New Roman"/>
          <w:szCs w:val="24"/>
        </w:rPr>
        <w:t xml:space="preserve"> </w:t>
      </w:r>
      <w:r>
        <w:rPr>
          <w:rFonts w:cs="Times New Roman"/>
          <w:szCs w:val="24"/>
        </w:rPr>
        <w:t>D</w:t>
      </w:r>
      <w:r w:rsidRPr="002E0B95">
        <w:rPr>
          <w:rFonts w:cs="Times New Roman"/>
          <w:szCs w:val="24"/>
        </w:rPr>
        <w:t>ebido a la falta de herramientas de política monetaria por parte del Estado</w:t>
      </w:r>
      <w:r>
        <w:rPr>
          <w:rFonts w:cs="Times New Roman"/>
          <w:szCs w:val="24"/>
        </w:rPr>
        <w:t>, que  no tiene la capacidad de devaluar su moneda, esta situación podría derivar en que</w:t>
      </w:r>
      <w:r w:rsidRPr="002E0B95">
        <w:rPr>
          <w:rFonts w:cs="Times New Roman"/>
          <w:szCs w:val="24"/>
        </w:rPr>
        <w:t xml:space="preserve"> los productos </w:t>
      </w:r>
      <w:r>
        <w:rPr>
          <w:rFonts w:cs="Times New Roman"/>
          <w:szCs w:val="24"/>
        </w:rPr>
        <w:t xml:space="preserve">no </w:t>
      </w:r>
      <w:r w:rsidRPr="002E0B95">
        <w:rPr>
          <w:rFonts w:cs="Times New Roman"/>
          <w:szCs w:val="24"/>
        </w:rPr>
        <w:t>sean competitivos en otros mercados,</w:t>
      </w:r>
      <w:r>
        <w:rPr>
          <w:rFonts w:cs="Times New Roman"/>
          <w:szCs w:val="24"/>
        </w:rPr>
        <w:t xml:space="preserve"> la huida de </w:t>
      </w:r>
      <w:r w:rsidRPr="002E0B95">
        <w:rPr>
          <w:rFonts w:cs="Times New Roman"/>
          <w:szCs w:val="24"/>
        </w:rPr>
        <w:t xml:space="preserve">inversión </w:t>
      </w:r>
      <w:r>
        <w:rPr>
          <w:rFonts w:cs="Times New Roman"/>
          <w:szCs w:val="24"/>
        </w:rPr>
        <w:t>hacia</w:t>
      </w:r>
      <w:r w:rsidRPr="002E0B95">
        <w:rPr>
          <w:rFonts w:cs="Times New Roman"/>
          <w:szCs w:val="24"/>
        </w:rPr>
        <w:t xml:space="preserve"> países vecinos y </w:t>
      </w:r>
      <w:r>
        <w:rPr>
          <w:rFonts w:cs="Times New Roman"/>
          <w:szCs w:val="24"/>
        </w:rPr>
        <w:t xml:space="preserve">la </w:t>
      </w:r>
      <w:r w:rsidRPr="002E0B95">
        <w:rPr>
          <w:rFonts w:cs="Times New Roman"/>
          <w:szCs w:val="24"/>
        </w:rPr>
        <w:t>limita</w:t>
      </w:r>
      <w:r>
        <w:rPr>
          <w:rFonts w:cs="Times New Roman"/>
          <w:szCs w:val="24"/>
        </w:rPr>
        <w:t>ción</w:t>
      </w:r>
      <w:r w:rsidRPr="002E0B95">
        <w:rPr>
          <w:rFonts w:cs="Times New Roman"/>
          <w:szCs w:val="24"/>
        </w:rPr>
        <w:t xml:space="preserve"> </w:t>
      </w:r>
      <w:r>
        <w:rPr>
          <w:rFonts w:cs="Times New Roman"/>
          <w:szCs w:val="24"/>
        </w:rPr>
        <w:t>d</w:t>
      </w:r>
      <w:r w:rsidRPr="002E0B95">
        <w:rPr>
          <w:rFonts w:cs="Times New Roman"/>
          <w:szCs w:val="24"/>
        </w:rPr>
        <w:t>el abastecimiento local</w:t>
      </w:r>
      <w:r>
        <w:rPr>
          <w:rFonts w:cs="Times New Roman"/>
          <w:szCs w:val="24"/>
        </w:rPr>
        <w:t>,</w:t>
      </w:r>
      <w:r w:rsidRPr="002E0B95">
        <w:rPr>
          <w:rFonts w:cs="Times New Roman"/>
          <w:szCs w:val="24"/>
        </w:rPr>
        <w:t xml:space="preserve"> provocando </w:t>
      </w:r>
      <w:r>
        <w:rPr>
          <w:rFonts w:cs="Times New Roman"/>
          <w:szCs w:val="24"/>
        </w:rPr>
        <w:t xml:space="preserve">un </w:t>
      </w:r>
      <w:r w:rsidRPr="002E0B95">
        <w:rPr>
          <w:rFonts w:cs="Times New Roman"/>
          <w:szCs w:val="24"/>
        </w:rPr>
        <w:t xml:space="preserve">aumento en las importaciones. </w:t>
      </w:r>
      <w:r>
        <w:rPr>
          <w:rFonts w:cs="Times New Roman"/>
          <w:szCs w:val="24"/>
        </w:rPr>
        <w:t>CITAR.</w:t>
      </w:r>
    </w:p>
    <w:p w14:paraId="1C3958D9" w14:textId="77777777" w:rsidR="008033D3" w:rsidRPr="007816D9" w:rsidRDefault="008033D3" w:rsidP="008033D3">
      <w:pPr>
        <w:pStyle w:val="Ttulo2"/>
        <w:numPr>
          <w:ilvl w:val="0"/>
          <w:numId w:val="6"/>
        </w:numPr>
        <w:spacing w:before="0" w:after="200" w:line="360" w:lineRule="auto"/>
        <w:ind w:left="0" w:firstLine="0"/>
      </w:pPr>
      <w:bookmarkStart w:id="9" w:name="_Toc442343902"/>
      <w:r w:rsidRPr="007816D9">
        <w:t>Planteamiento del problema</w:t>
      </w:r>
      <w:bookmarkEnd w:id="9"/>
    </w:p>
    <w:p w14:paraId="5F124D9A" w14:textId="77777777" w:rsidR="008033D3" w:rsidRPr="007816D9" w:rsidRDefault="008033D3" w:rsidP="008033D3">
      <w:pPr>
        <w:pStyle w:val="Ttulo3"/>
        <w:spacing w:before="0" w:after="200" w:line="360" w:lineRule="auto"/>
      </w:pPr>
      <w:bookmarkStart w:id="10" w:name="_Toc442343903"/>
      <w:r>
        <w:t>1.1.</w:t>
      </w:r>
      <w:r>
        <w:tab/>
      </w:r>
      <w:r w:rsidRPr="007816D9">
        <w:t>Definición del problema</w:t>
      </w:r>
      <w:bookmarkEnd w:id="10"/>
    </w:p>
    <w:p w14:paraId="5C3805CE" w14:textId="77777777" w:rsidR="008033D3" w:rsidRDefault="008033D3" w:rsidP="008033D3">
      <w:pPr>
        <w:spacing w:line="360" w:lineRule="auto"/>
        <w:rPr>
          <w:rFonts w:cs="Times New Roman"/>
          <w:szCs w:val="24"/>
        </w:rPr>
      </w:pPr>
    </w:p>
    <w:p w14:paraId="6C438926" w14:textId="77777777" w:rsidR="008033D3" w:rsidRDefault="008033D3" w:rsidP="008033D3">
      <w:pPr>
        <w:spacing w:line="360" w:lineRule="auto"/>
        <w:rPr>
          <w:rFonts w:cs="Times New Roman"/>
          <w:szCs w:val="24"/>
        </w:rPr>
      </w:pPr>
      <w:r w:rsidRPr="00AC3D7C">
        <w:rPr>
          <w:rFonts w:cs="Times New Roman"/>
          <w:szCs w:val="24"/>
        </w:rPr>
        <w:t xml:space="preserve">La necesidad del uso de un celular ha derivado en que muchos emprendedores empiecen a desarrollar unidades de negocios derivados de la industria de las telecomunicaciones y la tecnología.  Esto va de la mano con la competitividad de las empresas ensambladoras actuales que comercializan equipos celulares terminados y que dependen de la importación de sus </w:t>
      </w:r>
      <w:r w:rsidRPr="00AC3D7C">
        <w:rPr>
          <w:rFonts w:cs="Times New Roman"/>
          <w:szCs w:val="24"/>
        </w:rPr>
        <w:lastRenderedPageBreak/>
        <w:t>partes</w:t>
      </w:r>
      <w:r>
        <w:rPr>
          <w:rFonts w:cs="Times New Roman"/>
          <w:szCs w:val="24"/>
        </w:rPr>
        <w:t>,</w:t>
      </w:r>
      <w:r w:rsidRPr="00AC3D7C">
        <w:rPr>
          <w:rFonts w:cs="Times New Roman"/>
          <w:szCs w:val="24"/>
        </w:rPr>
        <w:t xml:space="preserve"> así como de su personal calificado e infraestructura apta para una producción que pueda satisfacer el mercado actual. </w:t>
      </w:r>
    </w:p>
    <w:p w14:paraId="75F1646C" w14:textId="77777777" w:rsidR="008033D3" w:rsidRDefault="008033D3" w:rsidP="008033D3">
      <w:pPr>
        <w:spacing w:line="360" w:lineRule="auto"/>
        <w:rPr>
          <w:rFonts w:cs="Times New Roman"/>
          <w:szCs w:val="24"/>
        </w:rPr>
      </w:pPr>
      <w:r>
        <w:rPr>
          <w:rFonts w:cs="Times New Roman"/>
          <w:szCs w:val="24"/>
        </w:rPr>
        <w:t>E</w:t>
      </w:r>
      <w:r w:rsidRPr="00AC3D7C">
        <w:rPr>
          <w:rFonts w:cs="Times New Roman"/>
          <w:szCs w:val="24"/>
        </w:rPr>
        <w:t>l presente proyecto de investigación tiene como objetivo dar a conocer la situación actual de la industria de ensamblaje de equipos celulares con respecto a l</w:t>
      </w:r>
      <w:r>
        <w:rPr>
          <w:rFonts w:cs="Times New Roman"/>
          <w:szCs w:val="24"/>
        </w:rPr>
        <w:t xml:space="preserve">os cupos de importaciones para estos teléfonos </w:t>
      </w:r>
      <w:r w:rsidRPr="00AC3D7C">
        <w:rPr>
          <w:rFonts w:cs="Times New Roman"/>
          <w:szCs w:val="24"/>
        </w:rPr>
        <w:t xml:space="preserve">y el incremento de aranceles a productos relacionados con la industria de telecomunicaciones. </w:t>
      </w:r>
    </w:p>
    <w:p w14:paraId="48A6798C" w14:textId="77777777" w:rsidR="008033D3" w:rsidRPr="00AC3D7C" w:rsidRDefault="008033D3" w:rsidP="008033D3">
      <w:pPr>
        <w:spacing w:line="360" w:lineRule="auto"/>
        <w:rPr>
          <w:rFonts w:cs="Times New Roman"/>
          <w:szCs w:val="24"/>
        </w:rPr>
      </w:pPr>
      <w:r w:rsidRPr="00AC3D7C">
        <w:rPr>
          <w:rFonts w:cs="Times New Roman"/>
          <w:szCs w:val="24"/>
        </w:rPr>
        <w:t>La industria tecnológica en el mundo trabaja en un mercado globalizado y cada vez más especializado por lo que al limitar su producción, importación y uso dentro de un país podría traer serios problemas al intentar estar a la altura de otras economías en la región. A su vez, las empresas importadoras y manufactureras de equipos celulares deben competir fuertemente a fin de encontrar medios que les permitan satisfacer las necesidades de los cada vez más exigentes clientes</w:t>
      </w:r>
      <w:r>
        <w:rPr>
          <w:rFonts w:cs="Times New Roman"/>
          <w:szCs w:val="24"/>
        </w:rPr>
        <w:t xml:space="preserve">, </w:t>
      </w:r>
      <w:r w:rsidRPr="00AC3D7C">
        <w:rPr>
          <w:rFonts w:cs="Times New Roman"/>
          <w:szCs w:val="24"/>
        </w:rPr>
        <w:t xml:space="preserve">y </w:t>
      </w:r>
      <w:r>
        <w:rPr>
          <w:rFonts w:cs="Times New Roman"/>
          <w:szCs w:val="24"/>
        </w:rPr>
        <w:t xml:space="preserve">de </w:t>
      </w:r>
      <w:r w:rsidRPr="00AC3D7C">
        <w:rPr>
          <w:rFonts w:cs="Times New Roman"/>
          <w:szCs w:val="24"/>
        </w:rPr>
        <w:t>un mercado en constante crecimiento.</w:t>
      </w:r>
    </w:p>
    <w:p w14:paraId="3591C282" w14:textId="77777777" w:rsidR="008033D3" w:rsidRPr="00AC3D7C" w:rsidRDefault="008033D3" w:rsidP="008033D3">
      <w:pPr>
        <w:spacing w:line="360" w:lineRule="auto"/>
        <w:rPr>
          <w:rFonts w:cs="Times New Roman"/>
          <w:szCs w:val="24"/>
        </w:rPr>
      </w:pPr>
    </w:p>
    <w:p w14:paraId="33DFB61E" w14:textId="77777777" w:rsidR="008033D3" w:rsidRPr="00AC3D7C" w:rsidRDefault="008033D3" w:rsidP="008033D3">
      <w:pPr>
        <w:spacing w:line="360" w:lineRule="auto"/>
        <w:rPr>
          <w:rFonts w:cs="Times New Roman"/>
          <w:szCs w:val="24"/>
        </w:rPr>
      </w:pPr>
      <w:r>
        <w:rPr>
          <w:rFonts w:cs="Times New Roman"/>
          <w:szCs w:val="24"/>
        </w:rPr>
        <w:t>L</w:t>
      </w:r>
      <w:r w:rsidRPr="00AC3D7C">
        <w:rPr>
          <w:rFonts w:cs="Times New Roman"/>
          <w:szCs w:val="24"/>
        </w:rPr>
        <w:t xml:space="preserve">a propuesta del gobierno actual de cambiar el modelo de la matriz productiva nacional </w:t>
      </w:r>
      <w:r>
        <w:rPr>
          <w:rFonts w:cs="Times New Roman"/>
          <w:szCs w:val="24"/>
        </w:rPr>
        <w:t xml:space="preserve">tiene incidencia sobre el </w:t>
      </w:r>
      <w:r w:rsidRPr="00AC3D7C">
        <w:rPr>
          <w:rFonts w:cs="Times New Roman"/>
          <w:szCs w:val="24"/>
        </w:rPr>
        <w:t>sector manufacturero, es decir, pasar de un país exportador de materias primas a ser un país exportador de productos terminados con valor agregado. Esta presión se ha puesto en evidencia los últimos años, con un mensaje claro del gobierno de controlar el número de equipos celulares que ingresan al mercado nacional, bajo el concepto de incentivar el consumo de equipos producidos localmente y reducción del impacto contaminante en el medio ambiente.</w:t>
      </w:r>
    </w:p>
    <w:p w14:paraId="285A5BEA" w14:textId="77777777" w:rsidR="008033D3" w:rsidRPr="00EE20A9" w:rsidRDefault="008033D3" w:rsidP="008033D3">
      <w:pPr>
        <w:pStyle w:val="Ttulo3"/>
        <w:spacing w:before="0" w:after="200" w:line="360" w:lineRule="auto"/>
      </w:pPr>
      <w:bookmarkStart w:id="11" w:name="_Toc442343904"/>
      <w:r>
        <w:t>1.2.</w:t>
      </w:r>
      <w:r>
        <w:tab/>
      </w:r>
      <w:r w:rsidRPr="00EE20A9">
        <w:t>Formulación del problema</w:t>
      </w:r>
      <w:bookmarkEnd w:id="11"/>
    </w:p>
    <w:p w14:paraId="2D84F0A2" w14:textId="77777777" w:rsidR="008033D3" w:rsidRPr="00AC3D7C" w:rsidRDefault="008033D3" w:rsidP="008033D3">
      <w:pPr>
        <w:spacing w:line="360" w:lineRule="auto"/>
        <w:rPr>
          <w:rFonts w:cs="Times New Roman"/>
          <w:szCs w:val="24"/>
        </w:rPr>
      </w:pPr>
      <w:r w:rsidRPr="00AC3D7C">
        <w:rPr>
          <w:rFonts w:cs="Times New Roman"/>
          <w:szCs w:val="24"/>
        </w:rPr>
        <w:t>¿Cuáles son los incentivos para la industria de ensamblaje de equipos celulares como estímulo a la sustitución de importaciones</w:t>
      </w:r>
      <w:r>
        <w:rPr>
          <w:rFonts w:cs="Times New Roman"/>
          <w:szCs w:val="24"/>
        </w:rPr>
        <w:t xml:space="preserve"> y en concordancia al cambio de la matriz productiva</w:t>
      </w:r>
      <w:r w:rsidRPr="00AC3D7C">
        <w:rPr>
          <w:rFonts w:cs="Times New Roman"/>
          <w:szCs w:val="24"/>
        </w:rPr>
        <w:t>?</w:t>
      </w:r>
    </w:p>
    <w:p w14:paraId="60103B69" w14:textId="77777777" w:rsidR="008033D3" w:rsidRPr="00504EF9" w:rsidRDefault="008033D3" w:rsidP="008033D3">
      <w:pPr>
        <w:pStyle w:val="Ttulo2"/>
        <w:numPr>
          <w:ilvl w:val="0"/>
          <w:numId w:val="6"/>
        </w:numPr>
        <w:spacing w:before="0" w:after="200" w:line="360" w:lineRule="auto"/>
        <w:ind w:left="0" w:firstLine="0"/>
      </w:pPr>
      <w:bookmarkStart w:id="12" w:name="_Toc442343905"/>
      <w:r w:rsidRPr="00504EF9">
        <w:t>Objetivos de la investigación</w:t>
      </w:r>
      <w:bookmarkEnd w:id="12"/>
    </w:p>
    <w:p w14:paraId="69C40CB3" w14:textId="77777777" w:rsidR="008033D3" w:rsidRPr="0004174E" w:rsidRDefault="008033D3" w:rsidP="008033D3">
      <w:pPr>
        <w:spacing w:line="360" w:lineRule="auto"/>
        <w:rPr>
          <w:rFonts w:cs="Times New Roman"/>
          <w:b/>
          <w:szCs w:val="24"/>
        </w:rPr>
      </w:pPr>
      <w:r>
        <w:rPr>
          <w:rFonts w:cs="Times New Roman"/>
          <w:b/>
          <w:szCs w:val="24"/>
        </w:rPr>
        <w:t>2.1</w:t>
      </w:r>
      <w:r>
        <w:rPr>
          <w:rFonts w:cs="Times New Roman"/>
          <w:b/>
          <w:szCs w:val="24"/>
        </w:rPr>
        <w:tab/>
        <w:t>Objetivo General</w:t>
      </w:r>
    </w:p>
    <w:p w14:paraId="21281BE6" w14:textId="77777777" w:rsidR="008033D3" w:rsidRPr="0004174E" w:rsidRDefault="008033D3" w:rsidP="008033D3">
      <w:pPr>
        <w:spacing w:line="360" w:lineRule="auto"/>
        <w:rPr>
          <w:rFonts w:cs="Times New Roman"/>
          <w:szCs w:val="24"/>
        </w:rPr>
      </w:pPr>
      <w:r w:rsidRPr="0004174E">
        <w:rPr>
          <w:rFonts w:cs="Times New Roman"/>
          <w:szCs w:val="24"/>
        </w:rPr>
        <w:t>Analizar los incentivos para la industria de ensamblaje de equipos celulares como estímulo a la sustitución de importaciones.</w:t>
      </w:r>
    </w:p>
    <w:p w14:paraId="1AC31D79" w14:textId="77777777" w:rsidR="008033D3" w:rsidRDefault="008033D3" w:rsidP="008033D3">
      <w:pPr>
        <w:spacing w:line="360" w:lineRule="auto"/>
        <w:rPr>
          <w:rFonts w:cs="Times New Roman"/>
          <w:b/>
          <w:szCs w:val="24"/>
        </w:rPr>
      </w:pPr>
      <w:r>
        <w:rPr>
          <w:rFonts w:cs="Times New Roman"/>
          <w:b/>
          <w:szCs w:val="24"/>
        </w:rPr>
        <w:lastRenderedPageBreak/>
        <w:t>2.2</w:t>
      </w:r>
      <w:r>
        <w:rPr>
          <w:rFonts w:cs="Times New Roman"/>
          <w:b/>
          <w:szCs w:val="24"/>
        </w:rPr>
        <w:tab/>
      </w:r>
      <w:r w:rsidRPr="0004174E">
        <w:rPr>
          <w:rFonts w:cs="Times New Roman"/>
          <w:b/>
          <w:szCs w:val="24"/>
        </w:rPr>
        <w:t>Objetivos Específicos:</w:t>
      </w:r>
    </w:p>
    <w:p w14:paraId="4A4E7968" w14:textId="77777777" w:rsidR="008033D3" w:rsidRPr="0004174E" w:rsidRDefault="008033D3" w:rsidP="008033D3">
      <w:pPr>
        <w:spacing w:line="360" w:lineRule="auto"/>
        <w:rPr>
          <w:rFonts w:cs="Times New Roman"/>
          <w:b/>
          <w:szCs w:val="24"/>
        </w:rPr>
      </w:pPr>
    </w:p>
    <w:p w14:paraId="3F946B70" w14:textId="77777777" w:rsidR="008033D3" w:rsidRPr="0004174E" w:rsidRDefault="008033D3" w:rsidP="008033D3">
      <w:pPr>
        <w:spacing w:line="360" w:lineRule="auto"/>
        <w:rPr>
          <w:rFonts w:cs="Times New Roman"/>
          <w:szCs w:val="24"/>
        </w:rPr>
      </w:pPr>
      <w:r w:rsidRPr="0004174E">
        <w:rPr>
          <w:rFonts w:cs="Times New Roman"/>
          <w:szCs w:val="24"/>
        </w:rPr>
        <w:t xml:space="preserve">Analizar los incentivos propuestos por el gobierno a través de la implementación de nuevas normativas arancelarias y resoluciones </w:t>
      </w:r>
      <w:r>
        <w:rPr>
          <w:rFonts w:cs="Times New Roman"/>
          <w:szCs w:val="24"/>
        </w:rPr>
        <w:t>concernientes al sector de la industria ensambladora de equipos celulares.</w:t>
      </w:r>
    </w:p>
    <w:p w14:paraId="3BEA8DAA" w14:textId="77777777" w:rsidR="008033D3" w:rsidRPr="0004174E" w:rsidRDefault="008033D3" w:rsidP="008033D3">
      <w:pPr>
        <w:spacing w:line="360" w:lineRule="auto"/>
        <w:rPr>
          <w:rFonts w:cs="Times New Roman"/>
          <w:szCs w:val="24"/>
        </w:rPr>
      </w:pPr>
      <w:r w:rsidRPr="0004174E">
        <w:rPr>
          <w:rFonts w:cs="Times New Roman"/>
          <w:szCs w:val="24"/>
        </w:rPr>
        <w:t xml:space="preserve">Evaluar la situación actual de las empresas de equipos celulares, los beneficios al consumidor y las aspiraciones de la industria de participar en el mercado local. </w:t>
      </w:r>
    </w:p>
    <w:p w14:paraId="304994C4" w14:textId="77777777" w:rsidR="008033D3" w:rsidRDefault="008033D3" w:rsidP="008033D3">
      <w:pPr>
        <w:spacing w:line="360" w:lineRule="auto"/>
        <w:rPr>
          <w:rFonts w:cs="Times New Roman"/>
          <w:szCs w:val="24"/>
        </w:rPr>
      </w:pPr>
      <w:r w:rsidRPr="0004174E">
        <w:rPr>
          <w:rFonts w:cs="Times New Roman"/>
          <w:szCs w:val="24"/>
        </w:rPr>
        <w:t>Identificar la nueva normativa implementada por el gobierno y sus ministerios a favor del cambio de la matriz productiva específicamente en la industria de ensamblaje de celulares</w:t>
      </w:r>
      <w:r>
        <w:rPr>
          <w:rFonts w:cs="Times New Roman"/>
          <w:szCs w:val="24"/>
        </w:rPr>
        <w:t xml:space="preserve"> y analizar el impacto de dichas normativas en la industria ensambladora de equipos celulares</w:t>
      </w:r>
      <w:bookmarkStart w:id="13" w:name="_Toc442343906"/>
      <w:r>
        <w:rPr>
          <w:rFonts w:cs="Times New Roman"/>
          <w:szCs w:val="24"/>
        </w:rPr>
        <w:t xml:space="preserve"> </w:t>
      </w:r>
    </w:p>
    <w:p w14:paraId="11DCED29" w14:textId="77777777" w:rsidR="008033D3" w:rsidRPr="00877B38" w:rsidRDefault="008033D3" w:rsidP="008033D3">
      <w:pPr>
        <w:spacing w:line="360" w:lineRule="auto"/>
        <w:rPr>
          <w:rFonts w:cs="Times New Roman"/>
          <w:szCs w:val="24"/>
        </w:rPr>
      </w:pPr>
      <w:r>
        <w:rPr>
          <w:rFonts w:cs="Times New Roman"/>
          <w:b/>
          <w:szCs w:val="24"/>
        </w:rPr>
        <w:t>2.3</w:t>
      </w:r>
      <w:r>
        <w:rPr>
          <w:rFonts w:cs="Times New Roman"/>
          <w:szCs w:val="24"/>
        </w:rPr>
        <w:tab/>
      </w:r>
      <w:r w:rsidRPr="00AE346A">
        <w:rPr>
          <w:b/>
          <w:color w:val="000000" w:themeColor="text1"/>
        </w:rPr>
        <w:t>Delimitación de la Investigación</w:t>
      </w:r>
      <w:bookmarkEnd w:id="13"/>
    </w:p>
    <w:p w14:paraId="6382FC15" w14:textId="77777777" w:rsidR="008033D3" w:rsidRPr="0004174E" w:rsidRDefault="008033D3" w:rsidP="008033D3">
      <w:pPr>
        <w:spacing w:line="360" w:lineRule="auto"/>
        <w:rPr>
          <w:rFonts w:cs="Times New Roman"/>
          <w:szCs w:val="24"/>
        </w:rPr>
      </w:pPr>
      <w:r w:rsidRPr="0004174E">
        <w:rPr>
          <w:rFonts w:cs="Times New Roman"/>
          <w:szCs w:val="24"/>
        </w:rPr>
        <w:t>Esta investigación y análisis tiene la finalidad de examinar el impacto de las reformas arancelarias y los incentivos que tiene la producción nacional en el sector de las Telecomunicaciones con énfasis en el sector de ensamblaje de equipos celulares. El desarrollo de este proyecto abarca un análisis de las importaciones celulares en Ecuador, la industria del ensamblaje y los incentivos que aporta el Estado para sobrellevar las medidas arancelarias. Su estudio revela la evolución de las variables durante el periodo 2010 – 2014.</w:t>
      </w:r>
    </w:p>
    <w:p w14:paraId="330DA8B1" w14:textId="77777777" w:rsidR="008033D3" w:rsidRDefault="008033D3" w:rsidP="008033D3">
      <w:pPr>
        <w:pStyle w:val="Ttulo1"/>
        <w:spacing w:line="360" w:lineRule="auto"/>
        <w:rPr>
          <w:rFonts w:eastAsiaTheme="minorHAnsi" w:cs="Times New Roman"/>
          <w:bCs w:val="0"/>
          <w:sz w:val="24"/>
          <w:szCs w:val="24"/>
        </w:rPr>
      </w:pPr>
    </w:p>
    <w:p w14:paraId="2E0D59D4" w14:textId="77777777" w:rsidR="008033D3" w:rsidRDefault="008033D3" w:rsidP="008033D3">
      <w:pPr>
        <w:pStyle w:val="Ttulo1"/>
        <w:spacing w:line="360" w:lineRule="auto"/>
        <w:rPr>
          <w:rFonts w:eastAsiaTheme="minorHAnsi" w:cs="Times New Roman"/>
          <w:bCs w:val="0"/>
          <w:sz w:val="24"/>
          <w:szCs w:val="24"/>
        </w:rPr>
      </w:pPr>
    </w:p>
    <w:p w14:paraId="513BF773" w14:textId="77777777" w:rsidR="008033D3" w:rsidRDefault="008033D3" w:rsidP="008033D3">
      <w:pPr>
        <w:pStyle w:val="Ttulo1"/>
        <w:spacing w:line="360" w:lineRule="auto"/>
        <w:rPr>
          <w:rFonts w:eastAsiaTheme="minorHAnsi" w:cs="Times New Roman"/>
          <w:bCs w:val="0"/>
          <w:sz w:val="24"/>
          <w:szCs w:val="24"/>
        </w:rPr>
      </w:pPr>
    </w:p>
    <w:p w14:paraId="0490E407" w14:textId="77777777" w:rsidR="008033D3" w:rsidRDefault="008033D3" w:rsidP="008033D3"/>
    <w:p w14:paraId="406BE334" w14:textId="77777777" w:rsidR="008033D3" w:rsidRDefault="008033D3" w:rsidP="008033D3"/>
    <w:p w14:paraId="6D30B5EF" w14:textId="77777777" w:rsidR="00596F4D" w:rsidRDefault="00596F4D" w:rsidP="008033D3">
      <w:pPr>
        <w:pStyle w:val="Titulo1"/>
        <w:spacing w:before="0" w:after="200"/>
      </w:pPr>
      <w:bookmarkStart w:id="14" w:name="_Toc442343907"/>
    </w:p>
    <w:p w14:paraId="00C079C1" w14:textId="77777777" w:rsidR="00596F4D" w:rsidRDefault="00596F4D" w:rsidP="008033D3">
      <w:pPr>
        <w:pStyle w:val="Titulo1"/>
        <w:spacing w:before="0" w:after="200"/>
      </w:pPr>
    </w:p>
    <w:p w14:paraId="730B9230" w14:textId="77777777" w:rsidR="00596F4D" w:rsidRDefault="00596F4D" w:rsidP="008033D3">
      <w:pPr>
        <w:pStyle w:val="Titulo1"/>
        <w:spacing w:before="0" w:after="200"/>
      </w:pPr>
    </w:p>
    <w:p w14:paraId="1DF43AAB" w14:textId="77777777" w:rsidR="00596F4D" w:rsidRDefault="00596F4D" w:rsidP="008033D3">
      <w:pPr>
        <w:pStyle w:val="Titulo1"/>
        <w:spacing w:before="0" w:after="200"/>
      </w:pPr>
    </w:p>
    <w:p w14:paraId="780DFF73" w14:textId="72E8EF49" w:rsidR="008033D3" w:rsidRPr="00AD6D5E" w:rsidRDefault="008033D3" w:rsidP="008033D3">
      <w:pPr>
        <w:pStyle w:val="Titulo1"/>
        <w:spacing w:before="0" w:after="200"/>
      </w:pPr>
      <w:r w:rsidRPr="00EE20A9">
        <w:t>ARCO REFERENCIAL</w:t>
      </w:r>
      <w:bookmarkEnd w:id="14"/>
    </w:p>
    <w:p w14:paraId="4C0DC56E" w14:textId="77777777" w:rsidR="008033D3" w:rsidRPr="00EE20A9" w:rsidRDefault="008033D3" w:rsidP="008033D3">
      <w:pPr>
        <w:pStyle w:val="Ttulo2"/>
        <w:numPr>
          <w:ilvl w:val="0"/>
          <w:numId w:val="11"/>
        </w:numPr>
        <w:spacing w:before="0" w:after="200" w:line="360" w:lineRule="auto"/>
        <w:ind w:left="0" w:firstLine="0"/>
      </w:pPr>
      <w:bookmarkStart w:id="15" w:name="_Toc442343908"/>
      <w:r w:rsidRPr="00EE20A9">
        <w:t>Antecedentes de la Investigación</w:t>
      </w:r>
      <w:bookmarkEnd w:id="15"/>
    </w:p>
    <w:p w14:paraId="475BE11B" w14:textId="7FDC8BDE" w:rsidR="008033D3" w:rsidRPr="00EE20A9" w:rsidRDefault="008033D3" w:rsidP="008033D3">
      <w:pPr>
        <w:spacing w:line="360" w:lineRule="auto"/>
        <w:rPr>
          <w:rFonts w:cs="Times New Roman"/>
          <w:szCs w:val="24"/>
        </w:rPr>
      </w:pPr>
      <w:r w:rsidRPr="00EE20A9">
        <w:rPr>
          <w:rFonts w:cs="Times New Roman"/>
          <w:szCs w:val="24"/>
        </w:rPr>
        <w:t>Para fines prácticos de la investigación se ha tomado como referencia  la di</w:t>
      </w:r>
      <w:r>
        <w:rPr>
          <w:rFonts w:cs="Times New Roman"/>
          <w:szCs w:val="24"/>
        </w:rPr>
        <w:t xml:space="preserve">sertación de grado de </w:t>
      </w:r>
      <w:proofErr w:type="spellStart"/>
      <w:r>
        <w:rPr>
          <w:rFonts w:cs="Times New Roman"/>
          <w:szCs w:val="24"/>
        </w:rPr>
        <w:t>Velastegui</w:t>
      </w:r>
      <w:proofErr w:type="spellEnd"/>
      <w:r w:rsidRPr="00EE20A9">
        <w:rPr>
          <w:rFonts w:cs="Times New Roman"/>
          <w:szCs w:val="24"/>
        </w:rPr>
        <w:t xml:space="preserve"> (2010) </w:t>
      </w:r>
      <w:r w:rsidR="00167F8F">
        <w:rPr>
          <w:rFonts w:cs="Times New Roman"/>
          <w:szCs w:val="24"/>
        </w:rPr>
        <w:t>llamada</w:t>
      </w:r>
      <w:r w:rsidRPr="00EE20A9">
        <w:rPr>
          <w:rFonts w:cs="Times New Roman"/>
          <w:szCs w:val="24"/>
        </w:rPr>
        <w:t>: “Política arancelaria en el Ecuador: Su incidencia en el comportamiento de las importaciones en el sector de las telecomunicaciones. Periodo 2007 -</w:t>
      </w:r>
      <w:r>
        <w:rPr>
          <w:rFonts w:cs="Times New Roman"/>
          <w:szCs w:val="24"/>
        </w:rPr>
        <w:t xml:space="preserve"> 2009”- Este trabajo tuvo  por objetivo a</w:t>
      </w:r>
      <w:r w:rsidRPr="00EE20A9">
        <w:rPr>
          <w:rFonts w:cs="Times New Roman"/>
          <w:szCs w:val="24"/>
        </w:rPr>
        <w:t>nalizar las aplicaciones del arancel para racionalizar el comportamiento de las importaciones</w:t>
      </w:r>
      <w:r>
        <w:rPr>
          <w:rFonts w:cs="Times New Roman"/>
          <w:szCs w:val="24"/>
        </w:rPr>
        <w:t>,</w:t>
      </w:r>
      <w:r w:rsidRPr="00EE20A9">
        <w:rPr>
          <w:rFonts w:cs="Times New Roman"/>
          <w:szCs w:val="24"/>
        </w:rPr>
        <w:t xml:space="preserve"> así como examinar si la acción utilizada sirvió para los propósitos que impuso el gobierno central, protegiendo </w:t>
      </w:r>
      <w:r>
        <w:rPr>
          <w:rFonts w:cs="Times New Roman"/>
          <w:szCs w:val="24"/>
        </w:rPr>
        <w:t xml:space="preserve">así </w:t>
      </w:r>
      <w:r w:rsidRPr="00EE20A9">
        <w:rPr>
          <w:rFonts w:cs="Times New Roman"/>
          <w:szCs w:val="24"/>
        </w:rPr>
        <w:t>la balanza comercial. Dicha disertación de grado analiza el comportamiento del sector de las telecomunicaciones en el período cuando empezaron a aplicarse políticas arancelarias y cupos de importación.</w:t>
      </w:r>
    </w:p>
    <w:p w14:paraId="2AD7A1FA" w14:textId="77777777" w:rsidR="008033D3" w:rsidRPr="00AC3D7C" w:rsidRDefault="008033D3" w:rsidP="008033D3">
      <w:pPr>
        <w:spacing w:line="360" w:lineRule="auto"/>
        <w:rPr>
          <w:rFonts w:cs="Times New Roman"/>
          <w:szCs w:val="24"/>
        </w:rPr>
      </w:pPr>
      <w:r w:rsidRPr="00AC3D7C">
        <w:rPr>
          <w:rFonts w:cs="Times New Roman"/>
          <w:szCs w:val="24"/>
        </w:rPr>
        <w:t>La investigación fue de tipo descriptiva realizando una recopilación de información a través de datos disponibles en las entidades gubernamentales relacionadas con las importaciones y con el sector de telecomunicaciones. Requirió de recursos de información sobre la teoría del comercio y las medidas arancelarias que se encuentran disponibles en las páginas web de instituciones del Estado relacionadas con las Telecomunicaciones.</w:t>
      </w:r>
    </w:p>
    <w:p w14:paraId="2D6DAD24" w14:textId="77777777" w:rsidR="008033D3" w:rsidRPr="00AC3D7C" w:rsidRDefault="008033D3" w:rsidP="008033D3">
      <w:pPr>
        <w:spacing w:line="360" w:lineRule="auto"/>
        <w:rPr>
          <w:rFonts w:cs="Times New Roman"/>
          <w:szCs w:val="24"/>
        </w:rPr>
      </w:pPr>
      <w:r w:rsidRPr="00AC3D7C">
        <w:rPr>
          <w:rFonts w:cs="Times New Roman"/>
          <w:szCs w:val="24"/>
        </w:rPr>
        <w:t>Entre los resultados el autor evaluó las implicaciones e incidencias que ha tenido para el Ecuador la política arancelaria en la economía nacional</w:t>
      </w:r>
      <w:r>
        <w:rPr>
          <w:rFonts w:cs="Times New Roman"/>
          <w:szCs w:val="24"/>
        </w:rPr>
        <w:t>,</w:t>
      </w:r>
      <w:r w:rsidRPr="00AC3D7C">
        <w:rPr>
          <w:rFonts w:cs="Times New Roman"/>
          <w:szCs w:val="24"/>
        </w:rPr>
        <w:t xml:space="preserve"> y particularmente en la estructura de las importaciones. </w:t>
      </w:r>
      <w:r>
        <w:rPr>
          <w:rFonts w:cs="Times New Roman"/>
          <w:szCs w:val="24"/>
        </w:rPr>
        <w:t xml:space="preserve">En consecuencia </w:t>
      </w:r>
      <w:r w:rsidRPr="00AC3D7C">
        <w:rPr>
          <w:rFonts w:cs="Times New Roman"/>
          <w:szCs w:val="24"/>
        </w:rPr>
        <w:t>concluyó que la medida arancelaria tuvo un fuerte impacto porque desembocó en la reducción de importaciones en el sector de las telecomunicaciones</w:t>
      </w:r>
      <w:r>
        <w:rPr>
          <w:rFonts w:cs="Times New Roman"/>
          <w:szCs w:val="24"/>
        </w:rPr>
        <w:t>,</w:t>
      </w:r>
      <w:r w:rsidRPr="00AC3D7C">
        <w:rPr>
          <w:rFonts w:cs="Times New Roman"/>
          <w:szCs w:val="24"/>
        </w:rPr>
        <w:t xml:space="preserve"> mientras que la demanda interna se mantuvo al alza fortaleciendo al mercado gris. </w:t>
      </w:r>
    </w:p>
    <w:p w14:paraId="63981631" w14:textId="77777777" w:rsidR="008033D3" w:rsidRPr="00AC3D7C" w:rsidRDefault="008033D3" w:rsidP="008033D3">
      <w:pPr>
        <w:spacing w:line="360" w:lineRule="auto"/>
        <w:rPr>
          <w:rFonts w:cs="Times New Roman"/>
          <w:szCs w:val="24"/>
        </w:rPr>
      </w:pPr>
      <w:r w:rsidRPr="00AC3D7C">
        <w:rPr>
          <w:rFonts w:cs="Times New Roman"/>
          <w:szCs w:val="24"/>
        </w:rPr>
        <w:t>El aporte</w:t>
      </w:r>
      <w:r>
        <w:rPr>
          <w:rFonts w:cs="Times New Roman"/>
          <w:szCs w:val="24"/>
        </w:rPr>
        <w:t xml:space="preserve"> de </w:t>
      </w:r>
      <w:proofErr w:type="spellStart"/>
      <w:r>
        <w:rPr>
          <w:rFonts w:cs="Times New Roman"/>
          <w:szCs w:val="24"/>
        </w:rPr>
        <w:t>Velastegui</w:t>
      </w:r>
      <w:proofErr w:type="spellEnd"/>
      <w:r>
        <w:rPr>
          <w:rFonts w:cs="Times New Roman"/>
          <w:szCs w:val="24"/>
        </w:rPr>
        <w:t xml:space="preserve"> analiza</w:t>
      </w:r>
      <w:r w:rsidRPr="00AC3D7C">
        <w:rPr>
          <w:rFonts w:cs="Times New Roman"/>
          <w:szCs w:val="24"/>
        </w:rPr>
        <w:t xml:space="preserve"> la época cuando empezaron a tomarse medidas arancelarias en el sector de las telecomunicaciones entre 2007 – 2010. También analizó los factores económicos y comerciales que llevaron a tomar estas medidas y sus resultados. Y por último, </w:t>
      </w:r>
      <w:r w:rsidRPr="00AC3D7C">
        <w:rPr>
          <w:rFonts w:cs="Times New Roman"/>
          <w:szCs w:val="24"/>
        </w:rPr>
        <w:lastRenderedPageBreak/>
        <w:t xml:space="preserve">evalúa las implicaciones e incidencias de las políticas arancelarias en la economía nacional y en particular en la estructura arancelaria para las importaciones en el periodo antes mencionado. </w:t>
      </w:r>
    </w:p>
    <w:p w14:paraId="5C984704" w14:textId="77777777" w:rsidR="008033D3" w:rsidRDefault="008033D3" w:rsidP="008033D3">
      <w:pPr>
        <w:spacing w:line="360" w:lineRule="auto"/>
        <w:rPr>
          <w:rFonts w:cs="Times New Roman"/>
          <w:szCs w:val="24"/>
        </w:rPr>
      </w:pPr>
      <w:r w:rsidRPr="00AC3D7C">
        <w:rPr>
          <w:rFonts w:cs="Times New Roman"/>
          <w:szCs w:val="24"/>
        </w:rPr>
        <w:t xml:space="preserve">La utilidad del trabajo relatado viene a que el presente </w:t>
      </w:r>
      <w:r>
        <w:rPr>
          <w:rFonts w:cs="Times New Roman"/>
          <w:szCs w:val="24"/>
        </w:rPr>
        <w:t>informe de investigación continú</w:t>
      </w:r>
      <w:r w:rsidRPr="00AC3D7C">
        <w:rPr>
          <w:rFonts w:cs="Times New Roman"/>
          <w:szCs w:val="24"/>
        </w:rPr>
        <w:t xml:space="preserve">a con el estudio de las medidas arancelarias aplicadas. </w:t>
      </w:r>
      <w:r>
        <w:rPr>
          <w:rFonts w:cs="Times New Roman"/>
          <w:szCs w:val="24"/>
        </w:rPr>
        <w:t>Para poder comprender el entorno actual en el que se encuentra la industria se debe hacer referencia a las bases teóricas que norman a la misma y a  la operatividad  de sus variables.</w:t>
      </w:r>
      <w:r w:rsidRPr="00AC3D7C" w:rsidDel="00062926">
        <w:rPr>
          <w:rFonts w:cs="Times New Roman"/>
          <w:szCs w:val="24"/>
        </w:rPr>
        <w:t xml:space="preserve"> </w:t>
      </w:r>
      <w:r w:rsidRPr="00AC3D7C">
        <w:rPr>
          <w:rFonts w:cs="Times New Roman"/>
          <w:szCs w:val="24"/>
        </w:rPr>
        <w:t>Continuando con los antecedentes se encuentra el artículo realizado por Nadia Villena (2015)</w:t>
      </w:r>
      <w:r>
        <w:rPr>
          <w:rFonts w:cs="Times New Roman"/>
          <w:szCs w:val="24"/>
        </w:rPr>
        <w:t>,</w:t>
      </w:r>
      <w:r w:rsidRPr="00AC3D7C">
        <w:rPr>
          <w:rFonts w:cs="Times New Roman"/>
          <w:szCs w:val="24"/>
        </w:rPr>
        <w:t xml:space="preserve"> que se titula “El Ecuador y el proceso de cambio de la matriz productiva: consideraciones para el desarrollo y equilibrio de la balanza comercial” de la Revista Observatorio de la Economía Latinoamericana</w:t>
      </w:r>
      <w:r>
        <w:rPr>
          <w:rFonts w:cs="Times New Roman"/>
          <w:szCs w:val="24"/>
        </w:rPr>
        <w:t xml:space="preserve">. El artículo tiene </w:t>
      </w:r>
      <w:r w:rsidRPr="00AC3D7C">
        <w:rPr>
          <w:rFonts w:cs="Times New Roman"/>
          <w:szCs w:val="24"/>
        </w:rPr>
        <w:t>como objetivo describir la situación actual de la matriz productiva en relación a la</w:t>
      </w:r>
      <w:r>
        <w:rPr>
          <w:rFonts w:cs="Times New Roman"/>
          <w:szCs w:val="24"/>
        </w:rPr>
        <w:t xml:space="preserve"> propuesta de la</w:t>
      </w:r>
      <w:r w:rsidRPr="00AC3D7C">
        <w:rPr>
          <w:rFonts w:cs="Times New Roman"/>
          <w:szCs w:val="24"/>
        </w:rPr>
        <w:t xml:space="preserve"> nueva matriz productiva que en principio busca “diversificar  ampliando la cantidad de industrias tanto de insumos así como también de productos finales con el objetivo de fomentar el desarrollo nacional” </w:t>
      </w:r>
      <w:sdt>
        <w:sdtPr>
          <w:rPr>
            <w:rFonts w:cs="Times New Roman"/>
            <w:szCs w:val="24"/>
          </w:rPr>
          <w:id w:val="621271822"/>
          <w:citation/>
        </w:sdtPr>
        <w:sdtEndPr/>
        <w:sdtContent>
          <w:r w:rsidRPr="00AC3D7C">
            <w:rPr>
              <w:rFonts w:cs="Times New Roman"/>
              <w:szCs w:val="24"/>
            </w:rPr>
            <w:fldChar w:fldCharType="begin"/>
          </w:r>
          <w:r w:rsidRPr="00AC3D7C">
            <w:rPr>
              <w:rFonts w:cs="Times New Roman"/>
              <w:szCs w:val="24"/>
            </w:rPr>
            <w:instrText xml:space="preserve">CITATION Nad15 \l 3082 </w:instrText>
          </w:r>
          <w:r w:rsidRPr="00AC3D7C">
            <w:rPr>
              <w:rFonts w:cs="Times New Roman"/>
              <w:szCs w:val="24"/>
            </w:rPr>
            <w:fldChar w:fldCharType="separate"/>
          </w:r>
          <w:r w:rsidRPr="00AC3D7C">
            <w:rPr>
              <w:rFonts w:cs="Times New Roman"/>
              <w:noProof/>
              <w:szCs w:val="24"/>
            </w:rPr>
            <w:t>(Villena, 2015)</w:t>
          </w:r>
          <w:r w:rsidRPr="00AC3D7C">
            <w:rPr>
              <w:rFonts w:cs="Times New Roman"/>
              <w:szCs w:val="24"/>
            </w:rPr>
            <w:fldChar w:fldCharType="end"/>
          </w:r>
        </w:sdtContent>
      </w:sdt>
      <w:r w:rsidRPr="00AC3D7C">
        <w:rPr>
          <w:rFonts w:cs="Times New Roman"/>
          <w:szCs w:val="24"/>
        </w:rPr>
        <w:t>. Dentro de su artículo desarrolló un análisis entre el Plan Nacional del Buen Vivir 2009-2013 y la propuesta de la Secretearía Nacional de Planificación y Desarrollo (</w:t>
      </w:r>
      <w:proofErr w:type="spellStart"/>
      <w:r w:rsidRPr="00AC3D7C">
        <w:rPr>
          <w:rFonts w:cs="Times New Roman"/>
          <w:szCs w:val="24"/>
        </w:rPr>
        <w:t>Senplades</w:t>
      </w:r>
      <w:proofErr w:type="spellEnd"/>
      <w:r w:rsidRPr="00AC3D7C">
        <w:rPr>
          <w:rFonts w:cs="Times New Roman"/>
          <w:szCs w:val="24"/>
        </w:rPr>
        <w:t>).</w:t>
      </w:r>
    </w:p>
    <w:p w14:paraId="58E94FE6" w14:textId="77777777" w:rsidR="008033D3" w:rsidRDefault="008033D3" w:rsidP="008033D3">
      <w:pPr>
        <w:spacing w:line="360" w:lineRule="auto"/>
        <w:rPr>
          <w:rFonts w:cs="Times New Roman"/>
          <w:szCs w:val="24"/>
        </w:rPr>
      </w:pPr>
      <w:r w:rsidRPr="00AC3D7C">
        <w:rPr>
          <w:rFonts w:cs="Times New Roman"/>
          <w:szCs w:val="24"/>
        </w:rPr>
        <w:t xml:space="preserve">En esencia Villena explica que el cambio de la matriz productiva es un esfuerzo a largo plazo y que mediante la construcción de infraestructura </w:t>
      </w:r>
      <w:r>
        <w:rPr>
          <w:rFonts w:cs="Times New Roman"/>
          <w:szCs w:val="24"/>
        </w:rPr>
        <w:t xml:space="preserve">se </w:t>
      </w:r>
      <w:r w:rsidRPr="00AC3D7C">
        <w:rPr>
          <w:rFonts w:cs="Times New Roman"/>
          <w:szCs w:val="24"/>
        </w:rPr>
        <w:t>pasar</w:t>
      </w:r>
      <w:r>
        <w:rPr>
          <w:rFonts w:cs="Times New Roman"/>
          <w:szCs w:val="24"/>
        </w:rPr>
        <w:t xml:space="preserve">á de </w:t>
      </w:r>
      <w:r w:rsidRPr="00AC3D7C">
        <w:rPr>
          <w:rFonts w:cs="Times New Roman"/>
          <w:szCs w:val="24"/>
        </w:rPr>
        <w:t xml:space="preserve"> ser un país exportador de materia prima a un país productor de bienes industriales, productos terminados y con valor agregado. Para esto es indispensable presuponer un cambio </w:t>
      </w:r>
      <w:r>
        <w:rPr>
          <w:rFonts w:cs="Times New Roman"/>
          <w:szCs w:val="24"/>
        </w:rPr>
        <w:t>estructural</w:t>
      </w:r>
      <w:r w:rsidRPr="00AC3D7C">
        <w:rPr>
          <w:rFonts w:cs="Times New Roman"/>
          <w:szCs w:val="24"/>
        </w:rPr>
        <w:t xml:space="preserve"> del modelo económico del país</w:t>
      </w:r>
      <w:r>
        <w:rPr>
          <w:rFonts w:cs="Times New Roman"/>
          <w:szCs w:val="24"/>
        </w:rPr>
        <w:t xml:space="preserve">, </w:t>
      </w:r>
      <w:r w:rsidRPr="00AC3D7C">
        <w:rPr>
          <w:rFonts w:cs="Times New Roman"/>
          <w:szCs w:val="24"/>
        </w:rPr>
        <w:t>mediante la aplicación de proye</w:t>
      </w:r>
      <w:r>
        <w:rPr>
          <w:rFonts w:cs="Times New Roman"/>
          <w:szCs w:val="24"/>
        </w:rPr>
        <w:t>ctos estratégicos (un ejemplo son</w:t>
      </w:r>
      <w:r w:rsidRPr="00AC3D7C">
        <w:rPr>
          <w:rFonts w:cs="Times New Roman"/>
          <w:szCs w:val="24"/>
        </w:rPr>
        <w:t xml:space="preserve"> las hidroeléctricas) cuyo diseño y construcción requieren plazos de varios años. Por lo tanto</w:t>
      </w:r>
      <w:r>
        <w:rPr>
          <w:rFonts w:cs="Times New Roman"/>
          <w:szCs w:val="24"/>
        </w:rPr>
        <w:t>,</w:t>
      </w:r>
      <w:r w:rsidRPr="00AC3D7C">
        <w:rPr>
          <w:rFonts w:cs="Times New Roman"/>
          <w:szCs w:val="24"/>
        </w:rPr>
        <w:t xml:space="preserve"> el cambio de la matriz productiva no es un esfuerzo que se pueda cumplir en poco tiempo, sino más bien es una proyección a mediano y largo plazo</w:t>
      </w:r>
      <w:r>
        <w:rPr>
          <w:rFonts w:cs="Times New Roman"/>
          <w:szCs w:val="24"/>
        </w:rPr>
        <w:t>,</w:t>
      </w:r>
      <w:r w:rsidRPr="00AC3D7C">
        <w:rPr>
          <w:rFonts w:cs="Times New Roman"/>
          <w:szCs w:val="24"/>
        </w:rPr>
        <w:t xml:space="preserve"> pensando en una economía pos </w:t>
      </w:r>
      <w:proofErr w:type="gramStart"/>
      <w:r w:rsidRPr="00AC3D7C">
        <w:rPr>
          <w:rFonts w:cs="Times New Roman"/>
          <w:szCs w:val="24"/>
        </w:rPr>
        <w:t>petrolera</w:t>
      </w:r>
      <w:proofErr w:type="gramEnd"/>
      <w:r>
        <w:rPr>
          <w:rFonts w:cs="Times New Roman"/>
          <w:szCs w:val="24"/>
        </w:rPr>
        <w:t xml:space="preserve">; debido a ello, </w:t>
      </w:r>
      <w:r w:rsidRPr="00AC3D7C">
        <w:rPr>
          <w:rFonts w:cs="Times New Roman"/>
          <w:szCs w:val="24"/>
        </w:rPr>
        <w:t xml:space="preserve"> se analiza</w:t>
      </w:r>
      <w:r>
        <w:rPr>
          <w:rFonts w:cs="Times New Roman"/>
          <w:szCs w:val="24"/>
        </w:rPr>
        <w:t xml:space="preserve"> </w:t>
      </w:r>
      <w:r w:rsidRPr="00AC3D7C">
        <w:rPr>
          <w:rFonts w:cs="Times New Roman"/>
          <w:szCs w:val="24"/>
        </w:rPr>
        <w:t xml:space="preserve">el actual modelo de matriz productiva y </w:t>
      </w:r>
      <w:r>
        <w:rPr>
          <w:rFonts w:cs="Times New Roman"/>
          <w:szCs w:val="24"/>
        </w:rPr>
        <w:t xml:space="preserve">la propuesta del </w:t>
      </w:r>
      <w:r w:rsidRPr="00AC3D7C">
        <w:rPr>
          <w:rFonts w:cs="Times New Roman"/>
          <w:szCs w:val="24"/>
        </w:rPr>
        <w:t xml:space="preserve">nuevo modelo. </w:t>
      </w:r>
    </w:p>
    <w:p w14:paraId="09AB1688" w14:textId="77777777" w:rsidR="008033D3" w:rsidRDefault="008033D3" w:rsidP="008033D3">
      <w:pPr>
        <w:spacing w:line="360" w:lineRule="auto"/>
        <w:rPr>
          <w:rFonts w:cs="Times New Roman"/>
          <w:szCs w:val="24"/>
        </w:rPr>
      </w:pPr>
      <w:r w:rsidRPr="00AC3D7C">
        <w:rPr>
          <w:rFonts w:cs="Times New Roman"/>
          <w:szCs w:val="24"/>
        </w:rPr>
        <w:t xml:space="preserve">Según la </w:t>
      </w:r>
      <w:proofErr w:type="spellStart"/>
      <w:r>
        <w:rPr>
          <w:rFonts w:cs="Times New Roman"/>
          <w:szCs w:val="24"/>
        </w:rPr>
        <w:t>Senplades</w:t>
      </w:r>
      <w:proofErr w:type="spellEnd"/>
      <w:r>
        <w:rPr>
          <w:rFonts w:cs="Times New Roman"/>
          <w:szCs w:val="24"/>
        </w:rPr>
        <w:t>,</w:t>
      </w:r>
      <w:r w:rsidRPr="00AC3D7C">
        <w:rPr>
          <w:rFonts w:cs="Times New Roman"/>
          <w:szCs w:val="24"/>
        </w:rPr>
        <w:t xml:space="preserve"> en su Folleto Informativo 1</w:t>
      </w:r>
      <w:r>
        <w:rPr>
          <w:rFonts w:cs="Times New Roman"/>
          <w:szCs w:val="24"/>
        </w:rPr>
        <w:t xml:space="preserve"> menciona que</w:t>
      </w:r>
      <w:r w:rsidRPr="00AC3D7C">
        <w:rPr>
          <w:rFonts w:cs="Times New Roman"/>
          <w:szCs w:val="24"/>
        </w:rPr>
        <w:t xml:space="preserve">: </w:t>
      </w:r>
    </w:p>
    <w:p w14:paraId="038C0912" w14:textId="77777777" w:rsidR="008033D3" w:rsidRDefault="008033D3" w:rsidP="008033D3">
      <w:pPr>
        <w:spacing w:line="360" w:lineRule="auto"/>
        <w:ind w:left="720"/>
        <w:rPr>
          <w:rFonts w:cs="Times New Roman"/>
          <w:szCs w:val="24"/>
        </w:rPr>
      </w:pPr>
      <w:r w:rsidRPr="00AC3D7C">
        <w:rPr>
          <w:rFonts w:cs="Times New Roman"/>
          <w:szCs w:val="24"/>
        </w:rPr>
        <w:t xml:space="preserve">“La economía ecuatoriana se ha caracterizado por ser proveedora de materias primas en el mercado internacional y al mismo tiempo importadora de bienes y servicios de mayor valor agregado. Los constantes e imprevistos cambios en los precios </w:t>
      </w:r>
      <w:r w:rsidRPr="00AC3D7C">
        <w:rPr>
          <w:rFonts w:cs="Times New Roman"/>
          <w:szCs w:val="24"/>
        </w:rPr>
        <w:lastRenderedPageBreak/>
        <w:t xml:space="preserve">internacionales de las materias primas, así como su creciente diferencia frente a los precios de los productos de mayor valor  agregado y alta tecnología, han colocado a la economía ecuatoriana en una situación de intercambio desigual sujeta a los vaivenes del mercado mundial.” </w:t>
      </w:r>
    </w:p>
    <w:p w14:paraId="2E44AAB7" w14:textId="77777777" w:rsidR="008033D3" w:rsidRDefault="008033D3" w:rsidP="008033D3">
      <w:pPr>
        <w:spacing w:line="360" w:lineRule="auto"/>
        <w:rPr>
          <w:rFonts w:cs="Times New Roman"/>
          <w:szCs w:val="24"/>
        </w:rPr>
      </w:pPr>
      <w:r w:rsidRPr="00AC3D7C">
        <w:rPr>
          <w:rFonts w:cs="Times New Roman"/>
          <w:szCs w:val="24"/>
        </w:rPr>
        <w:t xml:space="preserve">Por lo cual la nueva propuesta de cambio de matriz productiva conlleva la reducción de importaciones, incremento de exportaciones mediante el fomento de la producción nacional, políticas comerciales y arancelarias que permitan al país ser más competitivo en el mercado internacional, entre otros factores. </w:t>
      </w:r>
    </w:p>
    <w:p w14:paraId="1B560AA5" w14:textId="4FFF7ECC" w:rsidR="008033D3" w:rsidRDefault="008033D3" w:rsidP="008033D3">
      <w:pPr>
        <w:spacing w:line="360" w:lineRule="auto"/>
        <w:rPr>
          <w:rFonts w:cs="Times New Roman"/>
          <w:szCs w:val="24"/>
        </w:rPr>
      </w:pPr>
      <w:r w:rsidRPr="00AC3D7C">
        <w:rPr>
          <w:rFonts w:cs="Times New Roman"/>
          <w:szCs w:val="24"/>
        </w:rPr>
        <w:t xml:space="preserve">En su análisis Villena determina que la balanza comercial se encuentra sectorizada en actividades petroleras y no petroleras y </w:t>
      </w:r>
      <w:r>
        <w:rPr>
          <w:rFonts w:cs="Times New Roman"/>
          <w:szCs w:val="24"/>
        </w:rPr>
        <w:t>siendo</w:t>
      </w:r>
      <w:r w:rsidR="00EE0310">
        <w:rPr>
          <w:rFonts w:cs="Times New Roman"/>
          <w:szCs w:val="24"/>
        </w:rPr>
        <w:t xml:space="preserve"> </w:t>
      </w:r>
      <w:r w:rsidRPr="00AC3D7C">
        <w:rPr>
          <w:rFonts w:cs="Times New Roman"/>
          <w:szCs w:val="24"/>
        </w:rPr>
        <w:t>la primera  la más rentable</w:t>
      </w:r>
      <w:r>
        <w:rPr>
          <w:rFonts w:cs="Times New Roman"/>
          <w:szCs w:val="24"/>
        </w:rPr>
        <w:t>. P</w:t>
      </w:r>
      <w:r w:rsidRPr="00AC3D7C">
        <w:rPr>
          <w:rFonts w:cs="Times New Roman"/>
          <w:szCs w:val="24"/>
        </w:rPr>
        <w:t>or lo tanto, con el implemento de estrategias de planificación para fomentar el desarrollo de la producción nacional</w:t>
      </w:r>
      <w:r>
        <w:rPr>
          <w:rFonts w:cs="Times New Roman"/>
          <w:szCs w:val="24"/>
        </w:rPr>
        <w:t>,</w:t>
      </w:r>
      <w:r w:rsidRPr="00AC3D7C">
        <w:rPr>
          <w:rFonts w:cs="Times New Roman"/>
          <w:szCs w:val="24"/>
        </w:rPr>
        <w:t xml:space="preserve"> se busca incrementar el sector no petrolero logrando determinar el nivel óptimo de la economía, estable y sostenible en los próximos años. Concluye que</w:t>
      </w:r>
      <w:r>
        <w:rPr>
          <w:rFonts w:cs="Times New Roman"/>
          <w:szCs w:val="24"/>
        </w:rPr>
        <w:t>:</w:t>
      </w:r>
      <w:r w:rsidRPr="00AC3D7C">
        <w:rPr>
          <w:rFonts w:cs="Times New Roman"/>
          <w:szCs w:val="24"/>
        </w:rPr>
        <w:t xml:space="preserve"> </w:t>
      </w:r>
    </w:p>
    <w:p w14:paraId="4EE31F74" w14:textId="77777777" w:rsidR="008033D3" w:rsidRDefault="008033D3" w:rsidP="008033D3">
      <w:pPr>
        <w:spacing w:line="360" w:lineRule="auto"/>
        <w:ind w:left="720"/>
        <w:rPr>
          <w:rFonts w:cs="Times New Roman"/>
          <w:szCs w:val="24"/>
        </w:rPr>
      </w:pPr>
      <w:r w:rsidRPr="00AC3D7C">
        <w:rPr>
          <w:rFonts w:cs="Times New Roman"/>
          <w:szCs w:val="24"/>
        </w:rPr>
        <w:t xml:space="preserve">“El objetivo general de cambio de la matriz productiva debe lograr cambiar sustancialmente, diversificar, y desarrollar tecnología de las exportaciones del Ecuador, manteniendo la estrategia de incrementar productores, productos, y el destino de los mismos, creando las condiciones necesarias del espacio físico para su desarrollo que permita producirse en el corto plazo. Con el fin de lograr incrementar las exportaciones actuales y desarrollar nuevas alternativas priorizando los productos reconocidos internacionalmente para así competir con los mismos.” </w:t>
      </w:r>
      <w:sdt>
        <w:sdtPr>
          <w:rPr>
            <w:rFonts w:cs="Times New Roman"/>
            <w:szCs w:val="24"/>
          </w:rPr>
          <w:id w:val="-497967499"/>
          <w:citation/>
        </w:sdtPr>
        <w:sdtEndPr/>
        <w:sdtContent>
          <w:r w:rsidRPr="00AC3D7C">
            <w:rPr>
              <w:rFonts w:cs="Times New Roman"/>
              <w:szCs w:val="24"/>
            </w:rPr>
            <w:fldChar w:fldCharType="begin"/>
          </w:r>
          <w:r w:rsidRPr="00AC3D7C">
            <w:rPr>
              <w:rFonts w:cs="Times New Roman"/>
              <w:szCs w:val="24"/>
            </w:rPr>
            <w:instrText xml:space="preserve"> CITATION Nad15 \l 3082 </w:instrText>
          </w:r>
          <w:r w:rsidRPr="00AC3D7C">
            <w:rPr>
              <w:rFonts w:cs="Times New Roman"/>
              <w:szCs w:val="24"/>
            </w:rPr>
            <w:fldChar w:fldCharType="separate"/>
          </w:r>
          <w:r w:rsidRPr="00AC3D7C">
            <w:rPr>
              <w:rFonts w:cs="Times New Roman"/>
              <w:szCs w:val="24"/>
            </w:rPr>
            <w:t>(Villena, 2015)</w:t>
          </w:r>
          <w:r w:rsidRPr="00AC3D7C">
            <w:rPr>
              <w:rFonts w:cs="Times New Roman"/>
              <w:szCs w:val="24"/>
            </w:rPr>
            <w:fldChar w:fldCharType="end"/>
          </w:r>
        </w:sdtContent>
      </w:sdt>
      <w:r w:rsidRPr="00AC3D7C">
        <w:rPr>
          <w:rFonts w:cs="Times New Roman"/>
          <w:szCs w:val="24"/>
        </w:rPr>
        <w:t xml:space="preserve">   </w:t>
      </w:r>
    </w:p>
    <w:p w14:paraId="7A3A71DD" w14:textId="77777777" w:rsidR="008033D3" w:rsidRPr="00AC3D7C" w:rsidRDefault="008033D3" w:rsidP="008033D3">
      <w:pPr>
        <w:spacing w:line="360" w:lineRule="auto"/>
        <w:rPr>
          <w:rFonts w:cs="Times New Roman"/>
          <w:szCs w:val="24"/>
        </w:rPr>
      </w:pPr>
      <w:r>
        <w:rPr>
          <w:rFonts w:cs="Times New Roman"/>
          <w:szCs w:val="24"/>
        </w:rPr>
        <w:t>Otro antecedente importante es</w:t>
      </w:r>
      <w:r w:rsidRPr="00AC3D7C">
        <w:rPr>
          <w:rFonts w:cs="Times New Roman"/>
          <w:szCs w:val="24"/>
        </w:rPr>
        <w:t xml:space="preserve"> el artículo de la revista </w:t>
      </w:r>
      <w:r w:rsidRPr="00AE346A">
        <w:rPr>
          <w:rFonts w:cs="Times New Roman"/>
          <w:i/>
          <w:color w:val="000000" w:themeColor="text1"/>
          <w:szCs w:val="24"/>
        </w:rPr>
        <w:t>Perspectiva</w:t>
      </w:r>
      <w:r>
        <w:rPr>
          <w:rFonts w:cs="Times New Roman"/>
          <w:szCs w:val="24"/>
        </w:rPr>
        <w:t>, publicado en la edición de f</w:t>
      </w:r>
      <w:r w:rsidRPr="00AC3D7C">
        <w:rPr>
          <w:rFonts w:cs="Times New Roman"/>
          <w:szCs w:val="24"/>
        </w:rPr>
        <w:t>ebrero de 2014 por</w:t>
      </w:r>
      <w:r>
        <w:rPr>
          <w:rFonts w:cs="Times New Roman"/>
          <w:szCs w:val="24"/>
        </w:rPr>
        <w:t xml:space="preserve"> el</w:t>
      </w:r>
      <w:r w:rsidRPr="00AC3D7C">
        <w:rPr>
          <w:rFonts w:cs="Times New Roman"/>
          <w:szCs w:val="24"/>
        </w:rPr>
        <w:t xml:space="preserve"> </w:t>
      </w:r>
      <w:r w:rsidRPr="0041538A">
        <w:rPr>
          <w:rFonts w:cs="Times New Roman"/>
          <w:i/>
          <w:szCs w:val="24"/>
        </w:rPr>
        <w:t>IDE Business School</w:t>
      </w:r>
      <w:r>
        <w:rPr>
          <w:rFonts w:cs="Times New Roman"/>
          <w:i/>
          <w:szCs w:val="24"/>
        </w:rPr>
        <w:t>,</w:t>
      </w:r>
      <w:r w:rsidRPr="00AC3D7C">
        <w:rPr>
          <w:rFonts w:cs="Times New Roman"/>
          <w:szCs w:val="24"/>
        </w:rPr>
        <w:t xml:space="preserve"> en su estudio de la evolución de la indust</w:t>
      </w:r>
      <w:r>
        <w:rPr>
          <w:rFonts w:cs="Times New Roman"/>
          <w:szCs w:val="24"/>
        </w:rPr>
        <w:t xml:space="preserve">ria de las telecomunicaciones. El mismo tuvo </w:t>
      </w:r>
      <w:r w:rsidRPr="00AC3D7C">
        <w:rPr>
          <w:rFonts w:cs="Times New Roman"/>
          <w:szCs w:val="24"/>
        </w:rPr>
        <w:t xml:space="preserve"> como objetivo analizar la evolución de la industria de las telecomunicaciones</w:t>
      </w:r>
      <w:r>
        <w:rPr>
          <w:rFonts w:cs="Times New Roman"/>
          <w:szCs w:val="24"/>
        </w:rPr>
        <w:t>,</w:t>
      </w:r>
      <w:r w:rsidRPr="00AC3D7C">
        <w:rPr>
          <w:rFonts w:cs="Times New Roman"/>
          <w:szCs w:val="24"/>
        </w:rPr>
        <w:t xml:space="preserve"> así como también su crecimiento en el número de abonados.  Por lo tanto, el artículo resume la relación histórica de la industria de las telecomunicaciones y su crecimiento de abonados en el período 2001-2013.</w:t>
      </w:r>
    </w:p>
    <w:p w14:paraId="2F2F2B7D" w14:textId="77777777" w:rsidR="008033D3" w:rsidRDefault="008033D3" w:rsidP="008033D3">
      <w:pPr>
        <w:spacing w:line="360" w:lineRule="auto"/>
        <w:rPr>
          <w:rFonts w:cs="Times New Roman"/>
          <w:szCs w:val="24"/>
        </w:rPr>
      </w:pPr>
      <w:r w:rsidRPr="00AC3D7C">
        <w:rPr>
          <w:rFonts w:cs="Times New Roman"/>
          <w:szCs w:val="24"/>
        </w:rPr>
        <w:t>E</w:t>
      </w:r>
      <w:r>
        <w:rPr>
          <w:rFonts w:cs="Times New Roman"/>
          <w:szCs w:val="24"/>
        </w:rPr>
        <w:t>ste</w:t>
      </w:r>
      <w:r w:rsidRPr="00AC3D7C">
        <w:rPr>
          <w:rFonts w:cs="Times New Roman"/>
          <w:szCs w:val="24"/>
        </w:rPr>
        <w:t xml:space="preserve"> artículo es de carácter </w:t>
      </w:r>
      <w:r>
        <w:rPr>
          <w:rFonts w:cs="Times New Roman"/>
          <w:szCs w:val="24"/>
        </w:rPr>
        <w:t>informativo considerando a las tres</w:t>
      </w:r>
      <w:r w:rsidRPr="00AC3D7C">
        <w:rPr>
          <w:rFonts w:cs="Times New Roman"/>
          <w:szCs w:val="24"/>
        </w:rPr>
        <w:t xml:space="preserve"> empresas de telecomunicaciones que funcionan actualmente a nivel nacional. </w:t>
      </w:r>
      <w:r>
        <w:rPr>
          <w:rFonts w:cs="Times New Roman"/>
          <w:szCs w:val="24"/>
        </w:rPr>
        <w:t xml:space="preserve"> También </w:t>
      </w:r>
      <w:r w:rsidRPr="00AC3D7C">
        <w:rPr>
          <w:rFonts w:cs="Times New Roman"/>
          <w:szCs w:val="24"/>
        </w:rPr>
        <w:t xml:space="preserve">comprende un cuadro con la evolución mensual de usuarios emitidos por cada una de las operadoras a la </w:t>
      </w:r>
      <w:r w:rsidRPr="00AC3D7C">
        <w:rPr>
          <w:rFonts w:cs="Times New Roman"/>
          <w:szCs w:val="24"/>
        </w:rPr>
        <w:lastRenderedPageBreak/>
        <w:t xml:space="preserve">SENATEL. En su análisis se puede observar la relación en cada una de las empresas con un control monopólico de Claro y Movistar hasta el año 2011. </w:t>
      </w:r>
    </w:p>
    <w:p w14:paraId="3FA42C28" w14:textId="77777777" w:rsidR="008033D3" w:rsidRPr="006B758E" w:rsidRDefault="008033D3" w:rsidP="008033D3">
      <w:pPr>
        <w:spacing w:line="360" w:lineRule="auto"/>
        <w:rPr>
          <w:rFonts w:cs="Times New Roman"/>
          <w:szCs w:val="24"/>
        </w:rPr>
      </w:pPr>
      <w:r w:rsidRPr="006B758E">
        <w:rPr>
          <w:rFonts w:cs="Times New Roman"/>
          <w:szCs w:val="24"/>
        </w:rPr>
        <w:t xml:space="preserve">Entre los resultados obtenidos </w:t>
      </w:r>
      <w:r>
        <w:rPr>
          <w:rFonts w:cs="Times New Roman"/>
          <w:szCs w:val="24"/>
        </w:rPr>
        <w:t xml:space="preserve">del estudio, </w:t>
      </w:r>
      <w:r w:rsidRPr="006B758E">
        <w:rPr>
          <w:rFonts w:cs="Times New Roman"/>
          <w:szCs w:val="24"/>
        </w:rPr>
        <w:t xml:space="preserve">se describe que desde 1992 la regulación y operación de los servicios de telecomunicaciones estaban administradas bajo un monopolio estatal al Instituto Ecuatoriano de Telecomunicaciones (IETEL). En 1995 y 1997 se reformó la legislación para transformar al IETEL en dos empresas con distintas coberturas geográficas </w:t>
      </w:r>
      <w:proofErr w:type="spellStart"/>
      <w:r w:rsidRPr="006B758E">
        <w:rPr>
          <w:rFonts w:cs="Times New Roman"/>
          <w:szCs w:val="24"/>
        </w:rPr>
        <w:t>Pacifictel</w:t>
      </w:r>
      <w:proofErr w:type="spellEnd"/>
      <w:r w:rsidRPr="006B758E">
        <w:rPr>
          <w:rFonts w:cs="Times New Roman"/>
          <w:szCs w:val="24"/>
        </w:rPr>
        <w:t xml:space="preserve"> S.A. en la región costa y </w:t>
      </w:r>
      <w:proofErr w:type="spellStart"/>
      <w:r w:rsidRPr="006B758E">
        <w:rPr>
          <w:rFonts w:cs="Times New Roman"/>
          <w:szCs w:val="24"/>
        </w:rPr>
        <w:t>Andinatel</w:t>
      </w:r>
      <w:proofErr w:type="spellEnd"/>
      <w:r w:rsidRPr="006B758E">
        <w:rPr>
          <w:rFonts w:cs="Times New Roman"/>
          <w:szCs w:val="24"/>
        </w:rPr>
        <w:t xml:space="preserve"> S.A. en la región sierra</w:t>
      </w:r>
      <w:r>
        <w:rPr>
          <w:rFonts w:cs="Times New Roman"/>
          <w:szCs w:val="24"/>
        </w:rPr>
        <w:t>,</w:t>
      </w:r>
      <w:r w:rsidRPr="006B758E">
        <w:rPr>
          <w:rFonts w:cs="Times New Roman"/>
          <w:szCs w:val="24"/>
        </w:rPr>
        <w:t xml:space="preserve"> para que luego sean abiertas a la inversión privada pasando a manos de OTECEL S.A (Movistar) y CONECEL S.A. (Claro). A partir de Agosto de 2009 el Gobierno Nacional crea la Corporación Nacional de Telecomunicaciones (CNT EP). Las tres empresas han tenido un crecimiento de abonados muy marcado pasando de  aproximadamente 859.000 abonados en 2001 a 11 millones en 2008 hasta 15 millones en 2013 según reportes remitidos por cada u</w:t>
      </w:r>
      <w:r>
        <w:rPr>
          <w:rFonts w:cs="Times New Roman"/>
          <w:szCs w:val="24"/>
        </w:rPr>
        <w:t>na de las empresas a la SENATEL. E</w:t>
      </w:r>
      <w:r w:rsidRPr="006B758E">
        <w:rPr>
          <w:rFonts w:cs="Times New Roman"/>
          <w:szCs w:val="24"/>
        </w:rPr>
        <w:t xml:space="preserve">ste artículo  </w:t>
      </w:r>
      <w:r>
        <w:rPr>
          <w:rFonts w:cs="Times New Roman"/>
          <w:szCs w:val="24"/>
        </w:rPr>
        <w:t xml:space="preserve">aporta </w:t>
      </w:r>
      <w:r w:rsidRPr="006B758E">
        <w:rPr>
          <w:rFonts w:cs="Times New Roman"/>
          <w:szCs w:val="24"/>
        </w:rPr>
        <w:t xml:space="preserve">información relevante </w:t>
      </w:r>
      <w:r>
        <w:rPr>
          <w:rFonts w:cs="Times New Roman"/>
          <w:szCs w:val="24"/>
        </w:rPr>
        <w:t>sobre el</w:t>
      </w:r>
      <w:r w:rsidRPr="006B758E">
        <w:rPr>
          <w:rFonts w:cs="Times New Roman"/>
          <w:szCs w:val="24"/>
        </w:rPr>
        <w:t xml:space="preserve"> crecimiento de usuarios en la industria</w:t>
      </w:r>
      <w:r>
        <w:rPr>
          <w:rFonts w:cs="Times New Roman"/>
          <w:szCs w:val="24"/>
        </w:rPr>
        <w:t xml:space="preserve"> de las telecomunicaciones</w:t>
      </w:r>
      <w:r w:rsidRPr="006B758E">
        <w:rPr>
          <w:rFonts w:cs="Times New Roman"/>
          <w:szCs w:val="24"/>
        </w:rPr>
        <w:t>. El comportamiento del crecimiento de los usuarios se ve reflejado en la aplicación de reformas por parte de la SENATEL y medidas arancelarias por parte del Gobierno. Adicional al aumento de los usuarios</w:t>
      </w:r>
      <w:r>
        <w:rPr>
          <w:rFonts w:cs="Times New Roman"/>
          <w:szCs w:val="24"/>
        </w:rPr>
        <w:t>,</w:t>
      </w:r>
      <w:r w:rsidRPr="006B758E">
        <w:rPr>
          <w:rFonts w:cs="Times New Roman"/>
          <w:szCs w:val="24"/>
        </w:rPr>
        <w:t xml:space="preserve"> el artículo menciona que a partir de la entrada de CNT EP en el 2009 también se empieza a considerar a otros operadores</w:t>
      </w:r>
      <w:r>
        <w:rPr>
          <w:rFonts w:cs="Times New Roman"/>
          <w:szCs w:val="24"/>
        </w:rPr>
        <w:t>,</w:t>
      </w:r>
      <w:r w:rsidRPr="006B758E">
        <w:rPr>
          <w:rFonts w:cs="Times New Roman"/>
          <w:szCs w:val="24"/>
        </w:rPr>
        <w:t xml:space="preserve"> brindando distintos servicios entre ellos los distribuidores que trabajan directamente con las operadoras, servicios de valor agregado y operadores de sistemas de comunicación, entre otros.   </w:t>
      </w:r>
    </w:p>
    <w:p w14:paraId="183EDAE4" w14:textId="77777777" w:rsidR="008033D3" w:rsidRPr="00AC3D7C" w:rsidRDefault="008033D3" w:rsidP="008033D3">
      <w:pPr>
        <w:spacing w:line="360" w:lineRule="auto"/>
        <w:rPr>
          <w:rFonts w:cs="Times New Roman"/>
          <w:szCs w:val="24"/>
        </w:rPr>
      </w:pPr>
      <w:r w:rsidRPr="006B758E">
        <w:rPr>
          <w:rFonts w:cs="Times New Roman"/>
          <w:szCs w:val="24"/>
        </w:rPr>
        <w:t xml:space="preserve">Para terminar con los antecedentes, </w:t>
      </w:r>
      <w:r>
        <w:rPr>
          <w:rFonts w:cs="Times New Roman"/>
          <w:szCs w:val="24"/>
        </w:rPr>
        <w:t xml:space="preserve">se toma en consideración </w:t>
      </w:r>
      <w:r w:rsidRPr="006B758E">
        <w:rPr>
          <w:rFonts w:cs="Times New Roman"/>
          <w:szCs w:val="24"/>
        </w:rPr>
        <w:t xml:space="preserve">la investigación realizada por Pacheco (2014) en su tesis </w:t>
      </w:r>
      <w:r w:rsidRPr="00AE346A">
        <w:rPr>
          <w:rFonts w:cs="Times New Roman"/>
          <w:color w:val="000000" w:themeColor="text1"/>
          <w:szCs w:val="24"/>
        </w:rPr>
        <w:t xml:space="preserve">“Los regímenes aduaneros de excepción como parte del nuevo Código Orgánico de la Producción, Comercio e Inversiones en el ámbito económico, jurídico y social.” </w:t>
      </w:r>
      <w:r>
        <w:rPr>
          <w:rFonts w:cs="Times New Roman"/>
          <w:szCs w:val="24"/>
        </w:rPr>
        <w:t>Este trabajo t</w:t>
      </w:r>
      <w:r w:rsidRPr="00AC3D7C">
        <w:rPr>
          <w:rFonts w:cs="Times New Roman"/>
          <w:szCs w:val="24"/>
        </w:rPr>
        <w:t>iene como objetivo dar a conocer el ámbito de aplicación del nuevo Código de la Producción, Comercio e Inversiones</w:t>
      </w:r>
      <w:r>
        <w:rPr>
          <w:rFonts w:cs="Times New Roman"/>
          <w:szCs w:val="24"/>
        </w:rPr>
        <w:t>,</w:t>
      </w:r>
      <w:r w:rsidRPr="00AC3D7C">
        <w:rPr>
          <w:rFonts w:cs="Times New Roman"/>
          <w:szCs w:val="24"/>
        </w:rPr>
        <w:t xml:space="preserve"> el mismo que ha unificado varias leyes para</w:t>
      </w:r>
      <w:r>
        <w:rPr>
          <w:rFonts w:cs="Times New Roman"/>
          <w:szCs w:val="24"/>
        </w:rPr>
        <w:t xml:space="preserve"> una</w:t>
      </w:r>
      <w:r w:rsidRPr="00AC3D7C">
        <w:rPr>
          <w:rFonts w:cs="Times New Roman"/>
          <w:szCs w:val="24"/>
        </w:rPr>
        <w:t xml:space="preserve"> mejor interpretación y realización de las actividades p</w:t>
      </w:r>
      <w:r>
        <w:rPr>
          <w:rFonts w:cs="Times New Roman"/>
          <w:szCs w:val="24"/>
        </w:rPr>
        <w:t xml:space="preserve">roductivas; de igual manera, </w:t>
      </w:r>
      <w:r w:rsidRPr="00AC3D7C">
        <w:rPr>
          <w:rFonts w:cs="Times New Roman"/>
          <w:szCs w:val="24"/>
        </w:rPr>
        <w:t xml:space="preserve">señala la aplicación de los regímenes aduaneros en concordancia con otras normas, para así incentivar la inversión y producción, regulando de una mejor manera el proceso productivo en general. Por lo tanto, desarrolló una investigación con énfasis en los regímenes aduaneros de </w:t>
      </w:r>
      <w:r w:rsidRPr="00AC3D7C">
        <w:rPr>
          <w:rFonts w:cs="Times New Roman"/>
          <w:szCs w:val="24"/>
        </w:rPr>
        <w:lastRenderedPageBreak/>
        <w:t xml:space="preserve">excepción desde el punto de vista de la integración económica, trámite para las importaciones y las competencias de la SENAE en cuanto a la ejecución aduanera del país y sus facultades. </w:t>
      </w:r>
    </w:p>
    <w:p w14:paraId="3E6026EF" w14:textId="77777777" w:rsidR="008033D3" w:rsidRPr="00AC3D7C" w:rsidRDefault="008033D3" w:rsidP="008033D3">
      <w:pPr>
        <w:spacing w:line="360" w:lineRule="auto"/>
        <w:rPr>
          <w:rFonts w:cs="Times New Roman"/>
          <w:szCs w:val="24"/>
        </w:rPr>
      </w:pPr>
      <w:r w:rsidRPr="00AC3D7C">
        <w:rPr>
          <w:rFonts w:cs="Times New Roman"/>
          <w:szCs w:val="24"/>
        </w:rPr>
        <w:t xml:space="preserve">La investigación fue de tipo descriptiva bajo la modalidad de análisis. El estudio consideró las resoluciones de la SENAE en materia de aplicación de normativas arancelarias y el Decreto Ejecutivo No.888.  </w:t>
      </w:r>
    </w:p>
    <w:p w14:paraId="09C26AF4" w14:textId="77777777" w:rsidR="008033D3" w:rsidRPr="00AC3D7C" w:rsidRDefault="008033D3" w:rsidP="008033D3">
      <w:pPr>
        <w:spacing w:line="360" w:lineRule="auto"/>
        <w:rPr>
          <w:rFonts w:cs="Times New Roman"/>
          <w:szCs w:val="24"/>
        </w:rPr>
      </w:pPr>
      <w:r w:rsidRPr="00AC3D7C">
        <w:rPr>
          <w:rFonts w:cs="Times New Roman"/>
          <w:szCs w:val="24"/>
        </w:rPr>
        <w:t>Pacheco (2014)</w:t>
      </w:r>
      <w:r>
        <w:rPr>
          <w:rFonts w:cs="Times New Roman"/>
          <w:szCs w:val="24"/>
        </w:rPr>
        <w:t>,</w:t>
      </w:r>
      <w:r w:rsidRPr="00AC3D7C">
        <w:rPr>
          <w:rFonts w:cs="Times New Roman"/>
          <w:szCs w:val="24"/>
        </w:rPr>
        <w:t xml:space="preserve"> identifica un elemento importante del entorno legal</w:t>
      </w:r>
      <w:r>
        <w:rPr>
          <w:rFonts w:cs="Times New Roman"/>
          <w:szCs w:val="24"/>
        </w:rPr>
        <w:t>: en el caso de los celulares, d</w:t>
      </w:r>
      <w:r w:rsidRPr="00AC3D7C">
        <w:rPr>
          <w:rFonts w:cs="Times New Roman"/>
          <w:szCs w:val="24"/>
        </w:rPr>
        <w:t>esde el año 2012</w:t>
      </w:r>
      <w:r>
        <w:rPr>
          <w:rFonts w:cs="Times New Roman"/>
          <w:szCs w:val="24"/>
        </w:rPr>
        <w:t xml:space="preserve"> existen</w:t>
      </w:r>
      <w:r w:rsidRPr="00AC3D7C">
        <w:rPr>
          <w:rFonts w:cs="Times New Roman"/>
          <w:szCs w:val="24"/>
        </w:rPr>
        <w:t xml:space="preserve"> cupos para la importación de estos productos establecidos a través de la Resolución 67</w:t>
      </w:r>
      <w:r>
        <w:rPr>
          <w:rFonts w:cs="Times New Roman"/>
          <w:szCs w:val="24"/>
        </w:rPr>
        <w:t>,</w:t>
      </w:r>
      <w:r w:rsidRPr="00AC3D7C">
        <w:rPr>
          <w:rFonts w:cs="Times New Roman"/>
          <w:szCs w:val="24"/>
        </w:rPr>
        <w:t xml:space="preserve"> con una modificación en la Resolución 69 del COMEX. Estas resoluciones establecen una restricción cuantitativa para la importación de teléfonos celulares clasificados en la </w:t>
      </w:r>
      <w:proofErr w:type="spellStart"/>
      <w:r w:rsidRPr="00AC3D7C">
        <w:rPr>
          <w:rFonts w:cs="Times New Roman"/>
          <w:szCs w:val="24"/>
        </w:rPr>
        <w:t>subpartida</w:t>
      </w:r>
      <w:proofErr w:type="spellEnd"/>
      <w:r w:rsidRPr="00AC3D7C">
        <w:rPr>
          <w:rFonts w:cs="Times New Roman"/>
          <w:szCs w:val="24"/>
        </w:rPr>
        <w:t xml:space="preserve"> 8517.12.00.90</w:t>
      </w:r>
      <w:r>
        <w:rPr>
          <w:rFonts w:cs="Times New Roman"/>
          <w:szCs w:val="24"/>
        </w:rPr>
        <w:t>,</w:t>
      </w:r>
      <w:r w:rsidRPr="00AC3D7C">
        <w:rPr>
          <w:rFonts w:cs="Times New Roman"/>
          <w:szCs w:val="24"/>
        </w:rPr>
        <w:t xml:space="preserve"> fijada por unidades de teléfonos y por valor. Pese a que las resoluciones planteaban la vigencia de estas disposiciones hasta el 31 de diciembr</w:t>
      </w:r>
      <w:r>
        <w:rPr>
          <w:rFonts w:cs="Times New Roman"/>
          <w:szCs w:val="24"/>
        </w:rPr>
        <w:t>e del 2014, las mismas continuaron</w:t>
      </w:r>
      <w:r w:rsidRPr="00AC3D7C">
        <w:rPr>
          <w:rFonts w:cs="Times New Roman"/>
          <w:szCs w:val="24"/>
        </w:rPr>
        <w:t xml:space="preserve"> en el primer trimestre del 2015.</w:t>
      </w:r>
    </w:p>
    <w:p w14:paraId="028DDB1A" w14:textId="77777777" w:rsidR="008033D3" w:rsidRPr="00AC3D7C" w:rsidRDefault="008033D3" w:rsidP="008033D3">
      <w:pPr>
        <w:spacing w:line="360" w:lineRule="auto"/>
        <w:rPr>
          <w:rFonts w:cs="Times New Roman"/>
          <w:szCs w:val="24"/>
        </w:rPr>
      </w:pPr>
      <w:r w:rsidRPr="00AC3D7C">
        <w:rPr>
          <w:rFonts w:cs="Times New Roman"/>
          <w:szCs w:val="24"/>
        </w:rPr>
        <w:t>Entre los resultados obtenidos el autor determinó que los regímenes aduaneros especiales son modalidades de importación o exportación que, según el caso</w:t>
      </w:r>
      <w:r>
        <w:rPr>
          <w:rFonts w:cs="Times New Roman"/>
          <w:szCs w:val="24"/>
        </w:rPr>
        <w:t>,</w:t>
      </w:r>
      <w:r w:rsidRPr="00AC3D7C">
        <w:rPr>
          <w:rFonts w:cs="Times New Roman"/>
          <w:szCs w:val="24"/>
        </w:rPr>
        <w:t xml:space="preserve"> se distinguen por ser suspensivos, liberatorios o devolutivos de tributos aduaneros. En su investigación consideró al régimen de Devolución condicionada de Tributos como el instrumento por el cual las empresas exportadoras pueden obtener la devolución de los impuestos de importación pagados sobre insumos o materias primas que formen parte del bien a exportar, en el plazo correspondiente, en las mercancías que sean sometidas a un proceso de transformación, sean insumos que hacen parte del producto final o que sean parte de los envases o acondicionamientos.</w:t>
      </w:r>
    </w:p>
    <w:p w14:paraId="171B1A5D" w14:textId="17B02E94" w:rsidR="008033D3" w:rsidRPr="00BD6352" w:rsidRDefault="008033D3" w:rsidP="008033D3">
      <w:pPr>
        <w:spacing w:line="360" w:lineRule="auto"/>
        <w:rPr>
          <w:rFonts w:cs="Times New Roman"/>
          <w:szCs w:val="24"/>
        </w:rPr>
      </w:pPr>
      <w:r>
        <w:rPr>
          <w:rFonts w:cs="Times New Roman"/>
          <w:szCs w:val="24"/>
        </w:rPr>
        <w:t>La normativa principal que permite la importación de partes para ensamblaje libres de tributos aduaneros es parte de la investigación y los bene</w:t>
      </w:r>
      <w:r w:rsidR="00EE0310">
        <w:rPr>
          <w:rFonts w:cs="Times New Roman"/>
          <w:szCs w:val="24"/>
        </w:rPr>
        <w:t>fi</w:t>
      </w:r>
      <w:r>
        <w:rPr>
          <w:rFonts w:cs="Times New Roman"/>
          <w:szCs w:val="24"/>
        </w:rPr>
        <w:t>cios económicos que trae.</w:t>
      </w:r>
      <w:r w:rsidRPr="00AC3D7C">
        <w:rPr>
          <w:rFonts w:cs="Times New Roman"/>
          <w:szCs w:val="24"/>
        </w:rPr>
        <w:t xml:space="preserve"> Es parte del nuevo Código Orgánico de la Producción, Comercio e Inversiones impulsado por el actual gobierno con la finalidad de incentivar la producción local bajo el régimen de transformación. Esto significa que la finalidad de este régimen es que se suspenda transitoriamente el pago de impuestos y asiente el ingreso de mercancías por un plazo determinado, para que luego de un proceso de ensamblaje sean reexportadas o comercializadas dentro del territorio nacional.</w:t>
      </w:r>
    </w:p>
    <w:p w14:paraId="05CF11D2" w14:textId="77777777" w:rsidR="008033D3" w:rsidRPr="0085046A" w:rsidRDefault="008033D3" w:rsidP="008033D3">
      <w:pPr>
        <w:pStyle w:val="Ttulo2"/>
        <w:numPr>
          <w:ilvl w:val="0"/>
          <w:numId w:val="11"/>
        </w:numPr>
        <w:spacing w:before="0" w:after="200" w:line="360" w:lineRule="auto"/>
        <w:ind w:left="0" w:firstLine="0"/>
      </w:pPr>
      <w:bookmarkStart w:id="16" w:name="_Toc442343909"/>
      <w:r>
        <w:lastRenderedPageBreak/>
        <w:t>Bases teóricas</w:t>
      </w:r>
      <w:bookmarkEnd w:id="16"/>
    </w:p>
    <w:p w14:paraId="73EB59F6" w14:textId="77777777" w:rsidR="008033D3" w:rsidRPr="00FE472B" w:rsidRDefault="008033D3" w:rsidP="008033D3">
      <w:pPr>
        <w:pStyle w:val="Ttulo3"/>
        <w:spacing w:before="0" w:after="200" w:line="360" w:lineRule="auto"/>
      </w:pPr>
      <w:bookmarkStart w:id="17" w:name="_Toc442343910"/>
      <w:r>
        <w:t>2.1</w:t>
      </w:r>
      <w:r>
        <w:tab/>
      </w:r>
      <w:r w:rsidRPr="00FE472B">
        <w:t>Escuela Clásica del Comercio Internacional</w:t>
      </w:r>
      <w:bookmarkEnd w:id="17"/>
      <w:r w:rsidRPr="00FE472B">
        <w:t xml:space="preserve"> </w:t>
      </w:r>
    </w:p>
    <w:p w14:paraId="26E726CF" w14:textId="77777777" w:rsidR="008033D3" w:rsidRPr="00AC3D7C" w:rsidRDefault="008033D3" w:rsidP="008033D3">
      <w:pPr>
        <w:spacing w:line="360" w:lineRule="auto"/>
        <w:rPr>
          <w:rFonts w:cs="Times New Roman"/>
          <w:szCs w:val="24"/>
        </w:rPr>
      </w:pPr>
      <w:r w:rsidRPr="00AC3D7C">
        <w:rPr>
          <w:rFonts w:cs="Times New Roman"/>
          <w:szCs w:val="24"/>
        </w:rPr>
        <w:t>La escuela clásica ha contribuido a la teoría del comercio internacional especialmente por los aportes de sus dos principales autores</w:t>
      </w:r>
      <w:r>
        <w:rPr>
          <w:rFonts w:cs="Times New Roman"/>
          <w:szCs w:val="24"/>
        </w:rPr>
        <w:t>;</w:t>
      </w:r>
      <w:r w:rsidRPr="00AC3D7C">
        <w:rPr>
          <w:rFonts w:cs="Times New Roman"/>
          <w:szCs w:val="24"/>
        </w:rPr>
        <w:t xml:space="preserve"> Adam Smith y David Ricardo. Adam Smith en su publicación de 1776 llamada “Investigación sobre la naturaleza y causas de la riqueza de las naciones” asegura que la riqueza de los países reside en la produc</w:t>
      </w:r>
      <w:r>
        <w:rPr>
          <w:rFonts w:cs="Times New Roman"/>
          <w:szCs w:val="24"/>
        </w:rPr>
        <w:t>tividad del trabajo y de las ganancias</w:t>
      </w:r>
      <w:r w:rsidRPr="00AC3D7C">
        <w:rPr>
          <w:rFonts w:cs="Times New Roman"/>
          <w:szCs w:val="24"/>
        </w:rPr>
        <w:t xml:space="preserve"> producto de la eficiencia</w:t>
      </w:r>
      <w:r>
        <w:rPr>
          <w:rFonts w:cs="Times New Roman"/>
          <w:szCs w:val="24"/>
        </w:rPr>
        <w:t>,</w:t>
      </w:r>
      <w:r w:rsidRPr="00AC3D7C">
        <w:rPr>
          <w:rFonts w:cs="Times New Roman"/>
          <w:szCs w:val="24"/>
        </w:rPr>
        <w:t xml:space="preserve"> lo que permite a las personas intercambiar bienes. Smith en su análisis al comercio exterior enfatiza que un país se beneficia abriéndose al comercio mediante la división internacional del trabajo, exportando bienes donde el país tenga ventaja absoluta en costo y producción e importando bienes que tengan las mismas ventajas en otros </w:t>
      </w:r>
      <w:r w:rsidRPr="00BE7FDE">
        <w:rPr>
          <w:rFonts w:cs="Times New Roman"/>
          <w:szCs w:val="24"/>
        </w:rPr>
        <w:t xml:space="preserve">bienes. </w:t>
      </w:r>
      <w:sdt>
        <w:sdtPr>
          <w:rPr>
            <w:rFonts w:cs="Times New Roman"/>
            <w:szCs w:val="24"/>
          </w:rPr>
          <w:id w:val="-1321114637"/>
          <w:citation/>
        </w:sdtPr>
        <w:sdtEndPr/>
        <w:sdtContent>
          <w:r w:rsidRPr="0078358F">
            <w:rPr>
              <w:rFonts w:cs="Times New Roman"/>
              <w:szCs w:val="24"/>
            </w:rPr>
            <w:fldChar w:fldCharType="begin"/>
          </w:r>
          <w:r>
            <w:rPr>
              <w:rFonts w:cs="Times New Roman"/>
              <w:szCs w:val="24"/>
            </w:rPr>
            <w:instrText xml:space="preserve">CITATION Ger11 \l 3082 </w:instrText>
          </w:r>
          <w:r w:rsidRPr="0078358F">
            <w:rPr>
              <w:rFonts w:cs="Times New Roman"/>
              <w:szCs w:val="24"/>
            </w:rPr>
            <w:fldChar w:fldCharType="separate"/>
          </w:r>
          <w:r w:rsidRPr="00BA1A22">
            <w:rPr>
              <w:rFonts w:cs="Times New Roman"/>
              <w:noProof/>
              <w:szCs w:val="24"/>
            </w:rPr>
            <w:t>(Valencia &amp; Smith, 2011)</w:t>
          </w:r>
          <w:r w:rsidRPr="0078358F">
            <w:rPr>
              <w:rFonts w:cs="Times New Roman"/>
              <w:szCs w:val="24"/>
            </w:rPr>
            <w:fldChar w:fldCharType="end"/>
          </w:r>
        </w:sdtContent>
      </w:sdt>
    </w:p>
    <w:p w14:paraId="0CC8912B" w14:textId="77777777" w:rsidR="008033D3" w:rsidRPr="00AC3D7C" w:rsidRDefault="008033D3" w:rsidP="008033D3">
      <w:pPr>
        <w:spacing w:line="360" w:lineRule="auto"/>
        <w:rPr>
          <w:rFonts w:cs="Times New Roman"/>
          <w:szCs w:val="24"/>
        </w:rPr>
      </w:pPr>
      <w:r w:rsidRPr="00AC3D7C">
        <w:rPr>
          <w:rFonts w:cs="Times New Roman"/>
          <w:szCs w:val="24"/>
        </w:rPr>
        <w:t>Por otro lado, David Ricardo analizó la teoría de la Ventaja Absoluta de Smith desde la perspectiva de costos relativos, que según Ricardo “Determinan el valor de los intercambios internacionales y a partir de ellos se pueden definir los patrones de especialización, tomando en cuenta dos elementos: los costos laborales y las relaciones de intercambio entre países” (Laguna</w:t>
      </w:r>
      <w:r>
        <w:rPr>
          <w:rFonts w:cs="Times New Roman"/>
          <w:szCs w:val="24"/>
        </w:rPr>
        <w:t xml:space="preserve"> &amp; Ricardo</w:t>
      </w:r>
      <w:r w:rsidRPr="00AC3D7C">
        <w:rPr>
          <w:rFonts w:cs="Times New Roman"/>
          <w:szCs w:val="24"/>
        </w:rPr>
        <w:t>, 2009, p. 172). A partir de estos conceptos en la Teoría de la Ventaja Comparativa de Ricardo señala que: “La Nación menos eficiente debe especializarse y exportar el producto en el que es relativamente menos ineficiente (donde su ventaja absoluta sea menor) y la nación más eficiente debe especializarse y exportar el producto en el que es relativamente más eficiente”. En conclusión, Ricardo en su teoría de la Ventaja Comparativa dice que el comercio internacional “traerá como consecuencia una especialización completa en la producción de los bienes en los que se tiene una ventaja comparativa, además, la ganancia que un país recibe del comercio será mayor, entre más parecidas sean las relaciones de intercambio internas de cada país”</w:t>
      </w:r>
      <w:sdt>
        <w:sdtPr>
          <w:rPr>
            <w:rFonts w:cs="Times New Roman"/>
            <w:szCs w:val="24"/>
          </w:rPr>
          <w:id w:val="-1136785956"/>
          <w:citation/>
        </w:sdtPr>
        <w:sdtEndPr/>
        <w:sdtContent>
          <w:r w:rsidRPr="00AC3D7C">
            <w:rPr>
              <w:rFonts w:cs="Times New Roman"/>
              <w:szCs w:val="24"/>
            </w:rPr>
            <w:fldChar w:fldCharType="begin"/>
          </w:r>
          <w:r>
            <w:rPr>
              <w:rFonts w:cs="Times New Roman"/>
              <w:szCs w:val="24"/>
            </w:rPr>
            <w:instrText xml:space="preserve">CITATION Lag09 \l 3082 </w:instrText>
          </w:r>
          <w:r w:rsidRPr="00AC3D7C">
            <w:rPr>
              <w:rFonts w:cs="Times New Roman"/>
              <w:szCs w:val="24"/>
            </w:rPr>
            <w:fldChar w:fldCharType="separate"/>
          </w:r>
          <w:r>
            <w:rPr>
              <w:rFonts w:cs="Times New Roman"/>
              <w:noProof/>
              <w:szCs w:val="24"/>
            </w:rPr>
            <w:t xml:space="preserve"> </w:t>
          </w:r>
          <w:r w:rsidRPr="00BA1A22">
            <w:rPr>
              <w:rFonts w:cs="Times New Roman"/>
              <w:noProof/>
              <w:szCs w:val="24"/>
            </w:rPr>
            <w:t>(Laguna &amp; Ricardo, 2009)</w:t>
          </w:r>
          <w:r w:rsidRPr="00AC3D7C">
            <w:rPr>
              <w:rFonts w:cs="Times New Roman"/>
              <w:szCs w:val="24"/>
            </w:rPr>
            <w:fldChar w:fldCharType="end"/>
          </w:r>
        </w:sdtContent>
      </w:sdt>
      <w:r w:rsidRPr="00AC3D7C">
        <w:rPr>
          <w:rFonts w:cs="Times New Roman"/>
          <w:szCs w:val="24"/>
        </w:rPr>
        <w:t xml:space="preserve">, eso sí, los beneficios mutuos vendrán entre países de talla similar y con una estructura comercial parecida.     </w:t>
      </w:r>
    </w:p>
    <w:p w14:paraId="0575DA6B" w14:textId="77777777" w:rsidR="008033D3" w:rsidRPr="00C9423C" w:rsidRDefault="008033D3" w:rsidP="008033D3">
      <w:pPr>
        <w:pStyle w:val="Ttulo3"/>
        <w:spacing w:before="0" w:after="200" w:line="360" w:lineRule="auto"/>
      </w:pPr>
      <w:bookmarkStart w:id="18" w:name="_Toc442343911"/>
      <w:r>
        <w:t>2.2</w:t>
      </w:r>
      <w:r>
        <w:tab/>
      </w:r>
      <w:r w:rsidRPr="00C9423C">
        <w:t>Escuela Neoclásica del Comercio Internacional</w:t>
      </w:r>
      <w:bookmarkEnd w:id="18"/>
    </w:p>
    <w:p w14:paraId="1548EC67" w14:textId="77777777" w:rsidR="008033D3" w:rsidRPr="00AC3D7C" w:rsidRDefault="008033D3" w:rsidP="008033D3">
      <w:pPr>
        <w:spacing w:line="360" w:lineRule="auto"/>
        <w:rPr>
          <w:rFonts w:cs="Times New Roman"/>
          <w:szCs w:val="24"/>
        </w:rPr>
      </w:pPr>
      <w:r w:rsidRPr="00AC3D7C">
        <w:rPr>
          <w:rFonts w:cs="Times New Roman"/>
          <w:szCs w:val="24"/>
        </w:rPr>
        <w:t xml:space="preserve">A partir de las teorías clásicas, surgen teorías Neoclásicas de comercio internacional en particular con los aportes de </w:t>
      </w:r>
      <w:proofErr w:type="spellStart"/>
      <w:r w:rsidRPr="00AC3D7C">
        <w:rPr>
          <w:rFonts w:cs="Times New Roman"/>
          <w:szCs w:val="24"/>
        </w:rPr>
        <w:t>Hecksher</w:t>
      </w:r>
      <w:proofErr w:type="spellEnd"/>
      <w:r w:rsidRPr="00AC3D7C">
        <w:rPr>
          <w:rFonts w:cs="Times New Roman"/>
          <w:szCs w:val="24"/>
        </w:rPr>
        <w:t xml:space="preserve"> (1919) y </w:t>
      </w:r>
      <w:proofErr w:type="spellStart"/>
      <w:r w:rsidRPr="00AC3D7C">
        <w:rPr>
          <w:rFonts w:cs="Times New Roman"/>
          <w:szCs w:val="24"/>
        </w:rPr>
        <w:t>Ohlin</w:t>
      </w:r>
      <w:proofErr w:type="spellEnd"/>
      <w:r w:rsidRPr="00AC3D7C">
        <w:rPr>
          <w:rFonts w:cs="Times New Roman"/>
          <w:szCs w:val="24"/>
        </w:rPr>
        <w:t xml:space="preserve"> (1933). Dentro del modelo de </w:t>
      </w:r>
      <w:proofErr w:type="spellStart"/>
      <w:r w:rsidRPr="00AC3D7C">
        <w:rPr>
          <w:rFonts w:cs="Times New Roman"/>
          <w:szCs w:val="24"/>
        </w:rPr>
        <w:t>Hecksher-Ohlin</w:t>
      </w:r>
      <w:proofErr w:type="spellEnd"/>
      <w:r w:rsidRPr="00AC3D7C">
        <w:rPr>
          <w:rFonts w:cs="Times New Roman"/>
          <w:szCs w:val="24"/>
        </w:rPr>
        <w:t xml:space="preserve"> el valor de los bienes no está dado por la cantidad de trabajo disponible sino por su </w:t>
      </w:r>
      <w:r w:rsidRPr="00AC3D7C">
        <w:rPr>
          <w:rFonts w:cs="Times New Roman"/>
          <w:szCs w:val="24"/>
        </w:rPr>
        <w:lastRenderedPageBreak/>
        <w:t>utilidad, es decir, el trabajo sigue manteniéndose como factor de producción pero se introduce un nuevo factor que es el capital. En la corriente neoclásica se mantiene el concepto de ventaja comparativa, sin embargo el patrón de comercio se explica por l</w:t>
      </w:r>
      <w:r>
        <w:rPr>
          <w:rFonts w:cs="Times New Roman"/>
          <w:szCs w:val="24"/>
        </w:rPr>
        <w:t>a</w:t>
      </w:r>
      <w:r w:rsidRPr="00AC3D7C">
        <w:rPr>
          <w:rFonts w:cs="Times New Roman"/>
          <w:szCs w:val="24"/>
        </w:rPr>
        <w:t xml:space="preserve">s diferencias de dotaciones de factores que posee cada país. </w:t>
      </w:r>
      <w:r>
        <w:rPr>
          <w:rFonts w:cs="Times New Roman"/>
          <w:szCs w:val="24"/>
        </w:rPr>
        <w:t xml:space="preserve">En principio se trata de </w:t>
      </w:r>
      <w:r w:rsidRPr="00AC3D7C">
        <w:rPr>
          <w:rFonts w:cs="Times New Roman"/>
          <w:szCs w:val="24"/>
        </w:rPr>
        <w:t>un modelo con dos productos, uno intensivo en capital y otro en trabajo, y dos factores de producción, trabajo y capital, ambos en competencia perfecta</w:t>
      </w:r>
      <w:r>
        <w:rPr>
          <w:rFonts w:cs="Times New Roman"/>
          <w:szCs w:val="24"/>
        </w:rPr>
        <w:t>. Asimismo</w:t>
      </w:r>
      <w:r w:rsidRPr="00AC3D7C">
        <w:rPr>
          <w:rFonts w:cs="Times New Roman"/>
          <w:szCs w:val="24"/>
        </w:rPr>
        <w:t xml:space="preserve">  existe libre movilidad de producción al interior de los países pero no entre países, </w:t>
      </w:r>
      <w:r>
        <w:rPr>
          <w:rFonts w:cs="Times New Roman"/>
          <w:szCs w:val="24"/>
        </w:rPr>
        <w:t xml:space="preserve">y </w:t>
      </w:r>
      <w:r w:rsidRPr="00AC3D7C">
        <w:rPr>
          <w:rFonts w:cs="Times New Roman"/>
          <w:szCs w:val="24"/>
        </w:rPr>
        <w:t>el país con mayor dotación relativa de capital se especializará en el bien que sea más intensivo en ese factor.</w:t>
      </w:r>
      <w:r>
        <w:rPr>
          <w:rFonts w:cs="Times New Roman"/>
          <w:szCs w:val="24"/>
        </w:rPr>
        <w:t xml:space="preserve"> </w:t>
      </w:r>
      <w:r w:rsidRPr="00AC3D7C">
        <w:rPr>
          <w:rFonts w:cs="Times New Roman"/>
          <w:szCs w:val="24"/>
        </w:rPr>
        <w:t xml:space="preserve">Por lo tanto, las diferencias factoriales serían las responsables de las diferencias en costos relativos, precios relativos y patrones del comercio. </w:t>
      </w:r>
      <w:sdt>
        <w:sdtPr>
          <w:rPr>
            <w:rFonts w:cs="Times New Roman"/>
            <w:szCs w:val="24"/>
          </w:rPr>
          <w:id w:val="517506936"/>
          <w:citation/>
        </w:sdtPr>
        <w:sdtEndPr/>
        <w:sdtContent>
          <w:r w:rsidRPr="00AC3D7C">
            <w:rPr>
              <w:rFonts w:cs="Times New Roman"/>
              <w:szCs w:val="24"/>
            </w:rPr>
            <w:fldChar w:fldCharType="begin"/>
          </w:r>
          <w:r w:rsidRPr="00AC3D7C">
            <w:rPr>
              <w:rFonts w:cs="Times New Roman"/>
              <w:szCs w:val="24"/>
            </w:rPr>
            <w:instrText xml:space="preserve"> CITATION Rez91 \l 3082 </w:instrText>
          </w:r>
          <w:r w:rsidRPr="00AC3D7C">
            <w:rPr>
              <w:rFonts w:cs="Times New Roman"/>
              <w:szCs w:val="24"/>
            </w:rPr>
            <w:fldChar w:fldCharType="separate"/>
          </w:r>
          <w:r w:rsidRPr="00AC3D7C">
            <w:rPr>
              <w:rFonts w:cs="Times New Roman"/>
              <w:noProof/>
              <w:szCs w:val="24"/>
            </w:rPr>
            <w:t>(Reza, Paulson, &amp; Tomlinson , 1991)</w:t>
          </w:r>
          <w:r w:rsidRPr="00AC3D7C">
            <w:rPr>
              <w:rFonts w:cs="Times New Roman"/>
              <w:szCs w:val="24"/>
            </w:rPr>
            <w:fldChar w:fldCharType="end"/>
          </w:r>
        </w:sdtContent>
      </w:sdt>
    </w:p>
    <w:p w14:paraId="29A1E15E" w14:textId="77777777" w:rsidR="008033D3" w:rsidRPr="00AC3D7C" w:rsidRDefault="008033D3" w:rsidP="008033D3">
      <w:pPr>
        <w:spacing w:line="360" w:lineRule="auto"/>
        <w:rPr>
          <w:rFonts w:cs="Times New Roman"/>
          <w:szCs w:val="24"/>
        </w:rPr>
      </w:pPr>
      <w:r w:rsidRPr="00AC3D7C">
        <w:rPr>
          <w:rFonts w:cs="Times New Roman"/>
          <w:szCs w:val="24"/>
        </w:rPr>
        <w:t xml:space="preserve">El modelo neoclásico explica la relación entre la dotación de factores, la proporción de factores y el comercio, por ejemplo, si un país es relativamente abundante en trabajo y aumenta sus exportaciones entonces tendrá un efecto positivo en el empleo. Es así como el modelo implica que un país exportará sus servicios factoriales abundantes e importará los escasos. </w:t>
      </w:r>
    </w:p>
    <w:p w14:paraId="424FA498" w14:textId="77777777" w:rsidR="008033D3" w:rsidRPr="00AC3D7C" w:rsidRDefault="008033D3" w:rsidP="008033D3">
      <w:pPr>
        <w:spacing w:line="360" w:lineRule="auto"/>
        <w:rPr>
          <w:rFonts w:cs="Times New Roman"/>
          <w:szCs w:val="24"/>
        </w:rPr>
      </w:pPr>
      <w:r w:rsidRPr="00AC3D7C">
        <w:rPr>
          <w:rFonts w:cs="Times New Roman"/>
          <w:szCs w:val="24"/>
        </w:rPr>
        <w:t xml:space="preserve">En conclusión, este modelo explica al comercio internacional </w:t>
      </w:r>
      <w:r>
        <w:rPr>
          <w:rFonts w:cs="Times New Roman"/>
          <w:szCs w:val="24"/>
        </w:rPr>
        <w:t xml:space="preserve">como </w:t>
      </w:r>
      <w:r w:rsidRPr="00AC3D7C">
        <w:rPr>
          <w:rFonts w:cs="Times New Roman"/>
          <w:szCs w:val="24"/>
        </w:rPr>
        <w:t xml:space="preserve"> el intercambio entre países</w:t>
      </w:r>
      <w:r>
        <w:rPr>
          <w:rFonts w:cs="Times New Roman"/>
          <w:szCs w:val="24"/>
        </w:rPr>
        <w:t xml:space="preserve"> producto de</w:t>
      </w:r>
      <w:r w:rsidRPr="00AC3D7C">
        <w:rPr>
          <w:rFonts w:cs="Times New Roman"/>
          <w:szCs w:val="24"/>
        </w:rPr>
        <w:t xml:space="preserve">  las diferencias en la productividad o en la dotación de factores</w:t>
      </w:r>
      <w:r>
        <w:rPr>
          <w:rFonts w:cs="Times New Roman"/>
          <w:szCs w:val="24"/>
        </w:rPr>
        <w:t>:</w:t>
      </w:r>
      <w:r w:rsidRPr="00AC3D7C">
        <w:rPr>
          <w:rFonts w:cs="Times New Roman"/>
          <w:szCs w:val="24"/>
        </w:rPr>
        <w:t xml:space="preserve"> así los países exportan bienes en los cuales su producción tiene ventajas comparativas e importan bienes en las industrias donde no tienen esta ventaja. Por lo tanto, el intercambio se realizará entre países con diferencias en sus factores de producción lo que traerá beneficios mutuos, provocará diferente especialización industrial y generará un aumento positivo en la balanza comercial.</w:t>
      </w:r>
    </w:p>
    <w:p w14:paraId="046A4612" w14:textId="77777777" w:rsidR="008033D3" w:rsidRPr="00C9423C" w:rsidRDefault="008033D3" w:rsidP="008033D3">
      <w:pPr>
        <w:pStyle w:val="Ttulo3"/>
        <w:spacing w:before="0" w:after="200" w:line="360" w:lineRule="auto"/>
      </w:pPr>
      <w:bookmarkStart w:id="19" w:name="_Toc442343912"/>
      <w:r>
        <w:t xml:space="preserve">2.3. </w:t>
      </w:r>
      <w:r>
        <w:tab/>
      </w:r>
      <w:r w:rsidRPr="00C9423C">
        <w:t>Nueva teoría del comercio internacional</w:t>
      </w:r>
      <w:bookmarkEnd w:id="19"/>
    </w:p>
    <w:p w14:paraId="7C0ED4C3" w14:textId="77777777" w:rsidR="008033D3" w:rsidRPr="00AC3D7C" w:rsidRDefault="008033D3" w:rsidP="008033D3">
      <w:pPr>
        <w:spacing w:line="360" w:lineRule="auto"/>
        <w:rPr>
          <w:rFonts w:cs="Times New Roman"/>
          <w:szCs w:val="24"/>
        </w:rPr>
      </w:pPr>
      <w:r w:rsidRPr="00AC3D7C">
        <w:rPr>
          <w:rFonts w:cs="Times New Roman"/>
          <w:szCs w:val="24"/>
        </w:rPr>
        <w:t xml:space="preserve">Si bien la perspectiva de la nueva teoría del comercio internacional parte desde los modelos Neoclásicos, es crítica del modelo </w:t>
      </w:r>
      <w:proofErr w:type="spellStart"/>
      <w:r w:rsidRPr="00AC3D7C">
        <w:rPr>
          <w:rFonts w:cs="Times New Roman"/>
          <w:szCs w:val="24"/>
        </w:rPr>
        <w:t>H</w:t>
      </w:r>
      <w:r>
        <w:rPr>
          <w:rFonts w:cs="Times New Roman"/>
          <w:szCs w:val="24"/>
        </w:rPr>
        <w:t>ecksher-Ohlin</w:t>
      </w:r>
      <w:proofErr w:type="spellEnd"/>
      <w:r>
        <w:rPr>
          <w:rFonts w:cs="Times New Roman"/>
          <w:szCs w:val="24"/>
        </w:rPr>
        <w:t>, en cuanto a que é</w:t>
      </w:r>
      <w:r w:rsidRPr="00AC3D7C">
        <w:rPr>
          <w:rFonts w:cs="Times New Roman"/>
          <w:szCs w:val="24"/>
        </w:rPr>
        <w:t>ste explica los patrones de comercio internacional</w:t>
      </w:r>
      <w:r>
        <w:rPr>
          <w:rFonts w:cs="Times New Roman"/>
          <w:szCs w:val="24"/>
        </w:rPr>
        <w:t>,</w:t>
      </w:r>
      <w:r w:rsidRPr="00AC3D7C">
        <w:rPr>
          <w:rFonts w:cs="Times New Roman"/>
          <w:szCs w:val="24"/>
        </w:rPr>
        <w:t xml:space="preserve"> resaltando que las diferencias de factores entre países provocan el intercambio de bienes distintos. </w:t>
      </w:r>
    </w:p>
    <w:p w14:paraId="60052DD4" w14:textId="30DFFF7B" w:rsidR="008033D3" w:rsidRPr="00AC3D7C" w:rsidRDefault="008033D3" w:rsidP="008033D3">
      <w:pPr>
        <w:spacing w:line="360" w:lineRule="auto"/>
        <w:rPr>
          <w:rFonts w:cs="Times New Roman"/>
          <w:szCs w:val="24"/>
        </w:rPr>
      </w:pPr>
      <w:r w:rsidRPr="00AC3D7C">
        <w:rPr>
          <w:rFonts w:cs="Times New Roman"/>
          <w:szCs w:val="24"/>
        </w:rPr>
        <w:t xml:space="preserve">Por su parte el economista sueco </w:t>
      </w:r>
      <w:proofErr w:type="spellStart"/>
      <w:r w:rsidRPr="00AC3D7C">
        <w:rPr>
          <w:rFonts w:cs="Times New Roman"/>
          <w:szCs w:val="24"/>
        </w:rPr>
        <w:t>Staffan</w:t>
      </w:r>
      <w:proofErr w:type="spellEnd"/>
      <w:r w:rsidRPr="00AC3D7C">
        <w:rPr>
          <w:rFonts w:cs="Times New Roman"/>
          <w:szCs w:val="24"/>
        </w:rPr>
        <w:t xml:space="preserve"> </w:t>
      </w:r>
      <w:proofErr w:type="spellStart"/>
      <w:r w:rsidRPr="00AC3D7C">
        <w:rPr>
          <w:rFonts w:cs="Times New Roman"/>
          <w:szCs w:val="24"/>
        </w:rPr>
        <w:t>Linder</w:t>
      </w:r>
      <w:proofErr w:type="spellEnd"/>
      <w:r w:rsidRPr="00AC3D7C">
        <w:rPr>
          <w:rFonts w:cs="Times New Roman"/>
          <w:szCs w:val="24"/>
        </w:rPr>
        <w:t xml:space="preserve"> (1961) estudia el intercambio entre bienes similares diferenciando entre bienes primarios y bienes manufacturados. Al igual que </w:t>
      </w:r>
      <w:proofErr w:type="spellStart"/>
      <w:r w:rsidRPr="00AC3D7C">
        <w:rPr>
          <w:rFonts w:cs="Times New Roman"/>
          <w:szCs w:val="24"/>
        </w:rPr>
        <w:lastRenderedPageBreak/>
        <w:t>Kecksher-Ohlin</w:t>
      </w:r>
      <w:proofErr w:type="spellEnd"/>
      <w:r w:rsidRPr="00AC3D7C">
        <w:rPr>
          <w:rFonts w:cs="Times New Roman"/>
          <w:szCs w:val="24"/>
        </w:rPr>
        <w:t xml:space="preserve"> menciona que las diferencias en la dotación de factores explica el comercio de productos primario</w:t>
      </w:r>
      <w:r>
        <w:rPr>
          <w:rFonts w:cs="Times New Roman"/>
          <w:szCs w:val="24"/>
        </w:rPr>
        <w:t>s</w:t>
      </w:r>
      <w:r w:rsidRPr="00AC3D7C">
        <w:rPr>
          <w:rFonts w:cs="Times New Roman"/>
          <w:szCs w:val="24"/>
        </w:rPr>
        <w:t xml:space="preserve">. Ahora bien, en el sector manufacturero un bien será exportado siempre y cuando en el periodo anterior haya cumplido con las necesidades de la demanda interna del país como para alcanzar economías a escala y posteriormente poder exportar a otros países con costos de producción más bajos. </w:t>
      </w:r>
      <w:proofErr w:type="spellStart"/>
      <w:r w:rsidRPr="00AC3D7C">
        <w:rPr>
          <w:rFonts w:cs="Times New Roman"/>
          <w:szCs w:val="24"/>
        </w:rPr>
        <w:t>Linder</w:t>
      </w:r>
      <w:proofErr w:type="spellEnd"/>
      <w:r w:rsidRPr="00AC3D7C">
        <w:rPr>
          <w:rFonts w:cs="Times New Roman"/>
          <w:szCs w:val="24"/>
        </w:rPr>
        <w:t xml:space="preserve"> argumenta </w:t>
      </w:r>
      <w:r w:rsidR="00EE0310" w:rsidRPr="00AC3D7C">
        <w:rPr>
          <w:rFonts w:cs="Times New Roman"/>
          <w:szCs w:val="24"/>
        </w:rPr>
        <w:t>que</w:t>
      </w:r>
      <w:r w:rsidR="00EE0310">
        <w:rPr>
          <w:rFonts w:cs="Times New Roman"/>
          <w:szCs w:val="24"/>
        </w:rPr>
        <w:t xml:space="preserve"> la</w:t>
      </w:r>
      <w:r>
        <w:rPr>
          <w:rFonts w:cs="Times New Roman"/>
          <w:szCs w:val="24"/>
        </w:rPr>
        <w:t xml:space="preserve"> </w:t>
      </w:r>
      <w:r w:rsidRPr="00AC3D7C">
        <w:rPr>
          <w:rFonts w:cs="Times New Roman"/>
          <w:szCs w:val="24"/>
        </w:rPr>
        <w:t>determina</w:t>
      </w:r>
      <w:r>
        <w:rPr>
          <w:rFonts w:cs="Times New Roman"/>
          <w:szCs w:val="24"/>
        </w:rPr>
        <w:t>ción</w:t>
      </w:r>
      <w:r w:rsidRPr="00AC3D7C">
        <w:rPr>
          <w:rFonts w:cs="Times New Roman"/>
          <w:szCs w:val="24"/>
        </w:rPr>
        <w:t xml:space="preserve"> </w:t>
      </w:r>
      <w:r>
        <w:rPr>
          <w:rFonts w:cs="Times New Roman"/>
          <w:szCs w:val="24"/>
        </w:rPr>
        <w:t>d</w:t>
      </w:r>
      <w:r w:rsidRPr="00AC3D7C">
        <w:rPr>
          <w:rFonts w:cs="Times New Roman"/>
          <w:szCs w:val="24"/>
        </w:rPr>
        <w:t>el comercio en la industria manufacturera se encuentra en la similitud m</w:t>
      </w:r>
      <w:r>
        <w:rPr>
          <w:rFonts w:cs="Times New Roman"/>
          <w:szCs w:val="24"/>
        </w:rPr>
        <w:t>a</w:t>
      </w:r>
      <w:r w:rsidRPr="00AC3D7C">
        <w:rPr>
          <w:rFonts w:cs="Times New Roman"/>
          <w:szCs w:val="24"/>
        </w:rPr>
        <w:t>s no en las diferencias en la demanda de factores, teniendo en cuenta que por el lado de la oferta cada país se especializa en un número determinado de bienes</w:t>
      </w:r>
      <w:r>
        <w:rPr>
          <w:rFonts w:cs="Times New Roman"/>
          <w:szCs w:val="24"/>
        </w:rPr>
        <w:t xml:space="preserve"> </w:t>
      </w:r>
      <w:r w:rsidRPr="00AC3D7C">
        <w:rPr>
          <w:rFonts w:cs="Times New Roman"/>
          <w:szCs w:val="24"/>
        </w:rPr>
        <w:t xml:space="preserve">con el objetivo de economías a escala. </w:t>
      </w:r>
      <w:sdt>
        <w:sdtPr>
          <w:rPr>
            <w:rFonts w:cs="Times New Roman"/>
            <w:szCs w:val="24"/>
          </w:rPr>
          <w:id w:val="1281142192"/>
          <w:citation/>
        </w:sdtPr>
        <w:sdtEndPr/>
        <w:sdtContent>
          <w:r w:rsidRPr="00AC3D7C">
            <w:rPr>
              <w:rFonts w:cs="Times New Roman"/>
              <w:szCs w:val="24"/>
            </w:rPr>
            <w:fldChar w:fldCharType="begin"/>
          </w:r>
          <w:r w:rsidRPr="00AC3D7C">
            <w:rPr>
              <w:rFonts w:cs="Times New Roman"/>
              <w:szCs w:val="24"/>
            </w:rPr>
            <w:instrText xml:space="preserve"> CITATION Rez91 \l 3082 </w:instrText>
          </w:r>
          <w:r w:rsidRPr="00AC3D7C">
            <w:rPr>
              <w:rFonts w:cs="Times New Roman"/>
              <w:szCs w:val="24"/>
            </w:rPr>
            <w:fldChar w:fldCharType="separate"/>
          </w:r>
          <w:r w:rsidRPr="00AC3D7C">
            <w:rPr>
              <w:rFonts w:cs="Times New Roman"/>
              <w:noProof/>
              <w:szCs w:val="24"/>
            </w:rPr>
            <w:t>(Reza, Paulson, &amp; Tomlinson , 1991)</w:t>
          </w:r>
          <w:r w:rsidRPr="00AC3D7C">
            <w:rPr>
              <w:rFonts w:cs="Times New Roman"/>
              <w:szCs w:val="24"/>
            </w:rPr>
            <w:fldChar w:fldCharType="end"/>
          </w:r>
        </w:sdtContent>
      </w:sdt>
    </w:p>
    <w:p w14:paraId="41BC1AEC" w14:textId="77777777" w:rsidR="008033D3" w:rsidRPr="00AC3D7C" w:rsidRDefault="008033D3" w:rsidP="008033D3">
      <w:pPr>
        <w:spacing w:line="360" w:lineRule="auto"/>
        <w:rPr>
          <w:rFonts w:cs="Times New Roman"/>
          <w:szCs w:val="24"/>
        </w:rPr>
      </w:pPr>
      <w:r>
        <w:rPr>
          <w:rFonts w:cs="Times New Roman"/>
          <w:szCs w:val="24"/>
        </w:rPr>
        <w:t xml:space="preserve">Bella </w:t>
      </w:r>
      <w:proofErr w:type="spellStart"/>
      <w:r>
        <w:rPr>
          <w:rFonts w:cs="Times New Roman"/>
          <w:szCs w:val="24"/>
        </w:rPr>
        <w:t>Balassa</w:t>
      </w:r>
      <w:proofErr w:type="spellEnd"/>
      <w:r>
        <w:rPr>
          <w:rFonts w:cs="Times New Roman"/>
          <w:szCs w:val="24"/>
        </w:rPr>
        <w:t xml:space="preserve"> en su libro </w:t>
      </w:r>
      <w:proofErr w:type="spellStart"/>
      <w:r w:rsidRPr="003E07F3">
        <w:rPr>
          <w:rFonts w:cs="Times New Roman"/>
          <w:i/>
          <w:szCs w:val="24"/>
        </w:rPr>
        <w:t>Intra-Industry</w:t>
      </w:r>
      <w:proofErr w:type="spellEnd"/>
      <w:r w:rsidRPr="003E07F3">
        <w:rPr>
          <w:rFonts w:cs="Times New Roman"/>
          <w:i/>
          <w:szCs w:val="24"/>
        </w:rPr>
        <w:t xml:space="preserve"> </w:t>
      </w:r>
      <w:proofErr w:type="spellStart"/>
      <w:r w:rsidRPr="003E07F3">
        <w:rPr>
          <w:rFonts w:cs="Times New Roman"/>
          <w:i/>
          <w:szCs w:val="24"/>
        </w:rPr>
        <w:t>trade</w:t>
      </w:r>
      <w:proofErr w:type="spellEnd"/>
      <w:r w:rsidRPr="003E07F3">
        <w:rPr>
          <w:rFonts w:cs="Times New Roman"/>
          <w:i/>
          <w:szCs w:val="24"/>
        </w:rPr>
        <w:t xml:space="preserve"> and the </w:t>
      </w:r>
      <w:proofErr w:type="spellStart"/>
      <w:r w:rsidRPr="003E07F3">
        <w:rPr>
          <w:rFonts w:cs="Times New Roman"/>
          <w:i/>
          <w:szCs w:val="24"/>
        </w:rPr>
        <w:t>integration</w:t>
      </w:r>
      <w:proofErr w:type="spellEnd"/>
      <w:r w:rsidRPr="003E07F3">
        <w:rPr>
          <w:rFonts w:cs="Times New Roman"/>
          <w:i/>
          <w:szCs w:val="24"/>
        </w:rPr>
        <w:t xml:space="preserve"> of </w:t>
      </w:r>
      <w:proofErr w:type="spellStart"/>
      <w:r w:rsidRPr="003E07F3">
        <w:rPr>
          <w:rFonts w:cs="Times New Roman"/>
          <w:i/>
          <w:szCs w:val="24"/>
        </w:rPr>
        <w:t>developing</w:t>
      </w:r>
      <w:proofErr w:type="spellEnd"/>
      <w:r w:rsidRPr="003E07F3">
        <w:rPr>
          <w:rFonts w:cs="Times New Roman"/>
          <w:i/>
          <w:szCs w:val="24"/>
        </w:rPr>
        <w:t xml:space="preserve"> </w:t>
      </w:r>
      <w:proofErr w:type="spellStart"/>
      <w:r w:rsidRPr="003E07F3">
        <w:rPr>
          <w:rFonts w:cs="Times New Roman"/>
          <w:i/>
          <w:szCs w:val="24"/>
        </w:rPr>
        <w:t>countries</w:t>
      </w:r>
      <w:proofErr w:type="spellEnd"/>
      <w:r w:rsidRPr="003E07F3">
        <w:rPr>
          <w:rFonts w:cs="Times New Roman"/>
          <w:i/>
          <w:szCs w:val="24"/>
        </w:rPr>
        <w:t xml:space="preserve"> in the </w:t>
      </w:r>
      <w:proofErr w:type="spellStart"/>
      <w:r w:rsidRPr="003E07F3">
        <w:rPr>
          <w:rFonts w:cs="Times New Roman"/>
          <w:i/>
          <w:szCs w:val="24"/>
        </w:rPr>
        <w:t>world</w:t>
      </w:r>
      <w:proofErr w:type="spellEnd"/>
      <w:r w:rsidRPr="003E07F3">
        <w:rPr>
          <w:rFonts w:cs="Times New Roman"/>
          <w:i/>
          <w:szCs w:val="24"/>
        </w:rPr>
        <w:t xml:space="preserve"> </w:t>
      </w:r>
      <w:proofErr w:type="spellStart"/>
      <w:r w:rsidRPr="003E07F3">
        <w:rPr>
          <w:rFonts w:cs="Times New Roman"/>
          <w:i/>
          <w:szCs w:val="24"/>
        </w:rPr>
        <w:t>economy</w:t>
      </w:r>
      <w:proofErr w:type="spellEnd"/>
      <w:r w:rsidRPr="00AC3D7C">
        <w:rPr>
          <w:rFonts w:cs="Times New Roman"/>
          <w:szCs w:val="24"/>
        </w:rPr>
        <w:t xml:space="preserve"> analiza la experiencia del comercio en bienes manufacturados de países en desarrollo y los compara con países desarrollados. </w:t>
      </w:r>
      <w:r>
        <w:rPr>
          <w:rFonts w:cs="Times New Roman"/>
          <w:szCs w:val="24"/>
        </w:rPr>
        <w:t>Este autor</w:t>
      </w:r>
      <w:r w:rsidRPr="00AC3D7C">
        <w:rPr>
          <w:rFonts w:cs="Times New Roman"/>
          <w:szCs w:val="24"/>
        </w:rPr>
        <w:t xml:space="preserve"> </w:t>
      </w:r>
      <w:r>
        <w:rPr>
          <w:rFonts w:cs="Times New Roman"/>
          <w:szCs w:val="24"/>
        </w:rPr>
        <w:t>e</w:t>
      </w:r>
      <w:r w:rsidRPr="00AC3D7C">
        <w:rPr>
          <w:rFonts w:cs="Times New Roman"/>
          <w:szCs w:val="24"/>
        </w:rPr>
        <w:t xml:space="preserve">ncuentra que gran parte del comercio internacional se realiza con productos de la misma industria, entre países similares, cercanos geográficamente y con similares niveles de renta. </w:t>
      </w:r>
      <w:r>
        <w:rPr>
          <w:rFonts w:cs="Times New Roman"/>
          <w:szCs w:val="24"/>
        </w:rPr>
        <w:t>De lo anterior c</w:t>
      </w:r>
      <w:r w:rsidRPr="00AC3D7C">
        <w:rPr>
          <w:rFonts w:cs="Times New Roman"/>
          <w:szCs w:val="24"/>
        </w:rPr>
        <w:t xml:space="preserve">oncluye que </w:t>
      </w:r>
      <w:r>
        <w:rPr>
          <w:rFonts w:cs="Times New Roman"/>
          <w:szCs w:val="24"/>
        </w:rPr>
        <w:t xml:space="preserve">en </w:t>
      </w:r>
      <w:r w:rsidRPr="00AC3D7C">
        <w:rPr>
          <w:rFonts w:cs="Times New Roman"/>
          <w:szCs w:val="24"/>
        </w:rPr>
        <w:t>estos países</w:t>
      </w:r>
      <w:r>
        <w:rPr>
          <w:rFonts w:cs="Times New Roman"/>
          <w:szCs w:val="24"/>
        </w:rPr>
        <w:t>,</w:t>
      </w:r>
      <w:r w:rsidRPr="00AC3D7C">
        <w:rPr>
          <w:rFonts w:cs="Times New Roman"/>
          <w:szCs w:val="24"/>
        </w:rPr>
        <w:t xml:space="preserve"> por tener una estructura de demanda similar, el resultado del proceso de ajuste </w:t>
      </w:r>
      <w:r>
        <w:rPr>
          <w:rFonts w:cs="Times New Roman"/>
          <w:szCs w:val="24"/>
        </w:rPr>
        <w:t>son</w:t>
      </w:r>
      <w:r w:rsidRPr="00AC3D7C">
        <w:rPr>
          <w:rFonts w:cs="Times New Roman"/>
          <w:szCs w:val="24"/>
        </w:rPr>
        <w:t xml:space="preserve"> bajos costos y la especialización se da hacia productos dentro de cada industria </w:t>
      </w:r>
      <w:proofErr w:type="gramStart"/>
      <w:r w:rsidRPr="00AC3D7C">
        <w:rPr>
          <w:rFonts w:cs="Times New Roman"/>
          <w:szCs w:val="24"/>
        </w:rPr>
        <w:t>m</w:t>
      </w:r>
      <w:r>
        <w:rPr>
          <w:rFonts w:cs="Times New Roman"/>
          <w:szCs w:val="24"/>
        </w:rPr>
        <w:t>a</w:t>
      </w:r>
      <w:r w:rsidRPr="00AC3D7C">
        <w:rPr>
          <w:rFonts w:cs="Times New Roman"/>
          <w:szCs w:val="24"/>
        </w:rPr>
        <w:t>s</w:t>
      </w:r>
      <w:proofErr w:type="gramEnd"/>
      <w:r w:rsidRPr="00AC3D7C">
        <w:rPr>
          <w:rFonts w:cs="Times New Roman"/>
          <w:szCs w:val="24"/>
        </w:rPr>
        <w:t xml:space="preserve"> no ente industrias distintas. Por lo tanto, la industria manufacturera</w:t>
      </w:r>
      <w:r>
        <w:rPr>
          <w:rFonts w:cs="Times New Roman"/>
          <w:szCs w:val="24"/>
        </w:rPr>
        <w:t>,</w:t>
      </w:r>
      <w:r w:rsidRPr="00AC3D7C">
        <w:rPr>
          <w:rFonts w:cs="Times New Roman"/>
          <w:szCs w:val="24"/>
        </w:rPr>
        <w:t xml:space="preserve"> al comercializar entre países con factores similares y demanda similar</w:t>
      </w:r>
      <w:r>
        <w:rPr>
          <w:rFonts w:cs="Times New Roman"/>
          <w:szCs w:val="24"/>
        </w:rPr>
        <w:t>,</w:t>
      </w:r>
      <w:r w:rsidRPr="00AC3D7C">
        <w:rPr>
          <w:rFonts w:cs="Times New Roman"/>
          <w:szCs w:val="24"/>
        </w:rPr>
        <w:t xml:space="preserve"> </w:t>
      </w:r>
      <w:r>
        <w:rPr>
          <w:rFonts w:cs="Times New Roman"/>
          <w:szCs w:val="24"/>
        </w:rPr>
        <w:t xml:space="preserve">se beneficia </w:t>
      </w:r>
      <w:r w:rsidRPr="00AC3D7C">
        <w:rPr>
          <w:rFonts w:cs="Times New Roman"/>
          <w:szCs w:val="24"/>
        </w:rPr>
        <w:t xml:space="preserve"> de la</w:t>
      </w:r>
      <w:r>
        <w:rPr>
          <w:rFonts w:cs="Times New Roman"/>
          <w:szCs w:val="24"/>
        </w:rPr>
        <w:t>s</w:t>
      </w:r>
      <w:r w:rsidRPr="00AC3D7C">
        <w:rPr>
          <w:rFonts w:cs="Times New Roman"/>
          <w:szCs w:val="24"/>
        </w:rPr>
        <w:t xml:space="preserve"> ruta</w:t>
      </w:r>
      <w:r>
        <w:rPr>
          <w:rFonts w:cs="Times New Roman"/>
          <w:szCs w:val="24"/>
        </w:rPr>
        <w:t>s</w:t>
      </w:r>
      <w:r w:rsidRPr="00AC3D7C">
        <w:rPr>
          <w:rFonts w:cs="Times New Roman"/>
          <w:szCs w:val="24"/>
        </w:rPr>
        <w:t xml:space="preserve"> comercial</w:t>
      </w:r>
      <w:r>
        <w:rPr>
          <w:rFonts w:cs="Times New Roman"/>
          <w:szCs w:val="24"/>
        </w:rPr>
        <w:t>es</w:t>
      </w:r>
      <w:r w:rsidRPr="00AC3D7C">
        <w:rPr>
          <w:rFonts w:cs="Times New Roman"/>
          <w:szCs w:val="24"/>
        </w:rPr>
        <w:t xml:space="preserve">, de los acuerdos comerciales fronterizos y del flujo de mercancías. </w:t>
      </w:r>
      <w:sdt>
        <w:sdtPr>
          <w:rPr>
            <w:rFonts w:cs="Times New Roman"/>
            <w:szCs w:val="24"/>
          </w:rPr>
          <w:id w:val="-1145972320"/>
          <w:citation/>
        </w:sdtPr>
        <w:sdtEndPr/>
        <w:sdtContent>
          <w:r w:rsidRPr="00AC3D7C">
            <w:rPr>
              <w:rFonts w:cs="Times New Roman"/>
              <w:szCs w:val="24"/>
            </w:rPr>
            <w:fldChar w:fldCharType="begin"/>
          </w:r>
          <w:r w:rsidRPr="00AC3D7C">
            <w:rPr>
              <w:rFonts w:cs="Times New Roman"/>
              <w:szCs w:val="24"/>
            </w:rPr>
            <w:instrText xml:space="preserve">CITATION Bel \l 3082 </w:instrText>
          </w:r>
          <w:r w:rsidRPr="00AC3D7C">
            <w:rPr>
              <w:rFonts w:cs="Times New Roman"/>
              <w:szCs w:val="24"/>
            </w:rPr>
            <w:fldChar w:fldCharType="separate"/>
          </w:r>
          <w:r w:rsidRPr="00AC3D7C">
            <w:rPr>
              <w:rFonts w:cs="Times New Roman"/>
              <w:noProof/>
              <w:szCs w:val="24"/>
            </w:rPr>
            <w:t>(Balassa, 1998)</w:t>
          </w:r>
          <w:r w:rsidRPr="00AC3D7C">
            <w:rPr>
              <w:rFonts w:cs="Times New Roman"/>
              <w:szCs w:val="24"/>
            </w:rPr>
            <w:fldChar w:fldCharType="end"/>
          </w:r>
        </w:sdtContent>
      </w:sdt>
    </w:p>
    <w:p w14:paraId="6861A1B4" w14:textId="77777777" w:rsidR="008033D3" w:rsidRPr="000D0F7D" w:rsidRDefault="008033D3" w:rsidP="008033D3">
      <w:pPr>
        <w:pStyle w:val="Ttulo2"/>
      </w:pPr>
      <w:bookmarkStart w:id="20" w:name="_Toc442343913"/>
      <w:r w:rsidRPr="000D0F7D">
        <w:t>3</w:t>
      </w:r>
      <w:r w:rsidRPr="000D0F7D">
        <w:tab/>
        <w:t>Herramienta de estudio</w:t>
      </w:r>
      <w:bookmarkEnd w:id="20"/>
    </w:p>
    <w:p w14:paraId="04856BA8" w14:textId="77777777" w:rsidR="008033D3" w:rsidRPr="000D0F7D" w:rsidRDefault="008033D3" w:rsidP="008033D3"/>
    <w:p w14:paraId="0D7FC9C7" w14:textId="77777777" w:rsidR="008033D3" w:rsidRPr="00BC3E75" w:rsidRDefault="008033D3" w:rsidP="008033D3">
      <w:pPr>
        <w:pStyle w:val="Ttulo3"/>
        <w:spacing w:before="0" w:after="200" w:line="360" w:lineRule="auto"/>
      </w:pPr>
      <w:bookmarkStart w:id="21" w:name="_Toc442343914"/>
      <w:r>
        <w:t>3.1</w:t>
      </w:r>
      <w:r>
        <w:tab/>
      </w:r>
      <w:r w:rsidRPr="00BC3E75">
        <w:t>N</w:t>
      </w:r>
      <w:r>
        <w:t>ormativas arancelarias</w:t>
      </w:r>
      <w:bookmarkEnd w:id="21"/>
    </w:p>
    <w:p w14:paraId="7A6C7E2D" w14:textId="77777777" w:rsidR="008033D3" w:rsidRPr="00FA4B10" w:rsidRDefault="008033D3" w:rsidP="008033D3">
      <w:pPr>
        <w:pStyle w:val="Estilo3"/>
        <w:jc w:val="left"/>
        <w:rPr>
          <w:b/>
          <w:i/>
        </w:rPr>
      </w:pPr>
      <w:bookmarkStart w:id="22" w:name="_Toc442343915"/>
      <w:r w:rsidRPr="00FA4B10">
        <w:rPr>
          <w:b/>
          <w:i/>
        </w:rPr>
        <w:t>3.1.1</w:t>
      </w:r>
      <w:r w:rsidRPr="00FA4B10">
        <w:rPr>
          <w:b/>
          <w:i/>
        </w:rPr>
        <w:tab/>
        <w:t>Modificaciones Históricas</w:t>
      </w:r>
      <w:bookmarkEnd w:id="22"/>
      <w:r w:rsidRPr="00FA4B10">
        <w:rPr>
          <w:b/>
          <w:i/>
        </w:rPr>
        <w:t xml:space="preserve"> </w:t>
      </w:r>
    </w:p>
    <w:p w14:paraId="2F318EF7" w14:textId="77777777" w:rsidR="008033D3" w:rsidRPr="00AC3D7C" w:rsidRDefault="008033D3" w:rsidP="008033D3">
      <w:pPr>
        <w:autoSpaceDE w:val="0"/>
        <w:autoSpaceDN w:val="0"/>
        <w:adjustRightInd w:val="0"/>
        <w:spacing w:line="360" w:lineRule="auto"/>
        <w:rPr>
          <w:rFonts w:cs="Times New Roman"/>
          <w:szCs w:val="24"/>
        </w:rPr>
      </w:pPr>
      <w:r w:rsidRPr="00AC3D7C">
        <w:rPr>
          <w:rFonts w:cs="Times New Roman"/>
          <w:szCs w:val="24"/>
        </w:rPr>
        <w:t>El Decreto Ejecutivo N° 592 del 15 de Octubre del 2007 en la sección XVI, capítulo 85, regula el Arancel Nacional de Importaciones en todo lo referente a: máquinas y aparatos, material eléctrico y sus partes; aparatos de grabación o reproducción de sonido, aparatos de grabación o reproducción de imagen y sonido en televisión, y las partes y accesorios</w:t>
      </w:r>
      <w:r>
        <w:rPr>
          <w:rFonts w:cs="Times New Roman"/>
          <w:szCs w:val="24"/>
        </w:rPr>
        <w:t xml:space="preserve"> de e</w:t>
      </w:r>
      <w:r w:rsidRPr="00AC3D7C">
        <w:rPr>
          <w:rFonts w:cs="Times New Roman"/>
          <w:szCs w:val="24"/>
        </w:rPr>
        <w:t>stos aparatos de la siguiente manera:</w:t>
      </w:r>
    </w:p>
    <w:p w14:paraId="1B467512" w14:textId="77777777" w:rsidR="008033D3" w:rsidRPr="00AC3D7C" w:rsidRDefault="008033D3" w:rsidP="008033D3">
      <w:pPr>
        <w:autoSpaceDE w:val="0"/>
        <w:autoSpaceDN w:val="0"/>
        <w:adjustRightInd w:val="0"/>
        <w:spacing w:line="360" w:lineRule="auto"/>
        <w:ind w:left="720"/>
        <w:rPr>
          <w:rFonts w:cs="Times New Roman"/>
          <w:szCs w:val="24"/>
        </w:rPr>
      </w:pPr>
      <w:r>
        <w:rPr>
          <w:rFonts w:cs="Times New Roman"/>
          <w:szCs w:val="24"/>
        </w:rPr>
        <w:lastRenderedPageBreak/>
        <w:t>“T</w:t>
      </w:r>
      <w:r w:rsidRPr="00AC3D7C">
        <w:rPr>
          <w:rFonts w:cs="Times New Roman"/>
          <w:szCs w:val="24"/>
        </w:rPr>
        <w:t>eléfonos, incluidos los teléfonos móviles (celulares) y los de otras redes inalámbricas; los demás aparatos</w:t>
      </w:r>
      <w:r>
        <w:rPr>
          <w:rFonts w:cs="Times New Roman"/>
          <w:szCs w:val="24"/>
        </w:rPr>
        <w:t xml:space="preserve"> para emisión, </w:t>
      </w:r>
      <w:r w:rsidRPr="00AC3D7C">
        <w:rPr>
          <w:rFonts w:cs="Times New Roman"/>
          <w:szCs w:val="24"/>
        </w:rPr>
        <w:t>transmisión o recepción de voz, imagen u otros datos, incluidos los de comunicación en red con o sin cable (tales como redes locales (LAN) o extendidas (WAN)), distintos de los aparatos de transmisión o recepción de las partidas 84.43, 85.25</w:t>
      </w:r>
      <w:r>
        <w:rPr>
          <w:rFonts w:cs="Times New Roman"/>
          <w:szCs w:val="24"/>
        </w:rPr>
        <w:t>”</w:t>
      </w:r>
      <w:sdt>
        <w:sdtPr>
          <w:rPr>
            <w:rFonts w:cs="Times New Roman"/>
            <w:szCs w:val="24"/>
          </w:rPr>
          <w:id w:val="-949856157"/>
          <w:citation/>
        </w:sdtPr>
        <w:sdtEndPr/>
        <w:sdtContent>
          <w:r w:rsidRPr="00AC3D7C">
            <w:rPr>
              <w:rFonts w:cs="Times New Roman"/>
              <w:szCs w:val="24"/>
            </w:rPr>
            <w:fldChar w:fldCharType="begin"/>
          </w:r>
          <w:r w:rsidRPr="00AC3D7C">
            <w:rPr>
              <w:rFonts w:cs="Times New Roman"/>
              <w:szCs w:val="24"/>
            </w:rPr>
            <w:instrText xml:space="preserve"> CITATION COM12 \l 12298 </w:instrText>
          </w:r>
          <w:r w:rsidRPr="00AC3D7C">
            <w:rPr>
              <w:rFonts w:cs="Times New Roman"/>
              <w:szCs w:val="24"/>
            </w:rPr>
            <w:fldChar w:fldCharType="separate"/>
          </w:r>
          <w:r w:rsidRPr="00AC3D7C">
            <w:rPr>
              <w:rFonts w:cs="Times New Roman"/>
              <w:noProof/>
              <w:szCs w:val="24"/>
            </w:rPr>
            <w:t xml:space="preserve"> (COMEX, 2012)</w:t>
          </w:r>
          <w:r w:rsidRPr="00AC3D7C">
            <w:rPr>
              <w:rFonts w:cs="Times New Roman"/>
              <w:szCs w:val="24"/>
            </w:rPr>
            <w:fldChar w:fldCharType="end"/>
          </w:r>
        </w:sdtContent>
      </w:sdt>
      <w:r w:rsidRPr="00AC3D7C">
        <w:rPr>
          <w:rFonts w:cs="Times New Roman"/>
          <w:szCs w:val="24"/>
        </w:rPr>
        <w:t>.</w:t>
      </w:r>
    </w:p>
    <w:p w14:paraId="7905F71F" w14:textId="77777777" w:rsidR="008033D3" w:rsidRDefault="008033D3" w:rsidP="008033D3">
      <w:pPr>
        <w:spacing w:line="360" w:lineRule="auto"/>
        <w:rPr>
          <w:rFonts w:cs="Times New Roman"/>
          <w:szCs w:val="24"/>
        </w:rPr>
      </w:pPr>
      <w:r w:rsidRPr="00AC3D7C">
        <w:rPr>
          <w:rFonts w:cs="Times New Roman"/>
          <w:szCs w:val="24"/>
        </w:rPr>
        <w:t>Con respecto al cobro de tributos arancelarios</w:t>
      </w:r>
      <w:r>
        <w:rPr>
          <w:rFonts w:cs="Times New Roman"/>
          <w:szCs w:val="24"/>
        </w:rPr>
        <w:t>,</w:t>
      </w:r>
      <w:r w:rsidRPr="00AC3D7C">
        <w:rPr>
          <w:rFonts w:cs="Times New Roman"/>
          <w:szCs w:val="24"/>
        </w:rPr>
        <w:t xml:space="preserve"> en el 2012 se implementaron tributos arancelarios a los equipos celulares y redes inalámbricas con una tarifa del 15%</w:t>
      </w:r>
      <w:r>
        <w:rPr>
          <w:rFonts w:cs="Times New Roman"/>
          <w:szCs w:val="24"/>
        </w:rPr>
        <w:t>.</w:t>
      </w:r>
      <w:r w:rsidRPr="00AC3D7C">
        <w:rPr>
          <w:rFonts w:cs="Times New Roman"/>
          <w:szCs w:val="24"/>
        </w:rPr>
        <w:t xml:space="preserve"> </w:t>
      </w:r>
      <w:r>
        <w:rPr>
          <w:rFonts w:cs="Times New Roman"/>
          <w:szCs w:val="24"/>
        </w:rPr>
        <w:t>A los</w:t>
      </w:r>
      <w:r w:rsidRPr="00AC3D7C">
        <w:rPr>
          <w:rFonts w:cs="Times New Roman"/>
          <w:szCs w:val="24"/>
        </w:rPr>
        <w:t xml:space="preserve"> aparatos para  la recepción, conversión y transmisión o regeneración de voz, imagen u otros datos, incluidos los de conmutación y encaminamiento de datos (</w:t>
      </w:r>
      <w:r w:rsidRPr="00BC3E75">
        <w:rPr>
          <w:rFonts w:cs="Times New Roman"/>
          <w:i/>
          <w:szCs w:val="24"/>
        </w:rPr>
        <w:t>Smartphone</w:t>
      </w:r>
      <w:r w:rsidRPr="00AC3D7C">
        <w:rPr>
          <w:rFonts w:cs="Times New Roman"/>
          <w:szCs w:val="24"/>
        </w:rPr>
        <w:t>) una tarifa del 10%. El COMEX determina una n</w:t>
      </w:r>
      <w:r>
        <w:rPr>
          <w:rFonts w:cs="Times New Roman"/>
          <w:szCs w:val="24"/>
        </w:rPr>
        <w:t xml:space="preserve">ueva </w:t>
      </w:r>
      <w:proofErr w:type="spellStart"/>
      <w:r>
        <w:rPr>
          <w:rFonts w:cs="Times New Roman"/>
          <w:szCs w:val="24"/>
        </w:rPr>
        <w:t>subpartida</w:t>
      </w:r>
      <w:proofErr w:type="spellEnd"/>
      <w:r>
        <w:rPr>
          <w:rFonts w:cs="Times New Roman"/>
          <w:szCs w:val="24"/>
        </w:rPr>
        <w:t xml:space="preserve"> a partir de aquel</w:t>
      </w:r>
      <w:r w:rsidRPr="00AC3D7C">
        <w:rPr>
          <w:rFonts w:cs="Times New Roman"/>
          <w:szCs w:val="24"/>
        </w:rPr>
        <w:t xml:space="preserve"> año llamado CKD con una tarifa del 0%. La Cámara de Comercio de Quito</w:t>
      </w:r>
      <w:r>
        <w:rPr>
          <w:rFonts w:cs="Times New Roman"/>
          <w:szCs w:val="24"/>
        </w:rPr>
        <w:t>,</w:t>
      </w:r>
      <w:r w:rsidRPr="00AC3D7C">
        <w:rPr>
          <w:rFonts w:cs="Times New Roman"/>
          <w:szCs w:val="24"/>
        </w:rPr>
        <w:t xml:space="preserve"> en su boletín No. 296</w:t>
      </w:r>
      <w:r>
        <w:rPr>
          <w:rFonts w:cs="Times New Roman"/>
          <w:szCs w:val="24"/>
        </w:rPr>
        <w:t>,</w:t>
      </w:r>
      <w:r w:rsidRPr="00AC3D7C">
        <w:rPr>
          <w:rFonts w:cs="Times New Roman"/>
          <w:szCs w:val="24"/>
        </w:rPr>
        <w:t xml:space="preserve"> define a</w:t>
      </w:r>
      <w:r>
        <w:rPr>
          <w:rFonts w:cs="Times New Roman"/>
          <w:szCs w:val="24"/>
        </w:rPr>
        <w:t>:</w:t>
      </w:r>
      <w:r w:rsidRPr="00AC3D7C">
        <w:rPr>
          <w:rFonts w:cs="Times New Roman"/>
          <w:szCs w:val="24"/>
        </w:rPr>
        <w:t xml:space="preserve"> </w:t>
      </w:r>
    </w:p>
    <w:p w14:paraId="74E65A51" w14:textId="77777777" w:rsidR="008033D3" w:rsidRPr="00AC3D7C" w:rsidRDefault="008033D3" w:rsidP="008033D3">
      <w:pPr>
        <w:spacing w:line="360" w:lineRule="auto"/>
        <w:ind w:left="708"/>
        <w:rPr>
          <w:rFonts w:cs="Times New Roman"/>
          <w:szCs w:val="24"/>
        </w:rPr>
      </w:pPr>
      <w:r w:rsidRPr="00AC3D7C">
        <w:rPr>
          <w:rFonts w:cs="Times New Roman"/>
          <w:szCs w:val="24"/>
        </w:rPr>
        <w:t xml:space="preserve">“CKD o por sus siglas en inglés </w:t>
      </w:r>
      <w:proofErr w:type="spellStart"/>
      <w:r w:rsidRPr="00BC3E75">
        <w:rPr>
          <w:rFonts w:cs="Times New Roman"/>
          <w:i/>
          <w:szCs w:val="24"/>
        </w:rPr>
        <w:t>Completely</w:t>
      </w:r>
      <w:proofErr w:type="spellEnd"/>
      <w:r w:rsidRPr="00BC3E75">
        <w:rPr>
          <w:rFonts w:cs="Times New Roman"/>
          <w:i/>
          <w:szCs w:val="24"/>
        </w:rPr>
        <w:t xml:space="preserve"> </w:t>
      </w:r>
      <w:proofErr w:type="spellStart"/>
      <w:r w:rsidRPr="00BC3E75">
        <w:rPr>
          <w:rFonts w:cs="Times New Roman"/>
          <w:i/>
          <w:szCs w:val="24"/>
        </w:rPr>
        <w:t>Knocked</w:t>
      </w:r>
      <w:proofErr w:type="spellEnd"/>
      <w:r w:rsidRPr="00BC3E75">
        <w:rPr>
          <w:rFonts w:cs="Times New Roman"/>
          <w:i/>
          <w:szCs w:val="24"/>
        </w:rPr>
        <w:t xml:space="preserve"> Down</w:t>
      </w:r>
      <w:r>
        <w:rPr>
          <w:rFonts w:cs="Times New Roman"/>
          <w:i/>
          <w:szCs w:val="24"/>
        </w:rPr>
        <w:t>,</w:t>
      </w:r>
      <w:r w:rsidRPr="00AC3D7C">
        <w:rPr>
          <w:rFonts w:cs="Times New Roman"/>
          <w:szCs w:val="24"/>
        </w:rPr>
        <w:t xml:space="preserve"> al conjunto formado por partes y piezas  importadas por las empresas ensambladoras de celulares debidamente autorizadas en conformidad con la legislación pertinente, que incorporen o nacionalicen los componentes desarmados de uno o más orígenes, provenientes de un solo embarque, siempre que cumplan con las siguientes condiciones: que formen parte del mismo conjunto CKD; que estén destinada</w:t>
      </w:r>
      <w:r>
        <w:rPr>
          <w:rFonts w:cs="Times New Roman"/>
          <w:szCs w:val="24"/>
        </w:rPr>
        <w:t>s</w:t>
      </w:r>
      <w:r w:rsidRPr="00AC3D7C">
        <w:rPr>
          <w:rFonts w:cs="Times New Roman"/>
          <w:szCs w:val="24"/>
        </w:rPr>
        <w:t xml:space="preserve"> exclusivamente al ensamblaje de teléfonos móviles (celulares); y, que comprenda como mínimo las siguientes partes desensambladas: carcasa, pantalla (</w:t>
      </w:r>
      <w:proofErr w:type="spellStart"/>
      <w:r w:rsidRPr="00BC3E75">
        <w:rPr>
          <w:rFonts w:cs="Times New Roman"/>
          <w:i/>
          <w:szCs w:val="24"/>
        </w:rPr>
        <w:t>display</w:t>
      </w:r>
      <w:proofErr w:type="spellEnd"/>
      <w:r w:rsidRPr="00AC3D7C">
        <w:rPr>
          <w:rFonts w:cs="Times New Roman"/>
          <w:szCs w:val="24"/>
        </w:rPr>
        <w:t>), teclado, auricular, micrófono, placa electrónica principal, batería y conector de energía. Deberán presentarse sin soldar a la placa electrónica principal como mínimo las sigui</w:t>
      </w:r>
      <w:r>
        <w:rPr>
          <w:rFonts w:cs="Times New Roman"/>
          <w:szCs w:val="24"/>
        </w:rPr>
        <w:t>entes partes: pantalla</w:t>
      </w:r>
      <w:r w:rsidRPr="00AC3D7C">
        <w:rPr>
          <w:rFonts w:cs="Times New Roman"/>
          <w:szCs w:val="24"/>
        </w:rPr>
        <w:t>, micrófono, auricular y conector de energía.”</w:t>
      </w:r>
      <w:r>
        <w:rPr>
          <w:rFonts w:cs="Times New Roman"/>
          <w:szCs w:val="24"/>
        </w:rPr>
        <w:t xml:space="preserve"> </w:t>
      </w:r>
    </w:p>
    <w:p w14:paraId="4423D195" w14:textId="77777777" w:rsidR="008033D3" w:rsidRPr="00AC3D7C" w:rsidRDefault="008033D3" w:rsidP="008033D3">
      <w:pPr>
        <w:autoSpaceDE w:val="0"/>
        <w:autoSpaceDN w:val="0"/>
        <w:adjustRightInd w:val="0"/>
        <w:spacing w:line="360" w:lineRule="auto"/>
        <w:rPr>
          <w:rFonts w:cs="Times New Roman"/>
          <w:szCs w:val="24"/>
        </w:rPr>
      </w:pPr>
      <w:r w:rsidRPr="00AC3D7C">
        <w:rPr>
          <w:rFonts w:cs="Times New Roman"/>
          <w:szCs w:val="24"/>
        </w:rPr>
        <w:t xml:space="preserve">A través de esta reglamentación, el gobierno pretende por una parte dificultar que este tipo de aparatos entren al </w:t>
      </w:r>
      <w:r>
        <w:rPr>
          <w:rFonts w:cs="Times New Roman"/>
          <w:szCs w:val="24"/>
        </w:rPr>
        <w:t>país como bienes terminados y por</w:t>
      </w:r>
      <w:r w:rsidRPr="00AC3D7C">
        <w:rPr>
          <w:rFonts w:cs="Times New Roman"/>
          <w:szCs w:val="24"/>
        </w:rPr>
        <w:t xml:space="preserve"> otra, favorecer que puedan entrar descompuestos en partes para ser ensamblados en el Ecuador, con el ánimo de incentivar no solo el empleo que se genera a través de las empresas ensambladoras, sino además el conocimiento tecnológico de las partes y componentes para que de acuerdo con la política de incentivos a la producción nacional se puedan empezar a producir en el territorio nacional.</w:t>
      </w:r>
    </w:p>
    <w:p w14:paraId="2D2C1A38" w14:textId="77777777" w:rsidR="008033D3" w:rsidRPr="00FA4B10" w:rsidRDefault="008033D3" w:rsidP="008033D3">
      <w:pPr>
        <w:pStyle w:val="Estilo3"/>
        <w:jc w:val="left"/>
        <w:rPr>
          <w:b/>
          <w:i/>
        </w:rPr>
      </w:pPr>
      <w:bookmarkStart w:id="23" w:name="_Toc442343916"/>
      <w:r w:rsidRPr="00FA4B10">
        <w:rPr>
          <w:b/>
          <w:i/>
        </w:rPr>
        <w:lastRenderedPageBreak/>
        <w:t>3.1.2</w:t>
      </w:r>
      <w:r w:rsidRPr="00FA4B10">
        <w:rPr>
          <w:b/>
          <w:i/>
        </w:rPr>
        <w:tab/>
        <w:t>Regímenes Arancelarios</w:t>
      </w:r>
      <w:bookmarkEnd w:id="23"/>
    </w:p>
    <w:p w14:paraId="0FF6AF10" w14:textId="77777777" w:rsidR="008033D3" w:rsidRPr="00AC3D7C" w:rsidRDefault="008033D3" w:rsidP="008033D3">
      <w:pPr>
        <w:spacing w:line="360" w:lineRule="auto"/>
        <w:rPr>
          <w:rFonts w:cs="Times New Roman"/>
          <w:szCs w:val="24"/>
        </w:rPr>
      </w:pPr>
      <w:r w:rsidRPr="00AC3D7C">
        <w:rPr>
          <w:rFonts w:cs="Times New Roman"/>
          <w:szCs w:val="24"/>
        </w:rPr>
        <w:t xml:space="preserve">El Régimen de admisión temporal para perfeccionamiento activo es un régimen especial aduanero a través del cual se puede introducir </w:t>
      </w:r>
      <w:r>
        <w:rPr>
          <w:rFonts w:cs="Times New Roman"/>
          <w:szCs w:val="24"/>
        </w:rPr>
        <w:t xml:space="preserve"> </w:t>
      </w:r>
      <w:r w:rsidRPr="00AC3D7C">
        <w:rPr>
          <w:rFonts w:cs="Times New Roman"/>
          <w:szCs w:val="24"/>
        </w:rPr>
        <w:t>mercancías al territorio ecuatoriano, para ser sometidas a un proceso de perfeccionamiento, siempre que cumpla con cualquiera de estos fines: a) Transformación; b) Elaboración de nuevas mercancías, aún inclusive en caso de montaje, incorporación ensamblaje y adaptación a otras mercancías; c) Reparación, restauración o acondicionamiento; o, d) Cumplimiento de programas de maquila autorizados por la autoridad competente. (</w:t>
      </w:r>
      <w:r>
        <w:rPr>
          <w:rFonts w:cs="Times New Roman"/>
          <w:szCs w:val="24"/>
        </w:rPr>
        <w:t>Art. 131 del Reglamento del COPCI</w:t>
      </w:r>
      <w:r w:rsidRPr="00AC3D7C">
        <w:rPr>
          <w:rFonts w:cs="Times New Roman"/>
          <w:szCs w:val="24"/>
        </w:rPr>
        <w:t>)</w:t>
      </w:r>
    </w:p>
    <w:p w14:paraId="05A6AEB1" w14:textId="77777777" w:rsidR="008033D3" w:rsidRPr="00AC3D7C" w:rsidRDefault="008033D3" w:rsidP="008033D3">
      <w:pPr>
        <w:spacing w:line="360" w:lineRule="auto"/>
        <w:rPr>
          <w:rFonts w:cs="Times New Roman"/>
          <w:szCs w:val="24"/>
        </w:rPr>
      </w:pPr>
      <w:r>
        <w:rPr>
          <w:rFonts w:cs="Times New Roman"/>
          <w:szCs w:val="24"/>
        </w:rPr>
        <w:t>El reglamento del COPCI,</w:t>
      </w:r>
      <w:r w:rsidRPr="00AC3D7C">
        <w:rPr>
          <w:rFonts w:cs="Times New Roman"/>
          <w:szCs w:val="24"/>
        </w:rPr>
        <w:t xml:space="preserve"> en el artículo 136 determina el plazo a un año con opción a pr</w:t>
      </w:r>
      <w:r>
        <w:rPr>
          <w:rFonts w:cs="Times New Roman"/>
          <w:szCs w:val="24"/>
        </w:rPr>
        <w:t>ó</w:t>
      </w:r>
      <w:r w:rsidRPr="00AC3D7C">
        <w:rPr>
          <w:rFonts w:cs="Times New Roman"/>
          <w:szCs w:val="24"/>
        </w:rPr>
        <w:t xml:space="preserve">rroga una sola vez por el período igual autorizado. En el artículo 72 bajo documentos de acompañamiento define </w:t>
      </w:r>
      <w:r>
        <w:rPr>
          <w:rFonts w:cs="Times New Roman"/>
          <w:szCs w:val="24"/>
        </w:rPr>
        <w:t>a</w:t>
      </w:r>
      <w:r w:rsidRPr="00AC3D7C">
        <w:rPr>
          <w:rFonts w:cs="Times New Roman"/>
          <w:szCs w:val="24"/>
        </w:rPr>
        <w:t xml:space="preserve"> aquellos que denominados de control previo deben tramitarse y aprobarse antes del embarque de la mercancía de importación. Esta exigencia deberá constar en las disposiciones legales que el organismo regulador del comercio exterior establezca para el efecto. Los documentos de acompañamiento deben presentarse, física o electrónicamente, en conjunto con la Declaración Aduanera, cuando estos sean exigidos. </w:t>
      </w:r>
    </w:p>
    <w:p w14:paraId="6688606A" w14:textId="77777777" w:rsidR="008033D3" w:rsidRPr="00AC3D7C" w:rsidRDefault="008033D3" w:rsidP="008033D3">
      <w:pPr>
        <w:spacing w:line="360" w:lineRule="auto"/>
        <w:rPr>
          <w:rFonts w:cs="Times New Roman"/>
          <w:szCs w:val="24"/>
        </w:rPr>
      </w:pPr>
      <w:r>
        <w:rPr>
          <w:rFonts w:cs="Times New Roman"/>
          <w:szCs w:val="24"/>
        </w:rPr>
        <w:t>E</w:t>
      </w:r>
      <w:r w:rsidRPr="00AC3D7C">
        <w:rPr>
          <w:rFonts w:cs="Times New Roman"/>
          <w:szCs w:val="24"/>
        </w:rPr>
        <w:t>n el Registro Oficial Aduanero</w:t>
      </w:r>
      <w:r>
        <w:rPr>
          <w:rFonts w:cs="Times New Roman"/>
          <w:szCs w:val="24"/>
        </w:rPr>
        <w:t>,</w:t>
      </w:r>
      <w:r w:rsidRPr="00AC3D7C">
        <w:rPr>
          <w:rFonts w:cs="Times New Roman"/>
          <w:szCs w:val="24"/>
        </w:rPr>
        <w:t xml:space="preserve"> dentro del Capítulo VIII Regímenes Aduaneros</w:t>
      </w:r>
      <w:r>
        <w:rPr>
          <w:rFonts w:cs="Times New Roman"/>
          <w:szCs w:val="24"/>
        </w:rPr>
        <w:t>;</w:t>
      </w:r>
      <w:r w:rsidRPr="00AC3D7C">
        <w:rPr>
          <w:rFonts w:cs="Times New Roman"/>
          <w:szCs w:val="24"/>
        </w:rPr>
        <w:t xml:space="preserve"> Sección I Regímenes de Importación</w:t>
      </w:r>
      <w:r>
        <w:rPr>
          <w:rFonts w:cs="Times New Roman"/>
          <w:szCs w:val="24"/>
        </w:rPr>
        <w:t>;</w:t>
      </w:r>
      <w:r w:rsidRPr="00AC3D7C">
        <w:rPr>
          <w:rFonts w:cs="Times New Roman"/>
          <w:szCs w:val="24"/>
        </w:rPr>
        <w:t xml:space="preserve"> Subsección VII Transformación Bajo Control Aduanero</w:t>
      </w:r>
      <w:r>
        <w:rPr>
          <w:rFonts w:cs="Times New Roman"/>
          <w:szCs w:val="24"/>
        </w:rPr>
        <w:t>;</w:t>
      </w:r>
      <w:r w:rsidRPr="00AC3D7C">
        <w:rPr>
          <w:rFonts w:cs="Times New Roman"/>
          <w:szCs w:val="24"/>
        </w:rPr>
        <w:t xml:space="preserve"> en el artículo 150</w:t>
      </w:r>
      <w:r>
        <w:rPr>
          <w:rFonts w:cs="Times New Roman"/>
          <w:szCs w:val="24"/>
        </w:rPr>
        <w:t>, se</w:t>
      </w:r>
      <w:r w:rsidRPr="00AC3D7C">
        <w:rPr>
          <w:rFonts w:cs="Times New Roman"/>
          <w:szCs w:val="24"/>
        </w:rPr>
        <w:t xml:space="preserve"> define a la transformación bajo control aduanero como el régimen especial aduanero que permite introducir al país mercancías, con suspensión del pago de tributos al comercio exterior, para someterlas a operaciones que modifiquen su especie o estado.</w:t>
      </w:r>
    </w:p>
    <w:p w14:paraId="18E7B17B" w14:textId="77777777" w:rsidR="008033D3" w:rsidRPr="00AC3D7C" w:rsidRDefault="008033D3" w:rsidP="008033D3">
      <w:pPr>
        <w:spacing w:line="360" w:lineRule="auto"/>
        <w:rPr>
          <w:rFonts w:cs="Times New Roman"/>
          <w:szCs w:val="24"/>
        </w:rPr>
      </w:pPr>
      <w:r w:rsidRPr="00AC3D7C">
        <w:rPr>
          <w:rFonts w:cs="Times New Roman"/>
          <w:szCs w:val="24"/>
        </w:rPr>
        <w:t>Las mercancías de prohibida importación que ingresen bajo este régimen especial, deberán estar destinadas a procesos de transformación, cuyo producto resultante no podrá mantener la característica de prohibida importación, en los casos en que esta se pretenda importar para el consumo. Bajo este régimen podrán ingresar todo tipo de mercancías susceptibles de ser transformadas, incluso aquellas que se consideren de prohibida importación.</w:t>
      </w:r>
    </w:p>
    <w:p w14:paraId="0B906F8A" w14:textId="77777777" w:rsidR="008033D3" w:rsidRPr="00AC3D7C" w:rsidRDefault="008033D3" w:rsidP="008033D3">
      <w:pPr>
        <w:spacing w:line="360" w:lineRule="auto"/>
        <w:rPr>
          <w:rFonts w:cs="Times New Roman"/>
          <w:szCs w:val="24"/>
        </w:rPr>
      </w:pPr>
      <w:r>
        <w:rPr>
          <w:rFonts w:cs="Times New Roman"/>
          <w:szCs w:val="24"/>
        </w:rPr>
        <w:t xml:space="preserve">La Dirección General de Aduana del Ecuador establece las condiciones, requisitos y formalidades necesarios para gozar de esta calificación. </w:t>
      </w:r>
      <w:r w:rsidRPr="00AC3D7C">
        <w:rPr>
          <w:rFonts w:cs="Times New Roman"/>
          <w:szCs w:val="24"/>
        </w:rPr>
        <w:t>En cuanto a instalaciones</w:t>
      </w:r>
      <w:r>
        <w:rPr>
          <w:rFonts w:cs="Times New Roman"/>
          <w:szCs w:val="24"/>
        </w:rPr>
        <w:t>,</w:t>
      </w:r>
      <w:r w:rsidRPr="00AC3D7C">
        <w:rPr>
          <w:rFonts w:cs="Times New Roman"/>
          <w:szCs w:val="24"/>
        </w:rPr>
        <w:t xml:space="preserve"> este régimen especial aduanero debe desarrollarse en instalaciones físicas autorizadas por la administración aduanera, debiendo rendir previo al inicio de sus operaciones, una garantía </w:t>
      </w:r>
      <w:r w:rsidRPr="00AC3D7C">
        <w:rPr>
          <w:rFonts w:cs="Times New Roman"/>
          <w:szCs w:val="24"/>
        </w:rPr>
        <w:lastRenderedPageBreak/>
        <w:t>general ante la Dirección General del Servicio Nacional de Aduana del Ecuador. Las Instalaciones p</w:t>
      </w:r>
      <w:r>
        <w:rPr>
          <w:rFonts w:cs="Times New Roman"/>
          <w:szCs w:val="24"/>
        </w:rPr>
        <w:t>ueden</w:t>
      </w:r>
      <w:r w:rsidRPr="00AC3D7C">
        <w:rPr>
          <w:rFonts w:cs="Times New Roman"/>
          <w:szCs w:val="24"/>
        </w:rPr>
        <w:t xml:space="preserve"> ser calificadas por un plazo de hasta cinco años, </w:t>
      </w:r>
      <w:r>
        <w:rPr>
          <w:rFonts w:cs="Times New Roman"/>
          <w:szCs w:val="24"/>
        </w:rPr>
        <w:t>con la posibilidad de</w:t>
      </w:r>
      <w:r w:rsidRPr="00AC3D7C">
        <w:rPr>
          <w:rFonts w:cs="Times New Roman"/>
          <w:szCs w:val="24"/>
        </w:rPr>
        <w:t xml:space="preserve"> renovarse por periodos similares cuantas veces se solicite y la Dirección General del Servicio Nacional de Aduana del Ecuador lo estime conveniente. (A</w:t>
      </w:r>
      <w:r>
        <w:rPr>
          <w:rFonts w:cs="Times New Roman"/>
          <w:szCs w:val="24"/>
        </w:rPr>
        <w:t>rt. 152 del Reglamento del COPCI</w:t>
      </w:r>
      <w:r w:rsidRPr="00AC3D7C">
        <w:rPr>
          <w:rFonts w:cs="Times New Roman"/>
          <w:szCs w:val="24"/>
        </w:rPr>
        <w:t>)</w:t>
      </w:r>
    </w:p>
    <w:p w14:paraId="3F13A8EC" w14:textId="77777777" w:rsidR="008033D3" w:rsidRPr="00AC3D7C" w:rsidRDefault="008033D3" w:rsidP="008033D3">
      <w:pPr>
        <w:spacing w:line="360" w:lineRule="auto"/>
        <w:rPr>
          <w:rFonts w:cs="Times New Roman"/>
          <w:szCs w:val="24"/>
        </w:rPr>
      </w:pPr>
      <w:r w:rsidRPr="00AC3D7C">
        <w:rPr>
          <w:rFonts w:cs="Times New Roman"/>
          <w:szCs w:val="24"/>
        </w:rPr>
        <w:t xml:space="preserve">En cuanto a toda la operación de transformación el artículo 153 establece que deberá llevarse a cabo dentro de la instalación física calificada por el Servicio Nacional de Aduana del Ecuador. Durante todo el tiempo de autorización de permanencia en el país, la mercancía admitida bajo este régimen especial deberá permanecer en la instalación habilitada para el efecto. El proceso de transformación correspondiente a este régimen especial aduanero, deberá contemplar la modificación de especie o estado de los bienes inicialmente importados, lo que deberá incluir el cambio de su </w:t>
      </w:r>
      <w:proofErr w:type="spellStart"/>
      <w:r w:rsidRPr="00AC3D7C">
        <w:rPr>
          <w:rFonts w:cs="Times New Roman"/>
          <w:szCs w:val="24"/>
        </w:rPr>
        <w:t>subpartida</w:t>
      </w:r>
      <w:proofErr w:type="spellEnd"/>
      <w:r w:rsidRPr="00AC3D7C">
        <w:rPr>
          <w:rFonts w:cs="Times New Roman"/>
          <w:szCs w:val="24"/>
        </w:rPr>
        <w:t xml:space="preserve"> arancelaria; o la adecuación y perfeccionamiento de bienes</w:t>
      </w:r>
      <w:r>
        <w:rPr>
          <w:rFonts w:cs="Times New Roman"/>
          <w:szCs w:val="24"/>
        </w:rPr>
        <w:t>,</w:t>
      </w:r>
      <w:r w:rsidRPr="00AC3D7C">
        <w:rPr>
          <w:rFonts w:cs="Times New Roman"/>
          <w:szCs w:val="24"/>
        </w:rPr>
        <w:t xml:space="preserve"> siempre que estos procesos agregue valor a la mercancía acogida a este régimen especial. </w:t>
      </w:r>
    </w:p>
    <w:p w14:paraId="70442A84" w14:textId="77777777" w:rsidR="008033D3" w:rsidRDefault="008033D3" w:rsidP="008033D3">
      <w:pPr>
        <w:spacing w:line="360" w:lineRule="auto"/>
        <w:rPr>
          <w:rFonts w:cs="Times New Roman"/>
          <w:szCs w:val="24"/>
        </w:rPr>
      </w:pPr>
      <w:r w:rsidRPr="00AC3D7C">
        <w:rPr>
          <w:rFonts w:cs="Times New Roman"/>
          <w:szCs w:val="24"/>
        </w:rPr>
        <w:t>Por lo tanto, es el régimen especial aduanero de transformación bajo control aduanero que permite introducir al país mercancías, con suspensión del pago de tributos</w:t>
      </w:r>
      <w:r>
        <w:rPr>
          <w:rFonts w:cs="Times New Roman"/>
          <w:szCs w:val="24"/>
        </w:rPr>
        <w:t xml:space="preserve"> a las importaciones,</w:t>
      </w:r>
      <w:r w:rsidRPr="00AC3D7C" w:rsidDel="00866F5D">
        <w:rPr>
          <w:rFonts w:cs="Times New Roman"/>
          <w:szCs w:val="24"/>
        </w:rPr>
        <w:t xml:space="preserve"> </w:t>
      </w:r>
      <w:r>
        <w:rPr>
          <w:rFonts w:cs="Times New Roman"/>
          <w:szCs w:val="24"/>
        </w:rPr>
        <w:t>p</w:t>
      </w:r>
      <w:r w:rsidRPr="00AC3D7C">
        <w:rPr>
          <w:rFonts w:cs="Times New Roman"/>
          <w:szCs w:val="24"/>
        </w:rPr>
        <w:t xml:space="preserve">ara someterlas a operaciones que modifiquen su especie o estado. Bajo este régimen podrán ingresar todo tipo de mercancías susceptibles de ser transformadas, incluso aquellas que se consideren de prohibida importación. Las mercancías de prohibida importación que ingresen bajo este régimen especial, deberán estar destinadas a procesos de transformación, cuyo producto resultante no podrá mantener la característica de prohibida importación, en los casos en que esta se pretenda importar para el consumo. </w:t>
      </w:r>
    </w:p>
    <w:p w14:paraId="0220006B" w14:textId="77777777" w:rsidR="008033D3" w:rsidRDefault="008033D3" w:rsidP="008033D3">
      <w:pPr>
        <w:spacing w:line="360" w:lineRule="auto"/>
        <w:rPr>
          <w:rFonts w:cs="Times New Roman"/>
          <w:szCs w:val="24"/>
        </w:rPr>
      </w:pPr>
    </w:p>
    <w:p w14:paraId="20BCC318" w14:textId="77777777" w:rsidR="008033D3" w:rsidRDefault="008033D3" w:rsidP="008033D3">
      <w:pPr>
        <w:spacing w:line="360" w:lineRule="auto"/>
        <w:rPr>
          <w:rFonts w:cs="Times New Roman"/>
          <w:szCs w:val="24"/>
        </w:rPr>
      </w:pPr>
    </w:p>
    <w:p w14:paraId="0495285F" w14:textId="77777777" w:rsidR="008033D3" w:rsidRDefault="008033D3" w:rsidP="008033D3">
      <w:pPr>
        <w:spacing w:line="360" w:lineRule="auto"/>
        <w:rPr>
          <w:rFonts w:cs="Times New Roman"/>
          <w:szCs w:val="24"/>
        </w:rPr>
      </w:pPr>
    </w:p>
    <w:p w14:paraId="693A74EA" w14:textId="77777777" w:rsidR="008033D3" w:rsidRDefault="008033D3" w:rsidP="008033D3">
      <w:pPr>
        <w:spacing w:line="360" w:lineRule="auto"/>
        <w:rPr>
          <w:rFonts w:cs="Times New Roman"/>
          <w:szCs w:val="24"/>
        </w:rPr>
      </w:pPr>
    </w:p>
    <w:p w14:paraId="02A41BE3" w14:textId="77777777" w:rsidR="008033D3" w:rsidRDefault="008033D3" w:rsidP="008033D3">
      <w:pPr>
        <w:spacing w:line="360" w:lineRule="auto"/>
        <w:rPr>
          <w:rFonts w:cs="Times New Roman"/>
          <w:szCs w:val="24"/>
        </w:rPr>
      </w:pPr>
    </w:p>
    <w:p w14:paraId="6CCE9600" w14:textId="77777777" w:rsidR="008033D3" w:rsidRDefault="008033D3" w:rsidP="008033D3">
      <w:pPr>
        <w:spacing w:line="360" w:lineRule="auto"/>
        <w:rPr>
          <w:rFonts w:cs="Times New Roman"/>
          <w:szCs w:val="24"/>
        </w:rPr>
      </w:pPr>
    </w:p>
    <w:p w14:paraId="4C5D633B" w14:textId="77777777" w:rsidR="008033D3" w:rsidRDefault="008033D3" w:rsidP="008033D3">
      <w:pPr>
        <w:spacing w:line="360" w:lineRule="auto"/>
        <w:rPr>
          <w:rFonts w:cs="Times New Roman"/>
          <w:szCs w:val="24"/>
        </w:rPr>
      </w:pPr>
    </w:p>
    <w:p w14:paraId="35B4A820" w14:textId="77777777" w:rsidR="008033D3" w:rsidRDefault="008033D3" w:rsidP="008033D3">
      <w:pPr>
        <w:spacing w:line="360" w:lineRule="auto"/>
        <w:rPr>
          <w:rFonts w:cs="Times New Roman"/>
          <w:szCs w:val="24"/>
        </w:rPr>
      </w:pPr>
    </w:p>
    <w:p w14:paraId="6EA2975C" w14:textId="77777777" w:rsidR="008033D3" w:rsidRDefault="008033D3" w:rsidP="008033D3">
      <w:pPr>
        <w:spacing w:line="360" w:lineRule="auto"/>
        <w:rPr>
          <w:rFonts w:cs="Times New Roman"/>
          <w:szCs w:val="24"/>
        </w:rPr>
      </w:pPr>
    </w:p>
    <w:p w14:paraId="6E95860D" w14:textId="77777777" w:rsidR="008033D3" w:rsidRDefault="008033D3" w:rsidP="008033D3">
      <w:pPr>
        <w:spacing w:line="360" w:lineRule="auto"/>
        <w:rPr>
          <w:rFonts w:cs="Times New Roman"/>
          <w:szCs w:val="24"/>
        </w:rPr>
      </w:pPr>
    </w:p>
    <w:p w14:paraId="794494A2" w14:textId="77777777" w:rsidR="008033D3" w:rsidRDefault="008033D3" w:rsidP="008033D3">
      <w:pPr>
        <w:spacing w:line="360" w:lineRule="auto"/>
        <w:rPr>
          <w:rFonts w:cs="Times New Roman"/>
          <w:szCs w:val="24"/>
        </w:rPr>
      </w:pPr>
      <w:r>
        <w:rPr>
          <w:rFonts w:cs="Times New Roman"/>
          <w:szCs w:val="24"/>
        </w:rPr>
        <w:tab/>
      </w:r>
    </w:p>
    <w:p w14:paraId="57070B0E" w14:textId="77777777" w:rsidR="008033D3" w:rsidRDefault="008033D3" w:rsidP="008033D3">
      <w:pPr>
        <w:spacing w:line="360" w:lineRule="auto"/>
        <w:rPr>
          <w:rFonts w:cs="Times New Roman"/>
          <w:szCs w:val="24"/>
        </w:rPr>
      </w:pPr>
    </w:p>
    <w:p w14:paraId="443FE9D5" w14:textId="77777777" w:rsidR="008033D3" w:rsidRPr="002402CE" w:rsidRDefault="008033D3" w:rsidP="008033D3">
      <w:pPr>
        <w:spacing w:line="360" w:lineRule="auto"/>
        <w:rPr>
          <w:rFonts w:cs="Times New Roman"/>
          <w:szCs w:val="24"/>
        </w:rPr>
      </w:pPr>
    </w:p>
    <w:p w14:paraId="62FA70BC" w14:textId="77777777" w:rsidR="008033D3" w:rsidRPr="00FE472B" w:rsidRDefault="008033D3" w:rsidP="008033D3">
      <w:pPr>
        <w:pStyle w:val="Titulo1"/>
        <w:spacing w:before="0" w:after="200"/>
      </w:pPr>
      <w:bookmarkStart w:id="24" w:name="_Toc442343917"/>
      <w:r w:rsidRPr="00FE472B">
        <w:t>METODOLOGÍA DE LA INVESTIGACIÓN</w:t>
      </w:r>
      <w:bookmarkEnd w:id="24"/>
    </w:p>
    <w:p w14:paraId="3CC3CCC4" w14:textId="77777777" w:rsidR="008033D3" w:rsidRPr="00FD745C" w:rsidRDefault="008033D3" w:rsidP="008033D3">
      <w:pPr>
        <w:pStyle w:val="Ttulo3"/>
        <w:spacing w:before="0" w:after="200" w:line="360" w:lineRule="auto"/>
      </w:pPr>
      <w:bookmarkStart w:id="25" w:name="_Toc442343918"/>
      <w:r>
        <w:t>1.1</w:t>
      </w:r>
      <w:r>
        <w:tab/>
      </w:r>
      <w:r w:rsidRPr="00FD745C">
        <w:t>Tipo de Investigación</w:t>
      </w:r>
      <w:bookmarkEnd w:id="25"/>
    </w:p>
    <w:p w14:paraId="3E934755" w14:textId="77777777" w:rsidR="008033D3" w:rsidRPr="00AC3D7C" w:rsidRDefault="008033D3" w:rsidP="008033D3">
      <w:pPr>
        <w:spacing w:line="360" w:lineRule="auto"/>
        <w:rPr>
          <w:rFonts w:cs="Times New Roman"/>
          <w:szCs w:val="24"/>
        </w:rPr>
      </w:pPr>
      <w:r w:rsidRPr="00AC3D7C">
        <w:rPr>
          <w:rFonts w:cs="Times New Roman"/>
          <w:szCs w:val="24"/>
        </w:rPr>
        <w:t xml:space="preserve">El proyecto, responde a un tipo documental, del cual existen varias definiciones propuestas por autores entre ellas se encuentra a Baena (1985) “La investigación documental es una técnica que consiste en la selección y recopilación de información por medio de la lectura y crítica de documentos y materiales bibliográficos, de bibliotecas, hemerotecas, centros de documentación e información”. Mientras que al respecto Bravo (1987) define a la investigación documental argumentando que “es la parte esencial de un proceso de investigación científica, contribuyéndose en una estrategia donde se observa y reflexiona sistemáticamente sobre realidades usando para ellos diferentes tipos de documentos”. La importancia de los conceptos de estos dos autores es que al ser un proceso de investigación científica depende de la lectura y crítica de documentos como normativas arancelarias, reglamentos y regímenes aduaneros. Adicionalmente, Bravo menciona que se debe observar y reflexionar sistemáticamente las realidades como por ejemplo la realidad nacional comercial y la aplicación de sanciones y cupos de importación. </w:t>
      </w:r>
    </w:p>
    <w:p w14:paraId="33245056" w14:textId="531EBDAC" w:rsidR="008033D3" w:rsidRPr="00AC3D7C" w:rsidRDefault="008033D3" w:rsidP="008033D3">
      <w:pPr>
        <w:spacing w:line="360" w:lineRule="auto"/>
        <w:rPr>
          <w:rFonts w:cs="Times New Roman"/>
          <w:szCs w:val="24"/>
        </w:rPr>
      </w:pPr>
      <w:r w:rsidRPr="00AC3D7C">
        <w:rPr>
          <w:rFonts w:cs="Times New Roman"/>
          <w:szCs w:val="24"/>
        </w:rPr>
        <w:t xml:space="preserve">Adicionalmente, el proyecto en su tipología es un estudio descriptivo, “Los estudios descriptivos miden de forma independiente las variables y aun cuando no se formulen hipótesis, tales variables aparecen enunciadas en los objetivos de investigación” </w:t>
      </w:r>
      <w:sdt>
        <w:sdtPr>
          <w:rPr>
            <w:rFonts w:cs="Times New Roman"/>
            <w:szCs w:val="24"/>
          </w:rPr>
          <w:id w:val="1002397221"/>
          <w:citation/>
        </w:sdtPr>
        <w:sdtEndPr/>
        <w:sdtContent>
          <w:r w:rsidRPr="00AC3D7C">
            <w:rPr>
              <w:rFonts w:cs="Times New Roman"/>
              <w:szCs w:val="24"/>
            </w:rPr>
            <w:fldChar w:fldCharType="begin"/>
          </w:r>
          <w:r w:rsidRPr="00AC3D7C">
            <w:rPr>
              <w:rFonts w:cs="Times New Roman"/>
              <w:szCs w:val="24"/>
            </w:rPr>
            <w:instrText xml:space="preserve">CITATION Fid99 \l 3082 </w:instrText>
          </w:r>
          <w:r w:rsidRPr="00AC3D7C">
            <w:rPr>
              <w:rFonts w:cs="Times New Roman"/>
              <w:szCs w:val="24"/>
            </w:rPr>
            <w:fldChar w:fldCharType="separate"/>
          </w:r>
          <w:r w:rsidRPr="00AC3D7C">
            <w:rPr>
              <w:rFonts w:cs="Times New Roman"/>
              <w:noProof/>
              <w:szCs w:val="24"/>
            </w:rPr>
            <w:t>(Arias, 1999)</w:t>
          </w:r>
          <w:r w:rsidRPr="00AC3D7C">
            <w:rPr>
              <w:rFonts w:cs="Times New Roman"/>
              <w:szCs w:val="24"/>
            </w:rPr>
            <w:fldChar w:fldCharType="end"/>
          </w:r>
        </w:sdtContent>
      </w:sdt>
      <w:r w:rsidR="00EE0310">
        <w:rPr>
          <w:rFonts w:cs="Times New Roman"/>
          <w:szCs w:val="24"/>
        </w:rPr>
        <w:t xml:space="preserve"> (pá</w:t>
      </w:r>
      <w:r w:rsidRPr="00AC3D7C">
        <w:rPr>
          <w:rFonts w:cs="Times New Roman"/>
          <w:szCs w:val="24"/>
        </w:rPr>
        <w:t xml:space="preserve">g. 22). El autor explica que la misión de la investigación descriptiva es observar y cuantificar el cambio de una o más variables en un grupo sin establecer relaciones entre ellas, es decir, que se debe analizar cada una de las características o variables de forma autónoma. </w:t>
      </w:r>
      <w:r w:rsidRPr="00AC3D7C">
        <w:rPr>
          <w:rFonts w:cs="Times New Roman"/>
          <w:szCs w:val="24"/>
        </w:rPr>
        <w:lastRenderedPageBreak/>
        <w:t xml:space="preserve">Mientras que Hernández, Fernández y Batista (1998) afirman que la utilidad y el propósito principal de la investigación descriptiva es determinar el grado de relación entre dos o más variables. Primero se miden las variables y luego mediante pruebas de hipótesis </w:t>
      </w:r>
      <w:r w:rsidR="00EE0310" w:rsidRPr="00AC3D7C">
        <w:rPr>
          <w:rFonts w:cs="Times New Roman"/>
          <w:szCs w:val="24"/>
        </w:rPr>
        <w:t>correlaciónales</w:t>
      </w:r>
      <w:r w:rsidRPr="00AC3D7C">
        <w:rPr>
          <w:rFonts w:cs="Times New Roman"/>
          <w:szCs w:val="24"/>
        </w:rPr>
        <w:t xml:space="preserve"> y la aplicación de técnicas estadísticas, se estima la correlación. Estos estudios</w:t>
      </w:r>
      <w:r>
        <w:rPr>
          <w:rFonts w:cs="Times New Roman"/>
          <w:szCs w:val="24"/>
        </w:rPr>
        <w:t>,</w:t>
      </w:r>
      <w:r w:rsidRPr="00AC3D7C">
        <w:rPr>
          <w:rFonts w:cs="Times New Roman"/>
          <w:szCs w:val="24"/>
        </w:rPr>
        <w:t xml:space="preserve"> afirman los autores</w:t>
      </w:r>
      <w:r>
        <w:rPr>
          <w:rFonts w:cs="Times New Roman"/>
          <w:szCs w:val="24"/>
        </w:rPr>
        <w:t>,</w:t>
      </w:r>
      <w:r w:rsidRPr="00AC3D7C">
        <w:rPr>
          <w:rFonts w:cs="Times New Roman"/>
          <w:szCs w:val="24"/>
        </w:rPr>
        <w:t xml:space="preserve"> que no establece</w:t>
      </w:r>
      <w:r>
        <w:rPr>
          <w:rFonts w:cs="Times New Roman"/>
          <w:szCs w:val="24"/>
        </w:rPr>
        <w:t>n</w:t>
      </w:r>
      <w:r w:rsidRPr="00AC3D7C">
        <w:rPr>
          <w:rFonts w:cs="Times New Roman"/>
          <w:szCs w:val="24"/>
        </w:rPr>
        <w:t xml:space="preserve"> de forma directa relaciones casuales</w:t>
      </w:r>
      <w:r>
        <w:rPr>
          <w:rFonts w:cs="Times New Roman"/>
          <w:szCs w:val="24"/>
        </w:rPr>
        <w:t>,</w:t>
      </w:r>
      <w:r w:rsidRPr="00AC3D7C">
        <w:rPr>
          <w:rFonts w:cs="Times New Roman"/>
          <w:szCs w:val="24"/>
        </w:rPr>
        <w:t xml:space="preserve"> pero puede</w:t>
      </w:r>
      <w:r>
        <w:rPr>
          <w:rFonts w:cs="Times New Roman"/>
          <w:szCs w:val="24"/>
        </w:rPr>
        <w:t>n</w:t>
      </w:r>
      <w:r w:rsidRPr="00AC3D7C">
        <w:rPr>
          <w:rFonts w:cs="Times New Roman"/>
          <w:szCs w:val="24"/>
        </w:rPr>
        <w:t xml:space="preserve"> aportar indicios sobre las posibles causas del fenómeno. Por lo tanto, el propósito de la</w:t>
      </w:r>
      <w:r>
        <w:rPr>
          <w:rFonts w:cs="Times New Roman"/>
          <w:szCs w:val="24"/>
        </w:rPr>
        <w:t xml:space="preserve"> presente</w:t>
      </w:r>
      <w:r w:rsidRPr="00AC3D7C">
        <w:rPr>
          <w:rFonts w:cs="Times New Roman"/>
          <w:szCs w:val="24"/>
        </w:rPr>
        <w:t xml:space="preserve"> investigación descriptiva es saber cómo se deduce un concepto a través del comportamiento y la cuantificación de sus variables</w:t>
      </w:r>
      <w:r>
        <w:rPr>
          <w:rFonts w:cs="Times New Roman"/>
          <w:szCs w:val="24"/>
        </w:rPr>
        <w:t>,</w:t>
      </w:r>
      <w:r w:rsidRPr="00AC3D7C">
        <w:rPr>
          <w:rFonts w:cs="Times New Roman"/>
          <w:szCs w:val="24"/>
        </w:rPr>
        <w:t xml:space="preserve"> con el fin de establecer las posibles causas de sus resultados o fenómenos. </w:t>
      </w:r>
    </w:p>
    <w:p w14:paraId="132ABF86" w14:textId="77777777" w:rsidR="008033D3" w:rsidRPr="00FD745C" w:rsidRDefault="008033D3" w:rsidP="008033D3">
      <w:pPr>
        <w:pStyle w:val="Ttulo3"/>
        <w:spacing w:before="0" w:after="200" w:line="360" w:lineRule="auto"/>
      </w:pPr>
      <w:bookmarkStart w:id="26" w:name="_Toc442343919"/>
      <w:r>
        <w:t>1.2</w:t>
      </w:r>
      <w:r>
        <w:tab/>
      </w:r>
      <w:r w:rsidRPr="00FD745C">
        <w:t>Diseño de la investigación</w:t>
      </w:r>
      <w:bookmarkEnd w:id="26"/>
    </w:p>
    <w:p w14:paraId="6A0227B5" w14:textId="77777777" w:rsidR="008033D3" w:rsidRPr="00AC3D7C" w:rsidRDefault="008033D3" w:rsidP="008033D3">
      <w:pPr>
        <w:spacing w:line="360" w:lineRule="auto"/>
        <w:rPr>
          <w:rFonts w:cs="Times New Roman"/>
          <w:szCs w:val="24"/>
        </w:rPr>
      </w:pPr>
      <w:r w:rsidRPr="00AC3D7C">
        <w:rPr>
          <w:rFonts w:cs="Times New Roman"/>
          <w:szCs w:val="24"/>
        </w:rPr>
        <w:t xml:space="preserve">El presente proyecto es no experimental, el cual según Hernández, Fernández y Baptista (1998) </w:t>
      </w:r>
      <w:r>
        <w:rPr>
          <w:rFonts w:cs="Times New Roman"/>
          <w:szCs w:val="24"/>
        </w:rPr>
        <w:t xml:space="preserve">es el que </w:t>
      </w:r>
      <w:r w:rsidRPr="00AC3D7C">
        <w:rPr>
          <w:rFonts w:cs="Times New Roman"/>
          <w:szCs w:val="24"/>
        </w:rPr>
        <w:t>“</w:t>
      </w:r>
      <w:r>
        <w:rPr>
          <w:rFonts w:cs="Times New Roman"/>
          <w:szCs w:val="24"/>
        </w:rPr>
        <w:t>S</w:t>
      </w:r>
      <w:r w:rsidRPr="00AC3D7C">
        <w:rPr>
          <w:rFonts w:cs="Times New Roman"/>
          <w:szCs w:val="24"/>
        </w:rPr>
        <w:t xml:space="preserve">e realiza sin manipular deliberadamente variables. Es decir, se trata de investigación donde no hacemos variar intencionalmente las variables independientes. Lo que hacemos en la investigación no experimental es observar fenómenos tal y como se dan en su contexto natural, para después analizarlos” (pag.58). Por otro lado, los autores </w:t>
      </w:r>
      <w:proofErr w:type="spellStart"/>
      <w:r w:rsidRPr="00AC3D7C">
        <w:rPr>
          <w:rFonts w:cs="Times New Roman"/>
          <w:szCs w:val="24"/>
        </w:rPr>
        <w:t>Palella</w:t>
      </w:r>
      <w:proofErr w:type="spellEnd"/>
      <w:r w:rsidRPr="00AC3D7C">
        <w:rPr>
          <w:rFonts w:cs="Times New Roman"/>
          <w:szCs w:val="24"/>
        </w:rPr>
        <w:t xml:space="preserve"> y </w:t>
      </w:r>
      <w:proofErr w:type="spellStart"/>
      <w:r w:rsidRPr="00AC3D7C">
        <w:rPr>
          <w:rFonts w:cs="Times New Roman"/>
          <w:szCs w:val="24"/>
        </w:rPr>
        <w:t>Martins</w:t>
      </w:r>
      <w:proofErr w:type="spellEnd"/>
      <w:r w:rsidRPr="00AC3D7C">
        <w:rPr>
          <w:rFonts w:cs="Times New Roman"/>
          <w:szCs w:val="24"/>
        </w:rPr>
        <w:t xml:space="preserve"> (2010) definen al diseño no experimental como “el que se realiza sin manipular en forma deliberada ninguna variable. El investigador no sustituye intencionalmente las variables independientes. Se observan los hechos tal y como se presentan en su contexto real y en un tiempo determinado o no, para luego analizarlos. Por ende, en este diseño no se construye una situación espec</w:t>
      </w:r>
      <w:r>
        <w:rPr>
          <w:rFonts w:cs="Times New Roman"/>
          <w:szCs w:val="24"/>
        </w:rPr>
        <w:t>í</w:t>
      </w:r>
      <w:r w:rsidRPr="00AC3D7C">
        <w:rPr>
          <w:rFonts w:cs="Times New Roman"/>
          <w:szCs w:val="24"/>
        </w:rPr>
        <w:t xml:space="preserve">fica sino que se observa las que existen” (pag.87). Por lo tanto para beneficio de la investigación se utiliza un diseño no experimental debido a que no es necesario manipular ninguna variable. Se hacen análisis y comparaciones sobre las relaciones de las variables ya que no se posee control directo de las variables independientes. </w:t>
      </w:r>
    </w:p>
    <w:p w14:paraId="6FBA3526" w14:textId="77777777" w:rsidR="008033D3" w:rsidRPr="00FE472B" w:rsidRDefault="008033D3" w:rsidP="008033D3">
      <w:pPr>
        <w:pStyle w:val="Ttulo3"/>
        <w:spacing w:before="0" w:after="200" w:line="360" w:lineRule="auto"/>
      </w:pPr>
      <w:bookmarkStart w:id="27" w:name="_Toc442343920"/>
      <w:r>
        <w:t>1.3</w:t>
      </w:r>
      <w:r>
        <w:tab/>
      </w:r>
      <w:r w:rsidRPr="00FE472B">
        <w:t>Población</w:t>
      </w:r>
      <w:bookmarkEnd w:id="27"/>
      <w:r w:rsidRPr="00FE472B">
        <w:t xml:space="preserve"> </w:t>
      </w:r>
    </w:p>
    <w:p w14:paraId="5595F04F" w14:textId="77777777" w:rsidR="008033D3" w:rsidRDefault="008033D3" w:rsidP="008033D3">
      <w:pPr>
        <w:spacing w:line="360" w:lineRule="auto"/>
        <w:rPr>
          <w:rFonts w:cs="Times New Roman"/>
          <w:szCs w:val="24"/>
        </w:rPr>
      </w:pPr>
      <w:r w:rsidRPr="00AC3D7C">
        <w:rPr>
          <w:rFonts w:cs="Times New Roman"/>
          <w:szCs w:val="24"/>
        </w:rPr>
        <w:t>La población del trabajo, es documental</w:t>
      </w:r>
      <w:r>
        <w:rPr>
          <w:rFonts w:cs="Times New Roman"/>
          <w:szCs w:val="24"/>
        </w:rPr>
        <w:t>. P</w:t>
      </w:r>
      <w:r w:rsidRPr="00AC3D7C">
        <w:rPr>
          <w:rFonts w:cs="Times New Roman"/>
          <w:szCs w:val="24"/>
        </w:rPr>
        <w:t xml:space="preserve">oblación para Tamayo y Tamayo, (1997),  “se define como la totalidad del fenómeno a estudiar donde las unidades de población posee una característica común la cual se estudia y da origen a los datos de la investigación” (pag.114). Adicionalmente para </w:t>
      </w:r>
      <w:proofErr w:type="spellStart"/>
      <w:r w:rsidRPr="00AC3D7C">
        <w:rPr>
          <w:rFonts w:cs="Times New Roman"/>
          <w:szCs w:val="24"/>
        </w:rPr>
        <w:t>Yaquelin</w:t>
      </w:r>
      <w:proofErr w:type="spellEnd"/>
      <w:r w:rsidRPr="00AC3D7C">
        <w:rPr>
          <w:rFonts w:cs="Times New Roman"/>
          <w:szCs w:val="24"/>
        </w:rPr>
        <w:t xml:space="preserve"> Franco “La muestra descansa en el principio de que las partes representan al todo y, por tal, refleja las características que definen la población de la que fue </w:t>
      </w:r>
      <w:r w:rsidRPr="00AC3D7C">
        <w:rPr>
          <w:rFonts w:cs="Times New Roman"/>
          <w:szCs w:val="24"/>
        </w:rPr>
        <w:lastRenderedPageBreak/>
        <w:t xml:space="preserve">extraída, lo cual indica que es representativa. Por lo tanto, la validez de la generalización depende de la validez y tamaño de la muestra” </w:t>
      </w:r>
      <w:sdt>
        <w:sdtPr>
          <w:rPr>
            <w:rFonts w:cs="Times New Roman"/>
            <w:szCs w:val="24"/>
          </w:rPr>
          <w:id w:val="-1754968006"/>
          <w:citation/>
        </w:sdtPr>
        <w:sdtEndPr/>
        <w:sdtContent>
          <w:r w:rsidRPr="00AC3D7C">
            <w:rPr>
              <w:rFonts w:cs="Times New Roman"/>
              <w:szCs w:val="24"/>
            </w:rPr>
            <w:fldChar w:fldCharType="begin"/>
          </w:r>
          <w:r w:rsidRPr="00AC3D7C">
            <w:rPr>
              <w:rFonts w:cs="Times New Roman"/>
              <w:szCs w:val="24"/>
            </w:rPr>
            <w:instrText xml:space="preserve"> CITATION Yaq141 \l 3082 </w:instrText>
          </w:r>
          <w:r w:rsidRPr="00AC3D7C">
            <w:rPr>
              <w:rFonts w:cs="Times New Roman"/>
              <w:szCs w:val="24"/>
            </w:rPr>
            <w:fldChar w:fldCharType="separate"/>
          </w:r>
          <w:r w:rsidRPr="00AC3D7C">
            <w:rPr>
              <w:rFonts w:cs="Times New Roman"/>
              <w:noProof/>
              <w:szCs w:val="24"/>
            </w:rPr>
            <w:t>(Franco Y. , 2014)</w:t>
          </w:r>
          <w:r w:rsidRPr="00AC3D7C">
            <w:rPr>
              <w:rFonts w:cs="Times New Roman"/>
              <w:szCs w:val="24"/>
            </w:rPr>
            <w:fldChar w:fldCharType="end"/>
          </w:r>
        </w:sdtContent>
      </w:sdt>
      <w:r w:rsidRPr="00AC3D7C">
        <w:rPr>
          <w:rFonts w:cs="Times New Roman"/>
          <w:szCs w:val="24"/>
        </w:rPr>
        <w:t xml:space="preserve"> Para fines de esta investigación se analizará a las importaciones y a la producción bajo el régimen de ensamblaje y se toma</w:t>
      </w:r>
      <w:r>
        <w:rPr>
          <w:rFonts w:cs="Times New Roman"/>
          <w:szCs w:val="24"/>
        </w:rPr>
        <w:t xml:space="preserve"> </w:t>
      </w:r>
      <w:r w:rsidRPr="00AC3D7C">
        <w:rPr>
          <w:rFonts w:cs="Times New Roman"/>
          <w:szCs w:val="24"/>
        </w:rPr>
        <w:t>como muestra a la industria de los equipos celulares para poder entender este concepto de producción de mejor manera</w:t>
      </w:r>
      <w:r>
        <w:rPr>
          <w:rFonts w:cs="Times New Roman"/>
          <w:szCs w:val="24"/>
        </w:rPr>
        <w:t>,</w:t>
      </w:r>
      <w:r w:rsidRPr="00AC3D7C">
        <w:rPr>
          <w:rFonts w:cs="Times New Roman"/>
          <w:szCs w:val="24"/>
        </w:rPr>
        <w:t xml:space="preserve"> utilizando como referencia las normativas arancelarias vigentes.</w:t>
      </w:r>
    </w:p>
    <w:p w14:paraId="7430EA20" w14:textId="77777777" w:rsidR="008033D3" w:rsidRPr="00183CDF" w:rsidRDefault="008033D3" w:rsidP="008033D3">
      <w:pPr>
        <w:pStyle w:val="Ttulo3"/>
        <w:spacing w:before="0" w:after="200" w:line="360" w:lineRule="auto"/>
        <w:rPr>
          <w:rFonts w:cs="Times New Roman"/>
          <w:b w:val="0"/>
          <w:szCs w:val="24"/>
        </w:rPr>
      </w:pPr>
      <w:bookmarkStart w:id="28" w:name="_Toc442343921"/>
      <w:r w:rsidRPr="00183CDF">
        <w:rPr>
          <w:rFonts w:cs="Times New Roman"/>
          <w:b w:val="0"/>
          <w:szCs w:val="24"/>
        </w:rPr>
        <w:t>1.4</w:t>
      </w:r>
      <w:r w:rsidRPr="00183CDF">
        <w:rPr>
          <w:rFonts w:cs="Times New Roman"/>
          <w:b w:val="0"/>
          <w:szCs w:val="24"/>
        </w:rPr>
        <w:tab/>
      </w:r>
      <w:r w:rsidRPr="00183CDF">
        <w:rPr>
          <w:rStyle w:val="Ttulo2Car"/>
        </w:rPr>
        <w:t>Técnica de observación</w:t>
      </w:r>
      <w:bookmarkEnd w:id="28"/>
    </w:p>
    <w:p w14:paraId="1392CF41" w14:textId="77777777" w:rsidR="008033D3" w:rsidRPr="00AC3D7C" w:rsidRDefault="008033D3" w:rsidP="008033D3">
      <w:pPr>
        <w:spacing w:line="360" w:lineRule="auto"/>
        <w:rPr>
          <w:rFonts w:cs="Times New Roman"/>
          <w:szCs w:val="24"/>
        </w:rPr>
      </w:pPr>
      <w:r w:rsidRPr="00AC3D7C">
        <w:rPr>
          <w:rFonts w:cs="Times New Roman"/>
          <w:szCs w:val="24"/>
        </w:rPr>
        <w:t>Según Ramón Ruiz (2006) “La observación es el método fundamental de obtención de datos de la realidad, toda vez que consiste en obtener información mediante la percepción intencionada y selectiva, ilustrada e interpretativa de un objeto o de un fenómeno determinado.”(pag.160) Mientras que Puente maneja un concepto similar argumentando que la técnica de observación “Es una técnica que consiste en observar atentamente el fenómeno, hecho o caso, tomar información y registrarla para su posterior análisis. La observación es un elemento fundamental de todo proceso investigativo; en ella se apoya el investigador para obtener el mayor número de datos”</w:t>
      </w:r>
      <w:sdt>
        <w:sdtPr>
          <w:rPr>
            <w:rFonts w:cs="Times New Roman"/>
            <w:szCs w:val="24"/>
          </w:rPr>
          <w:id w:val="-1444214688"/>
          <w:citation/>
        </w:sdtPr>
        <w:sdtEndPr/>
        <w:sdtContent>
          <w:r w:rsidRPr="00AC3D7C">
            <w:rPr>
              <w:rFonts w:cs="Times New Roman"/>
              <w:szCs w:val="24"/>
            </w:rPr>
            <w:fldChar w:fldCharType="begin"/>
          </w:r>
          <w:r w:rsidRPr="00AC3D7C">
            <w:rPr>
              <w:rFonts w:cs="Times New Roman"/>
              <w:szCs w:val="24"/>
            </w:rPr>
            <w:instrText xml:space="preserve"> CITATION wil08 \l 3082 </w:instrText>
          </w:r>
          <w:r w:rsidRPr="00AC3D7C">
            <w:rPr>
              <w:rFonts w:cs="Times New Roman"/>
              <w:szCs w:val="24"/>
            </w:rPr>
            <w:fldChar w:fldCharType="separate"/>
          </w:r>
          <w:r w:rsidRPr="00AC3D7C">
            <w:rPr>
              <w:rFonts w:cs="Times New Roman"/>
              <w:noProof/>
              <w:szCs w:val="24"/>
            </w:rPr>
            <w:t xml:space="preserve"> (Puente w. , 2008)</w:t>
          </w:r>
          <w:r w:rsidRPr="00AC3D7C">
            <w:rPr>
              <w:rFonts w:cs="Times New Roman"/>
              <w:szCs w:val="24"/>
            </w:rPr>
            <w:fldChar w:fldCharType="end"/>
          </w:r>
        </w:sdtContent>
      </w:sdt>
      <w:r w:rsidRPr="00AC3D7C">
        <w:rPr>
          <w:rFonts w:cs="Times New Roman"/>
          <w:szCs w:val="24"/>
        </w:rPr>
        <w:t>. El proyecto será de observación documental ya que se analiza e interpreta datos tomados de normativas legales oficiales con el objetivo de plantear las razones por la cuales se tomaron estas medidas y concluir si efectivamente llegaron a sus objetivos.  La observación y análisis de los cambios en los cupos de importación de teléfonos celulares han ayudado a entender de mejor manera cu</w:t>
      </w:r>
      <w:r>
        <w:rPr>
          <w:rFonts w:cs="Times New Roman"/>
          <w:szCs w:val="24"/>
        </w:rPr>
        <w:t>á</w:t>
      </w:r>
      <w:r w:rsidRPr="00AC3D7C">
        <w:rPr>
          <w:rFonts w:cs="Times New Roman"/>
          <w:szCs w:val="24"/>
        </w:rPr>
        <w:t xml:space="preserve">l es la estrategia del Gobierno actual para sobrellevar el déficit de la balanza comercial. </w:t>
      </w:r>
    </w:p>
    <w:p w14:paraId="0225AD62" w14:textId="77777777" w:rsidR="008033D3" w:rsidRPr="00FE472B" w:rsidRDefault="008033D3" w:rsidP="008033D3">
      <w:pPr>
        <w:pStyle w:val="Ttulo3"/>
        <w:spacing w:before="0" w:after="200" w:line="360" w:lineRule="auto"/>
      </w:pPr>
      <w:bookmarkStart w:id="29" w:name="_Toc442343922"/>
      <w:r>
        <w:t>1.5</w:t>
      </w:r>
      <w:r>
        <w:tab/>
        <w:t>Técnica de a</w:t>
      </w:r>
      <w:r w:rsidRPr="00FE472B">
        <w:t>nálisis de datos</w:t>
      </w:r>
      <w:bookmarkEnd w:id="29"/>
    </w:p>
    <w:p w14:paraId="7A7947FD" w14:textId="5D5F510A" w:rsidR="008033D3" w:rsidRDefault="008033D3" w:rsidP="008033D3">
      <w:pPr>
        <w:spacing w:line="360" w:lineRule="auto"/>
        <w:rPr>
          <w:rFonts w:cs="Times New Roman"/>
          <w:szCs w:val="24"/>
        </w:rPr>
      </w:pPr>
      <w:r w:rsidRPr="00AC3D7C">
        <w:rPr>
          <w:rFonts w:cs="Times New Roman"/>
          <w:szCs w:val="24"/>
        </w:rPr>
        <w:t xml:space="preserve">La información </w:t>
      </w:r>
      <w:r>
        <w:rPr>
          <w:rFonts w:cs="Times New Roman"/>
          <w:szCs w:val="24"/>
        </w:rPr>
        <w:t>es</w:t>
      </w:r>
      <w:r w:rsidRPr="00AC3D7C">
        <w:rPr>
          <w:rFonts w:cs="Times New Roman"/>
          <w:szCs w:val="24"/>
        </w:rPr>
        <w:t xml:space="preserve"> analizada a través de</w:t>
      </w:r>
      <w:r>
        <w:rPr>
          <w:rFonts w:cs="Times New Roman"/>
          <w:szCs w:val="24"/>
        </w:rPr>
        <w:t>l proceso hermenéutico según los lineamientos de</w:t>
      </w:r>
      <w:r w:rsidRPr="00AC3D7C">
        <w:rPr>
          <w:rFonts w:cs="Times New Roman"/>
          <w:szCs w:val="24"/>
        </w:rPr>
        <w:t xml:space="preserve">  </w:t>
      </w:r>
      <w:proofErr w:type="spellStart"/>
      <w:r w:rsidRPr="00AC3D7C">
        <w:rPr>
          <w:rFonts w:cs="Times New Roman"/>
          <w:szCs w:val="24"/>
        </w:rPr>
        <w:t>Gadamer</w:t>
      </w:r>
      <w:proofErr w:type="spellEnd"/>
      <w:r w:rsidRPr="00AC3D7C">
        <w:rPr>
          <w:rFonts w:cs="Times New Roman"/>
          <w:szCs w:val="24"/>
        </w:rPr>
        <w:t xml:space="preserve"> (1977)</w:t>
      </w:r>
      <w:r>
        <w:rPr>
          <w:rFonts w:cs="Times New Roman"/>
          <w:szCs w:val="24"/>
        </w:rPr>
        <w:t>, que</w:t>
      </w:r>
      <w:r w:rsidRPr="00AC3D7C">
        <w:rPr>
          <w:rFonts w:cs="Times New Roman"/>
          <w:szCs w:val="24"/>
        </w:rPr>
        <w:t xml:space="preserve"> supone que todo enunciado es valorado como la respuesta a una determinada pregunta, </w:t>
      </w:r>
      <w:r>
        <w:rPr>
          <w:rFonts w:cs="Times New Roman"/>
          <w:szCs w:val="24"/>
        </w:rPr>
        <w:t xml:space="preserve">la cual </w:t>
      </w:r>
      <w:r w:rsidRPr="00AC3D7C">
        <w:rPr>
          <w:rFonts w:cs="Times New Roman"/>
          <w:szCs w:val="24"/>
        </w:rPr>
        <w:t xml:space="preserve"> debe ser hallada recurriendo a otros contextos de sentido. Por eso, cuando se habla de hermenéutica se está pensando en una actitud determinada con respecto a la práctica o a la interpretación de textos. Para </w:t>
      </w:r>
      <w:proofErr w:type="spellStart"/>
      <w:r w:rsidRPr="00AC3D7C">
        <w:rPr>
          <w:rFonts w:cs="Times New Roman"/>
          <w:szCs w:val="24"/>
        </w:rPr>
        <w:t>Betti</w:t>
      </w:r>
      <w:proofErr w:type="spellEnd"/>
      <w:r w:rsidRPr="00AC3D7C">
        <w:rPr>
          <w:rFonts w:cs="Times New Roman"/>
          <w:szCs w:val="24"/>
        </w:rPr>
        <w:t xml:space="preserve"> (1978), el proceso interpretativo, en general, responde al problema epistemológico del entender. Esto es así, porque el resultado útil de la interpretación, entendida esta como acción, es precisamente el entender. A su vez, el fenómeno de entender se opera mediante el lenguaje. </w:t>
      </w:r>
      <w:r>
        <w:rPr>
          <w:rFonts w:cs="Times New Roman"/>
          <w:szCs w:val="24"/>
        </w:rPr>
        <w:t xml:space="preserve">Con estos </w:t>
      </w:r>
      <w:r>
        <w:rPr>
          <w:rFonts w:cs="Times New Roman"/>
          <w:szCs w:val="24"/>
        </w:rPr>
        <w:lastRenderedPageBreak/>
        <w:t xml:space="preserve">antecedentes, el proceso hermenéutico de este proyecto </w:t>
      </w:r>
      <w:r w:rsidRPr="00AC3D7C">
        <w:rPr>
          <w:rFonts w:cs="Times New Roman"/>
          <w:szCs w:val="24"/>
        </w:rPr>
        <w:t xml:space="preserve"> busca  integrar y reconstruir el verdadero sentido</w:t>
      </w:r>
      <w:r>
        <w:rPr>
          <w:rFonts w:cs="Times New Roman"/>
          <w:szCs w:val="24"/>
        </w:rPr>
        <w:t xml:space="preserve"> de la implementación de las normativas y el espíritu que motivó su diseño.</w:t>
      </w:r>
      <w:r w:rsidRPr="00AC3D7C">
        <w:rPr>
          <w:rFonts w:cs="Times New Roman"/>
          <w:szCs w:val="24"/>
        </w:rPr>
        <w:t xml:space="preserve"> Siguiendo el concepto de </w:t>
      </w:r>
      <w:proofErr w:type="spellStart"/>
      <w:r w:rsidRPr="00AC3D7C">
        <w:rPr>
          <w:rFonts w:cs="Times New Roman"/>
          <w:szCs w:val="24"/>
        </w:rPr>
        <w:t>Gadamer</w:t>
      </w:r>
      <w:proofErr w:type="spellEnd"/>
      <w:r>
        <w:rPr>
          <w:rFonts w:cs="Times New Roman"/>
          <w:szCs w:val="24"/>
        </w:rPr>
        <w:t>,</w:t>
      </w:r>
      <w:r w:rsidRPr="00AC3D7C">
        <w:rPr>
          <w:rFonts w:cs="Times New Roman"/>
          <w:szCs w:val="24"/>
        </w:rPr>
        <w:t xml:space="preserve"> </w:t>
      </w:r>
      <w:r>
        <w:rPr>
          <w:rFonts w:cs="Times New Roman"/>
          <w:szCs w:val="24"/>
        </w:rPr>
        <w:t xml:space="preserve">es </w:t>
      </w:r>
      <w:r w:rsidRPr="00AC3D7C">
        <w:rPr>
          <w:rFonts w:cs="Times New Roman"/>
          <w:szCs w:val="24"/>
        </w:rPr>
        <w:t xml:space="preserve">de vital importancia para este proyecto descubrir cuáles fueron las preguntas planteadas para encontrar justificación a las normas establecidas a las nuevas normativas arancelarias y su posterior efecto en el proceso de producción interna de equipos tecnológicos. La hermenéutica aplicada en el proyecto a las normativas arancelarias da a entender un mapa de la complejidad de las decisiones tomadas en cuanto a importaciones y sus objetivos en imponer nuevas normativas adaptadas a la realidad del país </w:t>
      </w:r>
      <w:sdt>
        <w:sdtPr>
          <w:rPr>
            <w:rFonts w:cs="Times New Roman"/>
            <w:szCs w:val="24"/>
          </w:rPr>
          <w:id w:val="1347056813"/>
          <w:citation/>
        </w:sdtPr>
        <w:sdtEndPr/>
        <w:sdtContent>
          <w:r w:rsidRPr="00AC3D7C">
            <w:rPr>
              <w:rFonts w:cs="Times New Roman"/>
              <w:szCs w:val="24"/>
            </w:rPr>
            <w:fldChar w:fldCharType="begin"/>
          </w:r>
          <w:r w:rsidRPr="00AC3D7C">
            <w:rPr>
              <w:rFonts w:cs="Times New Roman"/>
              <w:szCs w:val="24"/>
            </w:rPr>
            <w:instrText xml:space="preserve"> CITATION Ter12 \l 3082 </w:instrText>
          </w:r>
          <w:r w:rsidRPr="00AC3D7C">
            <w:rPr>
              <w:rFonts w:cs="Times New Roman"/>
              <w:szCs w:val="24"/>
            </w:rPr>
            <w:fldChar w:fldCharType="separate"/>
          </w:r>
          <w:r w:rsidRPr="00AC3D7C">
            <w:rPr>
              <w:rFonts w:cs="Times New Roman"/>
              <w:noProof/>
              <w:szCs w:val="24"/>
            </w:rPr>
            <w:t>(Picontó, 2012)</w:t>
          </w:r>
          <w:r w:rsidRPr="00AC3D7C">
            <w:rPr>
              <w:rFonts w:cs="Times New Roman"/>
              <w:szCs w:val="24"/>
            </w:rPr>
            <w:fldChar w:fldCharType="end"/>
          </w:r>
        </w:sdtContent>
      </w:sdt>
      <w:r w:rsidRPr="00AC3D7C">
        <w:rPr>
          <w:rFonts w:cs="Times New Roman"/>
          <w:szCs w:val="24"/>
        </w:rPr>
        <w:t>, lo cual permit</w:t>
      </w:r>
      <w:r>
        <w:rPr>
          <w:rFonts w:cs="Times New Roman"/>
          <w:szCs w:val="24"/>
        </w:rPr>
        <w:t>e</w:t>
      </w:r>
      <w:r w:rsidRPr="00AC3D7C">
        <w:rPr>
          <w:rFonts w:cs="Times New Roman"/>
          <w:szCs w:val="24"/>
        </w:rPr>
        <w:t xml:space="preserve"> dar respuesta a los objeti</w:t>
      </w:r>
      <w:r>
        <w:rPr>
          <w:rFonts w:cs="Times New Roman"/>
          <w:szCs w:val="24"/>
        </w:rPr>
        <w:t>vos de investigación planteados.</w:t>
      </w:r>
    </w:p>
    <w:p w14:paraId="19CBA861" w14:textId="77777777" w:rsidR="008033D3" w:rsidRPr="002402CE" w:rsidRDefault="008033D3" w:rsidP="008033D3">
      <w:pPr>
        <w:spacing w:line="360" w:lineRule="auto"/>
        <w:rPr>
          <w:rFonts w:cs="Times New Roman"/>
          <w:szCs w:val="24"/>
        </w:rPr>
      </w:pPr>
    </w:p>
    <w:p w14:paraId="35075832" w14:textId="77777777" w:rsidR="008033D3" w:rsidRDefault="008033D3" w:rsidP="008033D3">
      <w:pPr>
        <w:jc w:val="left"/>
      </w:pPr>
      <w:bookmarkStart w:id="30" w:name="_Toc442343923"/>
    </w:p>
    <w:p w14:paraId="75CF5086" w14:textId="77777777" w:rsidR="008033D3" w:rsidRDefault="008033D3" w:rsidP="008033D3">
      <w:pPr>
        <w:jc w:val="left"/>
      </w:pPr>
    </w:p>
    <w:p w14:paraId="2D512722" w14:textId="77777777" w:rsidR="008033D3" w:rsidRDefault="008033D3" w:rsidP="008033D3">
      <w:pPr>
        <w:jc w:val="left"/>
      </w:pPr>
    </w:p>
    <w:p w14:paraId="1D56FFF9" w14:textId="77777777" w:rsidR="008033D3" w:rsidRDefault="008033D3" w:rsidP="008033D3">
      <w:pPr>
        <w:jc w:val="left"/>
      </w:pPr>
    </w:p>
    <w:p w14:paraId="2DA6A4E9" w14:textId="77777777" w:rsidR="008033D3" w:rsidRDefault="008033D3" w:rsidP="008033D3">
      <w:pPr>
        <w:jc w:val="left"/>
      </w:pPr>
    </w:p>
    <w:p w14:paraId="6D1153FC" w14:textId="77777777" w:rsidR="008033D3" w:rsidRDefault="008033D3" w:rsidP="008033D3">
      <w:pPr>
        <w:jc w:val="left"/>
      </w:pPr>
    </w:p>
    <w:p w14:paraId="4CCFE67A" w14:textId="77777777" w:rsidR="008033D3" w:rsidRDefault="008033D3" w:rsidP="008033D3">
      <w:pPr>
        <w:jc w:val="left"/>
      </w:pPr>
    </w:p>
    <w:p w14:paraId="5EC9C0F1" w14:textId="77777777" w:rsidR="008033D3" w:rsidRDefault="008033D3" w:rsidP="008033D3">
      <w:pPr>
        <w:jc w:val="left"/>
      </w:pPr>
    </w:p>
    <w:p w14:paraId="7CFBC998" w14:textId="77777777" w:rsidR="008033D3" w:rsidRDefault="008033D3" w:rsidP="008033D3">
      <w:pPr>
        <w:jc w:val="left"/>
      </w:pPr>
    </w:p>
    <w:p w14:paraId="6271C992" w14:textId="77777777" w:rsidR="008033D3" w:rsidRDefault="008033D3" w:rsidP="008033D3">
      <w:pPr>
        <w:jc w:val="left"/>
      </w:pPr>
    </w:p>
    <w:p w14:paraId="424EE1E5" w14:textId="77777777" w:rsidR="008033D3" w:rsidRDefault="008033D3" w:rsidP="008033D3">
      <w:pPr>
        <w:jc w:val="left"/>
      </w:pPr>
    </w:p>
    <w:p w14:paraId="673CF1B2" w14:textId="77777777" w:rsidR="008033D3" w:rsidRDefault="008033D3" w:rsidP="008033D3">
      <w:pPr>
        <w:jc w:val="left"/>
      </w:pPr>
    </w:p>
    <w:p w14:paraId="28111BE6" w14:textId="77777777" w:rsidR="008033D3" w:rsidRDefault="008033D3" w:rsidP="008033D3">
      <w:pPr>
        <w:jc w:val="left"/>
      </w:pPr>
    </w:p>
    <w:p w14:paraId="3367FF0D" w14:textId="77777777" w:rsidR="008033D3" w:rsidRDefault="008033D3" w:rsidP="008033D3">
      <w:pPr>
        <w:jc w:val="left"/>
      </w:pPr>
    </w:p>
    <w:p w14:paraId="37B06DEA" w14:textId="77777777" w:rsidR="008033D3" w:rsidRDefault="008033D3" w:rsidP="008033D3">
      <w:pPr>
        <w:jc w:val="left"/>
      </w:pPr>
    </w:p>
    <w:p w14:paraId="06757BD5" w14:textId="77777777" w:rsidR="008033D3" w:rsidRDefault="008033D3" w:rsidP="008033D3">
      <w:pPr>
        <w:jc w:val="left"/>
      </w:pPr>
    </w:p>
    <w:p w14:paraId="7336AE6F" w14:textId="77777777" w:rsidR="008033D3" w:rsidRDefault="008033D3" w:rsidP="008033D3">
      <w:pPr>
        <w:spacing w:line="360" w:lineRule="auto"/>
        <w:jc w:val="center"/>
        <w:rPr>
          <w:b/>
        </w:rPr>
      </w:pPr>
    </w:p>
    <w:p w14:paraId="7A197913" w14:textId="77777777" w:rsidR="004508CB" w:rsidRDefault="004508CB" w:rsidP="008033D3">
      <w:pPr>
        <w:spacing w:line="360" w:lineRule="auto"/>
        <w:jc w:val="center"/>
        <w:rPr>
          <w:b/>
        </w:rPr>
      </w:pPr>
    </w:p>
    <w:p w14:paraId="3E46BDFF" w14:textId="77777777" w:rsidR="004508CB" w:rsidRDefault="004508CB" w:rsidP="008033D3">
      <w:pPr>
        <w:spacing w:line="360" w:lineRule="auto"/>
        <w:jc w:val="center"/>
        <w:rPr>
          <w:b/>
        </w:rPr>
      </w:pPr>
    </w:p>
    <w:p w14:paraId="13CEBB88" w14:textId="77777777" w:rsidR="008033D3" w:rsidRPr="00FA4B10" w:rsidRDefault="008033D3" w:rsidP="008033D3">
      <w:pPr>
        <w:spacing w:line="360" w:lineRule="auto"/>
        <w:jc w:val="center"/>
        <w:rPr>
          <w:rFonts w:cs="Times New Roman"/>
          <w:b/>
          <w:bCs/>
          <w:szCs w:val="24"/>
        </w:rPr>
      </w:pPr>
      <w:r w:rsidRPr="00FA4B10">
        <w:rPr>
          <w:b/>
        </w:rPr>
        <w:t>HALLAZGOS</w:t>
      </w:r>
      <w:bookmarkEnd w:id="30"/>
    </w:p>
    <w:p w14:paraId="7CFD16C3" w14:textId="77777777" w:rsidR="008033D3" w:rsidRPr="00183CDF" w:rsidRDefault="008033D3" w:rsidP="008033D3">
      <w:pPr>
        <w:pStyle w:val="Ttulo3"/>
        <w:spacing w:before="0" w:after="200" w:line="360" w:lineRule="auto"/>
        <w:rPr>
          <w:rFonts w:cs="Times New Roman"/>
          <w:b w:val="0"/>
          <w:szCs w:val="24"/>
        </w:rPr>
      </w:pPr>
      <w:bookmarkStart w:id="31" w:name="_Toc442343924"/>
      <w:r w:rsidRPr="00183CDF">
        <w:rPr>
          <w:rFonts w:cs="Times New Roman"/>
          <w:b w:val="0"/>
          <w:szCs w:val="24"/>
        </w:rPr>
        <w:t>1.1</w:t>
      </w:r>
      <w:r w:rsidRPr="00183CDF">
        <w:rPr>
          <w:rFonts w:cs="Times New Roman"/>
          <w:b w:val="0"/>
          <w:szCs w:val="24"/>
        </w:rPr>
        <w:tab/>
      </w:r>
      <w:r w:rsidRPr="00183CDF">
        <w:rPr>
          <w:rStyle w:val="Ttulo3Car"/>
        </w:rPr>
        <w:t>Incentivos aplicados a la Industria y su situación actual</w:t>
      </w:r>
      <w:bookmarkEnd w:id="31"/>
    </w:p>
    <w:p w14:paraId="145F2630" w14:textId="77777777" w:rsidR="008033D3" w:rsidRPr="003264E2" w:rsidRDefault="008033D3" w:rsidP="008033D3">
      <w:pPr>
        <w:spacing w:line="360" w:lineRule="auto"/>
        <w:rPr>
          <w:rFonts w:cs="Times New Roman"/>
          <w:szCs w:val="24"/>
        </w:rPr>
      </w:pPr>
      <w:r w:rsidRPr="003264E2">
        <w:rPr>
          <w:rFonts w:cs="Times New Roman"/>
          <w:szCs w:val="24"/>
        </w:rPr>
        <w:t xml:space="preserve">En el 2012 se importaron aproximadamente </w:t>
      </w:r>
      <w:r>
        <w:rPr>
          <w:rFonts w:cs="Times New Roman"/>
          <w:szCs w:val="24"/>
        </w:rPr>
        <w:t>US</w:t>
      </w:r>
      <w:r w:rsidRPr="003264E2">
        <w:rPr>
          <w:rFonts w:cs="Times New Roman"/>
          <w:szCs w:val="24"/>
        </w:rPr>
        <w:t xml:space="preserve">$160 millones en equipos celulares con una producción nacional CKD de más de </w:t>
      </w:r>
      <w:r>
        <w:rPr>
          <w:rFonts w:cs="Times New Roman"/>
          <w:szCs w:val="24"/>
        </w:rPr>
        <w:t>US</w:t>
      </w:r>
      <w:r w:rsidRPr="003264E2">
        <w:rPr>
          <w:rFonts w:cs="Times New Roman"/>
          <w:szCs w:val="24"/>
        </w:rPr>
        <w:t xml:space="preserve">$4 millones y hasta </w:t>
      </w:r>
      <w:r>
        <w:rPr>
          <w:rFonts w:cs="Times New Roman"/>
          <w:szCs w:val="24"/>
        </w:rPr>
        <w:t>ag</w:t>
      </w:r>
      <w:r w:rsidRPr="003264E2">
        <w:rPr>
          <w:rFonts w:cs="Times New Roman"/>
          <w:szCs w:val="24"/>
        </w:rPr>
        <w:t xml:space="preserve">osto del 2014 se registraron importaciones de </w:t>
      </w:r>
      <w:r>
        <w:rPr>
          <w:rFonts w:cs="Times New Roman"/>
          <w:szCs w:val="24"/>
        </w:rPr>
        <w:t>US</w:t>
      </w:r>
      <w:r w:rsidRPr="003264E2">
        <w:rPr>
          <w:rFonts w:cs="Times New Roman"/>
          <w:szCs w:val="24"/>
        </w:rPr>
        <w:t xml:space="preserve">$111 millones en contraste de la producción nacional CKD de </w:t>
      </w:r>
      <w:r>
        <w:rPr>
          <w:rFonts w:cs="Times New Roman"/>
          <w:szCs w:val="24"/>
        </w:rPr>
        <w:t>US</w:t>
      </w:r>
      <w:r w:rsidRPr="003264E2">
        <w:rPr>
          <w:rFonts w:cs="Times New Roman"/>
          <w:szCs w:val="24"/>
        </w:rPr>
        <w:t>$16 millones. En Ecuador</w:t>
      </w:r>
      <w:r>
        <w:rPr>
          <w:rFonts w:cs="Times New Roman"/>
          <w:szCs w:val="24"/>
        </w:rPr>
        <w:t>,</w:t>
      </w:r>
      <w:r w:rsidRPr="003264E2">
        <w:rPr>
          <w:rFonts w:cs="Times New Roman"/>
          <w:szCs w:val="24"/>
        </w:rPr>
        <w:t xml:space="preserve"> en el 2013 hubo una producción anual industrial de 844.864 de equipos celulares ensamblados en el país y una proyección estimada para 2014 de 3´208.200 equipos</w:t>
      </w:r>
      <w:r>
        <w:rPr>
          <w:rFonts w:cs="Times New Roman"/>
          <w:szCs w:val="24"/>
        </w:rPr>
        <w:t>,</w:t>
      </w:r>
      <w:r w:rsidRPr="003264E2">
        <w:rPr>
          <w:rFonts w:cs="Times New Roman"/>
          <w:szCs w:val="24"/>
        </w:rPr>
        <w:t xml:space="preserve"> considerando las 8 principales ensambladoras registradas en el Ministerio de Producción (MIPRO).  </w:t>
      </w:r>
      <w:sdt>
        <w:sdtPr>
          <w:rPr>
            <w:rFonts w:cs="Times New Roman"/>
            <w:szCs w:val="24"/>
          </w:rPr>
          <w:id w:val="-648292708"/>
          <w:citation/>
        </w:sdtPr>
        <w:sdtEndPr/>
        <w:sdtContent>
          <w:r w:rsidRPr="003264E2">
            <w:rPr>
              <w:rFonts w:cs="Times New Roman"/>
              <w:szCs w:val="24"/>
            </w:rPr>
            <w:fldChar w:fldCharType="begin"/>
          </w:r>
          <w:r w:rsidRPr="003264E2">
            <w:rPr>
              <w:rFonts w:cs="Times New Roman"/>
              <w:szCs w:val="24"/>
            </w:rPr>
            <w:instrText xml:space="preserve"> CITATION BCE14 \l 3082 </w:instrText>
          </w:r>
          <w:r w:rsidRPr="003264E2">
            <w:rPr>
              <w:rFonts w:cs="Times New Roman"/>
              <w:szCs w:val="24"/>
            </w:rPr>
            <w:fldChar w:fldCharType="separate"/>
          </w:r>
          <w:r w:rsidRPr="003264E2">
            <w:rPr>
              <w:rFonts w:cs="Times New Roman"/>
              <w:noProof/>
              <w:szCs w:val="24"/>
            </w:rPr>
            <w:t>(BCE, 2014)</w:t>
          </w:r>
          <w:r w:rsidRPr="003264E2">
            <w:rPr>
              <w:rFonts w:cs="Times New Roman"/>
              <w:szCs w:val="24"/>
            </w:rPr>
            <w:fldChar w:fldCharType="end"/>
          </w:r>
        </w:sdtContent>
      </w:sdt>
      <w:r w:rsidRPr="003264E2">
        <w:rPr>
          <w:rFonts w:cs="Times New Roman"/>
          <w:szCs w:val="24"/>
        </w:rPr>
        <w:t xml:space="preserve"> </w:t>
      </w:r>
    </w:p>
    <w:p w14:paraId="2148AFEB" w14:textId="77777777" w:rsidR="008033D3" w:rsidRPr="003264E2" w:rsidRDefault="008033D3" w:rsidP="008033D3">
      <w:pPr>
        <w:spacing w:line="360" w:lineRule="auto"/>
        <w:rPr>
          <w:rFonts w:cs="Times New Roman"/>
          <w:szCs w:val="24"/>
        </w:rPr>
      </w:pPr>
      <w:r w:rsidRPr="003264E2">
        <w:rPr>
          <w:rFonts w:cs="Times New Roman"/>
          <w:szCs w:val="24"/>
        </w:rPr>
        <w:t>La restricción a la importación de estos productos rige desde junio del 2012, a través de la resolución 66 del Comité de Comercio Exterior (</w:t>
      </w:r>
      <w:proofErr w:type="spellStart"/>
      <w:r w:rsidRPr="003264E2">
        <w:rPr>
          <w:rFonts w:cs="Times New Roman"/>
          <w:szCs w:val="24"/>
        </w:rPr>
        <w:t>Comex</w:t>
      </w:r>
      <w:proofErr w:type="spellEnd"/>
      <w:r w:rsidRPr="003264E2">
        <w:rPr>
          <w:rFonts w:cs="Times New Roman"/>
          <w:szCs w:val="24"/>
        </w:rPr>
        <w:t xml:space="preserve">). A Claro se le fijó un cupo de 1,08 millones de unidades o su equivalente a $ 70,50 millones; mientras que a Movistar se le asignaron 328.000 unidades o $ 24 millones. La medida que estaría vigente hasta marzo próximo. </w:t>
      </w:r>
      <w:sdt>
        <w:sdtPr>
          <w:rPr>
            <w:rFonts w:cs="Times New Roman"/>
            <w:szCs w:val="24"/>
          </w:rPr>
          <w:id w:val="-56547983"/>
          <w:citation/>
        </w:sdtPr>
        <w:sdtEndPr/>
        <w:sdtContent>
          <w:r w:rsidRPr="003264E2">
            <w:rPr>
              <w:rFonts w:cs="Times New Roman"/>
              <w:szCs w:val="24"/>
            </w:rPr>
            <w:fldChar w:fldCharType="begin"/>
          </w:r>
          <w:r w:rsidRPr="003264E2">
            <w:rPr>
              <w:rFonts w:cs="Times New Roman"/>
              <w:szCs w:val="24"/>
            </w:rPr>
            <w:instrText xml:space="preserve"> CITATION ElU15 \l 3082 </w:instrText>
          </w:r>
          <w:r w:rsidRPr="003264E2">
            <w:rPr>
              <w:rFonts w:cs="Times New Roman"/>
              <w:szCs w:val="24"/>
            </w:rPr>
            <w:fldChar w:fldCharType="separate"/>
          </w:r>
          <w:r w:rsidRPr="003264E2">
            <w:rPr>
              <w:rFonts w:cs="Times New Roman"/>
              <w:noProof/>
              <w:szCs w:val="24"/>
            </w:rPr>
            <w:t>(Universo, 2015)</w:t>
          </w:r>
          <w:r w:rsidRPr="003264E2">
            <w:rPr>
              <w:rFonts w:cs="Times New Roman"/>
              <w:szCs w:val="24"/>
            </w:rPr>
            <w:fldChar w:fldCharType="end"/>
          </w:r>
        </w:sdtContent>
      </w:sdt>
    </w:p>
    <w:p w14:paraId="7C9191D9" w14:textId="77777777" w:rsidR="008033D3" w:rsidRPr="003264E2" w:rsidRDefault="008033D3" w:rsidP="008033D3">
      <w:pPr>
        <w:spacing w:line="360" w:lineRule="auto"/>
        <w:rPr>
          <w:rFonts w:cs="Times New Roman"/>
          <w:szCs w:val="24"/>
        </w:rPr>
      </w:pPr>
      <w:r w:rsidRPr="003264E2">
        <w:rPr>
          <w:rFonts w:cs="Times New Roman"/>
          <w:szCs w:val="24"/>
        </w:rPr>
        <w:t>Uno de los incentivos más importantes para el nacimiento de algunas de las compañías que se dedican al ensamblaje fue la Resolución 67 d</w:t>
      </w:r>
      <w:r>
        <w:rPr>
          <w:rFonts w:cs="Times New Roman"/>
          <w:szCs w:val="24"/>
        </w:rPr>
        <w:t>el Comité de Comercio Exterior</w:t>
      </w:r>
      <w:r w:rsidRPr="003264E2">
        <w:rPr>
          <w:rFonts w:cs="Times New Roman"/>
          <w:szCs w:val="24"/>
        </w:rPr>
        <w:t>, que estableció una restricción para la importación de teléfonos celulares, la cual entró en vigencia en junio del 2012. Debido a la disminución de cupos de importación y salvaguardias para las operadoras locales</w:t>
      </w:r>
      <w:r>
        <w:rPr>
          <w:rFonts w:cs="Times New Roman"/>
          <w:szCs w:val="24"/>
        </w:rPr>
        <w:t>,</w:t>
      </w:r>
      <w:r w:rsidRPr="003264E2">
        <w:rPr>
          <w:rFonts w:cs="Times New Roman"/>
          <w:szCs w:val="24"/>
        </w:rPr>
        <w:t xml:space="preserve"> </w:t>
      </w:r>
      <w:r>
        <w:rPr>
          <w:rFonts w:cs="Times New Roman"/>
          <w:szCs w:val="24"/>
        </w:rPr>
        <w:t xml:space="preserve">se limitó </w:t>
      </w:r>
      <w:r w:rsidRPr="003264E2">
        <w:rPr>
          <w:rFonts w:cs="Times New Roman"/>
          <w:szCs w:val="24"/>
        </w:rPr>
        <w:t>su inventario</w:t>
      </w:r>
      <w:r>
        <w:rPr>
          <w:rFonts w:cs="Times New Roman"/>
          <w:szCs w:val="24"/>
        </w:rPr>
        <w:t xml:space="preserve"> y en consecuencia</w:t>
      </w:r>
      <w:r w:rsidRPr="003264E2">
        <w:rPr>
          <w:rFonts w:cs="Times New Roman"/>
          <w:szCs w:val="24"/>
        </w:rPr>
        <w:t xml:space="preserve"> aument</w:t>
      </w:r>
      <w:r>
        <w:rPr>
          <w:rFonts w:cs="Times New Roman"/>
          <w:szCs w:val="24"/>
        </w:rPr>
        <w:t>aron</w:t>
      </w:r>
      <w:r w:rsidRPr="003264E2">
        <w:rPr>
          <w:rFonts w:cs="Times New Roman"/>
          <w:szCs w:val="24"/>
        </w:rPr>
        <w:t xml:space="preserve"> los precios de los equipos celulares importados terminados</w:t>
      </w:r>
      <w:r>
        <w:rPr>
          <w:rFonts w:cs="Times New Roman"/>
          <w:szCs w:val="24"/>
        </w:rPr>
        <w:t>;</w:t>
      </w:r>
      <w:r w:rsidRPr="003264E2">
        <w:rPr>
          <w:rFonts w:cs="Times New Roman"/>
          <w:szCs w:val="24"/>
        </w:rPr>
        <w:t xml:space="preserve"> </w:t>
      </w:r>
      <w:r>
        <w:rPr>
          <w:rFonts w:cs="Times New Roman"/>
          <w:szCs w:val="24"/>
        </w:rPr>
        <w:t xml:space="preserve">esto </w:t>
      </w:r>
      <w:r w:rsidRPr="003264E2">
        <w:rPr>
          <w:rFonts w:cs="Times New Roman"/>
          <w:szCs w:val="24"/>
        </w:rPr>
        <w:t>increment</w:t>
      </w:r>
      <w:r>
        <w:rPr>
          <w:rFonts w:cs="Times New Roman"/>
          <w:szCs w:val="24"/>
        </w:rPr>
        <w:t>ó</w:t>
      </w:r>
      <w:r w:rsidRPr="003264E2">
        <w:rPr>
          <w:rFonts w:cs="Times New Roman"/>
          <w:szCs w:val="24"/>
        </w:rPr>
        <w:t xml:space="preserve"> considerablemente la demanda de equipos celulares ensamblados localmente. </w:t>
      </w:r>
    </w:p>
    <w:p w14:paraId="77953CF9" w14:textId="77777777" w:rsidR="008033D3" w:rsidRPr="003264E2" w:rsidRDefault="008033D3" w:rsidP="008033D3">
      <w:pPr>
        <w:spacing w:line="360" w:lineRule="auto"/>
        <w:rPr>
          <w:rFonts w:cs="Times New Roman"/>
          <w:szCs w:val="24"/>
        </w:rPr>
      </w:pPr>
      <w:r w:rsidRPr="003264E2">
        <w:rPr>
          <w:rFonts w:cs="Times New Roman"/>
          <w:szCs w:val="24"/>
        </w:rPr>
        <w:t>Uno de los productores</w:t>
      </w:r>
      <w:r>
        <w:rPr>
          <w:rFonts w:cs="Times New Roman"/>
          <w:szCs w:val="24"/>
        </w:rPr>
        <w:t xml:space="preserve"> llamado </w:t>
      </w:r>
      <w:proofErr w:type="spellStart"/>
      <w:r>
        <w:rPr>
          <w:rFonts w:cs="Times New Roman"/>
          <w:szCs w:val="24"/>
        </w:rPr>
        <w:t>Hipertronics</w:t>
      </w:r>
      <w:proofErr w:type="spellEnd"/>
      <w:r w:rsidRPr="003264E2">
        <w:rPr>
          <w:rFonts w:cs="Times New Roman"/>
          <w:szCs w:val="24"/>
        </w:rPr>
        <w:t xml:space="preserve"> situado en Cuenca inaugura a principios de 2014 su primera planta de producción en serie de tarjetas electrónicas para el ensamblaje tanto de teléfonos móviles como computadores. La ensambladora</w:t>
      </w:r>
      <w:r>
        <w:rPr>
          <w:rFonts w:cs="Times New Roman"/>
          <w:szCs w:val="24"/>
        </w:rPr>
        <w:t>,</w:t>
      </w:r>
      <w:r w:rsidRPr="003264E2">
        <w:rPr>
          <w:rFonts w:cs="Times New Roman"/>
          <w:szCs w:val="24"/>
        </w:rPr>
        <w:t xml:space="preserve"> al ser una empresa proveedora</w:t>
      </w:r>
      <w:r>
        <w:rPr>
          <w:rFonts w:cs="Times New Roman"/>
          <w:szCs w:val="24"/>
        </w:rPr>
        <w:t>,</w:t>
      </w:r>
      <w:r w:rsidRPr="003264E2">
        <w:rPr>
          <w:rFonts w:cs="Times New Roman"/>
          <w:szCs w:val="24"/>
        </w:rPr>
        <w:t xml:space="preserve"> </w:t>
      </w:r>
      <w:r w:rsidRPr="003264E2">
        <w:rPr>
          <w:rFonts w:cs="Times New Roman"/>
          <w:szCs w:val="24"/>
        </w:rPr>
        <w:lastRenderedPageBreak/>
        <w:t xml:space="preserve">depende de la industria de ensamblaje de equipos y tiene proyecciones y capacidad instalada para no solamente incursionar en el mercado nacional, sino también incidir en el mercado internacional. </w:t>
      </w:r>
    </w:p>
    <w:p w14:paraId="33510223" w14:textId="77777777" w:rsidR="008033D3" w:rsidRPr="003264E2" w:rsidRDefault="008033D3" w:rsidP="008033D3">
      <w:pPr>
        <w:spacing w:line="360" w:lineRule="auto"/>
        <w:rPr>
          <w:rFonts w:cs="Times New Roman"/>
          <w:szCs w:val="24"/>
        </w:rPr>
      </w:pPr>
      <w:r w:rsidRPr="003264E2">
        <w:rPr>
          <w:rFonts w:cs="Times New Roman"/>
          <w:szCs w:val="24"/>
        </w:rPr>
        <w:t xml:space="preserve">Empresas como </w:t>
      </w:r>
      <w:proofErr w:type="spellStart"/>
      <w:r w:rsidRPr="003264E2">
        <w:rPr>
          <w:rFonts w:cs="Times New Roman"/>
          <w:szCs w:val="24"/>
        </w:rPr>
        <w:t>Hipertronics</w:t>
      </w:r>
      <w:proofErr w:type="spellEnd"/>
      <w:r w:rsidRPr="003264E2">
        <w:rPr>
          <w:rFonts w:cs="Times New Roman"/>
          <w:szCs w:val="24"/>
        </w:rPr>
        <w:t xml:space="preserve">, de carácter nacional, toman la decisión luego de que el Estado ecuatoriano emita la resolución de poner cupo a la importación de celulares.  Esta empresa se propuso armar terminales telefónicas para el mercado nacional, obteniendo las partes de los teléfonos de fabricación china, el centro de operación de la misma está en Cuenca con la marca estadounidense Blue.  </w:t>
      </w:r>
    </w:p>
    <w:p w14:paraId="45CBBEEC" w14:textId="77777777" w:rsidR="008033D3" w:rsidRPr="003264E2" w:rsidRDefault="008033D3" w:rsidP="008033D3">
      <w:pPr>
        <w:spacing w:line="360" w:lineRule="auto"/>
        <w:rPr>
          <w:rFonts w:cs="Times New Roman"/>
          <w:szCs w:val="24"/>
        </w:rPr>
      </w:pPr>
      <w:r w:rsidRPr="003264E2">
        <w:rPr>
          <w:rFonts w:cs="Times New Roman"/>
          <w:szCs w:val="24"/>
        </w:rPr>
        <w:t>Hasta el momento, el mayor escollo que tenía la industria ensambladora era una nota complementaria del Comité de Comercio Exterior (</w:t>
      </w:r>
      <w:proofErr w:type="spellStart"/>
      <w:r w:rsidRPr="003264E2">
        <w:rPr>
          <w:rFonts w:cs="Times New Roman"/>
          <w:szCs w:val="24"/>
        </w:rPr>
        <w:t>Comex</w:t>
      </w:r>
      <w:proofErr w:type="spellEnd"/>
      <w:r w:rsidRPr="003264E2">
        <w:rPr>
          <w:rFonts w:cs="Times New Roman"/>
          <w:szCs w:val="24"/>
        </w:rPr>
        <w:t>), que exigía que todas las partes y piezas (como el conector de un móvil) lleguen por separado y sean soldadas en el país, lo cual no era técnicamente posible, porque muchas secciones deben ser unidas usando un robot.</w:t>
      </w:r>
      <w:r>
        <w:rPr>
          <w:rFonts w:cs="Times New Roman"/>
          <w:szCs w:val="24"/>
        </w:rPr>
        <w:t xml:space="preserve"> Gabriel F.</w:t>
      </w:r>
      <w:r w:rsidRPr="003264E2">
        <w:rPr>
          <w:rFonts w:cs="Times New Roman"/>
          <w:szCs w:val="24"/>
        </w:rPr>
        <w:t xml:space="preserve"> Garcés</w:t>
      </w:r>
      <w:r>
        <w:rPr>
          <w:rFonts w:cs="Times New Roman"/>
          <w:szCs w:val="24"/>
        </w:rPr>
        <w:t>, Presidente de la Asociación de Ensambladores Electrónicos y Eléctricos del Ecuador</w:t>
      </w:r>
      <w:r w:rsidRPr="003264E2">
        <w:rPr>
          <w:rFonts w:cs="Times New Roman"/>
          <w:szCs w:val="24"/>
        </w:rPr>
        <w:t xml:space="preserve"> en una entrevista del Diario El Telégrafo indicó que el organismo levantó su vigencia y abrió la posibilidad de ensamblar modelos más avanzados. </w:t>
      </w:r>
      <w:sdt>
        <w:sdtPr>
          <w:rPr>
            <w:rFonts w:cs="Times New Roman"/>
            <w:szCs w:val="24"/>
          </w:rPr>
          <w:id w:val="-579055872"/>
          <w:citation/>
        </w:sdtPr>
        <w:sdtEndPr/>
        <w:sdtContent>
          <w:r w:rsidRPr="003264E2">
            <w:rPr>
              <w:rFonts w:cs="Times New Roman"/>
              <w:szCs w:val="24"/>
            </w:rPr>
            <w:fldChar w:fldCharType="begin"/>
          </w:r>
          <w:r w:rsidRPr="003264E2">
            <w:rPr>
              <w:rFonts w:cs="Times New Roman"/>
              <w:szCs w:val="24"/>
            </w:rPr>
            <w:instrText xml:space="preserve"> CITATION Tel15 \l 3082 </w:instrText>
          </w:r>
          <w:r w:rsidRPr="003264E2">
            <w:rPr>
              <w:rFonts w:cs="Times New Roman"/>
              <w:szCs w:val="24"/>
            </w:rPr>
            <w:fldChar w:fldCharType="separate"/>
          </w:r>
          <w:r w:rsidRPr="003264E2">
            <w:rPr>
              <w:rFonts w:cs="Times New Roman"/>
              <w:noProof/>
              <w:szCs w:val="24"/>
            </w:rPr>
            <w:t>(Telégrafo, 2015)</w:t>
          </w:r>
          <w:r w:rsidRPr="003264E2">
            <w:rPr>
              <w:rFonts w:cs="Times New Roman"/>
              <w:szCs w:val="24"/>
            </w:rPr>
            <w:fldChar w:fldCharType="end"/>
          </w:r>
        </w:sdtContent>
      </w:sdt>
      <w:r w:rsidRPr="003264E2">
        <w:rPr>
          <w:rFonts w:cs="Times New Roman"/>
          <w:szCs w:val="24"/>
        </w:rPr>
        <w:t xml:space="preserve"> </w:t>
      </w:r>
    </w:p>
    <w:p w14:paraId="34684524" w14:textId="77777777" w:rsidR="008033D3" w:rsidRPr="003264E2" w:rsidRDefault="008033D3" w:rsidP="008033D3">
      <w:pPr>
        <w:spacing w:line="360" w:lineRule="auto"/>
        <w:rPr>
          <w:rFonts w:cs="Times New Roman"/>
          <w:szCs w:val="24"/>
        </w:rPr>
      </w:pPr>
      <w:r w:rsidRPr="003264E2">
        <w:rPr>
          <w:rFonts w:cs="Times New Roman"/>
          <w:szCs w:val="24"/>
        </w:rPr>
        <w:t xml:space="preserve">A finales de diciembre de 2015 el Ministerio de Comercio Exterior anunció que 129 productos se encuentran exonerados de salvaguardias en la resolución 46 del COMEX. Por pedido del sector productivo se solicitó la entrega de estas exoneraciones por la llegada del Fenómeno del Niño y previamente la posible erupción del Volcán Cotopaxi. </w:t>
      </w:r>
    </w:p>
    <w:p w14:paraId="1F315504" w14:textId="27BC671E" w:rsidR="008033D3" w:rsidRPr="003264E2" w:rsidRDefault="008033D3" w:rsidP="008033D3">
      <w:pPr>
        <w:spacing w:line="360" w:lineRule="auto"/>
        <w:rPr>
          <w:rFonts w:cs="Times New Roman"/>
          <w:szCs w:val="24"/>
        </w:rPr>
      </w:pPr>
      <w:r w:rsidRPr="003264E2">
        <w:rPr>
          <w:rFonts w:cs="Times New Roman"/>
          <w:szCs w:val="24"/>
        </w:rPr>
        <w:t xml:space="preserve">Desde el 2012 el gobierno fijó cupos anuales para la importación de celulares en </w:t>
      </w:r>
      <w:r>
        <w:rPr>
          <w:rFonts w:cs="Times New Roman"/>
          <w:szCs w:val="24"/>
        </w:rPr>
        <w:t>US</w:t>
      </w:r>
      <w:r w:rsidRPr="003264E2">
        <w:rPr>
          <w:rFonts w:cs="Times New Roman"/>
          <w:szCs w:val="24"/>
        </w:rPr>
        <w:t>$146 millones o hasta 2 millones de unidades lo cual permitía a las ensambladoras tener mercado para poder llenar los más de 3 millones de unidades de demanda anual. El 30 de diciembre de 2015 en una sesión plenaria</w:t>
      </w:r>
      <w:r>
        <w:rPr>
          <w:rFonts w:cs="Times New Roman"/>
          <w:szCs w:val="24"/>
        </w:rPr>
        <w:t>,</w:t>
      </w:r>
      <w:r w:rsidRPr="003264E2">
        <w:rPr>
          <w:rFonts w:cs="Times New Roman"/>
          <w:szCs w:val="24"/>
        </w:rPr>
        <w:t xml:space="preserve"> el COMEX determinó en la Resolución 049 que las operadoras de telefonía móvil, importadores e incluso personas naturales podrán importar celulares con un cupo global que asciende a </w:t>
      </w:r>
      <w:r>
        <w:rPr>
          <w:rFonts w:cs="Times New Roman"/>
          <w:szCs w:val="24"/>
        </w:rPr>
        <w:t>US</w:t>
      </w:r>
      <w:r w:rsidRPr="003264E2">
        <w:rPr>
          <w:rFonts w:cs="Times New Roman"/>
          <w:szCs w:val="24"/>
        </w:rPr>
        <w:t xml:space="preserve">$250 millones para todo el 2016 en contraste a los </w:t>
      </w:r>
      <w:r>
        <w:rPr>
          <w:rFonts w:cs="Times New Roman"/>
          <w:szCs w:val="24"/>
        </w:rPr>
        <w:t>US</w:t>
      </w:r>
      <w:r w:rsidRPr="003264E2">
        <w:rPr>
          <w:rFonts w:cs="Times New Roman"/>
          <w:szCs w:val="24"/>
        </w:rPr>
        <w:t xml:space="preserve">$200 millones de 2015. Para la importación bajo régimen de consumo, todos los importadores registrados en </w:t>
      </w:r>
      <w:proofErr w:type="spellStart"/>
      <w:r w:rsidRPr="003264E2">
        <w:rPr>
          <w:rFonts w:cs="Times New Roman"/>
          <w:szCs w:val="24"/>
        </w:rPr>
        <w:t>Ecuapass</w:t>
      </w:r>
      <w:proofErr w:type="spellEnd"/>
      <w:r w:rsidRPr="003264E2">
        <w:rPr>
          <w:rFonts w:cs="Times New Roman"/>
          <w:szCs w:val="24"/>
        </w:rPr>
        <w:t xml:space="preserve">, sistema electrónico aduanero, </w:t>
      </w:r>
      <w:r w:rsidR="004508CB" w:rsidRPr="003264E2">
        <w:rPr>
          <w:rFonts w:cs="Times New Roman"/>
          <w:szCs w:val="24"/>
        </w:rPr>
        <w:t>p</w:t>
      </w:r>
      <w:r w:rsidR="004508CB">
        <w:rPr>
          <w:rFonts w:cs="Times New Roman"/>
          <w:szCs w:val="24"/>
        </w:rPr>
        <w:t>ueden</w:t>
      </w:r>
      <w:r w:rsidR="004508CB" w:rsidRPr="003264E2">
        <w:rPr>
          <w:rFonts w:cs="Times New Roman"/>
          <w:szCs w:val="24"/>
        </w:rPr>
        <w:t xml:space="preserve"> aplicar</w:t>
      </w:r>
      <w:r w:rsidRPr="003264E2">
        <w:rPr>
          <w:rFonts w:cs="Times New Roman"/>
          <w:szCs w:val="24"/>
        </w:rPr>
        <w:t xml:space="preserve"> para poder importar celulares. Con esta medida las importaciones podrían llegar a 2,6 millones de unidades entre teléfonos inteligentes y otros dispositivos relacionados a redes inalámbricas. Las 33 </w:t>
      </w:r>
      <w:r w:rsidRPr="003264E2">
        <w:rPr>
          <w:rFonts w:cs="Times New Roman"/>
          <w:szCs w:val="24"/>
        </w:rPr>
        <w:lastRenderedPageBreak/>
        <w:t>importadoras de celulares t</w:t>
      </w:r>
      <w:r>
        <w:rPr>
          <w:rFonts w:cs="Times New Roman"/>
          <w:szCs w:val="24"/>
        </w:rPr>
        <w:t>ienen</w:t>
      </w:r>
      <w:r w:rsidRPr="003264E2">
        <w:rPr>
          <w:rFonts w:cs="Times New Roman"/>
          <w:szCs w:val="24"/>
        </w:rPr>
        <w:t xml:space="preserve"> un cupo global, pero deberán acordar entre ellas las formas de utilizarlo. </w:t>
      </w:r>
      <w:sdt>
        <w:sdtPr>
          <w:rPr>
            <w:rFonts w:cs="Times New Roman"/>
            <w:szCs w:val="24"/>
          </w:rPr>
          <w:id w:val="-178203097"/>
          <w:citation/>
        </w:sdtPr>
        <w:sdtEndPr/>
        <w:sdtContent>
          <w:r w:rsidRPr="003264E2">
            <w:rPr>
              <w:rFonts w:cs="Times New Roman"/>
              <w:szCs w:val="24"/>
            </w:rPr>
            <w:fldChar w:fldCharType="begin"/>
          </w:r>
          <w:r w:rsidRPr="003264E2">
            <w:rPr>
              <w:rFonts w:cs="Times New Roman"/>
              <w:szCs w:val="24"/>
            </w:rPr>
            <w:instrText xml:space="preserve">CITATION Com151 \l 3082 </w:instrText>
          </w:r>
          <w:r w:rsidRPr="003264E2">
            <w:rPr>
              <w:rFonts w:cs="Times New Roman"/>
              <w:szCs w:val="24"/>
            </w:rPr>
            <w:fldChar w:fldCharType="separate"/>
          </w:r>
          <w:r w:rsidRPr="003264E2">
            <w:rPr>
              <w:rFonts w:cs="Times New Roman"/>
              <w:noProof/>
              <w:szCs w:val="24"/>
            </w:rPr>
            <w:t>(Comercio, 2015)</w:t>
          </w:r>
          <w:r w:rsidRPr="003264E2">
            <w:rPr>
              <w:rFonts w:cs="Times New Roman"/>
              <w:szCs w:val="24"/>
            </w:rPr>
            <w:fldChar w:fldCharType="end"/>
          </w:r>
        </w:sdtContent>
      </w:sdt>
    </w:p>
    <w:p w14:paraId="42973340" w14:textId="77777777" w:rsidR="008033D3" w:rsidRPr="003264E2" w:rsidRDefault="008033D3" w:rsidP="008033D3">
      <w:pPr>
        <w:spacing w:line="360" w:lineRule="auto"/>
        <w:rPr>
          <w:rFonts w:cs="Times New Roman"/>
          <w:szCs w:val="24"/>
        </w:rPr>
      </w:pPr>
      <w:r w:rsidRPr="003264E2">
        <w:rPr>
          <w:rFonts w:cs="Times New Roman"/>
          <w:szCs w:val="24"/>
        </w:rPr>
        <w:t>Los UDS$250 millones de cupo se encuentran distribuidos dependiendo de la estacionalidad de la siguiente manera:</w:t>
      </w:r>
    </w:p>
    <w:p w14:paraId="3D95EBF3" w14:textId="77777777" w:rsidR="008033D3" w:rsidRDefault="008033D3" w:rsidP="008033D3">
      <w:pPr>
        <w:pStyle w:val="Estilo3"/>
        <w:rPr>
          <w:noProof/>
        </w:rPr>
      </w:pPr>
      <w:bookmarkStart w:id="32" w:name="_Toc442343925"/>
      <w:r>
        <w:rPr>
          <w:noProof/>
        </w:rPr>
        <w:t>Cuadro 1.</w:t>
      </w:r>
      <w:bookmarkEnd w:id="32"/>
    </w:p>
    <w:p w14:paraId="3B89B0FB" w14:textId="77777777" w:rsidR="008033D3" w:rsidRDefault="008033D3" w:rsidP="008033D3">
      <w:pPr>
        <w:spacing w:line="360" w:lineRule="auto"/>
        <w:jc w:val="center"/>
        <w:rPr>
          <w:rFonts w:cs="Times New Roman"/>
          <w:szCs w:val="24"/>
        </w:rPr>
      </w:pPr>
      <w:r>
        <w:rPr>
          <w:rFonts w:cs="Times New Roman"/>
          <w:noProof/>
          <w:szCs w:val="24"/>
          <w:lang w:eastAsia="es-ES"/>
        </w:rPr>
        <w:t>Cupo trimestral de importación de celulares</w:t>
      </w:r>
      <w:r>
        <w:rPr>
          <w:rStyle w:val="Refdecomentario"/>
        </w:rPr>
        <w:t>.</w:t>
      </w:r>
    </w:p>
    <w:tbl>
      <w:tblPr>
        <w:tblW w:w="9591" w:type="dxa"/>
        <w:jc w:val="center"/>
        <w:tblCellMar>
          <w:left w:w="70" w:type="dxa"/>
          <w:right w:w="70" w:type="dxa"/>
        </w:tblCellMar>
        <w:tblLook w:val="04A0" w:firstRow="1" w:lastRow="0" w:firstColumn="1" w:lastColumn="0" w:noHBand="0" w:noVBand="1"/>
      </w:tblPr>
      <w:tblGrid>
        <w:gridCol w:w="2425"/>
        <w:gridCol w:w="2317"/>
        <w:gridCol w:w="2409"/>
        <w:gridCol w:w="2440"/>
      </w:tblGrid>
      <w:tr w:rsidR="008033D3" w:rsidRPr="00A87D66" w14:paraId="5DDC5978" w14:textId="77777777" w:rsidTr="009E77CA">
        <w:trPr>
          <w:trHeight w:val="570"/>
          <w:jc w:val="center"/>
        </w:trPr>
        <w:tc>
          <w:tcPr>
            <w:tcW w:w="2425" w:type="dxa"/>
            <w:tcBorders>
              <w:top w:val="single" w:sz="12" w:space="0" w:color="auto"/>
              <w:left w:val="nil"/>
              <w:bottom w:val="single" w:sz="12" w:space="0" w:color="auto"/>
              <w:right w:val="nil"/>
            </w:tcBorders>
            <w:shd w:val="clear" w:color="FFFFFF" w:fill="FFFFFF"/>
            <w:noWrap/>
            <w:hideMark/>
          </w:tcPr>
          <w:p w14:paraId="2C574FA6" w14:textId="77777777" w:rsidR="008033D3" w:rsidRPr="00A87D66" w:rsidRDefault="008033D3" w:rsidP="009E77CA">
            <w:pPr>
              <w:spacing w:after="0" w:line="240" w:lineRule="auto"/>
              <w:rPr>
                <w:rFonts w:eastAsia="Times New Roman" w:cs="Times New Roman"/>
                <w:b/>
                <w:bCs/>
                <w:color w:val="000000"/>
                <w:szCs w:val="24"/>
                <w:lang w:eastAsia="es-ES"/>
              </w:rPr>
            </w:pPr>
            <w:r w:rsidRPr="00A87D66">
              <w:rPr>
                <w:rFonts w:eastAsia="Times New Roman" w:cs="Times New Roman"/>
                <w:b/>
                <w:bCs/>
                <w:color w:val="000000"/>
                <w:szCs w:val="24"/>
                <w:lang w:eastAsia="es-ES"/>
              </w:rPr>
              <w:t>Primer Trimestre</w:t>
            </w:r>
          </w:p>
        </w:tc>
        <w:tc>
          <w:tcPr>
            <w:tcW w:w="2317" w:type="dxa"/>
            <w:tcBorders>
              <w:top w:val="single" w:sz="12" w:space="0" w:color="auto"/>
              <w:left w:val="nil"/>
              <w:bottom w:val="single" w:sz="12" w:space="0" w:color="auto"/>
              <w:right w:val="nil"/>
            </w:tcBorders>
            <w:shd w:val="clear" w:color="FFFFFF" w:fill="FFFFFF"/>
            <w:noWrap/>
            <w:hideMark/>
          </w:tcPr>
          <w:p w14:paraId="2C974B34" w14:textId="77777777" w:rsidR="008033D3" w:rsidRPr="00A87D66" w:rsidRDefault="008033D3" w:rsidP="009E77CA">
            <w:pPr>
              <w:spacing w:after="0" w:line="240" w:lineRule="auto"/>
              <w:rPr>
                <w:rFonts w:eastAsia="Times New Roman" w:cs="Times New Roman"/>
                <w:b/>
                <w:bCs/>
                <w:color w:val="000000"/>
                <w:szCs w:val="24"/>
                <w:lang w:eastAsia="es-ES"/>
              </w:rPr>
            </w:pPr>
            <w:r w:rsidRPr="00A87D66">
              <w:rPr>
                <w:rFonts w:eastAsia="Times New Roman" w:cs="Times New Roman"/>
                <w:b/>
                <w:bCs/>
                <w:color w:val="000000"/>
                <w:szCs w:val="24"/>
                <w:lang w:eastAsia="es-ES"/>
              </w:rPr>
              <w:t>Segundo Trimestre</w:t>
            </w:r>
          </w:p>
        </w:tc>
        <w:tc>
          <w:tcPr>
            <w:tcW w:w="2409" w:type="dxa"/>
            <w:tcBorders>
              <w:top w:val="single" w:sz="12" w:space="0" w:color="000000" w:themeColor="text1"/>
              <w:left w:val="nil"/>
              <w:bottom w:val="nil"/>
              <w:right w:val="nil"/>
            </w:tcBorders>
            <w:shd w:val="clear" w:color="FFFFFF" w:fill="FFFFFF"/>
            <w:noWrap/>
            <w:hideMark/>
          </w:tcPr>
          <w:p w14:paraId="432CD0B3" w14:textId="77777777" w:rsidR="008033D3" w:rsidRPr="00A87D66" w:rsidRDefault="008033D3" w:rsidP="009E77CA">
            <w:pPr>
              <w:spacing w:after="0" w:line="240" w:lineRule="auto"/>
              <w:rPr>
                <w:rFonts w:eastAsia="Times New Roman" w:cs="Times New Roman"/>
                <w:b/>
                <w:bCs/>
                <w:color w:val="000000"/>
                <w:szCs w:val="24"/>
                <w:lang w:eastAsia="es-ES"/>
              </w:rPr>
            </w:pPr>
            <w:r w:rsidRPr="00A87D66">
              <w:rPr>
                <w:rFonts w:eastAsia="Times New Roman" w:cs="Times New Roman"/>
                <w:b/>
                <w:bCs/>
                <w:color w:val="000000"/>
                <w:szCs w:val="24"/>
                <w:lang w:eastAsia="es-ES"/>
              </w:rPr>
              <w:t>Tercer Trimestre</w:t>
            </w:r>
          </w:p>
        </w:tc>
        <w:tc>
          <w:tcPr>
            <w:tcW w:w="2440" w:type="dxa"/>
            <w:tcBorders>
              <w:top w:val="single" w:sz="12" w:space="0" w:color="auto"/>
              <w:left w:val="nil"/>
              <w:bottom w:val="single" w:sz="12" w:space="0" w:color="auto"/>
              <w:right w:val="nil"/>
            </w:tcBorders>
            <w:shd w:val="clear" w:color="FFFFFF" w:fill="FFFFFF"/>
            <w:noWrap/>
            <w:hideMark/>
          </w:tcPr>
          <w:p w14:paraId="294F2F75" w14:textId="77777777" w:rsidR="008033D3" w:rsidRPr="00A87D66" w:rsidRDefault="008033D3" w:rsidP="009E77CA">
            <w:pPr>
              <w:spacing w:after="0" w:line="240" w:lineRule="auto"/>
              <w:rPr>
                <w:rFonts w:eastAsia="Times New Roman" w:cs="Times New Roman"/>
                <w:b/>
                <w:bCs/>
                <w:color w:val="000000"/>
                <w:szCs w:val="24"/>
                <w:lang w:eastAsia="es-ES"/>
              </w:rPr>
            </w:pPr>
            <w:r w:rsidRPr="00A87D66">
              <w:rPr>
                <w:rFonts w:eastAsia="Times New Roman" w:cs="Times New Roman"/>
                <w:b/>
                <w:bCs/>
                <w:color w:val="000000"/>
                <w:szCs w:val="24"/>
                <w:lang w:eastAsia="es-ES"/>
              </w:rPr>
              <w:t>Cuarto Trimestre</w:t>
            </w:r>
          </w:p>
        </w:tc>
      </w:tr>
      <w:tr w:rsidR="008033D3" w:rsidRPr="00A87D66" w14:paraId="0DD7FE5B" w14:textId="77777777" w:rsidTr="009E77CA">
        <w:trPr>
          <w:trHeight w:val="510"/>
          <w:jc w:val="center"/>
        </w:trPr>
        <w:tc>
          <w:tcPr>
            <w:tcW w:w="2425" w:type="dxa"/>
            <w:tcBorders>
              <w:top w:val="nil"/>
              <w:left w:val="nil"/>
              <w:bottom w:val="nil"/>
              <w:right w:val="nil"/>
            </w:tcBorders>
            <w:shd w:val="clear" w:color="FFFFFF" w:fill="FFFFFF"/>
            <w:noWrap/>
            <w:hideMark/>
          </w:tcPr>
          <w:p w14:paraId="696132BF" w14:textId="77777777" w:rsidR="008033D3" w:rsidRPr="00A87D66" w:rsidRDefault="008033D3" w:rsidP="009E77CA">
            <w:pPr>
              <w:spacing w:after="0" w:line="240" w:lineRule="auto"/>
              <w:rPr>
                <w:rFonts w:eastAsia="Times New Roman" w:cs="Times New Roman"/>
                <w:color w:val="000000"/>
                <w:szCs w:val="24"/>
                <w:lang w:eastAsia="es-ES"/>
              </w:rPr>
            </w:pPr>
            <w:r w:rsidRPr="00A87D66">
              <w:rPr>
                <w:rFonts w:eastAsia="Times New Roman" w:cs="Times New Roman"/>
                <w:color w:val="000000"/>
                <w:szCs w:val="24"/>
                <w:lang w:eastAsia="es-ES"/>
              </w:rPr>
              <w:t>US$50 MILLONES</w:t>
            </w:r>
          </w:p>
        </w:tc>
        <w:tc>
          <w:tcPr>
            <w:tcW w:w="2317" w:type="dxa"/>
            <w:tcBorders>
              <w:top w:val="nil"/>
              <w:left w:val="nil"/>
              <w:bottom w:val="nil"/>
              <w:right w:val="nil"/>
            </w:tcBorders>
            <w:shd w:val="clear" w:color="FFFFFF" w:fill="FFFFFF"/>
            <w:noWrap/>
            <w:hideMark/>
          </w:tcPr>
          <w:p w14:paraId="50E4C7A4" w14:textId="77777777" w:rsidR="008033D3" w:rsidRPr="00A87D66" w:rsidRDefault="008033D3" w:rsidP="009E77CA">
            <w:pPr>
              <w:spacing w:after="0" w:line="240" w:lineRule="auto"/>
              <w:rPr>
                <w:rFonts w:eastAsia="Times New Roman" w:cs="Times New Roman"/>
                <w:color w:val="000000"/>
                <w:szCs w:val="24"/>
                <w:lang w:eastAsia="es-ES"/>
              </w:rPr>
            </w:pPr>
            <w:r w:rsidRPr="00A87D66">
              <w:rPr>
                <w:rFonts w:eastAsia="Times New Roman" w:cs="Times New Roman"/>
                <w:color w:val="000000"/>
                <w:szCs w:val="24"/>
                <w:lang w:eastAsia="es-ES"/>
              </w:rPr>
              <w:t xml:space="preserve">US$74 MILLONES </w:t>
            </w:r>
          </w:p>
        </w:tc>
        <w:tc>
          <w:tcPr>
            <w:tcW w:w="2409" w:type="dxa"/>
            <w:tcBorders>
              <w:top w:val="single" w:sz="12" w:space="0" w:color="auto"/>
              <w:left w:val="nil"/>
              <w:bottom w:val="nil"/>
              <w:right w:val="nil"/>
            </w:tcBorders>
            <w:shd w:val="clear" w:color="FFFFFF" w:fill="FFFFFF"/>
            <w:noWrap/>
            <w:hideMark/>
          </w:tcPr>
          <w:p w14:paraId="73CBBAE3" w14:textId="77777777" w:rsidR="008033D3" w:rsidRPr="00A87D66" w:rsidRDefault="008033D3" w:rsidP="009E77CA">
            <w:pPr>
              <w:spacing w:after="0" w:line="240" w:lineRule="auto"/>
              <w:rPr>
                <w:rFonts w:eastAsia="Times New Roman" w:cs="Times New Roman"/>
                <w:color w:val="000000"/>
                <w:szCs w:val="24"/>
                <w:lang w:eastAsia="es-ES"/>
              </w:rPr>
            </w:pPr>
            <w:r w:rsidRPr="00A87D66">
              <w:rPr>
                <w:rFonts w:eastAsia="Times New Roman" w:cs="Times New Roman"/>
                <w:color w:val="000000"/>
                <w:szCs w:val="24"/>
                <w:lang w:eastAsia="es-ES"/>
              </w:rPr>
              <w:t xml:space="preserve">US$52 MILLONES </w:t>
            </w:r>
          </w:p>
        </w:tc>
        <w:tc>
          <w:tcPr>
            <w:tcW w:w="2440" w:type="dxa"/>
            <w:tcBorders>
              <w:top w:val="nil"/>
              <w:left w:val="nil"/>
              <w:bottom w:val="nil"/>
              <w:right w:val="nil"/>
            </w:tcBorders>
            <w:shd w:val="clear" w:color="FFFFFF" w:fill="FFFFFF"/>
            <w:noWrap/>
            <w:hideMark/>
          </w:tcPr>
          <w:p w14:paraId="69CD8E46" w14:textId="77777777" w:rsidR="008033D3" w:rsidRPr="00A87D66" w:rsidRDefault="008033D3" w:rsidP="009E77CA">
            <w:pPr>
              <w:spacing w:after="0" w:line="240" w:lineRule="auto"/>
              <w:ind w:left="-362" w:firstLine="362"/>
              <w:rPr>
                <w:rFonts w:eastAsia="Times New Roman" w:cs="Times New Roman"/>
                <w:color w:val="000000"/>
                <w:szCs w:val="24"/>
                <w:lang w:eastAsia="es-ES"/>
              </w:rPr>
            </w:pPr>
            <w:r w:rsidRPr="00A87D66">
              <w:rPr>
                <w:rFonts w:eastAsia="Times New Roman" w:cs="Times New Roman"/>
                <w:color w:val="000000"/>
                <w:szCs w:val="24"/>
                <w:lang w:eastAsia="es-ES"/>
              </w:rPr>
              <w:t xml:space="preserve">US$73 MILLONES </w:t>
            </w:r>
          </w:p>
        </w:tc>
      </w:tr>
      <w:tr w:rsidR="008033D3" w:rsidRPr="00A87D66" w14:paraId="057AE08E" w14:textId="77777777" w:rsidTr="009E77CA">
        <w:trPr>
          <w:trHeight w:val="510"/>
          <w:jc w:val="center"/>
        </w:trPr>
        <w:tc>
          <w:tcPr>
            <w:tcW w:w="2425" w:type="dxa"/>
            <w:tcBorders>
              <w:top w:val="nil"/>
              <w:left w:val="nil"/>
              <w:bottom w:val="single" w:sz="8" w:space="0" w:color="auto"/>
              <w:right w:val="nil"/>
            </w:tcBorders>
            <w:shd w:val="clear" w:color="FFFFFF" w:fill="FFFFFF"/>
            <w:noWrap/>
            <w:hideMark/>
          </w:tcPr>
          <w:p w14:paraId="3245A441" w14:textId="77777777" w:rsidR="008033D3" w:rsidRPr="00A87D66" w:rsidRDefault="008033D3" w:rsidP="009E77CA">
            <w:pPr>
              <w:spacing w:after="0" w:line="240" w:lineRule="auto"/>
              <w:rPr>
                <w:rFonts w:eastAsia="Times New Roman" w:cs="Times New Roman"/>
                <w:color w:val="000000"/>
                <w:szCs w:val="24"/>
                <w:lang w:eastAsia="es-ES"/>
              </w:rPr>
            </w:pPr>
            <w:r w:rsidRPr="00A87D66">
              <w:rPr>
                <w:rFonts w:eastAsia="Times New Roman" w:cs="Times New Roman"/>
                <w:color w:val="000000"/>
                <w:szCs w:val="24"/>
                <w:lang w:eastAsia="es-ES"/>
              </w:rPr>
              <w:t>559 MIL UNIDADES</w:t>
            </w:r>
          </w:p>
        </w:tc>
        <w:tc>
          <w:tcPr>
            <w:tcW w:w="2317" w:type="dxa"/>
            <w:tcBorders>
              <w:top w:val="nil"/>
              <w:left w:val="nil"/>
              <w:bottom w:val="single" w:sz="8" w:space="0" w:color="auto"/>
              <w:right w:val="nil"/>
            </w:tcBorders>
            <w:shd w:val="clear" w:color="FFFFFF" w:fill="FFFFFF"/>
            <w:noWrap/>
            <w:hideMark/>
          </w:tcPr>
          <w:p w14:paraId="34BB181F" w14:textId="77777777" w:rsidR="008033D3" w:rsidRPr="00A87D66" w:rsidRDefault="008033D3" w:rsidP="009E77CA">
            <w:pPr>
              <w:spacing w:after="0" w:line="240" w:lineRule="auto"/>
              <w:rPr>
                <w:rFonts w:eastAsia="Times New Roman" w:cs="Times New Roman"/>
                <w:color w:val="000000"/>
                <w:szCs w:val="24"/>
                <w:lang w:eastAsia="es-ES"/>
              </w:rPr>
            </w:pPr>
            <w:r w:rsidRPr="00A87D66">
              <w:rPr>
                <w:rFonts w:eastAsia="Times New Roman" w:cs="Times New Roman"/>
                <w:color w:val="000000"/>
                <w:szCs w:val="24"/>
                <w:lang w:eastAsia="es-ES"/>
              </w:rPr>
              <w:t>801 MIL UNIDADES</w:t>
            </w:r>
          </w:p>
        </w:tc>
        <w:tc>
          <w:tcPr>
            <w:tcW w:w="2409" w:type="dxa"/>
            <w:tcBorders>
              <w:top w:val="nil"/>
              <w:left w:val="nil"/>
              <w:bottom w:val="single" w:sz="8" w:space="0" w:color="auto"/>
              <w:right w:val="nil"/>
            </w:tcBorders>
            <w:shd w:val="clear" w:color="FFFFFF" w:fill="FFFFFF"/>
            <w:noWrap/>
            <w:hideMark/>
          </w:tcPr>
          <w:p w14:paraId="0899342F" w14:textId="77777777" w:rsidR="008033D3" w:rsidRPr="00A87D66" w:rsidRDefault="008033D3" w:rsidP="009E77CA">
            <w:pPr>
              <w:spacing w:after="0" w:line="240" w:lineRule="auto"/>
              <w:rPr>
                <w:rFonts w:eastAsia="Times New Roman" w:cs="Times New Roman"/>
                <w:color w:val="000000"/>
                <w:szCs w:val="24"/>
                <w:lang w:eastAsia="es-ES"/>
              </w:rPr>
            </w:pPr>
            <w:r w:rsidRPr="00A87D66">
              <w:rPr>
                <w:rFonts w:eastAsia="Times New Roman" w:cs="Times New Roman"/>
                <w:color w:val="000000"/>
                <w:szCs w:val="24"/>
                <w:lang w:eastAsia="es-ES"/>
              </w:rPr>
              <w:t>517 MIL UNIDADES</w:t>
            </w:r>
          </w:p>
        </w:tc>
        <w:tc>
          <w:tcPr>
            <w:tcW w:w="2440" w:type="dxa"/>
            <w:tcBorders>
              <w:top w:val="nil"/>
              <w:left w:val="nil"/>
              <w:bottom w:val="single" w:sz="8" w:space="0" w:color="auto"/>
              <w:right w:val="nil"/>
            </w:tcBorders>
            <w:shd w:val="clear" w:color="FFFFFF" w:fill="FFFFFF"/>
            <w:noWrap/>
            <w:hideMark/>
          </w:tcPr>
          <w:p w14:paraId="78739728" w14:textId="77777777" w:rsidR="008033D3" w:rsidRPr="00A87D66" w:rsidRDefault="008033D3" w:rsidP="009E77CA">
            <w:pPr>
              <w:spacing w:after="0" w:line="240" w:lineRule="auto"/>
              <w:rPr>
                <w:rFonts w:eastAsia="Times New Roman" w:cs="Times New Roman"/>
                <w:color w:val="000000"/>
                <w:szCs w:val="24"/>
                <w:lang w:eastAsia="es-ES"/>
              </w:rPr>
            </w:pPr>
            <w:r w:rsidRPr="00A87D66">
              <w:rPr>
                <w:rFonts w:eastAsia="Times New Roman" w:cs="Times New Roman"/>
                <w:color w:val="000000"/>
                <w:szCs w:val="24"/>
                <w:lang w:eastAsia="es-ES"/>
              </w:rPr>
              <w:t xml:space="preserve">784 MIL UNIDADES </w:t>
            </w:r>
          </w:p>
        </w:tc>
      </w:tr>
      <w:tr w:rsidR="008033D3" w:rsidRPr="00A87D66" w14:paraId="3A4FB281" w14:textId="77777777" w:rsidTr="009E77CA">
        <w:trPr>
          <w:trHeight w:val="480"/>
          <w:jc w:val="center"/>
        </w:trPr>
        <w:tc>
          <w:tcPr>
            <w:tcW w:w="2425" w:type="dxa"/>
            <w:tcBorders>
              <w:top w:val="single" w:sz="4" w:space="0" w:color="auto"/>
              <w:left w:val="nil"/>
              <w:bottom w:val="nil"/>
              <w:right w:val="nil"/>
            </w:tcBorders>
            <w:shd w:val="clear" w:color="FFFFFF" w:fill="FFFFFF"/>
            <w:hideMark/>
          </w:tcPr>
          <w:p w14:paraId="56056759" w14:textId="77777777" w:rsidR="008033D3" w:rsidRPr="00CD71BD" w:rsidRDefault="008033D3" w:rsidP="009E77CA">
            <w:pPr>
              <w:spacing w:after="0" w:line="240" w:lineRule="auto"/>
              <w:rPr>
                <w:rFonts w:eastAsia="Times New Roman" w:cs="Times New Roman"/>
                <w:color w:val="000000"/>
                <w:sz w:val="16"/>
                <w:szCs w:val="16"/>
                <w:lang w:eastAsia="es-ES"/>
              </w:rPr>
            </w:pPr>
            <w:r w:rsidRPr="00CD71BD">
              <w:rPr>
                <w:rFonts w:eastAsia="Times New Roman" w:cs="Times New Roman"/>
                <w:color w:val="000000"/>
                <w:sz w:val="16"/>
                <w:szCs w:val="16"/>
                <w:lang w:eastAsia="es-ES"/>
              </w:rPr>
              <w:t xml:space="preserve">Elaborado por: Héctor </w:t>
            </w:r>
            <w:proofErr w:type="spellStart"/>
            <w:r w:rsidRPr="00CD71BD">
              <w:rPr>
                <w:rFonts w:eastAsia="Times New Roman" w:cs="Times New Roman"/>
                <w:color w:val="000000"/>
                <w:sz w:val="16"/>
                <w:szCs w:val="16"/>
                <w:lang w:eastAsia="es-ES"/>
              </w:rPr>
              <w:t>Ruilova</w:t>
            </w:r>
            <w:proofErr w:type="spellEnd"/>
            <w:r w:rsidRPr="00CD71BD">
              <w:rPr>
                <w:rFonts w:eastAsia="Times New Roman" w:cs="Times New Roman"/>
                <w:color w:val="000000"/>
                <w:sz w:val="16"/>
                <w:szCs w:val="16"/>
                <w:lang w:eastAsia="es-ES"/>
              </w:rPr>
              <w:t xml:space="preserve"> Vidal Fuente: COMEX</w:t>
            </w:r>
          </w:p>
        </w:tc>
        <w:tc>
          <w:tcPr>
            <w:tcW w:w="7166" w:type="dxa"/>
            <w:gridSpan w:val="3"/>
            <w:tcBorders>
              <w:top w:val="single" w:sz="8" w:space="0" w:color="auto"/>
              <w:left w:val="nil"/>
              <w:bottom w:val="nil"/>
              <w:right w:val="nil"/>
            </w:tcBorders>
            <w:shd w:val="clear" w:color="FFFFFF" w:fill="FFFFFF"/>
            <w:noWrap/>
            <w:vAlign w:val="bottom"/>
            <w:hideMark/>
          </w:tcPr>
          <w:p w14:paraId="285AB147" w14:textId="77777777" w:rsidR="008033D3" w:rsidRPr="00A87D66" w:rsidRDefault="008033D3" w:rsidP="009E77CA">
            <w:pPr>
              <w:spacing w:after="0" w:line="240" w:lineRule="auto"/>
              <w:jc w:val="center"/>
              <w:rPr>
                <w:rFonts w:eastAsia="Times New Roman" w:cs="Times New Roman"/>
                <w:color w:val="000000"/>
                <w:lang w:eastAsia="es-ES"/>
              </w:rPr>
            </w:pPr>
            <w:r w:rsidRPr="00A87D66">
              <w:rPr>
                <w:rFonts w:eastAsia="Times New Roman" w:cs="Times New Roman"/>
                <w:color w:val="000000"/>
                <w:lang w:eastAsia="es-ES"/>
              </w:rPr>
              <w:t> </w:t>
            </w:r>
          </w:p>
        </w:tc>
      </w:tr>
    </w:tbl>
    <w:p w14:paraId="1E7FE42B" w14:textId="77777777" w:rsidR="008033D3" w:rsidRDefault="008033D3" w:rsidP="008033D3">
      <w:pPr>
        <w:tabs>
          <w:tab w:val="left" w:pos="5067"/>
        </w:tabs>
        <w:spacing w:line="360" w:lineRule="auto"/>
        <w:jc w:val="left"/>
        <w:rPr>
          <w:rFonts w:cs="Times New Roman"/>
          <w:szCs w:val="24"/>
        </w:rPr>
      </w:pPr>
      <w:r>
        <w:rPr>
          <w:rFonts w:cs="Times New Roman"/>
          <w:szCs w:val="24"/>
        </w:rPr>
        <w:tab/>
      </w:r>
    </w:p>
    <w:p w14:paraId="2B610F47" w14:textId="77777777" w:rsidR="008033D3" w:rsidRPr="003264E2" w:rsidRDefault="008033D3" w:rsidP="008033D3">
      <w:pPr>
        <w:spacing w:line="360" w:lineRule="auto"/>
        <w:rPr>
          <w:rFonts w:cs="Times New Roman"/>
          <w:szCs w:val="24"/>
        </w:rPr>
      </w:pPr>
      <w:r w:rsidRPr="003264E2">
        <w:rPr>
          <w:rFonts w:cs="Times New Roman"/>
          <w:szCs w:val="24"/>
        </w:rPr>
        <w:t xml:space="preserve">Esta misma resolución autoriza a personas naturales </w:t>
      </w:r>
      <w:r>
        <w:rPr>
          <w:rFonts w:cs="Times New Roman"/>
          <w:szCs w:val="24"/>
        </w:rPr>
        <w:t xml:space="preserve">a </w:t>
      </w:r>
      <w:r w:rsidRPr="003264E2">
        <w:rPr>
          <w:rFonts w:cs="Times New Roman"/>
          <w:szCs w:val="24"/>
        </w:rPr>
        <w:t>importar anualmente un celular nuevo vía mensajería pagando un 15% de arancel del valor total del equipo</w:t>
      </w:r>
      <w:r>
        <w:rPr>
          <w:rFonts w:cs="Times New Roman"/>
          <w:szCs w:val="24"/>
        </w:rPr>
        <w:t>,</w:t>
      </w:r>
      <w:r w:rsidRPr="003264E2">
        <w:rPr>
          <w:rFonts w:cs="Times New Roman"/>
          <w:szCs w:val="24"/>
        </w:rPr>
        <w:t xml:space="preserve"> adicional al Fondo de Desarrollo de la Infancia (FODINFA) y el IVA</w:t>
      </w:r>
      <w:r>
        <w:rPr>
          <w:rFonts w:cs="Times New Roman"/>
          <w:szCs w:val="24"/>
        </w:rPr>
        <w:t>,</w:t>
      </w:r>
      <w:r w:rsidRPr="003264E2">
        <w:rPr>
          <w:rFonts w:cs="Times New Roman"/>
          <w:szCs w:val="24"/>
        </w:rPr>
        <w:t xml:space="preserve"> en contraste a un casi 35% de arancel que tenía</w:t>
      </w:r>
      <w:r>
        <w:rPr>
          <w:rFonts w:cs="Times New Roman"/>
          <w:szCs w:val="24"/>
        </w:rPr>
        <w:t>n</w:t>
      </w:r>
      <w:r w:rsidRPr="003264E2">
        <w:rPr>
          <w:rFonts w:cs="Times New Roman"/>
          <w:szCs w:val="24"/>
        </w:rPr>
        <w:t xml:space="preserve"> que pagar los usuarios y las empresas importadoras. Este tipo de importación está dentro de la categoría C, es decir, que t</w:t>
      </w:r>
      <w:r>
        <w:rPr>
          <w:rFonts w:cs="Times New Roman"/>
          <w:szCs w:val="24"/>
        </w:rPr>
        <w:t xml:space="preserve">iene </w:t>
      </w:r>
      <w:r w:rsidRPr="003264E2">
        <w:rPr>
          <w:rFonts w:cs="Times New Roman"/>
          <w:szCs w:val="24"/>
        </w:rPr>
        <w:t xml:space="preserve">que cumplir con las características de la categoría que son paquetes de hasta 50 kg y no más de </w:t>
      </w:r>
      <w:r>
        <w:rPr>
          <w:rFonts w:cs="Times New Roman"/>
          <w:szCs w:val="24"/>
        </w:rPr>
        <w:t>US</w:t>
      </w:r>
      <w:r w:rsidRPr="003264E2">
        <w:rPr>
          <w:rFonts w:cs="Times New Roman"/>
          <w:szCs w:val="24"/>
        </w:rPr>
        <w:t>$2000. Las personas naturales también podrán traer un equipo nuevo y uno usado sin pagar tributos a través de salas de arribo internacional, pasos fronterizos o puertos marítimos.  En el caso</w:t>
      </w:r>
      <w:r>
        <w:rPr>
          <w:rFonts w:cs="Times New Roman"/>
          <w:szCs w:val="24"/>
        </w:rPr>
        <w:t xml:space="preserve"> de</w:t>
      </w:r>
      <w:r w:rsidRPr="003264E2">
        <w:rPr>
          <w:rFonts w:cs="Times New Roman"/>
          <w:szCs w:val="24"/>
        </w:rPr>
        <w:t xml:space="preserve"> que el usuario quiera traer un equipo adicional deberá pagar igualmente el 15% de Ad-</w:t>
      </w:r>
      <w:proofErr w:type="spellStart"/>
      <w:r w:rsidRPr="003264E2">
        <w:rPr>
          <w:rFonts w:cs="Times New Roman"/>
          <w:szCs w:val="24"/>
        </w:rPr>
        <w:t>valorem</w:t>
      </w:r>
      <w:proofErr w:type="spellEnd"/>
      <w:r w:rsidRPr="003264E2">
        <w:rPr>
          <w:rFonts w:cs="Times New Roman"/>
          <w:szCs w:val="24"/>
        </w:rPr>
        <w:t xml:space="preserve"> más el FODINFA y el IVA. </w:t>
      </w:r>
      <w:r>
        <w:rPr>
          <w:rFonts w:cs="Times New Roman"/>
          <w:szCs w:val="24"/>
        </w:rPr>
        <w:t xml:space="preserve"> </w:t>
      </w:r>
      <w:sdt>
        <w:sdtPr>
          <w:rPr>
            <w:rFonts w:cs="Times New Roman"/>
            <w:szCs w:val="24"/>
          </w:rPr>
          <w:id w:val="818919279"/>
          <w:citation/>
        </w:sdtPr>
        <w:sdtEndPr/>
        <w:sdtContent>
          <w:r>
            <w:rPr>
              <w:rFonts w:cs="Times New Roman"/>
              <w:szCs w:val="24"/>
            </w:rPr>
            <w:fldChar w:fldCharType="begin"/>
          </w:r>
          <w:r>
            <w:rPr>
              <w:rFonts w:cs="Times New Roman"/>
              <w:szCs w:val="24"/>
            </w:rPr>
            <w:instrText xml:space="preserve"> CITATION COM15 \l 3082 </w:instrText>
          </w:r>
          <w:r>
            <w:rPr>
              <w:rFonts w:cs="Times New Roman"/>
              <w:szCs w:val="24"/>
            </w:rPr>
            <w:fldChar w:fldCharType="separate"/>
          </w:r>
          <w:r w:rsidRPr="00342F2F">
            <w:rPr>
              <w:rFonts w:cs="Times New Roman"/>
              <w:noProof/>
              <w:szCs w:val="24"/>
            </w:rPr>
            <w:t>(COMEX, 2015)</w:t>
          </w:r>
          <w:r>
            <w:rPr>
              <w:rFonts w:cs="Times New Roman"/>
              <w:szCs w:val="24"/>
            </w:rPr>
            <w:fldChar w:fldCharType="end"/>
          </w:r>
        </w:sdtContent>
      </w:sdt>
    </w:p>
    <w:p w14:paraId="4593DF79" w14:textId="77777777" w:rsidR="008033D3" w:rsidRPr="003264E2" w:rsidRDefault="008033D3" w:rsidP="008033D3">
      <w:pPr>
        <w:spacing w:line="360" w:lineRule="auto"/>
        <w:rPr>
          <w:rFonts w:cs="Times New Roman"/>
          <w:szCs w:val="24"/>
        </w:rPr>
      </w:pPr>
      <w:r w:rsidRPr="003264E2">
        <w:rPr>
          <w:rFonts w:cs="Times New Roman"/>
          <w:szCs w:val="24"/>
        </w:rPr>
        <w:t>El COMEX en la Resolución 051 publicada el 5 de enero de 2015 en beneficio de las empresas ensambladoras y de la industria</w:t>
      </w:r>
      <w:r>
        <w:rPr>
          <w:rFonts w:cs="Times New Roman"/>
          <w:szCs w:val="24"/>
        </w:rPr>
        <w:t>,</w:t>
      </w:r>
      <w:r w:rsidRPr="003264E2">
        <w:rPr>
          <w:rFonts w:cs="Times New Roman"/>
          <w:szCs w:val="24"/>
        </w:rPr>
        <w:t xml:space="preserve"> decidió reducir el arancel de las importaciones CKD del 3% al 1% siempre y cuando el producto ecuatoriano incorporado supere el 10% de los productos ensamblados, medida que beneficia</w:t>
      </w:r>
      <w:r>
        <w:rPr>
          <w:rFonts w:cs="Times New Roman"/>
          <w:szCs w:val="24"/>
        </w:rPr>
        <w:t xml:space="preserve"> </w:t>
      </w:r>
      <w:r w:rsidRPr="003264E2">
        <w:rPr>
          <w:rFonts w:cs="Times New Roman"/>
          <w:szCs w:val="24"/>
        </w:rPr>
        <w:t xml:space="preserve">a los ensambladores. Adicionalmente, el COMEX tiene en su agenda analizar la posibilidad de entregar créditos tributarios a las ensambladoras y ayudar al sector especialmente en cuanto al pago del Impuesto a la Salida de Divisas (ISD). </w:t>
      </w:r>
      <w:sdt>
        <w:sdtPr>
          <w:rPr>
            <w:rFonts w:cs="Times New Roman"/>
            <w:szCs w:val="24"/>
          </w:rPr>
          <w:id w:val="2019427766"/>
          <w:citation/>
        </w:sdtPr>
        <w:sdtEndPr/>
        <w:sdtContent>
          <w:r w:rsidRPr="003264E2">
            <w:rPr>
              <w:rFonts w:cs="Times New Roman"/>
              <w:szCs w:val="24"/>
            </w:rPr>
            <w:fldChar w:fldCharType="begin"/>
          </w:r>
          <w:r w:rsidRPr="003264E2">
            <w:rPr>
              <w:rFonts w:cs="Times New Roman"/>
              <w:szCs w:val="24"/>
            </w:rPr>
            <w:instrText xml:space="preserve"> CITATION Com15 \l 3082 </w:instrText>
          </w:r>
          <w:r w:rsidRPr="003264E2">
            <w:rPr>
              <w:rFonts w:cs="Times New Roman"/>
              <w:szCs w:val="24"/>
            </w:rPr>
            <w:fldChar w:fldCharType="separate"/>
          </w:r>
          <w:r w:rsidRPr="003264E2">
            <w:rPr>
              <w:rFonts w:cs="Times New Roman"/>
              <w:noProof/>
              <w:szCs w:val="24"/>
            </w:rPr>
            <w:t>(Comercio, 2015)</w:t>
          </w:r>
          <w:r w:rsidRPr="003264E2">
            <w:rPr>
              <w:rFonts w:cs="Times New Roman"/>
              <w:szCs w:val="24"/>
            </w:rPr>
            <w:fldChar w:fldCharType="end"/>
          </w:r>
        </w:sdtContent>
      </w:sdt>
    </w:p>
    <w:p w14:paraId="54F10623" w14:textId="77777777" w:rsidR="008033D3" w:rsidRPr="00183CDF" w:rsidRDefault="008033D3" w:rsidP="008033D3">
      <w:pPr>
        <w:pStyle w:val="Ttulo3"/>
        <w:spacing w:before="0" w:after="200" w:line="360" w:lineRule="auto"/>
        <w:rPr>
          <w:rFonts w:cs="Times New Roman"/>
          <w:b w:val="0"/>
          <w:szCs w:val="24"/>
        </w:rPr>
      </w:pPr>
      <w:bookmarkStart w:id="33" w:name="_Toc442343926"/>
      <w:r w:rsidRPr="00183CDF">
        <w:rPr>
          <w:rFonts w:cs="Times New Roman"/>
          <w:b w:val="0"/>
          <w:szCs w:val="24"/>
        </w:rPr>
        <w:lastRenderedPageBreak/>
        <w:t>1.2</w:t>
      </w:r>
      <w:r w:rsidRPr="00183CDF">
        <w:rPr>
          <w:rFonts w:cs="Times New Roman"/>
          <w:b w:val="0"/>
          <w:szCs w:val="24"/>
        </w:rPr>
        <w:tab/>
      </w:r>
      <w:r w:rsidRPr="00183CDF">
        <w:rPr>
          <w:rStyle w:val="Ttulo3Car"/>
        </w:rPr>
        <w:t>Análisis de la Industria</w:t>
      </w:r>
      <w:bookmarkEnd w:id="33"/>
      <w:r w:rsidRPr="00183CDF">
        <w:rPr>
          <w:rFonts w:cs="Times New Roman"/>
          <w:b w:val="0"/>
          <w:szCs w:val="24"/>
        </w:rPr>
        <w:t xml:space="preserve"> </w:t>
      </w:r>
    </w:p>
    <w:p w14:paraId="3D855D1C" w14:textId="77777777" w:rsidR="008033D3" w:rsidRPr="003264E2" w:rsidRDefault="008033D3" w:rsidP="008033D3">
      <w:pPr>
        <w:spacing w:line="360" w:lineRule="auto"/>
        <w:rPr>
          <w:rFonts w:cs="Times New Roman"/>
          <w:szCs w:val="24"/>
        </w:rPr>
      </w:pPr>
      <w:r w:rsidRPr="003264E2">
        <w:rPr>
          <w:rFonts w:cs="Times New Roman"/>
          <w:szCs w:val="24"/>
        </w:rPr>
        <w:t>A nivel del abastecimiento de partes y piezas</w:t>
      </w:r>
      <w:r>
        <w:rPr>
          <w:rFonts w:cs="Times New Roman"/>
          <w:szCs w:val="24"/>
        </w:rPr>
        <w:t>,</w:t>
      </w:r>
      <w:r w:rsidRPr="003264E2">
        <w:rPr>
          <w:rFonts w:cs="Times New Roman"/>
          <w:szCs w:val="24"/>
        </w:rPr>
        <w:t xml:space="preserve"> la demanda se satisface principalmente a través de procesos de importación CKD de celulares y televisores conforme los requerimientos establecidos por el COMEX tanto a nivel de cuotas de importación</w:t>
      </w:r>
      <w:r>
        <w:rPr>
          <w:rFonts w:cs="Times New Roman"/>
          <w:szCs w:val="24"/>
        </w:rPr>
        <w:t>,</w:t>
      </w:r>
      <w:r w:rsidRPr="003264E2">
        <w:rPr>
          <w:rFonts w:cs="Times New Roman"/>
          <w:szCs w:val="24"/>
        </w:rPr>
        <w:t xml:space="preserve"> a nivel de cantidades</w:t>
      </w:r>
      <w:r>
        <w:rPr>
          <w:rFonts w:cs="Times New Roman"/>
          <w:szCs w:val="24"/>
        </w:rPr>
        <w:t xml:space="preserve"> y</w:t>
      </w:r>
      <w:r w:rsidRPr="003264E2">
        <w:rPr>
          <w:rFonts w:cs="Times New Roman"/>
          <w:szCs w:val="24"/>
        </w:rPr>
        <w:t xml:space="preserve"> de aparatos como de cantidades de inversión.</w:t>
      </w:r>
    </w:p>
    <w:p w14:paraId="4051C055" w14:textId="77777777" w:rsidR="008033D3" w:rsidRDefault="008033D3" w:rsidP="008033D3">
      <w:pPr>
        <w:spacing w:line="360" w:lineRule="auto"/>
        <w:rPr>
          <w:rFonts w:cs="Times New Roman"/>
          <w:szCs w:val="24"/>
        </w:rPr>
      </w:pPr>
      <w:r w:rsidRPr="003264E2">
        <w:rPr>
          <w:rFonts w:cs="Times New Roman"/>
          <w:szCs w:val="24"/>
        </w:rPr>
        <w:t xml:space="preserve">Las empresas que se dedican al ensamblaje de televisores y celulares tienen una concentración de pocos fabricantes. A continuación </w:t>
      </w:r>
      <w:r>
        <w:rPr>
          <w:rFonts w:cs="Times New Roman"/>
          <w:szCs w:val="24"/>
        </w:rPr>
        <w:t xml:space="preserve">se presenta </w:t>
      </w:r>
      <w:r w:rsidRPr="003264E2">
        <w:rPr>
          <w:rFonts w:cs="Times New Roman"/>
          <w:szCs w:val="24"/>
        </w:rPr>
        <w:t>a los fabricantes registrados en el MIPRO hasta mediados de 2015 en la siguiente tabla:</w:t>
      </w:r>
    </w:p>
    <w:p w14:paraId="1B4C4975" w14:textId="77777777" w:rsidR="008033D3" w:rsidRDefault="008033D3" w:rsidP="008033D3">
      <w:pPr>
        <w:pStyle w:val="Estilo3"/>
      </w:pPr>
      <w:bookmarkStart w:id="34" w:name="_Toc442343927"/>
      <w:r>
        <w:t>Cuadro 2.</w:t>
      </w:r>
      <w:bookmarkEnd w:id="34"/>
    </w:p>
    <w:p w14:paraId="58AAD968" w14:textId="77777777" w:rsidR="008033D3" w:rsidRPr="003264E2" w:rsidRDefault="008033D3" w:rsidP="008033D3">
      <w:pPr>
        <w:spacing w:line="360" w:lineRule="auto"/>
        <w:jc w:val="center"/>
        <w:rPr>
          <w:rFonts w:cs="Times New Roman"/>
          <w:szCs w:val="24"/>
        </w:rPr>
      </w:pPr>
      <w:r>
        <w:rPr>
          <w:rFonts w:cs="Times New Roman"/>
          <w:szCs w:val="24"/>
        </w:rPr>
        <w:t>Empresas ensambladoras de celulares registradas en el MIPRO hasta mediados de 2015</w:t>
      </w:r>
    </w:p>
    <w:tbl>
      <w:tblPr>
        <w:tblW w:w="8620" w:type="dxa"/>
        <w:tblInd w:w="55" w:type="dxa"/>
        <w:tblCellMar>
          <w:left w:w="70" w:type="dxa"/>
          <w:right w:w="70" w:type="dxa"/>
        </w:tblCellMar>
        <w:tblLook w:val="04A0" w:firstRow="1" w:lastRow="0" w:firstColumn="1" w:lastColumn="0" w:noHBand="0" w:noVBand="1"/>
      </w:tblPr>
      <w:tblGrid>
        <w:gridCol w:w="2800"/>
        <w:gridCol w:w="1900"/>
        <w:gridCol w:w="1140"/>
        <w:gridCol w:w="2780"/>
      </w:tblGrid>
      <w:tr w:rsidR="008033D3" w:rsidRPr="00342F2F" w14:paraId="70FC24F3" w14:textId="77777777" w:rsidTr="009E77CA">
        <w:trPr>
          <w:trHeight w:val="825"/>
        </w:trPr>
        <w:tc>
          <w:tcPr>
            <w:tcW w:w="2800" w:type="dxa"/>
            <w:tcBorders>
              <w:top w:val="single" w:sz="12" w:space="0" w:color="auto"/>
              <w:left w:val="nil"/>
              <w:bottom w:val="single" w:sz="8" w:space="0" w:color="auto"/>
              <w:right w:val="nil"/>
            </w:tcBorders>
            <w:shd w:val="clear" w:color="FFFFFF" w:fill="FFFFFF"/>
            <w:hideMark/>
          </w:tcPr>
          <w:p w14:paraId="2D6344B2" w14:textId="77777777" w:rsidR="008033D3" w:rsidRPr="00342F2F" w:rsidRDefault="008033D3" w:rsidP="009E77CA">
            <w:pPr>
              <w:spacing w:after="0" w:line="240" w:lineRule="auto"/>
              <w:rPr>
                <w:rFonts w:eastAsia="Times New Roman" w:cs="Times New Roman"/>
                <w:b/>
                <w:bCs/>
                <w:color w:val="000000"/>
                <w:szCs w:val="24"/>
                <w:lang w:eastAsia="es-ES"/>
              </w:rPr>
            </w:pPr>
            <w:r w:rsidRPr="00342F2F">
              <w:rPr>
                <w:rFonts w:eastAsia="Times New Roman" w:cs="Times New Roman"/>
                <w:b/>
                <w:bCs/>
                <w:color w:val="000000"/>
                <w:szCs w:val="24"/>
                <w:lang w:eastAsia="es-ES"/>
              </w:rPr>
              <w:t>Empresa</w:t>
            </w:r>
          </w:p>
        </w:tc>
        <w:tc>
          <w:tcPr>
            <w:tcW w:w="1900" w:type="dxa"/>
            <w:tcBorders>
              <w:top w:val="single" w:sz="12" w:space="0" w:color="auto"/>
              <w:left w:val="nil"/>
              <w:bottom w:val="single" w:sz="8" w:space="0" w:color="auto"/>
              <w:right w:val="nil"/>
            </w:tcBorders>
            <w:shd w:val="clear" w:color="FFFFFF" w:fill="FFFFFF"/>
            <w:hideMark/>
          </w:tcPr>
          <w:p w14:paraId="544F394E" w14:textId="77777777" w:rsidR="008033D3" w:rsidRPr="00342F2F" w:rsidRDefault="008033D3" w:rsidP="009E77CA">
            <w:pPr>
              <w:spacing w:after="0" w:line="240" w:lineRule="auto"/>
              <w:rPr>
                <w:rFonts w:eastAsia="Times New Roman" w:cs="Times New Roman"/>
                <w:b/>
                <w:bCs/>
                <w:color w:val="000000"/>
                <w:szCs w:val="24"/>
                <w:lang w:eastAsia="es-ES"/>
              </w:rPr>
            </w:pPr>
            <w:r w:rsidRPr="00342F2F">
              <w:rPr>
                <w:rFonts w:eastAsia="Times New Roman" w:cs="Times New Roman"/>
                <w:b/>
                <w:bCs/>
                <w:color w:val="000000"/>
                <w:szCs w:val="24"/>
                <w:lang w:eastAsia="es-ES"/>
              </w:rPr>
              <w:t>Localización</w:t>
            </w:r>
          </w:p>
        </w:tc>
        <w:tc>
          <w:tcPr>
            <w:tcW w:w="1140" w:type="dxa"/>
            <w:tcBorders>
              <w:top w:val="single" w:sz="12" w:space="0" w:color="auto"/>
              <w:left w:val="nil"/>
              <w:bottom w:val="single" w:sz="8" w:space="0" w:color="auto"/>
              <w:right w:val="nil"/>
            </w:tcBorders>
            <w:shd w:val="clear" w:color="FFFFFF" w:fill="FFFFFF"/>
            <w:hideMark/>
          </w:tcPr>
          <w:p w14:paraId="7E563A9A" w14:textId="77777777" w:rsidR="008033D3" w:rsidRPr="00342F2F" w:rsidRDefault="008033D3" w:rsidP="009E77CA">
            <w:pPr>
              <w:spacing w:after="0" w:line="240" w:lineRule="auto"/>
              <w:rPr>
                <w:rFonts w:eastAsia="Times New Roman" w:cs="Times New Roman"/>
                <w:b/>
                <w:bCs/>
                <w:color w:val="000000"/>
                <w:szCs w:val="24"/>
                <w:lang w:eastAsia="es-ES"/>
              </w:rPr>
            </w:pPr>
            <w:r w:rsidRPr="00342F2F">
              <w:rPr>
                <w:rFonts w:eastAsia="Times New Roman" w:cs="Times New Roman"/>
                <w:b/>
                <w:bCs/>
                <w:color w:val="000000"/>
                <w:szCs w:val="24"/>
                <w:lang w:eastAsia="es-ES"/>
              </w:rPr>
              <w:t>CIIU</w:t>
            </w:r>
          </w:p>
        </w:tc>
        <w:tc>
          <w:tcPr>
            <w:tcW w:w="2780" w:type="dxa"/>
            <w:tcBorders>
              <w:top w:val="single" w:sz="12" w:space="0" w:color="auto"/>
              <w:left w:val="nil"/>
              <w:bottom w:val="single" w:sz="8" w:space="0" w:color="auto"/>
              <w:right w:val="nil"/>
            </w:tcBorders>
            <w:shd w:val="clear" w:color="FFFFFF" w:fill="FFFFFF"/>
            <w:hideMark/>
          </w:tcPr>
          <w:p w14:paraId="4D131AE8" w14:textId="77777777" w:rsidR="008033D3" w:rsidRPr="00342F2F" w:rsidRDefault="008033D3" w:rsidP="009E77CA">
            <w:pPr>
              <w:spacing w:after="0" w:line="240" w:lineRule="auto"/>
              <w:rPr>
                <w:rFonts w:eastAsia="Times New Roman" w:cs="Times New Roman"/>
                <w:b/>
                <w:bCs/>
                <w:color w:val="000000"/>
                <w:szCs w:val="24"/>
                <w:lang w:eastAsia="es-ES"/>
              </w:rPr>
            </w:pPr>
            <w:r w:rsidRPr="00342F2F">
              <w:rPr>
                <w:rFonts w:eastAsia="Times New Roman" w:cs="Times New Roman"/>
                <w:b/>
                <w:bCs/>
                <w:color w:val="000000"/>
                <w:szCs w:val="24"/>
                <w:lang w:eastAsia="es-ES"/>
              </w:rPr>
              <w:t>Actividad</w:t>
            </w:r>
          </w:p>
        </w:tc>
      </w:tr>
      <w:tr w:rsidR="008033D3" w:rsidRPr="00342F2F" w14:paraId="05AC4DB3" w14:textId="77777777" w:rsidTr="009E77CA">
        <w:trPr>
          <w:trHeight w:val="1170"/>
        </w:trPr>
        <w:tc>
          <w:tcPr>
            <w:tcW w:w="2800" w:type="dxa"/>
            <w:tcBorders>
              <w:top w:val="nil"/>
              <w:left w:val="nil"/>
              <w:bottom w:val="nil"/>
              <w:right w:val="nil"/>
            </w:tcBorders>
            <w:shd w:val="clear" w:color="FFFFFF" w:fill="FFFFFF"/>
            <w:hideMark/>
          </w:tcPr>
          <w:p w14:paraId="142262FC" w14:textId="77777777" w:rsidR="008033D3" w:rsidRPr="00342F2F" w:rsidRDefault="008033D3" w:rsidP="009E77CA">
            <w:pPr>
              <w:spacing w:after="0" w:line="240" w:lineRule="auto"/>
              <w:jc w:val="left"/>
              <w:rPr>
                <w:rFonts w:eastAsia="Times New Roman" w:cs="Times New Roman"/>
                <w:color w:val="000000"/>
                <w:szCs w:val="24"/>
                <w:lang w:eastAsia="es-ES"/>
              </w:rPr>
            </w:pPr>
            <w:r w:rsidRPr="00342F2F">
              <w:rPr>
                <w:rFonts w:eastAsia="Times New Roman" w:cs="Times New Roman"/>
                <w:color w:val="000000"/>
                <w:szCs w:val="24"/>
                <w:lang w:eastAsia="es-ES"/>
              </w:rPr>
              <w:t>Desarrollo y Manufacturas Electrónicas Ecuatorianas DEMAELEC S.A.</w:t>
            </w:r>
          </w:p>
        </w:tc>
        <w:tc>
          <w:tcPr>
            <w:tcW w:w="1900" w:type="dxa"/>
            <w:tcBorders>
              <w:top w:val="nil"/>
              <w:left w:val="nil"/>
              <w:bottom w:val="nil"/>
              <w:right w:val="nil"/>
            </w:tcBorders>
            <w:shd w:val="clear" w:color="FFFFFF" w:fill="FFFFFF"/>
            <w:hideMark/>
          </w:tcPr>
          <w:p w14:paraId="063C15D2"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Quito</w:t>
            </w:r>
          </w:p>
        </w:tc>
        <w:tc>
          <w:tcPr>
            <w:tcW w:w="1140" w:type="dxa"/>
            <w:tcBorders>
              <w:top w:val="nil"/>
              <w:left w:val="nil"/>
              <w:bottom w:val="nil"/>
              <w:right w:val="nil"/>
            </w:tcBorders>
            <w:shd w:val="clear" w:color="FFFFFF" w:fill="FFFFFF"/>
            <w:hideMark/>
          </w:tcPr>
          <w:p w14:paraId="4A1DDC93"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C2630</w:t>
            </w:r>
          </w:p>
        </w:tc>
        <w:tc>
          <w:tcPr>
            <w:tcW w:w="2780" w:type="dxa"/>
            <w:tcBorders>
              <w:top w:val="nil"/>
              <w:left w:val="nil"/>
              <w:bottom w:val="nil"/>
              <w:right w:val="nil"/>
            </w:tcBorders>
            <w:shd w:val="clear" w:color="FFFFFF" w:fill="FFFFFF"/>
            <w:hideMark/>
          </w:tcPr>
          <w:p w14:paraId="76A3D196"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Ensamblaje de Celulares</w:t>
            </w:r>
          </w:p>
        </w:tc>
      </w:tr>
      <w:tr w:rsidR="008033D3" w:rsidRPr="00342F2F" w14:paraId="4480DC34" w14:textId="77777777" w:rsidTr="009E77CA">
        <w:trPr>
          <w:trHeight w:val="585"/>
        </w:trPr>
        <w:tc>
          <w:tcPr>
            <w:tcW w:w="2800" w:type="dxa"/>
            <w:tcBorders>
              <w:top w:val="nil"/>
              <w:left w:val="nil"/>
              <w:bottom w:val="nil"/>
              <w:right w:val="nil"/>
            </w:tcBorders>
            <w:shd w:val="clear" w:color="FFFFFF" w:fill="FFFFFF"/>
            <w:hideMark/>
          </w:tcPr>
          <w:p w14:paraId="3E2D7636" w14:textId="77777777" w:rsidR="008033D3" w:rsidRPr="00342F2F" w:rsidRDefault="008033D3" w:rsidP="009E77CA">
            <w:pPr>
              <w:spacing w:after="0" w:line="240" w:lineRule="auto"/>
              <w:jc w:val="left"/>
              <w:rPr>
                <w:rFonts w:eastAsia="Times New Roman" w:cs="Times New Roman"/>
                <w:color w:val="000000"/>
                <w:szCs w:val="24"/>
                <w:lang w:eastAsia="es-ES"/>
              </w:rPr>
            </w:pPr>
            <w:proofErr w:type="spellStart"/>
            <w:r w:rsidRPr="00342F2F">
              <w:rPr>
                <w:rFonts w:eastAsia="Times New Roman" w:cs="Times New Roman"/>
                <w:color w:val="000000"/>
                <w:szCs w:val="24"/>
                <w:lang w:eastAsia="es-ES"/>
              </w:rPr>
              <w:t>Hipertronics</w:t>
            </w:r>
            <w:proofErr w:type="spellEnd"/>
            <w:r w:rsidRPr="00342F2F">
              <w:rPr>
                <w:rFonts w:eastAsia="Times New Roman" w:cs="Times New Roman"/>
                <w:color w:val="000000"/>
                <w:szCs w:val="24"/>
                <w:lang w:eastAsia="es-ES"/>
              </w:rPr>
              <w:t xml:space="preserve"> S.A.</w:t>
            </w:r>
          </w:p>
        </w:tc>
        <w:tc>
          <w:tcPr>
            <w:tcW w:w="1900" w:type="dxa"/>
            <w:tcBorders>
              <w:top w:val="nil"/>
              <w:left w:val="nil"/>
              <w:bottom w:val="nil"/>
              <w:right w:val="nil"/>
            </w:tcBorders>
            <w:shd w:val="clear" w:color="FFFFFF" w:fill="FFFFFF"/>
            <w:hideMark/>
          </w:tcPr>
          <w:p w14:paraId="711CD992"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Cuenca</w:t>
            </w:r>
          </w:p>
        </w:tc>
        <w:tc>
          <w:tcPr>
            <w:tcW w:w="1140" w:type="dxa"/>
            <w:tcBorders>
              <w:top w:val="nil"/>
              <w:left w:val="nil"/>
              <w:bottom w:val="nil"/>
              <w:right w:val="nil"/>
            </w:tcBorders>
            <w:shd w:val="clear" w:color="FFFFFF" w:fill="FFFFFF"/>
            <w:hideMark/>
          </w:tcPr>
          <w:p w14:paraId="7AD39BB7"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C2630</w:t>
            </w:r>
          </w:p>
        </w:tc>
        <w:tc>
          <w:tcPr>
            <w:tcW w:w="2780" w:type="dxa"/>
            <w:tcBorders>
              <w:top w:val="nil"/>
              <w:left w:val="nil"/>
              <w:bottom w:val="nil"/>
              <w:right w:val="nil"/>
            </w:tcBorders>
            <w:shd w:val="clear" w:color="FFFFFF" w:fill="FFFFFF"/>
            <w:hideMark/>
          </w:tcPr>
          <w:p w14:paraId="2309A80E"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Ensamblaje de Celulares</w:t>
            </w:r>
          </w:p>
        </w:tc>
      </w:tr>
      <w:tr w:rsidR="008033D3" w:rsidRPr="00342F2F" w14:paraId="475926C6" w14:textId="77777777" w:rsidTr="009E77CA">
        <w:trPr>
          <w:trHeight w:val="870"/>
        </w:trPr>
        <w:tc>
          <w:tcPr>
            <w:tcW w:w="2800" w:type="dxa"/>
            <w:tcBorders>
              <w:top w:val="nil"/>
              <w:left w:val="nil"/>
              <w:bottom w:val="nil"/>
              <w:right w:val="nil"/>
            </w:tcBorders>
            <w:shd w:val="clear" w:color="FFFFFF" w:fill="FFFFFF"/>
            <w:hideMark/>
          </w:tcPr>
          <w:p w14:paraId="1E8C9CCC" w14:textId="77777777" w:rsidR="008033D3" w:rsidRPr="00342F2F" w:rsidRDefault="008033D3" w:rsidP="009E77CA">
            <w:pPr>
              <w:spacing w:after="0" w:line="240" w:lineRule="auto"/>
              <w:jc w:val="left"/>
              <w:rPr>
                <w:rFonts w:eastAsia="Times New Roman" w:cs="Times New Roman"/>
                <w:color w:val="000000"/>
                <w:szCs w:val="24"/>
                <w:lang w:eastAsia="es-ES"/>
              </w:rPr>
            </w:pPr>
            <w:proofErr w:type="spellStart"/>
            <w:r w:rsidRPr="00342F2F">
              <w:rPr>
                <w:rFonts w:eastAsia="Times New Roman" w:cs="Times New Roman"/>
                <w:color w:val="000000"/>
                <w:szCs w:val="24"/>
                <w:lang w:eastAsia="es-ES"/>
              </w:rPr>
              <w:t>Factorytech</w:t>
            </w:r>
            <w:proofErr w:type="spellEnd"/>
            <w:r w:rsidRPr="00342F2F">
              <w:rPr>
                <w:rFonts w:eastAsia="Times New Roman" w:cs="Times New Roman"/>
                <w:color w:val="000000"/>
                <w:szCs w:val="24"/>
                <w:lang w:eastAsia="es-ES"/>
              </w:rPr>
              <w:t xml:space="preserve"> S.A. (ZTE Ecuador)</w:t>
            </w:r>
          </w:p>
        </w:tc>
        <w:tc>
          <w:tcPr>
            <w:tcW w:w="1900" w:type="dxa"/>
            <w:tcBorders>
              <w:top w:val="nil"/>
              <w:left w:val="nil"/>
              <w:bottom w:val="nil"/>
              <w:right w:val="nil"/>
            </w:tcBorders>
            <w:shd w:val="clear" w:color="FFFFFF" w:fill="FFFFFF"/>
            <w:hideMark/>
          </w:tcPr>
          <w:p w14:paraId="1367F2C9"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Guayaquil</w:t>
            </w:r>
          </w:p>
        </w:tc>
        <w:tc>
          <w:tcPr>
            <w:tcW w:w="1140" w:type="dxa"/>
            <w:tcBorders>
              <w:top w:val="nil"/>
              <w:left w:val="nil"/>
              <w:bottom w:val="nil"/>
              <w:right w:val="nil"/>
            </w:tcBorders>
            <w:shd w:val="clear" w:color="FFFFFF" w:fill="FFFFFF"/>
            <w:hideMark/>
          </w:tcPr>
          <w:p w14:paraId="15D9D719"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C2630</w:t>
            </w:r>
          </w:p>
        </w:tc>
        <w:tc>
          <w:tcPr>
            <w:tcW w:w="2780" w:type="dxa"/>
            <w:tcBorders>
              <w:top w:val="nil"/>
              <w:left w:val="nil"/>
              <w:bottom w:val="nil"/>
              <w:right w:val="nil"/>
            </w:tcBorders>
            <w:shd w:val="clear" w:color="FFFFFF" w:fill="FFFFFF"/>
            <w:hideMark/>
          </w:tcPr>
          <w:p w14:paraId="611D97E5"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Ensamblaje de Celulares</w:t>
            </w:r>
          </w:p>
        </w:tc>
      </w:tr>
      <w:tr w:rsidR="008033D3" w:rsidRPr="00342F2F" w14:paraId="03378066" w14:textId="77777777" w:rsidTr="009E77CA">
        <w:trPr>
          <w:trHeight w:val="825"/>
        </w:trPr>
        <w:tc>
          <w:tcPr>
            <w:tcW w:w="2800" w:type="dxa"/>
            <w:tcBorders>
              <w:top w:val="nil"/>
              <w:left w:val="nil"/>
              <w:bottom w:val="nil"/>
              <w:right w:val="nil"/>
            </w:tcBorders>
            <w:shd w:val="clear" w:color="FFFFFF" w:fill="FFFFFF"/>
            <w:hideMark/>
          </w:tcPr>
          <w:p w14:paraId="42315A10" w14:textId="77777777" w:rsidR="008033D3" w:rsidRPr="00342F2F" w:rsidRDefault="008033D3" w:rsidP="009E77CA">
            <w:pPr>
              <w:spacing w:after="0" w:line="240" w:lineRule="auto"/>
              <w:jc w:val="left"/>
              <w:rPr>
                <w:rFonts w:eastAsia="Times New Roman" w:cs="Times New Roman"/>
                <w:color w:val="000000"/>
                <w:szCs w:val="24"/>
                <w:lang w:eastAsia="es-ES"/>
              </w:rPr>
            </w:pPr>
            <w:r w:rsidRPr="00342F2F">
              <w:rPr>
                <w:rFonts w:eastAsia="Times New Roman" w:cs="Times New Roman"/>
                <w:color w:val="000000"/>
                <w:szCs w:val="24"/>
                <w:lang w:eastAsia="es-ES"/>
              </w:rPr>
              <w:t xml:space="preserve">Audiovisión Electrónica </w:t>
            </w:r>
            <w:proofErr w:type="spellStart"/>
            <w:r w:rsidRPr="00342F2F">
              <w:rPr>
                <w:rFonts w:eastAsia="Times New Roman" w:cs="Times New Roman"/>
                <w:color w:val="000000"/>
                <w:szCs w:val="24"/>
                <w:lang w:eastAsia="es-ES"/>
              </w:rPr>
              <w:t>Audioelec</w:t>
            </w:r>
            <w:proofErr w:type="spellEnd"/>
            <w:r w:rsidRPr="00342F2F">
              <w:rPr>
                <w:rFonts w:eastAsia="Times New Roman" w:cs="Times New Roman"/>
                <w:color w:val="000000"/>
                <w:szCs w:val="24"/>
                <w:lang w:eastAsia="es-ES"/>
              </w:rPr>
              <w:t xml:space="preserve"> S.A.</w:t>
            </w:r>
          </w:p>
        </w:tc>
        <w:tc>
          <w:tcPr>
            <w:tcW w:w="1900" w:type="dxa"/>
            <w:tcBorders>
              <w:top w:val="nil"/>
              <w:left w:val="nil"/>
              <w:bottom w:val="nil"/>
              <w:right w:val="nil"/>
            </w:tcBorders>
            <w:shd w:val="clear" w:color="FFFFFF" w:fill="FFFFFF"/>
            <w:hideMark/>
          </w:tcPr>
          <w:p w14:paraId="7A58F35F"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Guayaquil</w:t>
            </w:r>
          </w:p>
        </w:tc>
        <w:tc>
          <w:tcPr>
            <w:tcW w:w="1140" w:type="dxa"/>
            <w:tcBorders>
              <w:top w:val="nil"/>
              <w:left w:val="nil"/>
              <w:bottom w:val="nil"/>
              <w:right w:val="nil"/>
            </w:tcBorders>
            <w:shd w:val="clear" w:color="FFFFFF" w:fill="FFFFFF"/>
            <w:hideMark/>
          </w:tcPr>
          <w:p w14:paraId="417D825E"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C2630</w:t>
            </w:r>
          </w:p>
        </w:tc>
        <w:tc>
          <w:tcPr>
            <w:tcW w:w="2780" w:type="dxa"/>
            <w:tcBorders>
              <w:top w:val="nil"/>
              <w:left w:val="nil"/>
              <w:bottom w:val="nil"/>
              <w:right w:val="nil"/>
            </w:tcBorders>
            <w:shd w:val="clear" w:color="FFFFFF" w:fill="FFFFFF"/>
            <w:hideMark/>
          </w:tcPr>
          <w:p w14:paraId="06FF178F"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Ensamblaje de Celulares</w:t>
            </w:r>
          </w:p>
        </w:tc>
      </w:tr>
      <w:tr w:rsidR="008033D3" w:rsidRPr="00342F2F" w14:paraId="0AE817CD" w14:textId="77777777" w:rsidTr="009E77CA">
        <w:trPr>
          <w:trHeight w:val="525"/>
        </w:trPr>
        <w:tc>
          <w:tcPr>
            <w:tcW w:w="2800" w:type="dxa"/>
            <w:tcBorders>
              <w:top w:val="nil"/>
              <w:left w:val="nil"/>
              <w:bottom w:val="nil"/>
              <w:right w:val="nil"/>
            </w:tcBorders>
            <w:shd w:val="clear" w:color="FFFFFF" w:fill="FFFFFF"/>
            <w:hideMark/>
          </w:tcPr>
          <w:p w14:paraId="03458C6B" w14:textId="77777777" w:rsidR="008033D3" w:rsidRPr="00342F2F" w:rsidRDefault="008033D3" w:rsidP="009E77CA">
            <w:pPr>
              <w:spacing w:after="0" w:line="240" w:lineRule="auto"/>
              <w:jc w:val="left"/>
              <w:rPr>
                <w:rFonts w:eastAsia="Times New Roman" w:cs="Times New Roman"/>
                <w:color w:val="000000"/>
                <w:szCs w:val="24"/>
                <w:lang w:eastAsia="es-ES"/>
              </w:rPr>
            </w:pPr>
            <w:proofErr w:type="spellStart"/>
            <w:r w:rsidRPr="00342F2F">
              <w:rPr>
                <w:rFonts w:eastAsia="Times New Roman" w:cs="Times New Roman"/>
                <w:color w:val="000000"/>
                <w:szCs w:val="24"/>
                <w:lang w:eastAsia="es-ES"/>
              </w:rPr>
              <w:t>Alphacell</w:t>
            </w:r>
            <w:proofErr w:type="spellEnd"/>
            <w:r w:rsidRPr="00342F2F">
              <w:rPr>
                <w:rFonts w:eastAsia="Times New Roman" w:cs="Times New Roman"/>
                <w:color w:val="000000"/>
                <w:szCs w:val="24"/>
                <w:lang w:eastAsia="es-ES"/>
              </w:rPr>
              <w:t xml:space="preserve"> S.A.</w:t>
            </w:r>
          </w:p>
        </w:tc>
        <w:tc>
          <w:tcPr>
            <w:tcW w:w="1900" w:type="dxa"/>
            <w:tcBorders>
              <w:top w:val="nil"/>
              <w:left w:val="nil"/>
              <w:bottom w:val="nil"/>
              <w:right w:val="nil"/>
            </w:tcBorders>
            <w:shd w:val="clear" w:color="FFFFFF" w:fill="FFFFFF"/>
            <w:hideMark/>
          </w:tcPr>
          <w:p w14:paraId="1E28A3AA"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Guayaquil</w:t>
            </w:r>
          </w:p>
        </w:tc>
        <w:tc>
          <w:tcPr>
            <w:tcW w:w="1140" w:type="dxa"/>
            <w:tcBorders>
              <w:top w:val="nil"/>
              <w:left w:val="nil"/>
              <w:bottom w:val="nil"/>
              <w:right w:val="nil"/>
            </w:tcBorders>
            <w:shd w:val="clear" w:color="FFFFFF" w:fill="FFFFFF"/>
            <w:hideMark/>
          </w:tcPr>
          <w:p w14:paraId="181B837A"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C2630</w:t>
            </w:r>
          </w:p>
        </w:tc>
        <w:tc>
          <w:tcPr>
            <w:tcW w:w="2780" w:type="dxa"/>
            <w:tcBorders>
              <w:top w:val="nil"/>
              <w:left w:val="nil"/>
              <w:bottom w:val="nil"/>
              <w:right w:val="nil"/>
            </w:tcBorders>
            <w:shd w:val="clear" w:color="FFFFFF" w:fill="FFFFFF"/>
            <w:hideMark/>
          </w:tcPr>
          <w:p w14:paraId="728F9F88"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Ensamblaje de Celulares</w:t>
            </w:r>
          </w:p>
        </w:tc>
      </w:tr>
      <w:tr w:rsidR="008033D3" w:rsidRPr="00342F2F" w14:paraId="12E4984D" w14:textId="77777777" w:rsidTr="009E77CA">
        <w:trPr>
          <w:trHeight w:val="1215"/>
        </w:trPr>
        <w:tc>
          <w:tcPr>
            <w:tcW w:w="2800" w:type="dxa"/>
            <w:tcBorders>
              <w:top w:val="nil"/>
              <w:left w:val="nil"/>
              <w:bottom w:val="nil"/>
              <w:right w:val="nil"/>
            </w:tcBorders>
            <w:shd w:val="clear" w:color="FFFFFF" w:fill="FFFFFF"/>
            <w:hideMark/>
          </w:tcPr>
          <w:p w14:paraId="04E5BC76" w14:textId="77777777" w:rsidR="008033D3" w:rsidRPr="00342F2F" w:rsidRDefault="008033D3" w:rsidP="009E77CA">
            <w:pPr>
              <w:spacing w:after="0" w:line="240" w:lineRule="auto"/>
              <w:jc w:val="left"/>
              <w:rPr>
                <w:rFonts w:eastAsia="Times New Roman" w:cs="Times New Roman"/>
                <w:color w:val="000000"/>
                <w:szCs w:val="24"/>
                <w:lang w:eastAsia="es-ES"/>
              </w:rPr>
            </w:pPr>
            <w:proofErr w:type="spellStart"/>
            <w:r w:rsidRPr="00342F2F">
              <w:rPr>
                <w:rFonts w:eastAsia="Times New Roman" w:cs="Times New Roman"/>
                <w:color w:val="000000"/>
                <w:szCs w:val="24"/>
                <w:lang w:eastAsia="es-ES"/>
              </w:rPr>
              <w:t>Motsur</w:t>
            </w:r>
            <w:proofErr w:type="spellEnd"/>
          </w:p>
        </w:tc>
        <w:tc>
          <w:tcPr>
            <w:tcW w:w="1900" w:type="dxa"/>
            <w:tcBorders>
              <w:top w:val="nil"/>
              <w:left w:val="nil"/>
              <w:bottom w:val="nil"/>
              <w:right w:val="nil"/>
            </w:tcBorders>
            <w:shd w:val="clear" w:color="FFFFFF" w:fill="FFFFFF"/>
            <w:hideMark/>
          </w:tcPr>
          <w:p w14:paraId="7C7BBC0D"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Guayaquil</w:t>
            </w:r>
          </w:p>
        </w:tc>
        <w:tc>
          <w:tcPr>
            <w:tcW w:w="1140" w:type="dxa"/>
            <w:tcBorders>
              <w:top w:val="nil"/>
              <w:left w:val="nil"/>
              <w:bottom w:val="nil"/>
              <w:right w:val="nil"/>
            </w:tcBorders>
            <w:shd w:val="clear" w:color="FFFFFF" w:fill="FFFFFF"/>
            <w:hideMark/>
          </w:tcPr>
          <w:p w14:paraId="31EA3FFA"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C2630</w:t>
            </w:r>
          </w:p>
        </w:tc>
        <w:tc>
          <w:tcPr>
            <w:tcW w:w="2780" w:type="dxa"/>
            <w:tcBorders>
              <w:top w:val="nil"/>
              <w:left w:val="nil"/>
              <w:bottom w:val="nil"/>
              <w:right w:val="nil"/>
            </w:tcBorders>
            <w:shd w:val="clear" w:color="FFFFFF" w:fill="FFFFFF"/>
            <w:hideMark/>
          </w:tcPr>
          <w:p w14:paraId="02A51A0A"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Ensamblaje de televisiones, radios para autos, tablet</w:t>
            </w:r>
            <w:r>
              <w:rPr>
                <w:rFonts w:eastAsia="Times New Roman" w:cs="Times New Roman"/>
                <w:color w:val="000000"/>
                <w:szCs w:val="24"/>
                <w:lang w:eastAsia="es-ES"/>
              </w:rPr>
              <w:t>a</w:t>
            </w:r>
            <w:r w:rsidRPr="00342F2F">
              <w:rPr>
                <w:rFonts w:eastAsia="Times New Roman" w:cs="Times New Roman"/>
                <w:color w:val="000000"/>
                <w:szCs w:val="24"/>
                <w:lang w:eastAsia="es-ES"/>
              </w:rPr>
              <w:t>s y celulares.</w:t>
            </w:r>
          </w:p>
        </w:tc>
      </w:tr>
      <w:tr w:rsidR="008033D3" w:rsidRPr="00342F2F" w14:paraId="3186DD2D" w14:textId="77777777" w:rsidTr="009E77CA">
        <w:trPr>
          <w:trHeight w:val="555"/>
        </w:trPr>
        <w:tc>
          <w:tcPr>
            <w:tcW w:w="2800" w:type="dxa"/>
            <w:tcBorders>
              <w:top w:val="nil"/>
              <w:left w:val="nil"/>
              <w:bottom w:val="nil"/>
              <w:right w:val="nil"/>
            </w:tcBorders>
            <w:shd w:val="clear" w:color="FFFFFF" w:fill="FFFFFF"/>
            <w:hideMark/>
          </w:tcPr>
          <w:p w14:paraId="66B36AF5" w14:textId="77777777" w:rsidR="008033D3" w:rsidRPr="00342F2F" w:rsidRDefault="008033D3" w:rsidP="009E77CA">
            <w:pPr>
              <w:spacing w:after="0" w:line="240" w:lineRule="auto"/>
              <w:jc w:val="left"/>
              <w:rPr>
                <w:rFonts w:eastAsia="Times New Roman" w:cs="Times New Roman"/>
                <w:color w:val="000000"/>
                <w:szCs w:val="24"/>
                <w:lang w:eastAsia="es-ES"/>
              </w:rPr>
            </w:pPr>
            <w:proofErr w:type="spellStart"/>
            <w:r w:rsidRPr="00342F2F">
              <w:rPr>
                <w:rFonts w:eastAsia="Times New Roman" w:cs="Times New Roman"/>
                <w:color w:val="000000"/>
                <w:szCs w:val="24"/>
                <w:lang w:eastAsia="es-ES"/>
              </w:rPr>
              <w:t>Goldentech</w:t>
            </w:r>
            <w:proofErr w:type="spellEnd"/>
          </w:p>
        </w:tc>
        <w:tc>
          <w:tcPr>
            <w:tcW w:w="1900" w:type="dxa"/>
            <w:tcBorders>
              <w:top w:val="nil"/>
              <w:left w:val="nil"/>
              <w:bottom w:val="nil"/>
              <w:right w:val="nil"/>
            </w:tcBorders>
            <w:shd w:val="clear" w:color="FFFFFF" w:fill="FFFFFF"/>
            <w:hideMark/>
          </w:tcPr>
          <w:p w14:paraId="0C1B3790"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Guayaquil</w:t>
            </w:r>
          </w:p>
        </w:tc>
        <w:tc>
          <w:tcPr>
            <w:tcW w:w="1140" w:type="dxa"/>
            <w:tcBorders>
              <w:top w:val="nil"/>
              <w:left w:val="nil"/>
              <w:bottom w:val="nil"/>
              <w:right w:val="nil"/>
            </w:tcBorders>
            <w:shd w:val="clear" w:color="FFFFFF" w:fill="FFFFFF"/>
            <w:hideMark/>
          </w:tcPr>
          <w:p w14:paraId="0B2F3AC6"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C2630</w:t>
            </w:r>
          </w:p>
        </w:tc>
        <w:tc>
          <w:tcPr>
            <w:tcW w:w="2780" w:type="dxa"/>
            <w:tcBorders>
              <w:top w:val="nil"/>
              <w:left w:val="nil"/>
              <w:bottom w:val="nil"/>
              <w:right w:val="nil"/>
            </w:tcBorders>
            <w:shd w:val="clear" w:color="FFFFFF" w:fill="FFFFFF"/>
            <w:hideMark/>
          </w:tcPr>
          <w:p w14:paraId="2DEE7EE5"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Celulares</w:t>
            </w:r>
          </w:p>
        </w:tc>
      </w:tr>
      <w:tr w:rsidR="008033D3" w:rsidRPr="00342F2F" w14:paraId="39DFB734" w14:textId="77777777" w:rsidTr="009E77CA">
        <w:trPr>
          <w:trHeight w:val="510"/>
        </w:trPr>
        <w:tc>
          <w:tcPr>
            <w:tcW w:w="2800" w:type="dxa"/>
            <w:tcBorders>
              <w:top w:val="nil"/>
              <w:left w:val="nil"/>
              <w:bottom w:val="single" w:sz="8" w:space="0" w:color="auto"/>
              <w:right w:val="nil"/>
            </w:tcBorders>
            <w:shd w:val="clear" w:color="FFFFFF" w:fill="FFFFFF"/>
            <w:hideMark/>
          </w:tcPr>
          <w:p w14:paraId="1DDFD3DA" w14:textId="77777777" w:rsidR="008033D3" w:rsidRPr="00342F2F" w:rsidRDefault="008033D3" w:rsidP="009E77CA">
            <w:pPr>
              <w:spacing w:after="0" w:line="240" w:lineRule="auto"/>
              <w:jc w:val="left"/>
              <w:rPr>
                <w:rFonts w:eastAsia="Times New Roman" w:cs="Times New Roman"/>
                <w:color w:val="000000"/>
                <w:szCs w:val="24"/>
                <w:lang w:eastAsia="es-ES"/>
              </w:rPr>
            </w:pPr>
            <w:proofErr w:type="spellStart"/>
            <w:r w:rsidRPr="00342F2F">
              <w:rPr>
                <w:rFonts w:eastAsia="Times New Roman" w:cs="Times New Roman"/>
                <w:color w:val="000000"/>
                <w:szCs w:val="24"/>
                <w:lang w:eastAsia="es-ES"/>
              </w:rPr>
              <w:t>Betelasa</w:t>
            </w:r>
            <w:proofErr w:type="spellEnd"/>
          </w:p>
        </w:tc>
        <w:tc>
          <w:tcPr>
            <w:tcW w:w="1900" w:type="dxa"/>
            <w:tcBorders>
              <w:top w:val="nil"/>
              <w:left w:val="nil"/>
              <w:bottom w:val="single" w:sz="8" w:space="0" w:color="auto"/>
              <w:right w:val="nil"/>
            </w:tcBorders>
            <w:shd w:val="clear" w:color="FFFFFF" w:fill="FFFFFF"/>
            <w:hideMark/>
          </w:tcPr>
          <w:p w14:paraId="2ECF1721"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Quito</w:t>
            </w:r>
          </w:p>
        </w:tc>
        <w:tc>
          <w:tcPr>
            <w:tcW w:w="1140" w:type="dxa"/>
            <w:tcBorders>
              <w:top w:val="nil"/>
              <w:left w:val="nil"/>
              <w:bottom w:val="single" w:sz="8" w:space="0" w:color="auto"/>
              <w:right w:val="nil"/>
            </w:tcBorders>
            <w:shd w:val="clear" w:color="FFFFFF" w:fill="FFFFFF"/>
            <w:hideMark/>
          </w:tcPr>
          <w:p w14:paraId="59B72B06"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C2630</w:t>
            </w:r>
          </w:p>
        </w:tc>
        <w:tc>
          <w:tcPr>
            <w:tcW w:w="2780" w:type="dxa"/>
            <w:tcBorders>
              <w:top w:val="nil"/>
              <w:left w:val="nil"/>
              <w:bottom w:val="single" w:sz="8" w:space="0" w:color="auto"/>
              <w:right w:val="nil"/>
            </w:tcBorders>
            <w:shd w:val="clear" w:color="FFFFFF" w:fill="FFFFFF"/>
            <w:hideMark/>
          </w:tcPr>
          <w:p w14:paraId="62FA5D72" w14:textId="77777777" w:rsidR="008033D3" w:rsidRPr="00342F2F" w:rsidRDefault="008033D3" w:rsidP="009E77CA">
            <w:pPr>
              <w:spacing w:after="0" w:line="240" w:lineRule="auto"/>
              <w:rPr>
                <w:rFonts w:eastAsia="Times New Roman" w:cs="Times New Roman"/>
                <w:color w:val="000000"/>
                <w:szCs w:val="24"/>
                <w:lang w:eastAsia="es-ES"/>
              </w:rPr>
            </w:pPr>
            <w:r w:rsidRPr="00342F2F">
              <w:rPr>
                <w:rFonts w:eastAsia="Times New Roman" w:cs="Times New Roman"/>
                <w:color w:val="000000"/>
                <w:szCs w:val="24"/>
                <w:lang w:eastAsia="es-ES"/>
              </w:rPr>
              <w:t>Celulares</w:t>
            </w:r>
          </w:p>
        </w:tc>
      </w:tr>
      <w:tr w:rsidR="008033D3" w:rsidRPr="00342F2F" w14:paraId="045F9C92" w14:textId="77777777" w:rsidTr="009E77CA">
        <w:trPr>
          <w:trHeight w:val="570"/>
        </w:trPr>
        <w:tc>
          <w:tcPr>
            <w:tcW w:w="2800" w:type="dxa"/>
            <w:tcBorders>
              <w:top w:val="single" w:sz="4" w:space="0" w:color="auto"/>
              <w:left w:val="nil"/>
              <w:bottom w:val="nil"/>
              <w:right w:val="nil"/>
            </w:tcBorders>
            <w:shd w:val="clear" w:color="FFFFFF" w:fill="FFFFFF"/>
            <w:hideMark/>
          </w:tcPr>
          <w:p w14:paraId="56842918" w14:textId="77777777" w:rsidR="008033D3" w:rsidRPr="00342F2F" w:rsidRDefault="008033D3" w:rsidP="009E77CA">
            <w:pPr>
              <w:spacing w:after="0" w:line="240" w:lineRule="auto"/>
              <w:rPr>
                <w:rFonts w:eastAsia="Times New Roman" w:cs="Times New Roman"/>
                <w:color w:val="000000"/>
                <w:sz w:val="16"/>
                <w:szCs w:val="16"/>
                <w:lang w:eastAsia="es-ES"/>
              </w:rPr>
            </w:pPr>
            <w:r w:rsidRPr="00342F2F">
              <w:rPr>
                <w:rFonts w:eastAsia="Times New Roman" w:cs="Times New Roman"/>
                <w:color w:val="000000"/>
                <w:sz w:val="16"/>
                <w:szCs w:val="16"/>
                <w:lang w:eastAsia="es-ES"/>
              </w:rPr>
              <w:t xml:space="preserve">Elaborado por: Héctor </w:t>
            </w:r>
            <w:proofErr w:type="spellStart"/>
            <w:r w:rsidRPr="00342F2F">
              <w:rPr>
                <w:rFonts w:eastAsia="Times New Roman" w:cs="Times New Roman"/>
                <w:color w:val="000000"/>
                <w:sz w:val="16"/>
                <w:szCs w:val="16"/>
                <w:lang w:eastAsia="es-ES"/>
              </w:rPr>
              <w:t>Ruilova</w:t>
            </w:r>
            <w:proofErr w:type="spellEnd"/>
            <w:r w:rsidRPr="00342F2F">
              <w:rPr>
                <w:rFonts w:eastAsia="Times New Roman" w:cs="Times New Roman"/>
                <w:color w:val="000000"/>
                <w:sz w:val="16"/>
                <w:szCs w:val="16"/>
                <w:lang w:eastAsia="es-ES"/>
              </w:rPr>
              <w:t xml:space="preserve"> Vidal Fuente: AEDE2</w:t>
            </w:r>
          </w:p>
        </w:tc>
        <w:tc>
          <w:tcPr>
            <w:tcW w:w="1900" w:type="dxa"/>
            <w:tcBorders>
              <w:top w:val="nil"/>
              <w:left w:val="nil"/>
              <w:bottom w:val="nil"/>
              <w:right w:val="nil"/>
            </w:tcBorders>
            <w:shd w:val="clear" w:color="FFFFFF" w:fill="FFFFFF"/>
            <w:noWrap/>
            <w:vAlign w:val="bottom"/>
            <w:hideMark/>
          </w:tcPr>
          <w:p w14:paraId="27296A71" w14:textId="77777777" w:rsidR="008033D3" w:rsidRPr="00342F2F" w:rsidRDefault="008033D3" w:rsidP="009E77CA">
            <w:pPr>
              <w:spacing w:after="0" w:line="240" w:lineRule="auto"/>
              <w:rPr>
                <w:rFonts w:eastAsia="Times New Roman" w:cs="Times New Roman"/>
                <w:color w:val="000000"/>
                <w:lang w:eastAsia="es-ES"/>
              </w:rPr>
            </w:pPr>
            <w:r w:rsidRPr="00342F2F">
              <w:rPr>
                <w:rFonts w:eastAsia="Times New Roman" w:cs="Times New Roman"/>
                <w:color w:val="000000"/>
                <w:lang w:eastAsia="es-ES"/>
              </w:rPr>
              <w:t> </w:t>
            </w:r>
          </w:p>
        </w:tc>
        <w:tc>
          <w:tcPr>
            <w:tcW w:w="1140" w:type="dxa"/>
            <w:tcBorders>
              <w:top w:val="nil"/>
              <w:left w:val="nil"/>
              <w:bottom w:val="nil"/>
              <w:right w:val="nil"/>
            </w:tcBorders>
            <w:shd w:val="clear" w:color="FFFFFF" w:fill="FFFFFF"/>
            <w:noWrap/>
            <w:vAlign w:val="bottom"/>
            <w:hideMark/>
          </w:tcPr>
          <w:p w14:paraId="7AE53A07" w14:textId="77777777" w:rsidR="008033D3" w:rsidRPr="00342F2F" w:rsidRDefault="008033D3" w:rsidP="009E77CA">
            <w:pPr>
              <w:spacing w:after="0" w:line="240" w:lineRule="auto"/>
              <w:rPr>
                <w:rFonts w:eastAsia="Times New Roman" w:cs="Times New Roman"/>
                <w:color w:val="000000"/>
                <w:lang w:eastAsia="es-ES"/>
              </w:rPr>
            </w:pPr>
            <w:r w:rsidRPr="00342F2F">
              <w:rPr>
                <w:rFonts w:eastAsia="Times New Roman" w:cs="Times New Roman"/>
                <w:color w:val="000000"/>
                <w:lang w:eastAsia="es-ES"/>
              </w:rPr>
              <w:t> </w:t>
            </w:r>
          </w:p>
        </w:tc>
        <w:tc>
          <w:tcPr>
            <w:tcW w:w="2780" w:type="dxa"/>
            <w:tcBorders>
              <w:top w:val="nil"/>
              <w:left w:val="nil"/>
              <w:bottom w:val="nil"/>
              <w:right w:val="nil"/>
            </w:tcBorders>
            <w:shd w:val="clear" w:color="FFFFFF" w:fill="FFFFFF"/>
            <w:noWrap/>
            <w:vAlign w:val="bottom"/>
            <w:hideMark/>
          </w:tcPr>
          <w:p w14:paraId="46F01B99" w14:textId="77777777" w:rsidR="008033D3" w:rsidRPr="00342F2F" w:rsidRDefault="008033D3" w:rsidP="009E77CA">
            <w:pPr>
              <w:spacing w:after="0" w:line="240" w:lineRule="auto"/>
              <w:rPr>
                <w:rFonts w:eastAsia="Times New Roman" w:cs="Times New Roman"/>
                <w:color w:val="000000"/>
                <w:lang w:eastAsia="es-ES"/>
              </w:rPr>
            </w:pPr>
            <w:r w:rsidRPr="00342F2F">
              <w:rPr>
                <w:rFonts w:eastAsia="Times New Roman" w:cs="Times New Roman"/>
                <w:color w:val="000000"/>
                <w:lang w:eastAsia="es-ES"/>
              </w:rPr>
              <w:t> </w:t>
            </w:r>
          </w:p>
        </w:tc>
      </w:tr>
    </w:tbl>
    <w:p w14:paraId="6306344D" w14:textId="77777777" w:rsidR="008033D3" w:rsidRDefault="008033D3" w:rsidP="008033D3">
      <w:pPr>
        <w:spacing w:line="360" w:lineRule="auto"/>
        <w:jc w:val="center"/>
        <w:rPr>
          <w:rFonts w:cs="Times New Roman"/>
          <w:szCs w:val="24"/>
        </w:rPr>
      </w:pPr>
    </w:p>
    <w:p w14:paraId="00114EB6" w14:textId="77777777" w:rsidR="008033D3" w:rsidRPr="003264E2" w:rsidRDefault="008033D3" w:rsidP="008033D3">
      <w:pPr>
        <w:spacing w:line="360" w:lineRule="auto"/>
        <w:rPr>
          <w:rFonts w:cs="Times New Roman"/>
          <w:szCs w:val="24"/>
        </w:rPr>
      </w:pPr>
      <w:r w:rsidRPr="003264E2">
        <w:rPr>
          <w:rFonts w:cs="Times New Roman"/>
          <w:szCs w:val="24"/>
        </w:rPr>
        <w:lastRenderedPageBreak/>
        <w:t>La comercialización se realiza a través de empresas que desarrollan ventas al por mayor y menor. Este tipo de distribuidores se encuentran en las 24 provincias del país. Sin embargo Guayas y Pichincha tienen mayor concentración de establecimientos y personas dedicadas a la venta de electrodomésticos en general</w:t>
      </w:r>
      <w:r>
        <w:rPr>
          <w:rFonts w:cs="Times New Roman"/>
          <w:szCs w:val="24"/>
        </w:rPr>
        <w:t>,</w:t>
      </w:r>
      <w:r w:rsidRPr="003264E2">
        <w:rPr>
          <w:rFonts w:cs="Times New Roman"/>
          <w:szCs w:val="24"/>
        </w:rPr>
        <w:t xml:space="preserve"> y de celulares en particular.</w:t>
      </w:r>
    </w:p>
    <w:p w14:paraId="33053C56" w14:textId="77777777" w:rsidR="008033D3" w:rsidRPr="003264E2" w:rsidRDefault="008033D3" w:rsidP="008033D3">
      <w:pPr>
        <w:spacing w:line="360" w:lineRule="auto"/>
        <w:rPr>
          <w:rFonts w:cs="Times New Roman"/>
          <w:szCs w:val="24"/>
        </w:rPr>
      </w:pPr>
      <w:r w:rsidRPr="003264E2">
        <w:rPr>
          <w:rFonts w:cs="Times New Roman"/>
          <w:szCs w:val="24"/>
        </w:rPr>
        <w:t xml:space="preserve">Según datos de la Asociación de Ensambladores de Electrónicos y Eléctricos del Ecuador (AEDE2) el sector tiene una capacidad instalada de 4,1 millones de celulares anuales y con la capacidad producción de equipos con tecnología 4G. La demanda nacional de celulares de más de </w:t>
      </w:r>
      <w:r>
        <w:rPr>
          <w:rFonts w:cs="Times New Roman"/>
          <w:szCs w:val="24"/>
        </w:rPr>
        <w:t>US</w:t>
      </w:r>
      <w:r w:rsidRPr="003264E2">
        <w:rPr>
          <w:rFonts w:cs="Times New Roman"/>
          <w:szCs w:val="24"/>
        </w:rPr>
        <w:t xml:space="preserve">$3 millones de equipos anuales, por lo tanto, la producción nacional con la totalidad de capacidad de producción instalada excedería la demanda nacional con proyecciones de exportación. </w:t>
      </w:r>
    </w:p>
    <w:p w14:paraId="6AE88D20" w14:textId="77777777" w:rsidR="008033D3" w:rsidRPr="003264E2" w:rsidRDefault="008033D3" w:rsidP="008033D3">
      <w:pPr>
        <w:spacing w:line="360" w:lineRule="auto"/>
        <w:rPr>
          <w:rFonts w:cs="Times New Roman"/>
          <w:szCs w:val="24"/>
        </w:rPr>
      </w:pPr>
      <w:r w:rsidRPr="003264E2">
        <w:rPr>
          <w:rFonts w:cs="Times New Roman"/>
          <w:szCs w:val="24"/>
        </w:rPr>
        <w:t>Estas empresas de ensamblaje y producción de equipos celulares son consideradas como industrias de producto final, lo que quiere decir que al contrario de ser productores de materia prima, estas empresas producen equipos terminados con valor agregado siguiendo los lineamientos propuestos por el cambio de la matriz productiva. Los equipos ensamblados tienen un alto porcentaje de material ecuatoriano</w:t>
      </w:r>
      <w:r>
        <w:rPr>
          <w:rFonts w:cs="Times New Roman"/>
          <w:szCs w:val="24"/>
        </w:rPr>
        <w:t>,</w:t>
      </w:r>
      <w:r w:rsidRPr="003264E2">
        <w:rPr>
          <w:rFonts w:cs="Times New Roman"/>
          <w:szCs w:val="24"/>
        </w:rPr>
        <w:t xml:space="preserve"> llegando hasta un 24% en casi todas sus gamas</w:t>
      </w:r>
      <w:r>
        <w:rPr>
          <w:rFonts w:cs="Times New Roman"/>
          <w:szCs w:val="24"/>
        </w:rPr>
        <w:t>, comparado con el 10% que exige  la normativa</w:t>
      </w:r>
      <w:r w:rsidRPr="003264E2">
        <w:rPr>
          <w:rFonts w:cs="Times New Roman"/>
          <w:szCs w:val="24"/>
        </w:rPr>
        <w:t xml:space="preserve">. </w:t>
      </w:r>
    </w:p>
    <w:p w14:paraId="767B02F3" w14:textId="77777777" w:rsidR="008033D3" w:rsidRPr="003264E2" w:rsidRDefault="008033D3" w:rsidP="008033D3">
      <w:pPr>
        <w:spacing w:line="360" w:lineRule="auto"/>
        <w:rPr>
          <w:rFonts w:cs="Times New Roman"/>
          <w:szCs w:val="24"/>
        </w:rPr>
      </w:pPr>
      <w:r w:rsidRPr="003264E2">
        <w:rPr>
          <w:rFonts w:cs="Times New Roman"/>
          <w:szCs w:val="24"/>
        </w:rPr>
        <w:t xml:space="preserve">Las plantas de ensamblaje reportan una capacidad de producción de casi 4 millones de unidades en su máxima capacidad, sobrepasando la demanda proyectada anual que según la </w:t>
      </w:r>
      <w:proofErr w:type="spellStart"/>
      <w:r w:rsidRPr="003264E2">
        <w:rPr>
          <w:rFonts w:cs="Times New Roman"/>
          <w:szCs w:val="24"/>
        </w:rPr>
        <w:t>Supertel</w:t>
      </w:r>
      <w:proofErr w:type="spellEnd"/>
      <w:r w:rsidRPr="003264E2">
        <w:rPr>
          <w:rFonts w:cs="Times New Roman"/>
          <w:szCs w:val="24"/>
        </w:rPr>
        <w:t xml:space="preserve"> es de un poco más de 3 millones. La industria asegura que puede cumplir con la demanda de equipos en todas las gamas a través de ventas indirectas y por medio de las tres operadoras que funcionan en el país. Adicionalmente, el ensamblaje de teléfonos genera industrias intermedias y asociadas a la producción como placas electrónicas, cargadores, baterías de litio, programación de software, sistemas operativos adaptados a las especificaciones técnicas del hardware, etc. El AEDE2 afirma que cada una de las plantas ensambladoras y los productos terminados deben cumplir con normativas ISO de medio ambiente y salud, calidad y seguridad ocupacional muy rigurosas para poder ser inscritos en el MIPRO. </w:t>
      </w:r>
      <w:sdt>
        <w:sdtPr>
          <w:rPr>
            <w:rFonts w:cs="Times New Roman"/>
            <w:szCs w:val="24"/>
          </w:rPr>
          <w:id w:val="-377704943"/>
          <w:citation/>
        </w:sdtPr>
        <w:sdtEndPr/>
        <w:sdtContent>
          <w:r w:rsidRPr="003264E2">
            <w:rPr>
              <w:rFonts w:cs="Times New Roman"/>
              <w:szCs w:val="24"/>
            </w:rPr>
            <w:fldChar w:fldCharType="begin"/>
          </w:r>
          <w:r w:rsidRPr="003264E2">
            <w:rPr>
              <w:rFonts w:cs="Times New Roman"/>
              <w:szCs w:val="24"/>
            </w:rPr>
            <w:instrText xml:space="preserve">CITATION AED151 \l 3082 </w:instrText>
          </w:r>
          <w:r w:rsidRPr="003264E2">
            <w:rPr>
              <w:rFonts w:cs="Times New Roman"/>
              <w:szCs w:val="24"/>
            </w:rPr>
            <w:fldChar w:fldCharType="separate"/>
          </w:r>
          <w:r w:rsidRPr="003264E2">
            <w:rPr>
              <w:rFonts w:cs="Times New Roman"/>
              <w:noProof/>
              <w:szCs w:val="24"/>
            </w:rPr>
            <w:t>(AEDE2, 2015)</w:t>
          </w:r>
          <w:r w:rsidRPr="003264E2">
            <w:rPr>
              <w:rFonts w:cs="Times New Roman"/>
              <w:szCs w:val="24"/>
            </w:rPr>
            <w:fldChar w:fldCharType="end"/>
          </w:r>
        </w:sdtContent>
      </w:sdt>
    </w:p>
    <w:p w14:paraId="682D2E11" w14:textId="77777777" w:rsidR="008033D3" w:rsidRDefault="008033D3" w:rsidP="008033D3">
      <w:pPr>
        <w:spacing w:line="360" w:lineRule="auto"/>
        <w:rPr>
          <w:rFonts w:cs="Times New Roman"/>
          <w:szCs w:val="24"/>
        </w:rPr>
      </w:pPr>
      <w:r>
        <w:rPr>
          <w:rFonts w:cs="Times New Roman"/>
          <w:szCs w:val="24"/>
        </w:rPr>
        <w:t>HASTA AQUÍ</w:t>
      </w:r>
    </w:p>
    <w:p w14:paraId="284D43E1" w14:textId="75E15CA5" w:rsidR="008033D3" w:rsidRPr="003264E2" w:rsidRDefault="008033D3" w:rsidP="008033D3">
      <w:pPr>
        <w:spacing w:line="360" w:lineRule="auto"/>
        <w:rPr>
          <w:rFonts w:cs="Times New Roman"/>
          <w:szCs w:val="24"/>
        </w:rPr>
      </w:pPr>
      <w:r w:rsidRPr="003264E2">
        <w:rPr>
          <w:rFonts w:cs="Times New Roman"/>
          <w:szCs w:val="24"/>
        </w:rPr>
        <w:lastRenderedPageBreak/>
        <w:t>Hasta el 2014 el escenario de la balanza comercial en cuanto a la importación de equipos celulares terminados o CBU (</w:t>
      </w:r>
      <w:proofErr w:type="spellStart"/>
      <w:r w:rsidRPr="00172A00">
        <w:rPr>
          <w:rFonts w:cs="Times New Roman"/>
          <w:i/>
          <w:szCs w:val="24"/>
        </w:rPr>
        <w:t>Completely</w:t>
      </w:r>
      <w:proofErr w:type="spellEnd"/>
      <w:r w:rsidRPr="00172A00">
        <w:rPr>
          <w:rFonts w:cs="Times New Roman"/>
          <w:i/>
          <w:szCs w:val="24"/>
        </w:rPr>
        <w:t xml:space="preserve"> </w:t>
      </w:r>
      <w:proofErr w:type="spellStart"/>
      <w:r w:rsidRPr="00172A00">
        <w:rPr>
          <w:rFonts w:cs="Times New Roman"/>
          <w:i/>
          <w:szCs w:val="24"/>
        </w:rPr>
        <w:t>Built</w:t>
      </w:r>
      <w:proofErr w:type="spellEnd"/>
      <w:r w:rsidRPr="00172A00">
        <w:rPr>
          <w:rFonts w:cs="Times New Roman"/>
          <w:i/>
          <w:szCs w:val="24"/>
        </w:rPr>
        <w:t xml:space="preserve"> </w:t>
      </w:r>
      <w:proofErr w:type="spellStart"/>
      <w:r w:rsidRPr="00172A00">
        <w:rPr>
          <w:rFonts w:cs="Times New Roman"/>
          <w:i/>
          <w:szCs w:val="24"/>
        </w:rPr>
        <w:t>Unit</w:t>
      </w:r>
      <w:proofErr w:type="spellEnd"/>
      <w:r w:rsidRPr="003264E2">
        <w:rPr>
          <w:rFonts w:cs="Times New Roman"/>
          <w:szCs w:val="24"/>
        </w:rPr>
        <w:t xml:space="preserve">) </w:t>
      </w:r>
      <w:r>
        <w:rPr>
          <w:rFonts w:cs="Times New Roman"/>
          <w:szCs w:val="24"/>
        </w:rPr>
        <w:t>obtuvo del Estado</w:t>
      </w:r>
      <w:r w:rsidRPr="003264E2">
        <w:rPr>
          <w:rFonts w:cs="Times New Roman"/>
          <w:szCs w:val="24"/>
        </w:rPr>
        <w:t xml:space="preserve"> más de </w:t>
      </w:r>
      <w:r>
        <w:rPr>
          <w:rFonts w:cs="Times New Roman"/>
          <w:szCs w:val="24"/>
        </w:rPr>
        <w:t>US</w:t>
      </w:r>
      <w:r w:rsidRPr="003264E2">
        <w:rPr>
          <w:rFonts w:cs="Times New Roman"/>
          <w:szCs w:val="24"/>
        </w:rPr>
        <w:t>$196 millones de cupo de importación para las tres operadoras que funcionan en el país</w:t>
      </w:r>
      <w:r>
        <w:rPr>
          <w:rFonts w:cs="Times New Roman"/>
          <w:szCs w:val="24"/>
        </w:rPr>
        <w:t xml:space="preserve"> En </w:t>
      </w:r>
      <w:r w:rsidR="004508CB">
        <w:rPr>
          <w:rFonts w:cs="Times New Roman"/>
          <w:szCs w:val="24"/>
        </w:rPr>
        <w:t>consecuencia</w:t>
      </w:r>
      <w:r w:rsidR="004508CB" w:rsidRPr="003264E2">
        <w:rPr>
          <w:rFonts w:cs="Times New Roman"/>
          <w:szCs w:val="24"/>
        </w:rPr>
        <w:t xml:space="preserve"> provocó</w:t>
      </w:r>
      <w:r w:rsidRPr="003264E2">
        <w:rPr>
          <w:rFonts w:cs="Times New Roman"/>
          <w:szCs w:val="24"/>
        </w:rPr>
        <w:t xml:space="preserve"> una salida de divisas de más de </w:t>
      </w:r>
      <w:r>
        <w:rPr>
          <w:rFonts w:cs="Times New Roman"/>
          <w:szCs w:val="24"/>
        </w:rPr>
        <w:t>US</w:t>
      </w:r>
      <w:r w:rsidRPr="003264E2">
        <w:rPr>
          <w:rFonts w:cs="Times New Roman"/>
          <w:szCs w:val="24"/>
        </w:rPr>
        <w:t>$214 millones</w:t>
      </w:r>
      <w:r>
        <w:rPr>
          <w:rFonts w:cs="Times New Roman"/>
          <w:szCs w:val="24"/>
        </w:rPr>
        <w:t xml:space="preserve"> en ese mismo año</w:t>
      </w:r>
      <w:r w:rsidRPr="003264E2">
        <w:rPr>
          <w:rFonts w:cs="Times New Roman"/>
          <w:szCs w:val="24"/>
        </w:rPr>
        <w:t xml:space="preserve">. </w:t>
      </w:r>
      <w:r>
        <w:rPr>
          <w:rFonts w:cs="Times New Roman"/>
          <w:szCs w:val="24"/>
        </w:rPr>
        <w:t>Por otro lado,</w:t>
      </w:r>
      <w:r w:rsidRPr="003264E2">
        <w:rPr>
          <w:rFonts w:cs="Times New Roman"/>
          <w:szCs w:val="24"/>
        </w:rPr>
        <w:t xml:space="preserve">  el total de importación CKD para ensamblaje nacional importó </w:t>
      </w:r>
      <w:r>
        <w:rPr>
          <w:rFonts w:cs="Times New Roman"/>
          <w:szCs w:val="24"/>
        </w:rPr>
        <w:t>US</w:t>
      </w:r>
      <w:r w:rsidRPr="003264E2">
        <w:rPr>
          <w:rFonts w:cs="Times New Roman"/>
          <w:szCs w:val="24"/>
        </w:rPr>
        <w:t xml:space="preserve">$17 millones contrarrestando la salida de divisas en más de </w:t>
      </w:r>
      <w:r>
        <w:rPr>
          <w:rFonts w:cs="Times New Roman"/>
          <w:szCs w:val="24"/>
        </w:rPr>
        <w:t>US</w:t>
      </w:r>
      <w:r w:rsidRPr="003264E2">
        <w:rPr>
          <w:rFonts w:cs="Times New Roman"/>
          <w:szCs w:val="24"/>
        </w:rPr>
        <w:t xml:space="preserve">$9 millones en utilidad para las empresas ensambladoras. </w:t>
      </w:r>
      <w:sdt>
        <w:sdtPr>
          <w:rPr>
            <w:rFonts w:cs="Times New Roman"/>
            <w:szCs w:val="24"/>
          </w:rPr>
          <w:id w:val="-1755590769"/>
          <w:citation/>
        </w:sdtPr>
        <w:sdtEndPr/>
        <w:sdtContent>
          <w:r w:rsidRPr="003264E2">
            <w:rPr>
              <w:rFonts w:cs="Times New Roman"/>
              <w:szCs w:val="24"/>
            </w:rPr>
            <w:fldChar w:fldCharType="begin"/>
          </w:r>
          <w:r w:rsidRPr="003264E2">
            <w:rPr>
              <w:rFonts w:cs="Times New Roman"/>
              <w:szCs w:val="24"/>
            </w:rPr>
            <w:instrText xml:space="preserve"> CITATION AED15 \l 3082 </w:instrText>
          </w:r>
          <w:r w:rsidRPr="003264E2">
            <w:rPr>
              <w:rFonts w:cs="Times New Roman"/>
              <w:szCs w:val="24"/>
            </w:rPr>
            <w:fldChar w:fldCharType="separate"/>
          </w:r>
          <w:r w:rsidRPr="003264E2">
            <w:rPr>
              <w:rFonts w:cs="Times New Roman"/>
              <w:noProof/>
              <w:szCs w:val="24"/>
            </w:rPr>
            <w:t>(AEDE2, 2015 )</w:t>
          </w:r>
          <w:r w:rsidRPr="003264E2">
            <w:rPr>
              <w:rFonts w:cs="Times New Roman"/>
              <w:szCs w:val="24"/>
            </w:rPr>
            <w:fldChar w:fldCharType="end"/>
          </w:r>
        </w:sdtContent>
      </w:sdt>
    </w:p>
    <w:p w14:paraId="3731D253" w14:textId="77777777" w:rsidR="008033D3" w:rsidRPr="003264E2" w:rsidRDefault="008033D3" w:rsidP="008033D3">
      <w:pPr>
        <w:spacing w:line="360" w:lineRule="auto"/>
        <w:rPr>
          <w:rFonts w:cs="Times New Roman"/>
          <w:szCs w:val="24"/>
        </w:rPr>
      </w:pPr>
      <w:r w:rsidRPr="003264E2">
        <w:rPr>
          <w:rFonts w:cs="Times New Roman"/>
          <w:szCs w:val="24"/>
        </w:rPr>
        <w:t>Al menos 950.000 celulares en CKD (partes y piezas) se importaron en 2014, esta cantidad corresponde al número total de equipos ensamblados y cubre actualmente el 50% de la demanda nacional de celulares. De estos, el 9% corresponde a</w:t>
      </w:r>
      <w:r>
        <w:rPr>
          <w:rFonts w:cs="Times New Roman"/>
          <w:szCs w:val="24"/>
        </w:rPr>
        <w:t xml:space="preserve"> un teléfono</w:t>
      </w:r>
      <w:r w:rsidRPr="003264E2">
        <w:rPr>
          <w:rFonts w:cs="Times New Roman"/>
          <w:szCs w:val="24"/>
        </w:rPr>
        <w:t xml:space="preserve"> </w:t>
      </w:r>
      <w:r w:rsidRPr="00825509">
        <w:rPr>
          <w:rFonts w:cs="Times New Roman"/>
          <w:i/>
          <w:szCs w:val="24"/>
        </w:rPr>
        <w:t>Smartphone</w:t>
      </w:r>
      <w:r>
        <w:rPr>
          <w:rFonts w:cs="Times New Roman"/>
          <w:szCs w:val="24"/>
        </w:rPr>
        <w:t>. Desde m</w:t>
      </w:r>
      <w:r w:rsidRPr="003264E2">
        <w:rPr>
          <w:rFonts w:cs="Times New Roman"/>
          <w:szCs w:val="24"/>
        </w:rPr>
        <w:t>arzo de 2015 el gobierno otorgó autorización a ambas operadoras privadas en utilizar el espectro 4G. Ahora que el Gobierno decidió ampliar el espectro para la banda 4G y se otorgó la concesión a</w:t>
      </w:r>
      <w:r>
        <w:rPr>
          <w:rFonts w:cs="Times New Roman"/>
          <w:szCs w:val="24"/>
        </w:rPr>
        <w:t xml:space="preserve"> Claro y Movistar en el mes de m</w:t>
      </w:r>
      <w:r w:rsidRPr="003264E2">
        <w:rPr>
          <w:rFonts w:cs="Times New Roman"/>
          <w:szCs w:val="24"/>
        </w:rPr>
        <w:t>arzo</w:t>
      </w:r>
      <w:r>
        <w:rPr>
          <w:rFonts w:cs="Times New Roman"/>
          <w:szCs w:val="24"/>
        </w:rPr>
        <w:t xml:space="preserve"> de 2015</w:t>
      </w:r>
      <w:r w:rsidRPr="003264E2">
        <w:rPr>
          <w:rFonts w:cs="Times New Roman"/>
          <w:szCs w:val="24"/>
        </w:rPr>
        <w:t xml:space="preserve">, la industria ensambladora local aspira a participar de este mercado produciendo equipos con banda 4G como es el ejemplo del </w:t>
      </w:r>
      <w:proofErr w:type="spellStart"/>
      <w:r w:rsidRPr="00172A00">
        <w:rPr>
          <w:rFonts w:cs="Times New Roman"/>
          <w:i/>
          <w:szCs w:val="24"/>
        </w:rPr>
        <w:t>Jezz</w:t>
      </w:r>
      <w:proofErr w:type="spellEnd"/>
      <w:r w:rsidRPr="00172A00">
        <w:rPr>
          <w:rFonts w:cs="Times New Roman"/>
          <w:i/>
          <w:szCs w:val="24"/>
        </w:rPr>
        <w:t xml:space="preserve"> Andy 5</w:t>
      </w:r>
      <w:r w:rsidRPr="003264E2">
        <w:rPr>
          <w:rFonts w:cs="Times New Roman"/>
          <w:szCs w:val="24"/>
        </w:rPr>
        <w:t xml:space="preserve"> y el </w:t>
      </w:r>
      <w:r w:rsidRPr="00172A00">
        <w:rPr>
          <w:rFonts w:cs="Times New Roman"/>
          <w:i/>
          <w:szCs w:val="24"/>
        </w:rPr>
        <w:t xml:space="preserve">Alcatel </w:t>
      </w:r>
      <w:proofErr w:type="spellStart"/>
      <w:r w:rsidRPr="00172A00">
        <w:rPr>
          <w:rFonts w:cs="Times New Roman"/>
          <w:i/>
          <w:szCs w:val="24"/>
        </w:rPr>
        <w:t>Idol</w:t>
      </w:r>
      <w:proofErr w:type="spellEnd"/>
      <w:r w:rsidRPr="00172A00">
        <w:rPr>
          <w:rFonts w:cs="Times New Roman"/>
          <w:i/>
          <w:szCs w:val="24"/>
        </w:rPr>
        <w:t xml:space="preserve"> III</w:t>
      </w:r>
      <w:r w:rsidRPr="003264E2">
        <w:rPr>
          <w:rFonts w:cs="Times New Roman"/>
          <w:szCs w:val="24"/>
        </w:rPr>
        <w:t xml:space="preserve">. </w:t>
      </w:r>
      <w:r w:rsidRPr="00DE2437">
        <w:rPr>
          <w:rFonts w:cs="Times New Roman"/>
          <w:szCs w:val="24"/>
        </w:rPr>
        <w:t xml:space="preserve"> </w:t>
      </w:r>
      <w:r w:rsidRPr="003264E2">
        <w:rPr>
          <w:rFonts w:cs="Times New Roman"/>
          <w:szCs w:val="24"/>
        </w:rPr>
        <w:t xml:space="preserve">A mediados de 2015 </w:t>
      </w:r>
      <w:r>
        <w:rPr>
          <w:rFonts w:cs="Times New Roman"/>
          <w:szCs w:val="24"/>
        </w:rPr>
        <w:t>el Comité de Comercio Exterior</w:t>
      </w:r>
      <w:r w:rsidRPr="003264E2">
        <w:rPr>
          <w:rFonts w:cs="Times New Roman"/>
          <w:szCs w:val="24"/>
        </w:rPr>
        <w:t xml:space="preserve"> mediante la resolución 024-2015 aumentó el cupo a las dos operadoras CONECEL (Claro) y OTECEL (Movistar) en </w:t>
      </w:r>
      <w:r>
        <w:rPr>
          <w:rFonts w:cs="Times New Roman"/>
          <w:szCs w:val="24"/>
        </w:rPr>
        <w:t>US</w:t>
      </w:r>
      <w:r w:rsidRPr="003264E2">
        <w:rPr>
          <w:rFonts w:cs="Times New Roman"/>
          <w:szCs w:val="24"/>
        </w:rPr>
        <w:t xml:space="preserve">$22 millones y </w:t>
      </w:r>
      <w:r>
        <w:rPr>
          <w:rFonts w:cs="Times New Roman"/>
          <w:szCs w:val="24"/>
        </w:rPr>
        <w:t>US</w:t>
      </w:r>
      <w:r w:rsidRPr="003264E2">
        <w:rPr>
          <w:rFonts w:cs="Times New Roman"/>
          <w:szCs w:val="24"/>
        </w:rPr>
        <w:t xml:space="preserve">$18 millones respectivamente para la importación de celulares terminados al país. </w:t>
      </w:r>
      <w:sdt>
        <w:sdtPr>
          <w:rPr>
            <w:rFonts w:cs="Times New Roman"/>
            <w:szCs w:val="24"/>
          </w:rPr>
          <w:id w:val="-137725051"/>
          <w:citation/>
        </w:sdtPr>
        <w:sdtEndPr/>
        <w:sdtContent>
          <w:r w:rsidRPr="003264E2">
            <w:rPr>
              <w:rFonts w:cs="Times New Roman"/>
              <w:szCs w:val="24"/>
            </w:rPr>
            <w:fldChar w:fldCharType="begin"/>
          </w:r>
          <w:r w:rsidRPr="003264E2">
            <w:rPr>
              <w:rFonts w:cs="Times New Roman"/>
              <w:szCs w:val="24"/>
            </w:rPr>
            <w:instrText xml:space="preserve"> CITATION AED15 \l 3082 </w:instrText>
          </w:r>
          <w:r w:rsidRPr="003264E2">
            <w:rPr>
              <w:rFonts w:cs="Times New Roman"/>
              <w:szCs w:val="24"/>
            </w:rPr>
            <w:fldChar w:fldCharType="separate"/>
          </w:r>
          <w:r w:rsidRPr="003264E2">
            <w:rPr>
              <w:rFonts w:cs="Times New Roman"/>
              <w:noProof/>
              <w:szCs w:val="24"/>
            </w:rPr>
            <w:t>(AEDE2, 2015 )</w:t>
          </w:r>
          <w:r w:rsidRPr="003264E2">
            <w:rPr>
              <w:rFonts w:cs="Times New Roman"/>
              <w:szCs w:val="24"/>
            </w:rPr>
            <w:fldChar w:fldCharType="end"/>
          </w:r>
        </w:sdtContent>
      </w:sdt>
    </w:p>
    <w:p w14:paraId="0D5E8DDA" w14:textId="77777777" w:rsidR="008033D3" w:rsidRPr="003264E2" w:rsidRDefault="008033D3" w:rsidP="008033D3">
      <w:pPr>
        <w:spacing w:line="360" w:lineRule="auto"/>
        <w:rPr>
          <w:rFonts w:cs="Times New Roman"/>
          <w:szCs w:val="24"/>
        </w:rPr>
      </w:pPr>
      <w:r>
        <w:rPr>
          <w:rFonts w:cs="Times New Roman"/>
          <w:szCs w:val="24"/>
        </w:rPr>
        <w:t xml:space="preserve">Esta misma Asociación, afirmó que en el </w:t>
      </w:r>
      <w:r w:rsidRPr="003264E2">
        <w:rPr>
          <w:rFonts w:cs="Times New Roman"/>
          <w:szCs w:val="24"/>
        </w:rPr>
        <w:t xml:space="preserve">2014 se encontraban empleados 790 personas directamente a la industria con un salario promedio de </w:t>
      </w:r>
      <w:r>
        <w:rPr>
          <w:rFonts w:cs="Times New Roman"/>
          <w:szCs w:val="24"/>
        </w:rPr>
        <w:t>US</w:t>
      </w:r>
      <w:r w:rsidRPr="003264E2">
        <w:rPr>
          <w:rFonts w:cs="Times New Roman"/>
          <w:szCs w:val="24"/>
        </w:rPr>
        <w:t xml:space="preserve">$744.56, 2782 personas con empleo indirecto y beneficiados de la industria por incidencia económica a 3.750 personas. En el 2015 debido a la incertidumbre de la normativa gubernamental existen 430 personas empleados directos, 1530 indirectos. Según afirman de darse el caso </w:t>
      </w:r>
      <w:r>
        <w:rPr>
          <w:rFonts w:cs="Times New Roman"/>
          <w:szCs w:val="24"/>
        </w:rPr>
        <w:t xml:space="preserve">de </w:t>
      </w:r>
      <w:r w:rsidRPr="003264E2">
        <w:rPr>
          <w:rFonts w:cs="Times New Roman"/>
          <w:szCs w:val="24"/>
        </w:rPr>
        <w:t xml:space="preserve">que las 12 empresas ensambladoras a quienes representan y se encuentran inscritas en el MIPRO estuvieran dentro del total de su capacidad de producción, estarían dando empleo directo a aproximadamente 1700 trabajadores capacitados y a 5100 personas asociadas al empleo indirecto. </w:t>
      </w:r>
    </w:p>
    <w:p w14:paraId="7F74938C" w14:textId="77777777" w:rsidR="008033D3" w:rsidRPr="003264E2" w:rsidRDefault="008033D3" w:rsidP="008033D3">
      <w:pPr>
        <w:spacing w:line="360" w:lineRule="auto"/>
        <w:rPr>
          <w:rFonts w:cs="Times New Roman"/>
          <w:szCs w:val="24"/>
        </w:rPr>
      </w:pPr>
      <w:r>
        <w:rPr>
          <w:rFonts w:cs="Times New Roman"/>
          <w:szCs w:val="24"/>
        </w:rPr>
        <w:t>Por otro lado, e</w:t>
      </w:r>
      <w:r w:rsidRPr="003264E2">
        <w:rPr>
          <w:rFonts w:cs="Times New Roman"/>
          <w:szCs w:val="24"/>
        </w:rPr>
        <w:t xml:space="preserve">l </w:t>
      </w:r>
      <w:r>
        <w:rPr>
          <w:rFonts w:cs="Times New Roman"/>
          <w:szCs w:val="24"/>
        </w:rPr>
        <w:t xml:space="preserve">MIPRO en septiembre del 2015, </w:t>
      </w:r>
      <w:r w:rsidRPr="003264E2">
        <w:rPr>
          <w:rFonts w:cs="Times New Roman"/>
          <w:szCs w:val="24"/>
        </w:rPr>
        <w:t>propuso cambios en la estructura de la importación CKD, que aplica a todo el sector electrónico lo cual ha provocado especulación y un estancamiento en la produc</w:t>
      </w:r>
      <w:r>
        <w:rPr>
          <w:rFonts w:cs="Times New Roman"/>
          <w:szCs w:val="24"/>
        </w:rPr>
        <w:t>ción de equipos lo cual afectaría</w:t>
      </w:r>
      <w:r w:rsidRPr="003264E2">
        <w:rPr>
          <w:rFonts w:cs="Times New Roman"/>
          <w:szCs w:val="24"/>
        </w:rPr>
        <w:t xml:space="preserve"> a la industria a vísperas de Navid</w:t>
      </w:r>
      <w:r>
        <w:rPr>
          <w:rFonts w:cs="Times New Roman"/>
          <w:szCs w:val="24"/>
        </w:rPr>
        <w:t>ad. Como respuesta el Gobierno c</w:t>
      </w:r>
      <w:r w:rsidRPr="003264E2">
        <w:rPr>
          <w:rFonts w:cs="Times New Roman"/>
          <w:szCs w:val="24"/>
        </w:rPr>
        <w:t xml:space="preserve">entral asignó una audiencia con la Ministra </w:t>
      </w:r>
      <w:r w:rsidRPr="003264E2">
        <w:rPr>
          <w:rFonts w:cs="Times New Roman"/>
          <w:szCs w:val="24"/>
        </w:rPr>
        <w:lastRenderedPageBreak/>
        <w:t xml:space="preserve">Coordinadora de la Producción, Empleo y Competitividad (MCPEC) </w:t>
      </w:r>
      <w:proofErr w:type="spellStart"/>
      <w:r w:rsidRPr="003264E2">
        <w:rPr>
          <w:rFonts w:cs="Times New Roman"/>
          <w:szCs w:val="24"/>
        </w:rPr>
        <w:t>Nathalie</w:t>
      </w:r>
      <w:proofErr w:type="spellEnd"/>
      <w:r w:rsidRPr="003264E2">
        <w:rPr>
          <w:rFonts w:cs="Times New Roman"/>
          <w:szCs w:val="24"/>
        </w:rPr>
        <w:t xml:space="preserve"> </w:t>
      </w:r>
      <w:proofErr w:type="spellStart"/>
      <w:r w:rsidRPr="003264E2">
        <w:rPr>
          <w:rFonts w:cs="Times New Roman"/>
          <w:szCs w:val="24"/>
        </w:rPr>
        <w:t>Cely</w:t>
      </w:r>
      <w:proofErr w:type="spellEnd"/>
      <w:r>
        <w:rPr>
          <w:rFonts w:cs="Times New Roman"/>
          <w:szCs w:val="24"/>
        </w:rPr>
        <w:t>,</w:t>
      </w:r>
      <w:r w:rsidRPr="003264E2">
        <w:rPr>
          <w:rFonts w:cs="Times New Roman"/>
          <w:szCs w:val="24"/>
        </w:rPr>
        <w:t xml:space="preserve"> donde se concientizó lo erróneo de la propuesta de eliminación de las partidas CKD.</w:t>
      </w:r>
    </w:p>
    <w:p w14:paraId="364D5A45" w14:textId="77777777" w:rsidR="008033D3" w:rsidRPr="00183CDF" w:rsidRDefault="008033D3" w:rsidP="008033D3">
      <w:pPr>
        <w:pStyle w:val="Ttulo3"/>
        <w:spacing w:before="0" w:after="200" w:line="360" w:lineRule="auto"/>
        <w:rPr>
          <w:rFonts w:cs="Times New Roman"/>
          <w:b w:val="0"/>
          <w:szCs w:val="24"/>
        </w:rPr>
      </w:pPr>
      <w:bookmarkStart w:id="35" w:name="_Toc442343928"/>
      <w:r w:rsidRPr="00183CDF">
        <w:rPr>
          <w:rFonts w:cs="Times New Roman"/>
          <w:b w:val="0"/>
          <w:szCs w:val="24"/>
        </w:rPr>
        <w:t>1.3</w:t>
      </w:r>
      <w:r w:rsidRPr="00183CDF">
        <w:rPr>
          <w:rFonts w:cs="Times New Roman"/>
          <w:b w:val="0"/>
          <w:szCs w:val="24"/>
        </w:rPr>
        <w:tab/>
      </w:r>
      <w:r w:rsidRPr="00183CDF">
        <w:rPr>
          <w:rStyle w:val="Ttulo3Car"/>
        </w:rPr>
        <w:t>Beneficios a los consumidores</w:t>
      </w:r>
      <w:bookmarkEnd w:id="35"/>
    </w:p>
    <w:p w14:paraId="508CDF02" w14:textId="77777777" w:rsidR="008033D3" w:rsidRPr="003264E2" w:rsidRDefault="008033D3" w:rsidP="008033D3">
      <w:pPr>
        <w:spacing w:line="360" w:lineRule="auto"/>
        <w:rPr>
          <w:rFonts w:cs="Times New Roman"/>
          <w:szCs w:val="24"/>
        </w:rPr>
      </w:pPr>
      <w:r w:rsidRPr="003264E2">
        <w:rPr>
          <w:rFonts w:cs="Times New Roman"/>
          <w:szCs w:val="24"/>
        </w:rPr>
        <w:t>Dado que</w:t>
      </w:r>
      <w:r>
        <w:rPr>
          <w:rFonts w:cs="Times New Roman"/>
          <w:szCs w:val="24"/>
        </w:rPr>
        <w:t>,</w:t>
      </w:r>
      <w:r w:rsidRPr="003264E2">
        <w:rPr>
          <w:rFonts w:cs="Times New Roman"/>
          <w:szCs w:val="24"/>
        </w:rPr>
        <w:t xml:space="preserve"> los teléfonos análogos tienen tendencia a</w:t>
      </w:r>
      <w:r>
        <w:rPr>
          <w:rFonts w:cs="Times New Roman"/>
          <w:szCs w:val="24"/>
        </w:rPr>
        <w:t>l</w:t>
      </w:r>
      <w:r w:rsidRPr="003264E2">
        <w:rPr>
          <w:rFonts w:cs="Times New Roman"/>
          <w:szCs w:val="24"/>
        </w:rPr>
        <w:t xml:space="preserve"> congestionamiento, los teléfonos celulares digitales convierten la voz en códigos digitales binarios, y luego la comprimen</w:t>
      </w:r>
      <w:r>
        <w:rPr>
          <w:rFonts w:cs="Times New Roman"/>
          <w:szCs w:val="24"/>
        </w:rPr>
        <w:t>.</w:t>
      </w:r>
      <w:r w:rsidRPr="003C2BBA">
        <w:rPr>
          <w:rFonts w:cs="Times New Roman"/>
          <w:szCs w:val="24"/>
        </w:rPr>
        <w:t xml:space="preserve"> </w:t>
      </w:r>
      <w:r w:rsidRPr="003264E2">
        <w:rPr>
          <w:rFonts w:cs="Times New Roman"/>
          <w:szCs w:val="24"/>
        </w:rPr>
        <w:t>Para lograr esta compresión y descompresión de datos los teléfonos celulares procesan millones de cálculos por minuto.</w:t>
      </w:r>
      <w:r w:rsidRPr="003C2BBA">
        <w:rPr>
          <w:rFonts w:cs="Times New Roman"/>
          <w:szCs w:val="24"/>
        </w:rPr>
        <w:t xml:space="preserve"> Esta tecnología lo que ha generado es que cad</w:t>
      </w:r>
      <w:r>
        <w:rPr>
          <w:rFonts w:cs="Times New Roman"/>
          <w:szCs w:val="24"/>
        </w:rPr>
        <w:t xml:space="preserve">a llamada telefónica ocupe </w:t>
      </w:r>
      <w:r w:rsidRPr="003C2BBA">
        <w:rPr>
          <w:rFonts w:cs="Times New Roman"/>
          <w:szCs w:val="24"/>
        </w:rPr>
        <w:t xml:space="preserve">de 3 a 10 veces menos espacio por su compresión. De esta manera, se vuelve mucho más fácil procesar, transportar y almacenar las llamadas generando menos tráfico y optimizando la comunicación. </w:t>
      </w:r>
    </w:p>
    <w:p w14:paraId="475436AE" w14:textId="48305D51" w:rsidR="008033D3" w:rsidRPr="003264E2" w:rsidRDefault="008033D3" w:rsidP="008033D3">
      <w:pPr>
        <w:spacing w:line="360" w:lineRule="auto"/>
        <w:rPr>
          <w:rFonts w:cs="Times New Roman"/>
          <w:szCs w:val="24"/>
        </w:rPr>
      </w:pPr>
      <w:r w:rsidRPr="003264E2">
        <w:rPr>
          <w:rFonts w:cs="Times New Roman"/>
          <w:szCs w:val="24"/>
        </w:rPr>
        <w:t xml:space="preserve">Los consumidores se benefician del crecimiento en la inversión en la industria de las telecomunicaciones a través de nuevas tecnologías que mejoran la calidad de las conexiones y los precios de los equipos. El tráfico de datos móviles crece rápidamente a tal punto que se necesitará una banda más amplia para poder llegar a cubrir la demanda y prevenir un </w:t>
      </w:r>
      <w:proofErr w:type="spellStart"/>
      <w:r w:rsidR="004508CB">
        <w:rPr>
          <w:rFonts w:cs="Times New Roman"/>
          <w:szCs w:val="24"/>
        </w:rPr>
        <w:t>des</w:t>
      </w:r>
      <w:r w:rsidR="004508CB" w:rsidRPr="003264E2">
        <w:rPr>
          <w:rFonts w:cs="Times New Roman"/>
          <w:szCs w:val="24"/>
        </w:rPr>
        <w:t>aceleramiento</w:t>
      </w:r>
      <w:proofErr w:type="spellEnd"/>
      <w:r w:rsidRPr="003264E2">
        <w:rPr>
          <w:rFonts w:cs="Times New Roman"/>
          <w:szCs w:val="24"/>
        </w:rPr>
        <w:t xml:space="preserve"> de la red, se prevé que para el 2019 la velocidad de compartición de datos su</w:t>
      </w:r>
      <w:r>
        <w:rPr>
          <w:rFonts w:cs="Times New Roman"/>
          <w:szCs w:val="24"/>
        </w:rPr>
        <w:t>ba hasta 10 veces lo que se obtiene</w:t>
      </w:r>
      <w:r w:rsidRPr="003264E2">
        <w:rPr>
          <w:rFonts w:cs="Times New Roman"/>
          <w:szCs w:val="24"/>
        </w:rPr>
        <w:t xml:space="preserve"> hoy. </w:t>
      </w:r>
      <w:sdt>
        <w:sdtPr>
          <w:rPr>
            <w:rFonts w:cs="Times New Roman"/>
            <w:szCs w:val="24"/>
          </w:rPr>
          <w:id w:val="1184478731"/>
          <w:citation/>
        </w:sdtPr>
        <w:sdtEndPr/>
        <w:sdtContent>
          <w:r w:rsidRPr="003264E2">
            <w:rPr>
              <w:rFonts w:cs="Times New Roman"/>
              <w:szCs w:val="24"/>
            </w:rPr>
            <w:fldChar w:fldCharType="begin"/>
          </w:r>
          <w:r w:rsidRPr="003264E2">
            <w:rPr>
              <w:rFonts w:cs="Times New Roman"/>
              <w:szCs w:val="24"/>
            </w:rPr>
            <w:instrText xml:space="preserve"> CITATION GSM15 \l 3082 </w:instrText>
          </w:r>
          <w:r w:rsidRPr="003264E2">
            <w:rPr>
              <w:rFonts w:cs="Times New Roman"/>
              <w:szCs w:val="24"/>
            </w:rPr>
            <w:fldChar w:fldCharType="separate"/>
          </w:r>
          <w:r w:rsidRPr="003264E2">
            <w:rPr>
              <w:rFonts w:cs="Times New Roman"/>
              <w:noProof/>
              <w:szCs w:val="24"/>
            </w:rPr>
            <w:t>(GSMAIntelligence, 2015)</w:t>
          </w:r>
          <w:r w:rsidRPr="003264E2">
            <w:rPr>
              <w:rFonts w:cs="Times New Roman"/>
              <w:szCs w:val="24"/>
            </w:rPr>
            <w:fldChar w:fldCharType="end"/>
          </w:r>
        </w:sdtContent>
      </w:sdt>
    </w:p>
    <w:p w14:paraId="04C27AB8" w14:textId="77777777" w:rsidR="008033D3" w:rsidRPr="003264E2" w:rsidRDefault="008033D3" w:rsidP="008033D3">
      <w:pPr>
        <w:spacing w:line="360" w:lineRule="auto"/>
        <w:rPr>
          <w:rFonts w:cs="Times New Roman"/>
          <w:szCs w:val="24"/>
        </w:rPr>
      </w:pPr>
      <w:r>
        <w:rPr>
          <w:rFonts w:cs="Times New Roman"/>
          <w:szCs w:val="24"/>
        </w:rPr>
        <w:t>Por otra parte, el</w:t>
      </w:r>
      <w:r w:rsidRPr="003264E2">
        <w:rPr>
          <w:rFonts w:cs="Times New Roman"/>
          <w:szCs w:val="24"/>
        </w:rPr>
        <w:t xml:space="preserve"> </w:t>
      </w:r>
      <w:r w:rsidRPr="009D4A20">
        <w:rPr>
          <w:rFonts w:cs="Times New Roman"/>
          <w:i/>
          <w:szCs w:val="24"/>
        </w:rPr>
        <w:t>M-</w:t>
      </w:r>
      <w:proofErr w:type="spellStart"/>
      <w:r w:rsidRPr="009D4A20">
        <w:rPr>
          <w:rFonts w:cs="Times New Roman"/>
          <w:i/>
          <w:szCs w:val="24"/>
        </w:rPr>
        <w:t>commerce</w:t>
      </w:r>
      <w:proofErr w:type="spellEnd"/>
      <w:r w:rsidRPr="003264E2">
        <w:rPr>
          <w:rFonts w:cs="Times New Roman"/>
          <w:szCs w:val="24"/>
        </w:rPr>
        <w:t xml:space="preserve"> o comercio móvil es considerado el futuro del comercio individual y corporativo, es una industria de </w:t>
      </w:r>
      <w:r>
        <w:rPr>
          <w:rFonts w:cs="Times New Roman"/>
          <w:szCs w:val="24"/>
        </w:rPr>
        <w:t>US</w:t>
      </w:r>
      <w:r w:rsidRPr="003264E2">
        <w:rPr>
          <w:rFonts w:cs="Times New Roman"/>
          <w:szCs w:val="24"/>
        </w:rPr>
        <w:t xml:space="preserve">$204 miles de millones en el 2014 y se prevé que crecerá a </w:t>
      </w:r>
      <w:r>
        <w:rPr>
          <w:rFonts w:cs="Times New Roman"/>
          <w:szCs w:val="24"/>
        </w:rPr>
        <w:t>US</w:t>
      </w:r>
      <w:r w:rsidRPr="003264E2">
        <w:rPr>
          <w:rFonts w:cs="Times New Roman"/>
          <w:szCs w:val="24"/>
        </w:rPr>
        <w:t xml:space="preserve">$626 miles de millones para el 2018 a escala mundial. El </w:t>
      </w:r>
      <w:r w:rsidRPr="00024AAA">
        <w:rPr>
          <w:rFonts w:cs="Times New Roman"/>
          <w:i/>
          <w:szCs w:val="24"/>
        </w:rPr>
        <w:t>M-</w:t>
      </w:r>
      <w:proofErr w:type="spellStart"/>
      <w:r w:rsidRPr="00024AAA">
        <w:rPr>
          <w:rFonts w:cs="Times New Roman"/>
          <w:i/>
          <w:szCs w:val="24"/>
        </w:rPr>
        <w:t>commerce</w:t>
      </w:r>
      <w:proofErr w:type="spellEnd"/>
      <w:r w:rsidRPr="003264E2">
        <w:rPr>
          <w:rFonts w:cs="Times New Roman"/>
          <w:szCs w:val="24"/>
        </w:rPr>
        <w:t xml:space="preserve"> a diferencia del </w:t>
      </w:r>
      <w:r w:rsidRPr="00024AAA">
        <w:rPr>
          <w:rFonts w:cs="Times New Roman"/>
          <w:i/>
          <w:szCs w:val="24"/>
        </w:rPr>
        <w:t>E-</w:t>
      </w:r>
      <w:proofErr w:type="spellStart"/>
      <w:r w:rsidRPr="00024AAA">
        <w:rPr>
          <w:rFonts w:cs="Times New Roman"/>
          <w:i/>
          <w:szCs w:val="24"/>
        </w:rPr>
        <w:t>commerce</w:t>
      </w:r>
      <w:proofErr w:type="spellEnd"/>
      <w:r w:rsidRPr="003264E2">
        <w:rPr>
          <w:rFonts w:cs="Times New Roman"/>
          <w:szCs w:val="24"/>
        </w:rPr>
        <w:t xml:space="preserve"> o comercio electrónico es completamente móvil y no necesita de una red de datos para poder concretar transacciones debido a que se pueden hacer a través de créditos o saldos, banca móvil y NFC (Comunicación de Campo Cerrado).</w:t>
      </w:r>
    </w:p>
    <w:p w14:paraId="33EA9F97" w14:textId="77777777" w:rsidR="008033D3" w:rsidRPr="003264E2" w:rsidRDefault="008033D3" w:rsidP="008033D3">
      <w:pPr>
        <w:spacing w:line="360" w:lineRule="auto"/>
        <w:rPr>
          <w:rFonts w:cs="Times New Roman"/>
          <w:szCs w:val="24"/>
        </w:rPr>
      </w:pPr>
      <w:r w:rsidRPr="003264E2">
        <w:rPr>
          <w:rFonts w:cs="Times New Roman"/>
          <w:szCs w:val="24"/>
        </w:rPr>
        <w:t xml:space="preserve">El internet de banda ancha se ha hecho cada vez más disponible, el costo de estar conectado cada vez es menor y cada vez se van creando más dispositivos con capacidades </w:t>
      </w:r>
      <w:proofErr w:type="spellStart"/>
      <w:r w:rsidRPr="003264E2">
        <w:rPr>
          <w:rFonts w:cs="Times New Roman"/>
          <w:szCs w:val="24"/>
        </w:rPr>
        <w:t>Wi</w:t>
      </w:r>
      <w:proofErr w:type="spellEnd"/>
      <w:r w:rsidRPr="003264E2">
        <w:rPr>
          <w:rFonts w:cs="Times New Roman"/>
          <w:szCs w:val="24"/>
        </w:rPr>
        <w:t xml:space="preserve">-Fi, con sensores incorporados, GPS, etc. El costo de la tecnología es cada vez menor y la penetración de los teléfonos inteligentes es </w:t>
      </w:r>
      <w:r>
        <w:rPr>
          <w:rFonts w:cs="Times New Roman"/>
          <w:szCs w:val="24"/>
        </w:rPr>
        <w:t xml:space="preserve">aún </w:t>
      </w:r>
      <w:r w:rsidRPr="003264E2">
        <w:rPr>
          <w:rFonts w:cs="Times New Roman"/>
          <w:szCs w:val="24"/>
        </w:rPr>
        <w:t>cada vez mayor. Todos estos factores están creando un entorno favorable para el desarrollo</w:t>
      </w:r>
      <w:r>
        <w:rPr>
          <w:rFonts w:cs="Times New Roman"/>
          <w:szCs w:val="24"/>
        </w:rPr>
        <w:t xml:space="preserve"> de </w:t>
      </w:r>
      <w:r w:rsidRPr="009D4A20">
        <w:rPr>
          <w:rFonts w:cs="Times New Roman"/>
          <w:i/>
          <w:szCs w:val="24"/>
        </w:rPr>
        <w:t xml:space="preserve">The Internet of </w:t>
      </w:r>
      <w:proofErr w:type="spellStart"/>
      <w:r w:rsidRPr="009D4A20">
        <w:rPr>
          <w:rFonts w:cs="Times New Roman"/>
          <w:i/>
          <w:szCs w:val="24"/>
        </w:rPr>
        <w:t>Things</w:t>
      </w:r>
      <w:proofErr w:type="spellEnd"/>
      <w:r w:rsidRPr="00715A6B">
        <w:rPr>
          <w:rFonts w:cs="Times New Roman"/>
          <w:szCs w:val="24"/>
        </w:rPr>
        <w:t xml:space="preserve"> </w:t>
      </w:r>
      <w:r w:rsidRPr="003264E2">
        <w:rPr>
          <w:rFonts w:cs="Times New Roman"/>
          <w:szCs w:val="24"/>
        </w:rPr>
        <w:t>(El Inter</w:t>
      </w:r>
      <w:r>
        <w:rPr>
          <w:rFonts w:cs="Times New Roman"/>
          <w:szCs w:val="24"/>
        </w:rPr>
        <w:t>net de las Cosas)</w:t>
      </w:r>
      <w:r w:rsidRPr="003264E2">
        <w:rPr>
          <w:rFonts w:cs="Times New Roman"/>
          <w:szCs w:val="24"/>
        </w:rPr>
        <w:t xml:space="preserve">.  </w:t>
      </w:r>
    </w:p>
    <w:p w14:paraId="4AF926EA" w14:textId="78363777" w:rsidR="008033D3" w:rsidRPr="003264E2" w:rsidRDefault="008033D3" w:rsidP="008033D3">
      <w:pPr>
        <w:spacing w:line="360" w:lineRule="auto"/>
        <w:rPr>
          <w:rFonts w:cs="Times New Roman"/>
          <w:szCs w:val="24"/>
        </w:rPr>
      </w:pPr>
      <w:r w:rsidRPr="003264E2">
        <w:rPr>
          <w:rFonts w:cs="Times New Roman"/>
          <w:i/>
          <w:szCs w:val="24"/>
        </w:rPr>
        <w:lastRenderedPageBreak/>
        <w:t xml:space="preserve">The Internet of </w:t>
      </w:r>
      <w:proofErr w:type="spellStart"/>
      <w:r w:rsidRPr="003264E2">
        <w:rPr>
          <w:rFonts w:cs="Times New Roman"/>
          <w:i/>
          <w:szCs w:val="24"/>
        </w:rPr>
        <w:t>Things</w:t>
      </w:r>
      <w:proofErr w:type="spellEnd"/>
      <w:r w:rsidRPr="003264E2">
        <w:rPr>
          <w:rFonts w:cs="Times New Roman"/>
          <w:szCs w:val="24"/>
        </w:rPr>
        <w:t xml:space="preserve"> es un término que gira en torno al aumento de la comunicación M2M (máquina a máqu</w:t>
      </w:r>
      <w:r>
        <w:rPr>
          <w:rFonts w:cs="Times New Roman"/>
          <w:szCs w:val="24"/>
        </w:rPr>
        <w:t xml:space="preserve">ina). Se basa en informática mediante </w:t>
      </w:r>
      <w:r w:rsidRPr="003264E2">
        <w:rPr>
          <w:rFonts w:cs="Times New Roman"/>
          <w:szCs w:val="24"/>
        </w:rPr>
        <w:t>el internet</w:t>
      </w:r>
      <w:r>
        <w:rPr>
          <w:rFonts w:cs="Times New Roman"/>
          <w:szCs w:val="24"/>
        </w:rPr>
        <w:t>,</w:t>
      </w:r>
      <w:r w:rsidRPr="003264E2">
        <w:rPr>
          <w:rFonts w:cs="Times New Roman"/>
          <w:szCs w:val="24"/>
        </w:rPr>
        <w:t xml:space="preserve"> específicamente a través de la nube (</w:t>
      </w:r>
      <w:r w:rsidRPr="00715A6B">
        <w:rPr>
          <w:rFonts w:cs="Times New Roman"/>
          <w:i/>
          <w:szCs w:val="24"/>
        </w:rPr>
        <w:t>Cloud Computing</w:t>
      </w:r>
      <w:r w:rsidRPr="003264E2">
        <w:rPr>
          <w:rFonts w:cs="Times New Roman"/>
          <w:szCs w:val="24"/>
        </w:rPr>
        <w:t xml:space="preserve">) y redes de recolección de datos, conexiones móviles y conexión instantánea que propone convertir desde </w:t>
      </w:r>
      <w:r>
        <w:rPr>
          <w:rFonts w:cs="Times New Roman"/>
          <w:szCs w:val="24"/>
        </w:rPr>
        <w:t xml:space="preserve">el día a día </w:t>
      </w:r>
      <w:r w:rsidRPr="003264E2">
        <w:rPr>
          <w:rFonts w:cs="Times New Roman"/>
          <w:szCs w:val="24"/>
        </w:rPr>
        <w:t>hasta los procesos de industrias y empresas en sistemas “inteligentes”. La comunicación M2M se basa en la conexión que tengan dos máquinas y recolección de datos, a diferencia con</w:t>
      </w:r>
      <w:r>
        <w:rPr>
          <w:rFonts w:cs="Times New Roman"/>
          <w:szCs w:val="24"/>
        </w:rPr>
        <w:t xml:space="preserve"> </w:t>
      </w:r>
      <w:r>
        <w:rPr>
          <w:rFonts w:cs="Times New Roman"/>
          <w:i/>
          <w:szCs w:val="24"/>
        </w:rPr>
        <w:t>T</w:t>
      </w:r>
      <w:r w:rsidRPr="00DE3FAD">
        <w:rPr>
          <w:rFonts w:cs="Times New Roman"/>
          <w:i/>
          <w:szCs w:val="24"/>
        </w:rPr>
        <w:t xml:space="preserve">he Internet of </w:t>
      </w:r>
      <w:proofErr w:type="spellStart"/>
      <w:r w:rsidRPr="00DE3FAD">
        <w:rPr>
          <w:rFonts w:cs="Times New Roman"/>
          <w:i/>
          <w:szCs w:val="24"/>
        </w:rPr>
        <w:t>Things</w:t>
      </w:r>
      <w:proofErr w:type="spellEnd"/>
      <w:r w:rsidRPr="003264E2">
        <w:rPr>
          <w:rFonts w:cs="Times New Roman"/>
          <w:szCs w:val="24"/>
        </w:rPr>
        <w:t xml:space="preserve">, </w:t>
      </w:r>
      <w:r>
        <w:rPr>
          <w:rFonts w:cs="Times New Roman"/>
          <w:szCs w:val="24"/>
        </w:rPr>
        <w:t xml:space="preserve">se </w:t>
      </w:r>
      <w:r w:rsidR="00EE0310">
        <w:rPr>
          <w:rFonts w:cs="Times New Roman"/>
          <w:szCs w:val="24"/>
        </w:rPr>
        <w:t>habla</w:t>
      </w:r>
      <w:r w:rsidR="00EE0310" w:rsidRPr="003264E2">
        <w:rPr>
          <w:rFonts w:cs="Times New Roman"/>
          <w:szCs w:val="24"/>
        </w:rPr>
        <w:t xml:space="preserve"> de</w:t>
      </w:r>
      <w:r w:rsidRPr="003264E2">
        <w:rPr>
          <w:rFonts w:cs="Times New Roman"/>
          <w:szCs w:val="24"/>
        </w:rPr>
        <w:t xml:space="preserve"> sensores y en convertir máquinas en instrumentos inte</w:t>
      </w:r>
      <w:r>
        <w:rPr>
          <w:rFonts w:cs="Times New Roman"/>
          <w:szCs w:val="24"/>
        </w:rPr>
        <w:t>ligentes. Un sensor no es una má</w:t>
      </w:r>
      <w:r w:rsidRPr="003264E2">
        <w:rPr>
          <w:rFonts w:cs="Times New Roman"/>
          <w:szCs w:val="24"/>
        </w:rPr>
        <w:t>quina ya que no trabaj</w:t>
      </w:r>
      <w:r>
        <w:rPr>
          <w:rFonts w:cs="Times New Roman"/>
          <w:szCs w:val="24"/>
        </w:rPr>
        <w:t xml:space="preserve">a en el mismo sentido, </w:t>
      </w:r>
      <w:r w:rsidRPr="003264E2">
        <w:rPr>
          <w:rFonts w:cs="Times New Roman"/>
          <w:szCs w:val="24"/>
        </w:rPr>
        <w:t>debido a que</w:t>
      </w:r>
      <w:r>
        <w:rPr>
          <w:rFonts w:cs="Times New Roman"/>
          <w:szCs w:val="24"/>
        </w:rPr>
        <w:t>,</w:t>
      </w:r>
      <w:r w:rsidRPr="003264E2">
        <w:rPr>
          <w:rFonts w:cs="Times New Roman"/>
          <w:szCs w:val="24"/>
        </w:rPr>
        <w:t xml:space="preserve"> un sensor mide, evalúa y recolecta datos en tiempo real.</w:t>
      </w:r>
    </w:p>
    <w:p w14:paraId="5356CEA6" w14:textId="68FBDC94" w:rsidR="008033D3" w:rsidRPr="003264E2" w:rsidRDefault="008033D3" w:rsidP="008033D3">
      <w:pPr>
        <w:spacing w:line="360" w:lineRule="auto"/>
        <w:rPr>
          <w:rFonts w:cs="Times New Roman"/>
          <w:szCs w:val="24"/>
        </w:rPr>
      </w:pPr>
      <w:r w:rsidRPr="003264E2">
        <w:rPr>
          <w:rFonts w:cs="Times New Roman"/>
          <w:szCs w:val="24"/>
        </w:rPr>
        <w:t xml:space="preserve">Aplicaciones basadas en sistemas de nube son clave para la recolección, interpretación y transmisión de datos, es decir, la nube es lo que permite que las aplicaciones funcionen en cualquier momento convirtiendo información en cualquier acción. Entre los </w:t>
      </w:r>
      <w:r>
        <w:rPr>
          <w:rFonts w:cs="Times New Roman"/>
          <w:szCs w:val="24"/>
        </w:rPr>
        <w:t xml:space="preserve">usos </w:t>
      </w:r>
      <w:r w:rsidRPr="003264E2">
        <w:rPr>
          <w:rFonts w:cs="Times New Roman"/>
          <w:szCs w:val="24"/>
        </w:rPr>
        <w:t xml:space="preserve">múltiples que </w:t>
      </w:r>
      <w:r w:rsidR="00EE0310" w:rsidRPr="003264E2">
        <w:rPr>
          <w:rFonts w:cs="Times New Roman"/>
          <w:szCs w:val="24"/>
        </w:rPr>
        <w:t>se</w:t>
      </w:r>
      <w:r w:rsidRPr="003264E2">
        <w:rPr>
          <w:rFonts w:cs="Times New Roman"/>
          <w:szCs w:val="24"/>
        </w:rPr>
        <w:t xml:space="preserve"> utiliza </w:t>
      </w:r>
      <w:r w:rsidRPr="00715A6B">
        <w:rPr>
          <w:rFonts w:cs="Times New Roman"/>
          <w:i/>
          <w:szCs w:val="24"/>
        </w:rPr>
        <w:t xml:space="preserve">Internet of </w:t>
      </w:r>
      <w:proofErr w:type="spellStart"/>
      <w:r w:rsidRPr="00715A6B">
        <w:rPr>
          <w:rFonts w:cs="Times New Roman"/>
          <w:i/>
          <w:szCs w:val="24"/>
        </w:rPr>
        <w:t>Things</w:t>
      </w:r>
      <w:proofErr w:type="spellEnd"/>
      <w:r w:rsidRPr="003264E2">
        <w:rPr>
          <w:rFonts w:cs="Times New Roman"/>
          <w:szCs w:val="24"/>
        </w:rPr>
        <w:t xml:space="preserve"> </w:t>
      </w:r>
      <w:r>
        <w:rPr>
          <w:rFonts w:cs="Times New Roman"/>
          <w:szCs w:val="24"/>
        </w:rPr>
        <w:t>(</w:t>
      </w:r>
      <w:proofErr w:type="spellStart"/>
      <w:r>
        <w:rPr>
          <w:rFonts w:cs="Times New Roman"/>
          <w:szCs w:val="24"/>
        </w:rPr>
        <w:t>IoT</w:t>
      </w:r>
      <w:proofErr w:type="spellEnd"/>
      <w:r>
        <w:rPr>
          <w:rFonts w:cs="Times New Roman"/>
          <w:szCs w:val="24"/>
        </w:rPr>
        <w:t xml:space="preserve">) </w:t>
      </w:r>
      <w:r w:rsidRPr="003264E2">
        <w:rPr>
          <w:rFonts w:cs="Times New Roman"/>
          <w:szCs w:val="24"/>
        </w:rPr>
        <w:t>como</w:t>
      </w:r>
      <w:r>
        <w:rPr>
          <w:rFonts w:cs="Times New Roman"/>
          <w:szCs w:val="24"/>
        </w:rPr>
        <w:t xml:space="preserve"> por ejemplo</w:t>
      </w:r>
      <w:r w:rsidRPr="003264E2">
        <w:rPr>
          <w:rFonts w:cs="Times New Roman"/>
          <w:szCs w:val="24"/>
        </w:rPr>
        <w:t xml:space="preserve"> plantas industriales, redes de electricidad, medicina, sistemas de transporte, gestión de tráfico, etc. </w:t>
      </w:r>
      <w:proofErr w:type="spellStart"/>
      <w:r w:rsidRPr="003264E2">
        <w:rPr>
          <w:rFonts w:cs="Times New Roman"/>
          <w:szCs w:val="24"/>
        </w:rPr>
        <w:t>IoT</w:t>
      </w:r>
      <w:proofErr w:type="spellEnd"/>
      <w:r w:rsidRPr="003264E2">
        <w:rPr>
          <w:rFonts w:cs="Times New Roman"/>
          <w:szCs w:val="24"/>
        </w:rPr>
        <w:t xml:space="preserve"> es la conversión de redes de protocolos propietarios a redes basadas en IP. La aplicación de </w:t>
      </w:r>
      <w:proofErr w:type="spellStart"/>
      <w:r w:rsidRPr="003264E2">
        <w:rPr>
          <w:rFonts w:cs="Times New Roman"/>
          <w:szCs w:val="24"/>
        </w:rPr>
        <w:t>IoT</w:t>
      </w:r>
      <w:proofErr w:type="spellEnd"/>
      <w:r w:rsidRPr="003264E2">
        <w:rPr>
          <w:rFonts w:cs="Times New Roman"/>
          <w:szCs w:val="24"/>
        </w:rPr>
        <w:t xml:space="preserve"> puede llegar a afectar cad</w:t>
      </w:r>
      <w:r>
        <w:rPr>
          <w:rFonts w:cs="Times New Roman"/>
          <w:szCs w:val="24"/>
        </w:rPr>
        <w:t xml:space="preserve">a aspecto </w:t>
      </w:r>
      <w:r w:rsidR="00EE0310">
        <w:rPr>
          <w:rFonts w:cs="Times New Roman"/>
          <w:szCs w:val="24"/>
        </w:rPr>
        <w:t>del día</w:t>
      </w:r>
      <w:r>
        <w:rPr>
          <w:rFonts w:cs="Times New Roman"/>
          <w:szCs w:val="24"/>
        </w:rPr>
        <w:t xml:space="preserve"> a día puesto</w:t>
      </w:r>
      <w:r w:rsidRPr="003264E2">
        <w:rPr>
          <w:rFonts w:cs="Times New Roman"/>
          <w:szCs w:val="24"/>
        </w:rPr>
        <w:t xml:space="preserve"> que puede conectar desde celulares, cafeteras, lavadoras, lámparas y cualquier objeto de uso cotidiano.  Según Jacob Morgan de la revista Forbes “Todo lo que tenga la capacidad de ser conectado, será conectado”, en una escala más grande </w:t>
      </w:r>
      <w:proofErr w:type="spellStart"/>
      <w:r w:rsidRPr="003264E2">
        <w:rPr>
          <w:rFonts w:cs="Times New Roman"/>
          <w:szCs w:val="24"/>
        </w:rPr>
        <w:t>IoT</w:t>
      </w:r>
      <w:proofErr w:type="spellEnd"/>
      <w:r w:rsidRPr="003264E2">
        <w:rPr>
          <w:rFonts w:cs="Times New Roman"/>
          <w:szCs w:val="24"/>
        </w:rPr>
        <w:t xml:space="preserve"> puede ser aplicada para cre</w:t>
      </w:r>
      <w:r>
        <w:rPr>
          <w:rFonts w:cs="Times New Roman"/>
          <w:szCs w:val="24"/>
        </w:rPr>
        <w:t>ar ciudades inteligentes que</w:t>
      </w:r>
      <w:r w:rsidRPr="003264E2">
        <w:rPr>
          <w:rFonts w:cs="Times New Roman"/>
          <w:szCs w:val="24"/>
        </w:rPr>
        <w:t xml:space="preserve"> puede ayudar a reducir los residuos y ser más eficientes en temas como el uso de energía cambiando completamente </w:t>
      </w:r>
      <w:r>
        <w:rPr>
          <w:rFonts w:cs="Times New Roman"/>
          <w:szCs w:val="24"/>
        </w:rPr>
        <w:t xml:space="preserve">la manera de </w:t>
      </w:r>
      <w:r w:rsidR="00EE0310">
        <w:rPr>
          <w:rFonts w:cs="Times New Roman"/>
          <w:szCs w:val="24"/>
        </w:rPr>
        <w:t>cómo se</w:t>
      </w:r>
      <w:r>
        <w:rPr>
          <w:rFonts w:cs="Times New Roman"/>
          <w:szCs w:val="24"/>
        </w:rPr>
        <w:t xml:space="preserve"> vive y trabaja</w:t>
      </w:r>
      <w:r w:rsidRPr="003264E2">
        <w:rPr>
          <w:rFonts w:cs="Times New Roman"/>
          <w:szCs w:val="24"/>
        </w:rPr>
        <w:t xml:space="preserve">. </w:t>
      </w:r>
      <w:sdt>
        <w:sdtPr>
          <w:rPr>
            <w:rFonts w:cs="Times New Roman"/>
            <w:szCs w:val="24"/>
          </w:rPr>
          <w:id w:val="1047267344"/>
          <w:citation/>
        </w:sdtPr>
        <w:sdtEndPr/>
        <w:sdtContent>
          <w:r w:rsidRPr="003264E2">
            <w:rPr>
              <w:rFonts w:cs="Times New Roman"/>
              <w:szCs w:val="24"/>
            </w:rPr>
            <w:fldChar w:fldCharType="begin"/>
          </w:r>
          <w:r w:rsidRPr="003264E2">
            <w:rPr>
              <w:rFonts w:cs="Times New Roman"/>
              <w:szCs w:val="24"/>
            </w:rPr>
            <w:instrText xml:space="preserve"> CITATION For14 \l 3082 </w:instrText>
          </w:r>
          <w:r w:rsidRPr="003264E2">
            <w:rPr>
              <w:rFonts w:cs="Times New Roman"/>
              <w:szCs w:val="24"/>
            </w:rPr>
            <w:fldChar w:fldCharType="separate"/>
          </w:r>
          <w:r w:rsidRPr="003264E2">
            <w:rPr>
              <w:rFonts w:cs="Times New Roman"/>
              <w:noProof/>
              <w:szCs w:val="24"/>
            </w:rPr>
            <w:t>(Forbes, 2014)</w:t>
          </w:r>
          <w:r w:rsidRPr="003264E2">
            <w:rPr>
              <w:rFonts w:cs="Times New Roman"/>
              <w:szCs w:val="24"/>
            </w:rPr>
            <w:fldChar w:fldCharType="end"/>
          </w:r>
        </w:sdtContent>
      </w:sdt>
    </w:p>
    <w:p w14:paraId="4442A8DF" w14:textId="77777777" w:rsidR="008033D3" w:rsidRPr="003264E2" w:rsidRDefault="008033D3" w:rsidP="008033D3">
      <w:pPr>
        <w:spacing w:line="360" w:lineRule="auto"/>
        <w:rPr>
          <w:rFonts w:cs="Times New Roman"/>
          <w:szCs w:val="24"/>
        </w:rPr>
      </w:pPr>
      <w:r w:rsidRPr="003264E2">
        <w:rPr>
          <w:rFonts w:cs="Times New Roman"/>
          <w:szCs w:val="24"/>
        </w:rPr>
        <w:t xml:space="preserve">Las conexiones M2M están directamente relacionadas con los </w:t>
      </w:r>
      <w:proofErr w:type="spellStart"/>
      <w:r w:rsidRPr="00F16047">
        <w:rPr>
          <w:rFonts w:cs="Times New Roman"/>
          <w:i/>
          <w:szCs w:val="24"/>
        </w:rPr>
        <w:t>smartphones</w:t>
      </w:r>
      <w:proofErr w:type="spellEnd"/>
      <w:r>
        <w:rPr>
          <w:rFonts w:cs="Times New Roman"/>
          <w:i/>
          <w:szCs w:val="24"/>
        </w:rPr>
        <w:t xml:space="preserve">, </w:t>
      </w:r>
      <w:r w:rsidRPr="00F16047">
        <w:rPr>
          <w:rFonts w:cs="Times New Roman"/>
          <w:szCs w:val="24"/>
        </w:rPr>
        <w:t>dado</w:t>
      </w:r>
      <w:r w:rsidRPr="003264E2">
        <w:rPr>
          <w:rFonts w:cs="Times New Roman"/>
          <w:szCs w:val="24"/>
        </w:rPr>
        <w:t xml:space="preserve"> que pueden recibir información e informes emitidos por otras máquinas. Las conexiones M2M tienen la particularidad de entregar a los consumidores nuevos servicios y aplicaciones innovadoras y al mismo tiempo dan a las empresas soluciones eficientes y óptimas a sus procesos. El crecimiento de los servicios M2M vendrá con un rango significante de servicios incluyendo la industria automotriz, salud, recopilación de datos e incluso ciudades inteligentes. Esta rápida adopción de servicios M2M se debe principalmente a la planificación a largo plazo con mayores retornos en inversión e implementación de protocolos de seguridad</w:t>
      </w:r>
      <w:r>
        <w:rPr>
          <w:rFonts w:cs="Times New Roman"/>
          <w:szCs w:val="24"/>
        </w:rPr>
        <w:t>,</w:t>
      </w:r>
      <w:r w:rsidRPr="003264E2">
        <w:rPr>
          <w:rFonts w:cs="Times New Roman"/>
          <w:szCs w:val="24"/>
        </w:rPr>
        <w:t xml:space="preserve"> para mantener la confianza de los consumidores. </w:t>
      </w:r>
      <w:r>
        <w:rPr>
          <w:rFonts w:cs="Times New Roman"/>
          <w:szCs w:val="24"/>
        </w:rPr>
        <w:t>“</w:t>
      </w:r>
      <w:r w:rsidRPr="00F16047">
        <w:rPr>
          <w:rFonts w:cs="Times New Roman"/>
          <w:i/>
          <w:szCs w:val="24"/>
        </w:rPr>
        <w:t xml:space="preserve">GSMA </w:t>
      </w:r>
      <w:proofErr w:type="spellStart"/>
      <w:r w:rsidRPr="00F16047">
        <w:rPr>
          <w:rFonts w:cs="Times New Roman"/>
          <w:i/>
          <w:szCs w:val="24"/>
        </w:rPr>
        <w:t>Intelligence</w:t>
      </w:r>
      <w:proofErr w:type="spellEnd"/>
      <w:r>
        <w:rPr>
          <w:rFonts w:cs="Times New Roman"/>
          <w:szCs w:val="24"/>
        </w:rPr>
        <w:t>”</w:t>
      </w:r>
      <w:r w:rsidRPr="003264E2">
        <w:rPr>
          <w:rFonts w:cs="Times New Roman"/>
          <w:szCs w:val="24"/>
        </w:rPr>
        <w:t xml:space="preserve"> prevé que  el número de conexiones </w:t>
      </w:r>
      <w:r w:rsidRPr="003264E2">
        <w:rPr>
          <w:rFonts w:cs="Times New Roman"/>
          <w:szCs w:val="24"/>
        </w:rPr>
        <w:lastRenderedPageBreak/>
        <w:t xml:space="preserve">M2M en celulares llegue alrededor de las mil millones para el año 2020. </w:t>
      </w:r>
      <w:sdt>
        <w:sdtPr>
          <w:rPr>
            <w:rFonts w:cs="Times New Roman"/>
            <w:szCs w:val="24"/>
          </w:rPr>
          <w:id w:val="-981078866"/>
          <w:citation/>
        </w:sdtPr>
        <w:sdtEndPr/>
        <w:sdtContent>
          <w:r w:rsidRPr="003264E2">
            <w:rPr>
              <w:rFonts w:cs="Times New Roman"/>
              <w:szCs w:val="24"/>
            </w:rPr>
            <w:fldChar w:fldCharType="begin"/>
          </w:r>
          <w:r w:rsidRPr="003264E2">
            <w:rPr>
              <w:rFonts w:cs="Times New Roman"/>
              <w:szCs w:val="24"/>
            </w:rPr>
            <w:instrText xml:space="preserve">CITATION GSM15 \l 3082 </w:instrText>
          </w:r>
          <w:r w:rsidRPr="003264E2">
            <w:rPr>
              <w:rFonts w:cs="Times New Roman"/>
              <w:szCs w:val="24"/>
            </w:rPr>
            <w:fldChar w:fldCharType="separate"/>
          </w:r>
          <w:r w:rsidRPr="003264E2">
            <w:rPr>
              <w:rFonts w:cs="Times New Roman"/>
              <w:noProof/>
              <w:szCs w:val="24"/>
            </w:rPr>
            <w:t>(GSMAIntelligence, 2015)</w:t>
          </w:r>
          <w:r w:rsidRPr="003264E2">
            <w:rPr>
              <w:rFonts w:cs="Times New Roman"/>
              <w:szCs w:val="24"/>
            </w:rPr>
            <w:fldChar w:fldCharType="end"/>
          </w:r>
        </w:sdtContent>
      </w:sdt>
      <w:r w:rsidRPr="003264E2">
        <w:rPr>
          <w:rFonts w:cs="Times New Roman"/>
          <w:szCs w:val="24"/>
        </w:rPr>
        <w:t>.</w:t>
      </w:r>
    </w:p>
    <w:p w14:paraId="4C55426F" w14:textId="77777777" w:rsidR="008033D3" w:rsidRPr="00183CDF" w:rsidRDefault="008033D3" w:rsidP="008033D3">
      <w:pPr>
        <w:pStyle w:val="Ttulo3"/>
        <w:spacing w:before="0" w:after="200" w:line="360" w:lineRule="auto"/>
      </w:pPr>
      <w:bookmarkStart w:id="36" w:name="_Toc442343929"/>
      <w:r w:rsidRPr="00183CDF">
        <w:t>1.4</w:t>
      </w:r>
      <w:r w:rsidRPr="00183CDF">
        <w:tab/>
        <w:t>Normativas Gubernamentales y su aplicación</w:t>
      </w:r>
      <w:bookmarkEnd w:id="36"/>
      <w:r w:rsidRPr="00183CDF">
        <w:t xml:space="preserve"> </w:t>
      </w:r>
    </w:p>
    <w:p w14:paraId="7DE28AD7" w14:textId="77777777" w:rsidR="008033D3" w:rsidRPr="003264E2" w:rsidRDefault="008033D3" w:rsidP="008033D3">
      <w:pPr>
        <w:spacing w:line="360" w:lineRule="auto"/>
        <w:rPr>
          <w:rFonts w:cs="Times New Roman"/>
          <w:b/>
          <w:i/>
          <w:szCs w:val="24"/>
        </w:rPr>
      </w:pPr>
      <w:r>
        <w:rPr>
          <w:rFonts w:cs="Times New Roman"/>
          <w:b/>
          <w:i/>
          <w:szCs w:val="24"/>
        </w:rPr>
        <w:t>1.4.1</w:t>
      </w:r>
      <w:r>
        <w:rPr>
          <w:rFonts w:cs="Times New Roman"/>
          <w:b/>
          <w:i/>
          <w:szCs w:val="24"/>
        </w:rPr>
        <w:tab/>
      </w:r>
      <w:r w:rsidRPr="003264E2">
        <w:rPr>
          <w:rFonts w:cs="Times New Roman"/>
          <w:b/>
          <w:i/>
          <w:szCs w:val="24"/>
        </w:rPr>
        <w:t>Decreto Presidencial 446 – NOTA COMPLEMENTARIA NACIONAL – 30 JULIO 2010</w:t>
      </w:r>
    </w:p>
    <w:p w14:paraId="76F5573C" w14:textId="77777777" w:rsidR="008033D3" w:rsidRPr="003264E2" w:rsidRDefault="008033D3" w:rsidP="008033D3">
      <w:pPr>
        <w:spacing w:line="360" w:lineRule="auto"/>
        <w:rPr>
          <w:rFonts w:cs="Times New Roman"/>
          <w:szCs w:val="24"/>
        </w:rPr>
      </w:pPr>
      <w:r w:rsidRPr="003264E2">
        <w:rPr>
          <w:rFonts w:cs="Times New Roman"/>
          <w:szCs w:val="24"/>
        </w:rPr>
        <w:t>Decreta reformar el anexo del Ejecutivo Nº 592, publicado en el Suplemento del Registro Oficial Nº 191 de 15 de Octubre de 2007, que contiene el Arancel Nacional de Importaciones, incorporando en el capítulo 85</w:t>
      </w:r>
      <w:r>
        <w:rPr>
          <w:rFonts w:cs="Times New Roman"/>
          <w:szCs w:val="24"/>
        </w:rPr>
        <w:t xml:space="preserve"> d</w:t>
      </w:r>
      <w:r w:rsidRPr="003264E2">
        <w:rPr>
          <w:rFonts w:cs="Times New Roman"/>
          <w:szCs w:val="24"/>
        </w:rPr>
        <w:t>onde se define a CKD (</w:t>
      </w:r>
      <w:proofErr w:type="spellStart"/>
      <w:r w:rsidRPr="00941BA5">
        <w:rPr>
          <w:rFonts w:cs="Times New Roman"/>
          <w:i/>
          <w:szCs w:val="24"/>
        </w:rPr>
        <w:t>Completely</w:t>
      </w:r>
      <w:proofErr w:type="spellEnd"/>
      <w:r w:rsidRPr="00941BA5">
        <w:rPr>
          <w:rFonts w:cs="Times New Roman"/>
          <w:i/>
          <w:szCs w:val="24"/>
        </w:rPr>
        <w:t xml:space="preserve"> </w:t>
      </w:r>
      <w:proofErr w:type="spellStart"/>
      <w:r w:rsidRPr="00941BA5">
        <w:rPr>
          <w:rFonts w:cs="Times New Roman"/>
          <w:i/>
          <w:szCs w:val="24"/>
        </w:rPr>
        <w:t>Knocked</w:t>
      </w:r>
      <w:proofErr w:type="spellEnd"/>
      <w:r w:rsidRPr="00941BA5">
        <w:rPr>
          <w:rFonts w:cs="Times New Roman"/>
          <w:i/>
          <w:szCs w:val="24"/>
        </w:rPr>
        <w:t xml:space="preserve"> Down</w:t>
      </w:r>
      <w:r w:rsidRPr="003264E2">
        <w:rPr>
          <w:rFonts w:cs="Times New Roman"/>
          <w:szCs w:val="24"/>
        </w:rPr>
        <w:t>) al conjunto formado por partes y piezas importadas por las empresas ensambladoras de teléfonos móviles debidamente autorizados de conformidad con la legislación pertinente, que se incorporen desarmados de uno o más orígenes, provenientes de un solo embarque, siempre que cumplan las siguientes condiciones:</w:t>
      </w:r>
    </w:p>
    <w:p w14:paraId="3D207FD3" w14:textId="77777777" w:rsidR="008033D3" w:rsidRPr="003264E2" w:rsidRDefault="008033D3" w:rsidP="008033D3">
      <w:pPr>
        <w:pStyle w:val="Prrafodelista"/>
        <w:numPr>
          <w:ilvl w:val="0"/>
          <w:numId w:val="3"/>
        </w:numPr>
        <w:spacing w:line="360" w:lineRule="auto"/>
        <w:rPr>
          <w:rFonts w:cs="Times New Roman"/>
          <w:szCs w:val="24"/>
        </w:rPr>
      </w:pPr>
      <w:r w:rsidRPr="003264E2">
        <w:rPr>
          <w:rFonts w:cs="Times New Roman"/>
          <w:szCs w:val="24"/>
        </w:rPr>
        <w:t>Que formen parte del mismo conjunto CKD</w:t>
      </w:r>
    </w:p>
    <w:p w14:paraId="22D49234" w14:textId="77777777" w:rsidR="008033D3" w:rsidRPr="003264E2" w:rsidRDefault="008033D3" w:rsidP="008033D3">
      <w:pPr>
        <w:pStyle w:val="Prrafodelista"/>
        <w:numPr>
          <w:ilvl w:val="0"/>
          <w:numId w:val="3"/>
        </w:numPr>
        <w:spacing w:line="360" w:lineRule="auto"/>
        <w:rPr>
          <w:rFonts w:cs="Times New Roman"/>
          <w:szCs w:val="24"/>
        </w:rPr>
      </w:pPr>
      <w:r w:rsidRPr="003264E2">
        <w:rPr>
          <w:rFonts w:cs="Times New Roman"/>
          <w:szCs w:val="24"/>
        </w:rPr>
        <w:t>Que estén destinados exclusivamente al ensamblaje de teléfonos móviles (celulares)</w:t>
      </w:r>
    </w:p>
    <w:p w14:paraId="4FF9927B" w14:textId="77777777" w:rsidR="008033D3" w:rsidRPr="003264E2" w:rsidRDefault="008033D3" w:rsidP="008033D3">
      <w:pPr>
        <w:pStyle w:val="Prrafodelista"/>
        <w:numPr>
          <w:ilvl w:val="0"/>
          <w:numId w:val="3"/>
        </w:numPr>
        <w:spacing w:line="360" w:lineRule="auto"/>
        <w:rPr>
          <w:rFonts w:cs="Times New Roman"/>
          <w:szCs w:val="24"/>
        </w:rPr>
      </w:pPr>
      <w:r w:rsidRPr="003264E2">
        <w:rPr>
          <w:rFonts w:cs="Times New Roman"/>
          <w:szCs w:val="24"/>
        </w:rPr>
        <w:t>Que comprenda como mínimo las siguientes partes desensambladas: carcasa, pantalla (</w:t>
      </w:r>
      <w:proofErr w:type="spellStart"/>
      <w:r w:rsidRPr="00F16047">
        <w:rPr>
          <w:rFonts w:cs="Times New Roman"/>
          <w:i/>
          <w:szCs w:val="24"/>
        </w:rPr>
        <w:t>display</w:t>
      </w:r>
      <w:proofErr w:type="spellEnd"/>
      <w:r w:rsidRPr="003264E2">
        <w:rPr>
          <w:rFonts w:cs="Times New Roman"/>
          <w:szCs w:val="24"/>
        </w:rPr>
        <w:t xml:space="preserve">), teclado, auricular, micrófono, placa electrónica principal, batería, cargador y conector de energía.  </w:t>
      </w:r>
    </w:p>
    <w:p w14:paraId="34755E5D" w14:textId="77777777" w:rsidR="008033D3" w:rsidRPr="003264E2" w:rsidRDefault="008033D3" w:rsidP="008033D3">
      <w:pPr>
        <w:spacing w:line="360" w:lineRule="auto"/>
        <w:rPr>
          <w:rFonts w:cs="Times New Roman"/>
          <w:szCs w:val="24"/>
        </w:rPr>
      </w:pPr>
      <w:r w:rsidRPr="003264E2">
        <w:rPr>
          <w:rFonts w:cs="Times New Roman"/>
          <w:szCs w:val="24"/>
        </w:rPr>
        <w:t>Deberán presentarse sin soldar a la placa electrónica principal como mínimo las siguientes partes:</w:t>
      </w:r>
    </w:p>
    <w:p w14:paraId="15B1DBEC" w14:textId="77777777" w:rsidR="008033D3" w:rsidRPr="003264E2" w:rsidRDefault="008033D3" w:rsidP="008033D3">
      <w:pPr>
        <w:pStyle w:val="Prrafodelista"/>
        <w:numPr>
          <w:ilvl w:val="0"/>
          <w:numId w:val="4"/>
        </w:numPr>
        <w:spacing w:line="360" w:lineRule="auto"/>
        <w:rPr>
          <w:rFonts w:cs="Times New Roman"/>
          <w:szCs w:val="24"/>
        </w:rPr>
      </w:pPr>
      <w:r w:rsidRPr="003264E2">
        <w:rPr>
          <w:rFonts w:cs="Times New Roman"/>
          <w:szCs w:val="24"/>
        </w:rPr>
        <w:t>Pantalla (</w:t>
      </w:r>
      <w:proofErr w:type="spellStart"/>
      <w:r w:rsidRPr="00F16047">
        <w:rPr>
          <w:rFonts w:cs="Times New Roman"/>
          <w:i/>
          <w:szCs w:val="24"/>
        </w:rPr>
        <w:t>display</w:t>
      </w:r>
      <w:proofErr w:type="spellEnd"/>
      <w:r w:rsidRPr="003264E2">
        <w:rPr>
          <w:rFonts w:cs="Times New Roman"/>
          <w:szCs w:val="24"/>
        </w:rPr>
        <w:t>)</w:t>
      </w:r>
    </w:p>
    <w:p w14:paraId="634EA0CF" w14:textId="77777777" w:rsidR="008033D3" w:rsidRPr="003264E2" w:rsidRDefault="008033D3" w:rsidP="008033D3">
      <w:pPr>
        <w:pStyle w:val="Prrafodelista"/>
        <w:numPr>
          <w:ilvl w:val="0"/>
          <w:numId w:val="4"/>
        </w:numPr>
        <w:spacing w:line="360" w:lineRule="auto"/>
        <w:rPr>
          <w:rFonts w:cs="Times New Roman"/>
          <w:szCs w:val="24"/>
        </w:rPr>
      </w:pPr>
      <w:r w:rsidRPr="003264E2">
        <w:rPr>
          <w:rFonts w:cs="Times New Roman"/>
          <w:szCs w:val="24"/>
        </w:rPr>
        <w:t>Micrófono</w:t>
      </w:r>
    </w:p>
    <w:p w14:paraId="5A7C0841" w14:textId="77777777" w:rsidR="008033D3" w:rsidRPr="003264E2" w:rsidRDefault="008033D3" w:rsidP="008033D3">
      <w:pPr>
        <w:pStyle w:val="Prrafodelista"/>
        <w:numPr>
          <w:ilvl w:val="0"/>
          <w:numId w:val="4"/>
        </w:numPr>
        <w:spacing w:line="360" w:lineRule="auto"/>
        <w:rPr>
          <w:rFonts w:cs="Times New Roman"/>
          <w:szCs w:val="24"/>
        </w:rPr>
      </w:pPr>
      <w:r w:rsidRPr="003264E2">
        <w:rPr>
          <w:rFonts w:cs="Times New Roman"/>
          <w:szCs w:val="24"/>
        </w:rPr>
        <w:t>Auricular</w:t>
      </w:r>
    </w:p>
    <w:p w14:paraId="63558465" w14:textId="77777777" w:rsidR="008033D3" w:rsidRPr="003264E2" w:rsidRDefault="008033D3" w:rsidP="008033D3">
      <w:pPr>
        <w:pStyle w:val="Prrafodelista"/>
        <w:numPr>
          <w:ilvl w:val="0"/>
          <w:numId w:val="4"/>
        </w:numPr>
        <w:spacing w:line="360" w:lineRule="auto"/>
        <w:rPr>
          <w:rFonts w:cs="Times New Roman"/>
          <w:szCs w:val="24"/>
        </w:rPr>
      </w:pPr>
      <w:r w:rsidRPr="003264E2">
        <w:rPr>
          <w:rFonts w:cs="Times New Roman"/>
          <w:szCs w:val="24"/>
        </w:rPr>
        <w:t>Conector de energía</w:t>
      </w:r>
    </w:p>
    <w:p w14:paraId="62C50E46" w14:textId="77777777" w:rsidR="008033D3" w:rsidRDefault="008033D3" w:rsidP="008033D3">
      <w:pPr>
        <w:spacing w:line="360" w:lineRule="auto"/>
        <w:rPr>
          <w:rFonts w:cs="Times New Roman"/>
          <w:szCs w:val="24"/>
        </w:rPr>
      </w:pPr>
      <w:r w:rsidRPr="003264E2">
        <w:rPr>
          <w:rFonts w:cs="Times New Roman"/>
          <w:szCs w:val="24"/>
        </w:rPr>
        <w:t>Se pide reformar el Anexo del Decreto Ejecutivo Nº 592, publicado en el Suplemento del Registro Oficial Nº 191 del 15 de Octubre de 2007, que contiene el Arancel Nacional de Importaciones, en los siguientes términos:</w:t>
      </w:r>
    </w:p>
    <w:p w14:paraId="3CC18FBC" w14:textId="77777777" w:rsidR="008033D3" w:rsidRDefault="008033D3" w:rsidP="008033D3">
      <w:pPr>
        <w:spacing w:line="360" w:lineRule="auto"/>
        <w:rPr>
          <w:rFonts w:cs="Times New Roman"/>
          <w:szCs w:val="24"/>
        </w:rPr>
      </w:pPr>
    </w:p>
    <w:p w14:paraId="68B4063F" w14:textId="77777777" w:rsidR="008033D3" w:rsidRDefault="008033D3" w:rsidP="008033D3">
      <w:pPr>
        <w:spacing w:line="360" w:lineRule="auto"/>
        <w:rPr>
          <w:rFonts w:cs="Times New Roman"/>
          <w:szCs w:val="24"/>
        </w:rPr>
      </w:pPr>
    </w:p>
    <w:p w14:paraId="5D608EC1" w14:textId="77777777" w:rsidR="008033D3" w:rsidRDefault="008033D3" w:rsidP="008033D3">
      <w:pPr>
        <w:pStyle w:val="Estilo3"/>
      </w:pPr>
      <w:bookmarkStart w:id="37" w:name="_Toc442343930"/>
      <w:r>
        <w:t>Cuadro 3.</w:t>
      </w:r>
      <w:bookmarkEnd w:id="37"/>
    </w:p>
    <w:p w14:paraId="5C516338" w14:textId="77777777" w:rsidR="008033D3" w:rsidRPr="003264E2" w:rsidRDefault="008033D3" w:rsidP="008033D3">
      <w:pPr>
        <w:spacing w:line="360" w:lineRule="auto"/>
        <w:jc w:val="center"/>
        <w:rPr>
          <w:rFonts w:cs="Times New Roman"/>
          <w:szCs w:val="24"/>
        </w:rPr>
      </w:pPr>
      <w:r>
        <w:rPr>
          <w:rFonts w:cs="Times New Roman"/>
          <w:szCs w:val="24"/>
        </w:rPr>
        <w:t xml:space="preserve">Detalle del </w:t>
      </w:r>
      <w:r w:rsidRPr="003264E2">
        <w:rPr>
          <w:rFonts w:cs="Times New Roman"/>
          <w:szCs w:val="24"/>
        </w:rPr>
        <w:t>Suplemento del Registro Oficial Nº 191 del 15 de Octubre de 2007</w:t>
      </w:r>
    </w:p>
    <w:tbl>
      <w:tblPr>
        <w:tblW w:w="8263" w:type="dxa"/>
        <w:jc w:val="center"/>
        <w:tblCellMar>
          <w:left w:w="0" w:type="dxa"/>
          <w:right w:w="0" w:type="dxa"/>
        </w:tblCellMar>
        <w:tblLook w:val="04A0" w:firstRow="1" w:lastRow="0" w:firstColumn="1" w:lastColumn="0" w:noHBand="0" w:noVBand="1"/>
      </w:tblPr>
      <w:tblGrid>
        <w:gridCol w:w="2558"/>
        <w:gridCol w:w="1019"/>
        <w:gridCol w:w="3074"/>
        <w:gridCol w:w="982"/>
        <w:gridCol w:w="630"/>
      </w:tblGrid>
      <w:tr w:rsidR="008033D3" w14:paraId="231C120F" w14:textId="77777777" w:rsidTr="009E77CA">
        <w:trPr>
          <w:trHeight w:val="730"/>
          <w:jc w:val="center"/>
        </w:trPr>
        <w:tc>
          <w:tcPr>
            <w:tcW w:w="2558" w:type="dxa"/>
            <w:tcBorders>
              <w:top w:val="single" w:sz="12" w:space="0" w:color="auto"/>
              <w:left w:val="nil"/>
              <w:bottom w:val="single" w:sz="12" w:space="0" w:color="auto"/>
              <w:right w:val="nil"/>
            </w:tcBorders>
            <w:shd w:val="clear" w:color="FFFFFF" w:fill="FFFFFF"/>
            <w:noWrap/>
            <w:tcMar>
              <w:top w:w="15" w:type="dxa"/>
              <w:left w:w="15" w:type="dxa"/>
              <w:bottom w:w="0" w:type="dxa"/>
              <w:right w:w="15" w:type="dxa"/>
            </w:tcMar>
            <w:hideMark/>
          </w:tcPr>
          <w:p w14:paraId="395844C5" w14:textId="77777777" w:rsidR="008033D3" w:rsidRDefault="008033D3" w:rsidP="009E77CA">
            <w:pPr>
              <w:rPr>
                <w:b/>
                <w:bCs/>
                <w:color w:val="000000"/>
                <w:szCs w:val="24"/>
              </w:rPr>
            </w:pPr>
            <w:r>
              <w:rPr>
                <w:b/>
                <w:bCs/>
                <w:color w:val="000000"/>
              </w:rPr>
              <w:t>CÓDIGO NANDINA</w:t>
            </w:r>
          </w:p>
        </w:tc>
        <w:tc>
          <w:tcPr>
            <w:tcW w:w="1019" w:type="dxa"/>
            <w:tcBorders>
              <w:top w:val="single" w:sz="12" w:space="0" w:color="auto"/>
              <w:left w:val="nil"/>
              <w:bottom w:val="single" w:sz="12" w:space="0" w:color="auto"/>
              <w:right w:val="nil"/>
            </w:tcBorders>
            <w:shd w:val="clear" w:color="FFFFFF" w:fill="FFFFFF"/>
            <w:noWrap/>
            <w:tcMar>
              <w:top w:w="15" w:type="dxa"/>
              <w:left w:w="15" w:type="dxa"/>
              <w:bottom w:w="0" w:type="dxa"/>
              <w:right w:w="15" w:type="dxa"/>
            </w:tcMar>
            <w:hideMark/>
          </w:tcPr>
          <w:p w14:paraId="0A5302DA" w14:textId="77777777" w:rsidR="008033D3" w:rsidRDefault="008033D3" w:rsidP="009E77CA">
            <w:pPr>
              <w:rPr>
                <w:b/>
                <w:bCs/>
                <w:color w:val="000000"/>
                <w:szCs w:val="24"/>
              </w:rPr>
            </w:pPr>
            <w:r>
              <w:rPr>
                <w:b/>
                <w:bCs/>
                <w:color w:val="000000"/>
              </w:rPr>
              <w:t>SUBP</w:t>
            </w:r>
          </w:p>
        </w:tc>
        <w:tc>
          <w:tcPr>
            <w:tcW w:w="3074" w:type="dxa"/>
            <w:tcBorders>
              <w:top w:val="single" w:sz="12" w:space="0" w:color="auto"/>
              <w:left w:val="nil"/>
              <w:bottom w:val="single" w:sz="12" w:space="0" w:color="auto"/>
              <w:right w:val="nil"/>
            </w:tcBorders>
            <w:shd w:val="clear" w:color="FFFFFF" w:fill="FFFFFF"/>
            <w:noWrap/>
            <w:tcMar>
              <w:top w:w="15" w:type="dxa"/>
              <w:left w:w="15" w:type="dxa"/>
              <w:bottom w:w="0" w:type="dxa"/>
              <w:right w:w="15" w:type="dxa"/>
            </w:tcMar>
            <w:hideMark/>
          </w:tcPr>
          <w:p w14:paraId="2DA10B09" w14:textId="77777777" w:rsidR="008033D3" w:rsidRDefault="008033D3" w:rsidP="009E77CA">
            <w:pPr>
              <w:rPr>
                <w:b/>
                <w:bCs/>
                <w:color w:val="000000"/>
                <w:szCs w:val="24"/>
              </w:rPr>
            </w:pPr>
            <w:r>
              <w:rPr>
                <w:b/>
                <w:bCs/>
                <w:color w:val="000000"/>
              </w:rPr>
              <w:t>DETALLE DE LA MERCANCÍA</w:t>
            </w:r>
          </w:p>
        </w:tc>
        <w:tc>
          <w:tcPr>
            <w:tcW w:w="982" w:type="dxa"/>
            <w:tcBorders>
              <w:top w:val="single" w:sz="12" w:space="0" w:color="auto"/>
              <w:left w:val="nil"/>
              <w:bottom w:val="single" w:sz="12" w:space="0" w:color="auto"/>
              <w:right w:val="nil"/>
            </w:tcBorders>
            <w:shd w:val="clear" w:color="FFFFFF" w:fill="FFFFFF"/>
            <w:noWrap/>
            <w:tcMar>
              <w:top w:w="15" w:type="dxa"/>
              <w:left w:w="15" w:type="dxa"/>
              <w:bottom w:w="0" w:type="dxa"/>
              <w:right w:w="15" w:type="dxa"/>
            </w:tcMar>
            <w:hideMark/>
          </w:tcPr>
          <w:p w14:paraId="163127B2" w14:textId="77777777" w:rsidR="008033D3" w:rsidRDefault="008033D3" w:rsidP="009E77CA">
            <w:pPr>
              <w:rPr>
                <w:b/>
                <w:bCs/>
                <w:color w:val="000000"/>
                <w:szCs w:val="24"/>
              </w:rPr>
            </w:pPr>
            <w:r>
              <w:rPr>
                <w:b/>
                <w:bCs/>
                <w:color w:val="000000"/>
              </w:rPr>
              <w:t>Un. Fis:</w:t>
            </w:r>
          </w:p>
        </w:tc>
        <w:tc>
          <w:tcPr>
            <w:tcW w:w="630" w:type="dxa"/>
            <w:tcBorders>
              <w:top w:val="single" w:sz="12" w:space="0" w:color="auto"/>
              <w:left w:val="nil"/>
              <w:bottom w:val="single" w:sz="12" w:space="0" w:color="auto"/>
              <w:right w:val="nil"/>
            </w:tcBorders>
            <w:shd w:val="clear" w:color="FFFFFF" w:fill="FFFFFF"/>
            <w:noWrap/>
            <w:tcMar>
              <w:top w:w="15" w:type="dxa"/>
              <w:left w:w="15" w:type="dxa"/>
              <w:bottom w:w="0" w:type="dxa"/>
              <w:right w:w="15" w:type="dxa"/>
            </w:tcMar>
            <w:hideMark/>
          </w:tcPr>
          <w:p w14:paraId="76CC9FD1" w14:textId="77777777" w:rsidR="008033D3" w:rsidRDefault="008033D3" w:rsidP="009E77CA">
            <w:pPr>
              <w:rPr>
                <w:b/>
                <w:bCs/>
                <w:color w:val="000000"/>
                <w:szCs w:val="24"/>
              </w:rPr>
            </w:pPr>
            <w:proofErr w:type="spellStart"/>
            <w:r>
              <w:rPr>
                <w:b/>
                <w:bCs/>
                <w:color w:val="000000"/>
              </w:rPr>
              <w:t>Adv</w:t>
            </w:r>
            <w:proofErr w:type="spellEnd"/>
            <w:r>
              <w:rPr>
                <w:b/>
                <w:bCs/>
                <w:color w:val="000000"/>
              </w:rPr>
              <w:t xml:space="preserve"> %</w:t>
            </w:r>
          </w:p>
        </w:tc>
      </w:tr>
      <w:tr w:rsidR="008033D3" w14:paraId="0B5AA7F4" w14:textId="77777777" w:rsidTr="009E77CA">
        <w:trPr>
          <w:trHeight w:val="1267"/>
          <w:jc w:val="center"/>
        </w:trPr>
        <w:tc>
          <w:tcPr>
            <w:tcW w:w="0" w:type="auto"/>
            <w:tcBorders>
              <w:top w:val="nil"/>
              <w:left w:val="nil"/>
              <w:bottom w:val="single" w:sz="8" w:space="0" w:color="auto"/>
              <w:right w:val="nil"/>
            </w:tcBorders>
            <w:shd w:val="clear" w:color="FFFFFF" w:fill="FFFFFF"/>
            <w:noWrap/>
            <w:tcMar>
              <w:top w:w="15" w:type="dxa"/>
              <w:left w:w="15" w:type="dxa"/>
              <w:bottom w:w="0" w:type="dxa"/>
              <w:right w:w="15" w:type="dxa"/>
            </w:tcMar>
            <w:hideMark/>
          </w:tcPr>
          <w:p w14:paraId="06ED8A1E" w14:textId="77777777" w:rsidR="008033D3" w:rsidRDefault="008033D3" w:rsidP="009E77CA">
            <w:pPr>
              <w:rPr>
                <w:color w:val="000000"/>
                <w:szCs w:val="24"/>
              </w:rPr>
            </w:pPr>
            <w:r>
              <w:rPr>
                <w:color w:val="000000"/>
              </w:rPr>
              <w:t>8517.12.00</w:t>
            </w:r>
          </w:p>
        </w:tc>
        <w:tc>
          <w:tcPr>
            <w:tcW w:w="0" w:type="auto"/>
            <w:tcBorders>
              <w:top w:val="nil"/>
              <w:left w:val="nil"/>
              <w:bottom w:val="single" w:sz="8" w:space="0" w:color="auto"/>
              <w:right w:val="nil"/>
            </w:tcBorders>
            <w:shd w:val="clear" w:color="FFFFFF" w:fill="FFFFFF"/>
            <w:noWrap/>
            <w:tcMar>
              <w:top w:w="15" w:type="dxa"/>
              <w:left w:w="15" w:type="dxa"/>
              <w:bottom w:w="0" w:type="dxa"/>
              <w:right w:w="15" w:type="dxa"/>
            </w:tcMar>
            <w:hideMark/>
          </w:tcPr>
          <w:p w14:paraId="61D84B02" w14:textId="77777777" w:rsidR="008033D3" w:rsidRDefault="008033D3" w:rsidP="009E77CA">
            <w:pPr>
              <w:rPr>
                <w:color w:val="000000"/>
                <w:szCs w:val="24"/>
              </w:rPr>
            </w:pPr>
            <w:r>
              <w:rPr>
                <w:color w:val="000000"/>
              </w:rPr>
              <w:t>.00</w:t>
            </w:r>
          </w:p>
        </w:tc>
        <w:tc>
          <w:tcPr>
            <w:tcW w:w="3074" w:type="dxa"/>
            <w:tcBorders>
              <w:top w:val="nil"/>
              <w:left w:val="nil"/>
              <w:bottom w:val="single" w:sz="8" w:space="0" w:color="auto"/>
              <w:right w:val="nil"/>
            </w:tcBorders>
            <w:shd w:val="clear" w:color="FFFFFF" w:fill="FFFFFF"/>
            <w:tcMar>
              <w:top w:w="15" w:type="dxa"/>
              <w:left w:w="15" w:type="dxa"/>
              <w:bottom w:w="0" w:type="dxa"/>
              <w:right w:w="15" w:type="dxa"/>
            </w:tcMar>
            <w:hideMark/>
          </w:tcPr>
          <w:p w14:paraId="41C268B6" w14:textId="77777777" w:rsidR="008033D3" w:rsidRDefault="008033D3" w:rsidP="009E77CA">
            <w:pPr>
              <w:ind w:right="1200"/>
              <w:rPr>
                <w:color w:val="000000"/>
                <w:szCs w:val="24"/>
              </w:rPr>
            </w:pPr>
            <w:r>
              <w:rPr>
                <w:color w:val="000000"/>
              </w:rPr>
              <w:t>Teléfonos Móviles (celulares) y los de otras redes inalámbricas</w:t>
            </w:r>
          </w:p>
        </w:tc>
        <w:tc>
          <w:tcPr>
            <w:tcW w:w="982" w:type="dxa"/>
            <w:tcBorders>
              <w:top w:val="nil"/>
              <w:left w:val="nil"/>
              <w:bottom w:val="single" w:sz="8" w:space="0" w:color="auto"/>
              <w:right w:val="nil"/>
            </w:tcBorders>
            <w:shd w:val="clear" w:color="FFFFFF" w:fill="FFFFFF"/>
            <w:noWrap/>
            <w:tcMar>
              <w:top w:w="15" w:type="dxa"/>
              <w:left w:w="15" w:type="dxa"/>
              <w:bottom w:w="0" w:type="dxa"/>
              <w:right w:w="15" w:type="dxa"/>
            </w:tcMar>
            <w:hideMark/>
          </w:tcPr>
          <w:p w14:paraId="5A37F7EA" w14:textId="77777777" w:rsidR="008033D3" w:rsidRDefault="008033D3" w:rsidP="009E77CA">
            <w:pPr>
              <w:rPr>
                <w:color w:val="000000"/>
                <w:szCs w:val="24"/>
              </w:rPr>
            </w:pPr>
            <w:r>
              <w:rPr>
                <w:color w:val="000000"/>
              </w:rPr>
              <w:t>u</w:t>
            </w:r>
          </w:p>
        </w:tc>
        <w:tc>
          <w:tcPr>
            <w:tcW w:w="630" w:type="dxa"/>
            <w:tcBorders>
              <w:top w:val="nil"/>
              <w:left w:val="nil"/>
              <w:bottom w:val="single" w:sz="8" w:space="0" w:color="auto"/>
              <w:right w:val="nil"/>
            </w:tcBorders>
            <w:shd w:val="clear" w:color="FFFFFF" w:fill="FFFFFF"/>
            <w:noWrap/>
            <w:tcMar>
              <w:top w:w="15" w:type="dxa"/>
              <w:left w:w="15" w:type="dxa"/>
              <w:bottom w:w="0" w:type="dxa"/>
              <w:right w:w="15" w:type="dxa"/>
            </w:tcMar>
            <w:hideMark/>
          </w:tcPr>
          <w:p w14:paraId="302EB821" w14:textId="77777777" w:rsidR="008033D3" w:rsidRDefault="008033D3" w:rsidP="009E77CA">
            <w:pPr>
              <w:rPr>
                <w:color w:val="000000"/>
                <w:szCs w:val="24"/>
              </w:rPr>
            </w:pPr>
            <w:r>
              <w:rPr>
                <w:color w:val="000000"/>
              </w:rPr>
              <w:t>15</w:t>
            </w:r>
          </w:p>
        </w:tc>
      </w:tr>
      <w:tr w:rsidR="008033D3" w14:paraId="6B629071" w14:textId="77777777" w:rsidTr="009E77CA">
        <w:trPr>
          <w:trHeight w:val="300"/>
          <w:jc w:val="center"/>
        </w:trPr>
        <w:tc>
          <w:tcPr>
            <w:tcW w:w="0" w:type="auto"/>
            <w:tcBorders>
              <w:top w:val="nil"/>
              <w:left w:val="nil"/>
              <w:bottom w:val="nil"/>
              <w:right w:val="nil"/>
            </w:tcBorders>
            <w:shd w:val="clear" w:color="FFFFFF" w:fill="FFFFFF"/>
            <w:noWrap/>
            <w:tcMar>
              <w:top w:w="15" w:type="dxa"/>
              <w:left w:w="15" w:type="dxa"/>
              <w:bottom w:w="0" w:type="dxa"/>
              <w:right w:w="15" w:type="dxa"/>
            </w:tcMar>
            <w:hideMark/>
          </w:tcPr>
          <w:p w14:paraId="2FE9E693" w14:textId="77777777" w:rsidR="008033D3" w:rsidRDefault="008033D3" w:rsidP="009E77CA">
            <w:pPr>
              <w:spacing w:after="0" w:line="240" w:lineRule="auto"/>
              <w:rPr>
                <w:color w:val="000000"/>
                <w:sz w:val="14"/>
                <w:szCs w:val="14"/>
              </w:rPr>
            </w:pPr>
            <w:r w:rsidRPr="00CD71BD">
              <w:rPr>
                <w:rFonts w:eastAsia="Times New Roman" w:cs="Times New Roman"/>
                <w:color w:val="000000"/>
                <w:sz w:val="16"/>
                <w:szCs w:val="16"/>
                <w:lang w:eastAsia="es-ES"/>
              </w:rPr>
              <w:t xml:space="preserve">Elaborado por: Héctor </w:t>
            </w:r>
            <w:proofErr w:type="spellStart"/>
            <w:r w:rsidRPr="00CD71BD">
              <w:rPr>
                <w:rFonts w:eastAsia="Times New Roman" w:cs="Times New Roman"/>
                <w:color w:val="000000"/>
                <w:sz w:val="16"/>
                <w:szCs w:val="16"/>
                <w:lang w:eastAsia="es-ES"/>
              </w:rPr>
              <w:t>Ruilova</w:t>
            </w:r>
            <w:proofErr w:type="spellEnd"/>
            <w:r w:rsidRPr="00CD71BD">
              <w:rPr>
                <w:rFonts w:eastAsia="Times New Roman" w:cs="Times New Roman"/>
                <w:color w:val="000000"/>
                <w:sz w:val="16"/>
                <w:szCs w:val="16"/>
                <w:lang w:eastAsia="es-ES"/>
              </w:rPr>
              <w:t xml:space="preserve"> Vidal</w:t>
            </w:r>
          </w:p>
        </w:tc>
        <w:tc>
          <w:tcPr>
            <w:tcW w:w="0" w:type="auto"/>
            <w:tcBorders>
              <w:top w:val="nil"/>
              <w:left w:val="nil"/>
              <w:bottom w:val="nil"/>
              <w:right w:val="nil"/>
            </w:tcBorders>
            <w:shd w:val="clear" w:color="FFFFFF" w:fill="FFFFFF"/>
            <w:noWrap/>
            <w:tcMar>
              <w:top w:w="15" w:type="dxa"/>
              <w:left w:w="15" w:type="dxa"/>
              <w:bottom w:w="0" w:type="dxa"/>
              <w:right w:w="15" w:type="dxa"/>
            </w:tcMar>
            <w:vAlign w:val="bottom"/>
            <w:hideMark/>
          </w:tcPr>
          <w:p w14:paraId="3B3F7250" w14:textId="77777777" w:rsidR="008033D3" w:rsidRDefault="008033D3" w:rsidP="009E77CA">
            <w:pPr>
              <w:rPr>
                <w:color w:val="000000"/>
              </w:rPr>
            </w:pPr>
            <w:r>
              <w:rPr>
                <w:color w:val="000000"/>
              </w:rPr>
              <w:t> </w:t>
            </w:r>
          </w:p>
        </w:tc>
        <w:tc>
          <w:tcPr>
            <w:tcW w:w="3074" w:type="dxa"/>
            <w:tcBorders>
              <w:top w:val="nil"/>
              <w:left w:val="nil"/>
              <w:bottom w:val="nil"/>
              <w:right w:val="nil"/>
            </w:tcBorders>
            <w:shd w:val="clear" w:color="FFFFFF" w:fill="FFFFFF"/>
            <w:noWrap/>
            <w:tcMar>
              <w:top w:w="15" w:type="dxa"/>
              <w:left w:w="15" w:type="dxa"/>
              <w:bottom w:w="0" w:type="dxa"/>
              <w:right w:w="15" w:type="dxa"/>
            </w:tcMar>
            <w:vAlign w:val="bottom"/>
            <w:hideMark/>
          </w:tcPr>
          <w:p w14:paraId="0C1149E5" w14:textId="77777777" w:rsidR="008033D3" w:rsidRDefault="008033D3" w:rsidP="009E77CA">
            <w:pPr>
              <w:rPr>
                <w:color w:val="000000"/>
              </w:rPr>
            </w:pPr>
            <w:r>
              <w:rPr>
                <w:color w:val="000000"/>
              </w:rPr>
              <w:t> </w:t>
            </w:r>
          </w:p>
        </w:tc>
        <w:tc>
          <w:tcPr>
            <w:tcW w:w="982" w:type="dxa"/>
            <w:tcBorders>
              <w:top w:val="nil"/>
              <w:left w:val="nil"/>
              <w:bottom w:val="nil"/>
              <w:right w:val="nil"/>
            </w:tcBorders>
            <w:shd w:val="clear" w:color="FFFFFF" w:fill="FFFFFF"/>
            <w:noWrap/>
            <w:tcMar>
              <w:top w:w="15" w:type="dxa"/>
              <w:left w:w="15" w:type="dxa"/>
              <w:bottom w:w="0" w:type="dxa"/>
              <w:right w:w="15" w:type="dxa"/>
            </w:tcMar>
            <w:vAlign w:val="bottom"/>
            <w:hideMark/>
          </w:tcPr>
          <w:p w14:paraId="0E4CA013" w14:textId="77777777" w:rsidR="008033D3" w:rsidRDefault="008033D3" w:rsidP="009E77CA">
            <w:pPr>
              <w:rPr>
                <w:color w:val="000000"/>
              </w:rPr>
            </w:pPr>
            <w:r>
              <w:rPr>
                <w:color w:val="000000"/>
              </w:rPr>
              <w:t> </w:t>
            </w:r>
          </w:p>
        </w:tc>
        <w:tc>
          <w:tcPr>
            <w:tcW w:w="630" w:type="dxa"/>
            <w:tcBorders>
              <w:top w:val="nil"/>
              <w:left w:val="nil"/>
              <w:bottom w:val="nil"/>
              <w:right w:val="nil"/>
            </w:tcBorders>
            <w:shd w:val="clear" w:color="FFFFFF" w:fill="FFFFFF"/>
            <w:noWrap/>
            <w:tcMar>
              <w:top w:w="15" w:type="dxa"/>
              <w:left w:w="15" w:type="dxa"/>
              <w:bottom w:w="0" w:type="dxa"/>
              <w:right w:w="15" w:type="dxa"/>
            </w:tcMar>
            <w:vAlign w:val="bottom"/>
            <w:hideMark/>
          </w:tcPr>
          <w:p w14:paraId="2CA5B020" w14:textId="77777777" w:rsidR="008033D3" w:rsidRDefault="008033D3" w:rsidP="009E77CA">
            <w:pPr>
              <w:rPr>
                <w:color w:val="000000"/>
              </w:rPr>
            </w:pPr>
            <w:r>
              <w:rPr>
                <w:color w:val="000000"/>
              </w:rPr>
              <w:t> </w:t>
            </w:r>
          </w:p>
        </w:tc>
      </w:tr>
    </w:tbl>
    <w:p w14:paraId="3F4C3091" w14:textId="77777777" w:rsidR="008033D3" w:rsidRPr="003264E2" w:rsidRDefault="008033D3" w:rsidP="008033D3">
      <w:pPr>
        <w:spacing w:line="360" w:lineRule="auto"/>
        <w:rPr>
          <w:rFonts w:cs="Times New Roman"/>
          <w:szCs w:val="24"/>
        </w:rPr>
      </w:pPr>
      <w:r>
        <w:rPr>
          <w:noProof/>
          <w:lang w:eastAsia="es-ES"/>
        </w:rPr>
        <w:t xml:space="preserve"> </w:t>
      </w:r>
    </w:p>
    <w:p w14:paraId="68F00BB5" w14:textId="77777777" w:rsidR="008033D3" w:rsidRDefault="008033D3" w:rsidP="008033D3">
      <w:pPr>
        <w:spacing w:line="360" w:lineRule="auto"/>
        <w:rPr>
          <w:rFonts w:cs="Times New Roman"/>
          <w:szCs w:val="24"/>
        </w:rPr>
      </w:pPr>
      <w:r w:rsidRPr="003264E2">
        <w:rPr>
          <w:rFonts w:cs="Times New Roman"/>
          <w:szCs w:val="24"/>
        </w:rPr>
        <w:t>A cambiar por:</w:t>
      </w:r>
    </w:p>
    <w:p w14:paraId="5BFE0135" w14:textId="77777777" w:rsidR="008033D3" w:rsidRDefault="008033D3" w:rsidP="008033D3">
      <w:pPr>
        <w:pStyle w:val="Estilo3"/>
      </w:pPr>
      <w:bookmarkStart w:id="38" w:name="_Toc442343931"/>
      <w:r>
        <w:t>Cuadro 4.</w:t>
      </w:r>
      <w:bookmarkEnd w:id="38"/>
    </w:p>
    <w:p w14:paraId="3A814205" w14:textId="77777777" w:rsidR="008033D3" w:rsidRPr="003264E2" w:rsidRDefault="008033D3" w:rsidP="008033D3">
      <w:pPr>
        <w:spacing w:line="360" w:lineRule="auto"/>
        <w:jc w:val="center"/>
        <w:rPr>
          <w:rFonts w:cs="Times New Roman"/>
          <w:szCs w:val="24"/>
        </w:rPr>
      </w:pPr>
      <w:r>
        <w:rPr>
          <w:rFonts w:cs="Times New Roman"/>
          <w:szCs w:val="24"/>
        </w:rPr>
        <w:t xml:space="preserve">Reforma de </w:t>
      </w:r>
      <w:r w:rsidRPr="003264E2">
        <w:rPr>
          <w:rFonts w:cs="Times New Roman"/>
          <w:szCs w:val="24"/>
        </w:rPr>
        <w:t>Anexo del Decreto Ejecutivo Nº 592</w:t>
      </w:r>
    </w:p>
    <w:tbl>
      <w:tblPr>
        <w:tblW w:w="9512" w:type="dxa"/>
        <w:jc w:val="center"/>
        <w:tblCellMar>
          <w:left w:w="70" w:type="dxa"/>
          <w:right w:w="70" w:type="dxa"/>
        </w:tblCellMar>
        <w:tblLook w:val="04A0" w:firstRow="1" w:lastRow="0" w:firstColumn="1" w:lastColumn="0" w:noHBand="0" w:noVBand="1"/>
      </w:tblPr>
      <w:tblGrid>
        <w:gridCol w:w="2567"/>
        <w:gridCol w:w="1020"/>
        <w:gridCol w:w="3941"/>
        <w:gridCol w:w="992"/>
        <w:gridCol w:w="992"/>
      </w:tblGrid>
      <w:tr w:rsidR="008033D3" w:rsidRPr="00DE2437" w14:paraId="21873F09" w14:textId="77777777" w:rsidTr="009E77CA">
        <w:trPr>
          <w:trHeight w:val="492"/>
          <w:jc w:val="center"/>
        </w:trPr>
        <w:tc>
          <w:tcPr>
            <w:tcW w:w="2567" w:type="dxa"/>
            <w:tcBorders>
              <w:top w:val="single" w:sz="12" w:space="0" w:color="auto"/>
              <w:left w:val="nil"/>
              <w:bottom w:val="single" w:sz="12" w:space="0" w:color="auto"/>
              <w:right w:val="nil"/>
            </w:tcBorders>
            <w:shd w:val="clear" w:color="FFFFFF" w:fill="FFFFFF"/>
            <w:noWrap/>
            <w:hideMark/>
          </w:tcPr>
          <w:p w14:paraId="0BCE85A6" w14:textId="77777777" w:rsidR="008033D3" w:rsidRPr="00DE2437" w:rsidRDefault="008033D3" w:rsidP="009E77CA">
            <w:pPr>
              <w:spacing w:after="0" w:line="240" w:lineRule="auto"/>
              <w:rPr>
                <w:rFonts w:eastAsia="Times New Roman" w:cs="Times New Roman"/>
                <w:b/>
                <w:bCs/>
                <w:color w:val="000000"/>
                <w:szCs w:val="24"/>
                <w:lang w:eastAsia="es-ES"/>
              </w:rPr>
            </w:pPr>
            <w:r w:rsidRPr="00DE2437">
              <w:rPr>
                <w:rFonts w:eastAsia="Times New Roman" w:cs="Times New Roman"/>
                <w:b/>
                <w:bCs/>
                <w:color w:val="000000"/>
                <w:szCs w:val="24"/>
                <w:lang w:eastAsia="es-ES"/>
              </w:rPr>
              <w:t>CÓDIGO NANDINA</w:t>
            </w:r>
          </w:p>
        </w:tc>
        <w:tc>
          <w:tcPr>
            <w:tcW w:w="1020" w:type="dxa"/>
            <w:tcBorders>
              <w:top w:val="single" w:sz="12" w:space="0" w:color="auto"/>
              <w:left w:val="nil"/>
              <w:bottom w:val="single" w:sz="12" w:space="0" w:color="auto"/>
              <w:right w:val="nil"/>
            </w:tcBorders>
            <w:shd w:val="clear" w:color="FFFFFF" w:fill="FFFFFF"/>
            <w:noWrap/>
            <w:hideMark/>
          </w:tcPr>
          <w:p w14:paraId="0CE9DDE4" w14:textId="77777777" w:rsidR="008033D3" w:rsidRPr="00DE2437" w:rsidRDefault="008033D3" w:rsidP="009E77CA">
            <w:pPr>
              <w:spacing w:after="0" w:line="240" w:lineRule="auto"/>
              <w:rPr>
                <w:rFonts w:eastAsia="Times New Roman" w:cs="Times New Roman"/>
                <w:b/>
                <w:bCs/>
                <w:color w:val="000000"/>
                <w:szCs w:val="24"/>
                <w:lang w:eastAsia="es-ES"/>
              </w:rPr>
            </w:pPr>
            <w:r w:rsidRPr="00DE2437">
              <w:rPr>
                <w:rFonts w:eastAsia="Times New Roman" w:cs="Times New Roman"/>
                <w:b/>
                <w:bCs/>
                <w:color w:val="000000"/>
                <w:szCs w:val="24"/>
                <w:lang w:eastAsia="es-ES"/>
              </w:rPr>
              <w:t>SUBP</w:t>
            </w:r>
          </w:p>
        </w:tc>
        <w:tc>
          <w:tcPr>
            <w:tcW w:w="3941" w:type="dxa"/>
            <w:tcBorders>
              <w:top w:val="single" w:sz="12" w:space="0" w:color="auto"/>
              <w:left w:val="nil"/>
              <w:bottom w:val="single" w:sz="12" w:space="0" w:color="auto"/>
              <w:right w:val="nil"/>
            </w:tcBorders>
            <w:shd w:val="clear" w:color="FFFFFF" w:fill="FFFFFF"/>
            <w:noWrap/>
            <w:hideMark/>
          </w:tcPr>
          <w:p w14:paraId="02F22A3B" w14:textId="77777777" w:rsidR="008033D3" w:rsidRPr="00DE2437" w:rsidRDefault="008033D3" w:rsidP="009E77CA">
            <w:pPr>
              <w:spacing w:after="0" w:line="240" w:lineRule="auto"/>
              <w:rPr>
                <w:rFonts w:eastAsia="Times New Roman" w:cs="Times New Roman"/>
                <w:b/>
                <w:bCs/>
                <w:color w:val="000000"/>
                <w:szCs w:val="24"/>
                <w:lang w:eastAsia="es-ES"/>
              </w:rPr>
            </w:pPr>
            <w:r w:rsidRPr="00DE2437">
              <w:rPr>
                <w:rFonts w:eastAsia="Times New Roman" w:cs="Times New Roman"/>
                <w:b/>
                <w:bCs/>
                <w:color w:val="000000"/>
                <w:szCs w:val="24"/>
                <w:lang w:eastAsia="es-ES"/>
              </w:rPr>
              <w:t>DETALLE DE LA MERCANCÍA</w:t>
            </w:r>
          </w:p>
        </w:tc>
        <w:tc>
          <w:tcPr>
            <w:tcW w:w="992" w:type="dxa"/>
            <w:tcBorders>
              <w:top w:val="single" w:sz="12" w:space="0" w:color="auto"/>
              <w:left w:val="nil"/>
              <w:bottom w:val="single" w:sz="12" w:space="0" w:color="auto"/>
              <w:right w:val="nil"/>
            </w:tcBorders>
            <w:shd w:val="clear" w:color="FFFFFF" w:fill="FFFFFF"/>
            <w:noWrap/>
            <w:hideMark/>
          </w:tcPr>
          <w:p w14:paraId="1F4AC7F7" w14:textId="77777777" w:rsidR="008033D3" w:rsidRPr="00DE2437" w:rsidRDefault="008033D3" w:rsidP="009E77CA">
            <w:pPr>
              <w:spacing w:after="0" w:line="240" w:lineRule="auto"/>
              <w:rPr>
                <w:rFonts w:eastAsia="Times New Roman" w:cs="Times New Roman"/>
                <w:b/>
                <w:bCs/>
                <w:color w:val="000000"/>
                <w:szCs w:val="24"/>
                <w:lang w:eastAsia="es-ES"/>
              </w:rPr>
            </w:pPr>
            <w:r w:rsidRPr="00DE2437">
              <w:rPr>
                <w:rFonts w:eastAsia="Times New Roman" w:cs="Times New Roman"/>
                <w:b/>
                <w:bCs/>
                <w:color w:val="000000"/>
                <w:szCs w:val="24"/>
                <w:lang w:eastAsia="es-ES"/>
              </w:rPr>
              <w:t>Un. Fis:</w:t>
            </w:r>
          </w:p>
        </w:tc>
        <w:tc>
          <w:tcPr>
            <w:tcW w:w="992" w:type="dxa"/>
            <w:tcBorders>
              <w:top w:val="single" w:sz="12" w:space="0" w:color="auto"/>
              <w:left w:val="nil"/>
              <w:bottom w:val="single" w:sz="12" w:space="0" w:color="auto"/>
              <w:right w:val="nil"/>
            </w:tcBorders>
            <w:shd w:val="clear" w:color="FFFFFF" w:fill="FFFFFF"/>
            <w:noWrap/>
            <w:hideMark/>
          </w:tcPr>
          <w:p w14:paraId="12E620DB" w14:textId="77777777" w:rsidR="008033D3" w:rsidRPr="00DE2437" w:rsidRDefault="008033D3" w:rsidP="009E77CA">
            <w:pPr>
              <w:spacing w:after="0" w:line="240" w:lineRule="auto"/>
              <w:rPr>
                <w:rFonts w:eastAsia="Times New Roman" w:cs="Times New Roman"/>
                <w:b/>
                <w:bCs/>
                <w:color w:val="000000"/>
                <w:szCs w:val="24"/>
                <w:lang w:eastAsia="es-ES"/>
              </w:rPr>
            </w:pPr>
            <w:proofErr w:type="spellStart"/>
            <w:r w:rsidRPr="00DE2437">
              <w:rPr>
                <w:rFonts w:eastAsia="Times New Roman" w:cs="Times New Roman"/>
                <w:b/>
                <w:bCs/>
                <w:color w:val="000000"/>
                <w:szCs w:val="24"/>
                <w:lang w:eastAsia="es-ES"/>
              </w:rPr>
              <w:t>Adv</w:t>
            </w:r>
            <w:proofErr w:type="spellEnd"/>
            <w:r w:rsidRPr="00DE2437">
              <w:rPr>
                <w:rFonts w:eastAsia="Times New Roman" w:cs="Times New Roman"/>
                <w:b/>
                <w:bCs/>
                <w:color w:val="000000"/>
                <w:szCs w:val="24"/>
                <w:lang w:eastAsia="es-ES"/>
              </w:rPr>
              <w:t xml:space="preserve"> %</w:t>
            </w:r>
          </w:p>
        </w:tc>
      </w:tr>
      <w:tr w:rsidR="008033D3" w:rsidRPr="00DE2437" w14:paraId="7EF02B75" w14:textId="77777777" w:rsidTr="009E77CA">
        <w:trPr>
          <w:trHeight w:val="660"/>
          <w:jc w:val="center"/>
        </w:trPr>
        <w:tc>
          <w:tcPr>
            <w:tcW w:w="2567" w:type="dxa"/>
            <w:tcBorders>
              <w:top w:val="nil"/>
              <w:left w:val="nil"/>
              <w:bottom w:val="nil"/>
              <w:right w:val="nil"/>
            </w:tcBorders>
            <w:shd w:val="clear" w:color="FFFFFF" w:fill="FFFFFF"/>
            <w:hideMark/>
          </w:tcPr>
          <w:p w14:paraId="5C8A0F10" w14:textId="77777777" w:rsidR="008033D3" w:rsidRPr="00DE2437" w:rsidRDefault="008033D3" w:rsidP="009E77CA">
            <w:pPr>
              <w:spacing w:after="0" w:line="240" w:lineRule="auto"/>
              <w:rPr>
                <w:rFonts w:eastAsia="Times New Roman" w:cs="Times New Roman"/>
                <w:color w:val="000000"/>
                <w:szCs w:val="24"/>
                <w:lang w:eastAsia="es-ES"/>
              </w:rPr>
            </w:pPr>
            <w:r w:rsidRPr="00DE2437">
              <w:rPr>
                <w:rFonts w:eastAsia="Times New Roman" w:cs="Times New Roman"/>
                <w:color w:val="000000"/>
                <w:szCs w:val="24"/>
                <w:lang w:eastAsia="es-ES"/>
              </w:rPr>
              <w:t>8517.12</w:t>
            </w:r>
          </w:p>
        </w:tc>
        <w:tc>
          <w:tcPr>
            <w:tcW w:w="1020" w:type="dxa"/>
            <w:tcBorders>
              <w:top w:val="nil"/>
              <w:left w:val="nil"/>
              <w:bottom w:val="nil"/>
              <w:right w:val="nil"/>
            </w:tcBorders>
            <w:shd w:val="clear" w:color="FFFFFF" w:fill="FFFFFF"/>
            <w:hideMark/>
          </w:tcPr>
          <w:p w14:paraId="3770CE00" w14:textId="77777777" w:rsidR="008033D3" w:rsidRPr="00DE2437" w:rsidRDefault="008033D3" w:rsidP="009E77CA">
            <w:pPr>
              <w:spacing w:after="0" w:line="240" w:lineRule="auto"/>
              <w:rPr>
                <w:rFonts w:eastAsia="Times New Roman" w:cs="Times New Roman"/>
                <w:color w:val="000000"/>
                <w:szCs w:val="24"/>
                <w:lang w:eastAsia="es-ES"/>
              </w:rPr>
            </w:pPr>
            <w:r w:rsidRPr="00DE2437">
              <w:rPr>
                <w:rFonts w:eastAsia="Times New Roman" w:cs="Times New Roman"/>
                <w:color w:val="000000"/>
                <w:szCs w:val="24"/>
                <w:lang w:eastAsia="es-ES"/>
              </w:rPr>
              <w:t>.00</w:t>
            </w:r>
          </w:p>
        </w:tc>
        <w:tc>
          <w:tcPr>
            <w:tcW w:w="3941" w:type="dxa"/>
            <w:tcBorders>
              <w:top w:val="nil"/>
              <w:left w:val="nil"/>
              <w:bottom w:val="nil"/>
              <w:right w:val="nil"/>
            </w:tcBorders>
            <w:shd w:val="clear" w:color="FFFFFF" w:fill="FFFFFF"/>
            <w:hideMark/>
          </w:tcPr>
          <w:p w14:paraId="7D9BB322" w14:textId="77777777" w:rsidR="008033D3" w:rsidRPr="00DE2437" w:rsidRDefault="008033D3" w:rsidP="009E77CA">
            <w:pPr>
              <w:spacing w:after="0" w:line="240" w:lineRule="auto"/>
              <w:rPr>
                <w:rFonts w:eastAsia="Times New Roman" w:cs="Times New Roman"/>
                <w:color w:val="000000"/>
                <w:szCs w:val="24"/>
                <w:lang w:eastAsia="es-ES"/>
              </w:rPr>
            </w:pPr>
            <w:r w:rsidRPr="00DE2437">
              <w:rPr>
                <w:rFonts w:eastAsia="Times New Roman" w:cs="Times New Roman"/>
                <w:color w:val="000000"/>
                <w:szCs w:val="24"/>
                <w:lang w:eastAsia="es-ES"/>
              </w:rPr>
              <w:t>Teléfonos Móviles (celulares) y los de otras redes inalámbricas</w:t>
            </w:r>
          </w:p>
        </w:tc>
        <w:tc>
          <w:tcPr>
            <w:tcW w:w="992" w:type="dxa"/>
            <w:tcBorders>
              <w:top w:val="nil"/>
              <w:left w:val="nil"/>
              <w:bottom w:val="nil"/>
              <w:right w:val="nil"/>
            </w:tcBorders>
            <w:shd w:val="clear" w:color="FFFFFF" w:fill="FFFFFF"/>
            <w:hideMark/>
          </w:tcPr>
          <w:p w14:paraId="59341716" w14:textId="77777777" w:rsidR="008033D3" w:rsidRPr="00DE2437" w:rsidRDefault="008033D3" w:rsidP="009E77CA">
            <w:pPr>
              <w:spacing w:after="0" w:line="240" w:lineRule="auto"/>
              <w:rPr>
                <w:rFonts w:eastAsia="Times New Roman" w:cs="Times New Roman"/>
                <w:color w:val="000000"/>
                <w:szCs w:val="24"/>
                <w:lang w:eastAsia="es-ES"/>
              </w:rPr>
            </w:pPr>
            <w:r w:rsidRPr="00DE2437">
              <w:rPr>
                <w:rFonts w:eastAsia="Times New Roman" w:cs="Times New Roman"/>
                <w:color w:val="000000"/>
                <w:szCs w:val="24"/>
                <w:lang w:eastAsia="es-ES"/>
              </w:rPr>
              <w:t> </w:t>
            </w:r>
          </w:p>
        </w:tc>
        <w:tc>
          <w:tcPr>
            <w:tcW w:w="992" w:type="dxa"/>
            <w:tcBorders>
              <w:top w:val="nil"/>
              <w:left w:val="nil"/>
              <w:bottom w:val="nil"/>
              <w:right w:val="nil"/>
            </w:tcBorders>
            <w:shd w:val="clear" w:color="FFFFFF" w:fill="FFFFFF"/>
            <w:hideMark/>
          </w:tcPr>
          <w:p w14:paraId="3E668B06" w14:textId="77777777" w:rsidR="008033D3" w:rsidRPr="00DE2437" w:rsidRDefault="008033D3" w:rsidP="009E77CA">
            <w:pPr>
              <w:spacing w:after="0" w:line="240" w:lineRule="auto"/>
              <w:rPr>
                <w:rFonts w:eastAsia="Times New Roman" w:cs="Times New Roman"/>
                <w:color w:val="000000"/>
                <w:szCs w:val="24"/>
                <w:lang w:eastAsia="es-ES"/>
              </w:rPr>
            </w:pPr>
            <w:r w:rsidRPr="00DE2437">
              <w:rPr>
                <w:rFonts w:eastAsia="Times New Roman" w:cs="Times New Roman"/>
                <w:color w:val="000000"/>
                <w:szCs w:val="24"/>
                <w:lang w:eastAsia="es-ES"/>
              </w:rPr>
              <w:t> </w:t>
            </w:r>
          </w:p>
        </w:tc>
      </w:tr>
      <w:tr w:rsidR="008033D3" w:rsidRPr="00DE2437" w14:paraId="088F2EF1" w14:textId="77777777" w:rsidTr="009E77CA">
        <w:trPr>
          <w:trHeight w:val="660"/>
          <w:jc w:val="center"/>
        </w:trPr>
        <w:tc>
          <w:tcPr>
            <w:tcW w:w="2567" w:type="dxa"/>
            <w:tcBorders>
              <w:top w:val="nil"/>
              <w:left w:val="nil"/>
              <w:bottom w:val="nil"/>
              <w:right w:val="nil"/>
            </w:tcBorders>
            <w:shd w:val="clear" w:color="FFFFFF" w:fill="FFFFFF"/>
            <w:noWrap/>
            <w:hideMark/>
          </w:tcPr>
          <w:p w14:paraId="5EC0363E" w14:textId="77777777" w:rsidR="008033D3" w:rsidRPr="00DE2437" w:rsidRDefault="008033D3" w:rsidP="009E77CA">
            <w:pPr>
              <w:spacing w:after="0" w:line="240" w:lineRule="auto"/>
              <w:rPr>
                <w:rFonts w:eastAsia="Times New Roman" w:cs="Times New Roman"/>
                <w:color w:val="000000"/>
                <w:szCs w:val="24"/>
                <w:lang w:eastAsia="es-ES"/>
              </w:rPr>
            </w:pPr>
            <w:r w:rsidRPr="00DE2437">
              <w:rPr>
                <w:rFonts w:eastAsia="Times New Roman" w:cs="Times New Roman"/>
                <w:color w:val="000000"/>
                <w:szCs w:val="24"/>
                <w:lang w:eastAsia="es-ES"/>
              </w:rPr>
              <w:t>8517.12</w:t>
            </w:r>
          </w:p>
        </w:tc>
        <w:tc>
          <w:tcPr>
            <w:tcW w:w="1020" w:type="dxa"/>
            <w:tcBorders>
              <w:top w:val="nil"/>
              <w:left w:val="nil"/>
              <w:bottom w:val="nil"/>
              <w:right w:val="nil"/>
            </w:tcBorders>
            <w:shd w:val="clear" w:color="FFFFFF" w:fill="FFFFFF"/>
            <w:noWrap/>
            <w:hideMark/>
          </w:tcPr>
          <w:p w14:paraId="0EEDC36A" w14:textId="77777777" w:rsidR="008033D3" w:rsidRPr="00DE2437" w:rsidRDefault="008033D3" w:rsidP="009E77CA">
            <w:pPr>
              <w:spacing w:after="0" w:line="240" w:lineRule="auto"/>
              <w:rPr>
                <w:rFonts w:eastAsia="Times New Roman" w:cs="Times New Roman"/>
                <w:color w:val="000000"/>
                <w:szCs w:val="24"/>
                <w:lang w:eastAsia="es-ES"/>
              </w:rPr>
            </w:pPr>
            <w:r w:rsidRPr="00DE2437">
              <w:rPr>
                <w:rFonts w:eastAsia="Times New Roman" w:cs="Times New Roman"/>
                <w:color w:val="000000"/>
                <w:szCs w:val="24"/>
                <w:lang w:eastAsia="es-ES"/>
              </w:rPr>
              <w:t>.10</w:t>
            </w:r>
          </w:p>
        </w:tc>
        <w:tc>
          <w:tcPr>
            <w:tcW w:w="3941" w:type="dxa"/>
            <w:tcBorders>
              <w:top w:val="nil"/>
              <w:left w:val="nil"/>
              <w:bottom w:val="nil"/>
              <w:right w:val="nil"/>
            </w:tcBorders>
            <w:shd w:val="clear" w:color="FFFFFF" w:fill="FFFFFF"/>
            <w:noWrap/>
            <w:hideMark/>
          </w:tcPr>
          <w:p w14:paraId="526E79A5" w14:textId="77777777" w:rsidR="008033D3" w:rsidRPr="00DE2437" w:rsidRDefault="008033D3" w:rsidP="009E77CA">
            <w:pPr>
              <w:spacing w:after="0" w:line="240" w:lineRule="auto"/>
              <w:rPr>
                <w:rFonts w:eastAsia="Times New Roman" w:cs="Times New Roman"/>
                <w:color w:val="000000"/>
                <w:szCs w:val="24"/>
                <w:lang w:eastAsia="es-ES"/>
              </w:rPr>
            </w:pPr>
            <w:r w:rsidRPr="00DE2437">
              <w:rPr>
                <w:rFonts w:eastAsia="Times New Roman" w:cs="Times New Roman"/>
                <w:color w:val="000000"/>
                <w:szCs w:val="24"/>
                <w:lang w:eastAsia="es-ES"/>
              </w:rPr>
              <w:t>En CKD</w:t>
            </w:r>
          </w:p>
        </w:tc>
        <w:tc>
          <w:tcPr>
            <w:tcW w:w="992" w:type="dxa"/>
            <w:tcBorders>
              <w:top w:val="nil"/>
              <w:left w:val="nil"/>
              <w:bottom w:val="nil"/>
              <w:right w:val="nil"/>
            </w:tcBorders>
            <w:shd w:val="clear" w:color="FFFFFF" w:fill="FFFFFF"/>
            <w:noWrap/>
            <w:hideMark/>
          </w:tcPr>
          <w:p w14:paraId="733D9B5C" w14:textId="77777777" w:rsidR="008033D3" w:rsidRPr="00DE2437" w:rsidRDefault="008033D3" w:rsidP="009E77CA">
            <w:pPr>
              <w:spacing w:after="0" w:line="240" w:lineRule="auto"/>
              <w:rPr>
                <w:rFonts w:eastAsia="Times New Roman" w:cs="Times New Roman"/>
                <w:color w:val="000000"/>
                <w:szCs w:val="24"/>
                <w:lang w:eastAsia="es-ES"/>
              </w:rPr>
            </w:pPr>
            <w:r w:rsidRPr="00DE2437">
              <w:rPr>
                <w:rFonts w:eastAsia="Times New Roman" w:cs="Times New Roman"/>
                <w:color w:val="000000"/>
                <w:szCs w:val="24"/>
                <w:lang w:eastAsia="es-ES"/>
              </w:rPr>
              <w:t>u</w:t>
            </w:r>
          </w:p>
        </w:tc>
        <w:tc>
          <w:tcPr>
            <w:tcW w:w="992" w:type="dxa"/>
            <w:tcBorders>
              <w:top w:val="nil"/>
              <w:left w:val="nil"/>
              <w:bottom w:val="nil"/>
              <w:right w:val="nil"/>
            </w:tcBorders>
            <w:shd w:val="clear" w:color="FFFFFF" w:fill="FFFFFF"/>
            <w:noWrap/>
            <w:hideMark/>
          </w:tcPr>
          <w:p w14:paraId="1D7E1242" w14:textId="77777777" w:rsidR="008033D3" w:rsidRPr="00DE2437" w:rsidRDefault="008033D3" w:rsidP="009E77CA">
            <w:pPr>
              <w:spacing w:after="0" w:line="240" w:lineRule="auto"/>
              <w:rPr>
                <w:rFonts w:eastAsia="Times New Roman" w:cs="Times New Roman"/>
                <w:color w:val="000000"/>
                <w:szCs w:val="24"/>
                <w:lang w:eastAsia="es-ES"/>
              </w:rPr>
            </w:pPr>
            <w:r w:rsidRPr="00DE2437">
              <w:rPr>
                <w:rFonts w:eastAsia="Times New Roman" w:cs="Times New Roman"/>
                <w:color w:val="000000"/>
                <w:szCs w:val="24"/>
                <w:lang w:eastAsia="es-ES"/>
              </w:rPr>
              <w:t>0</w:t>
            </w:r>
          </w:p>
        </w:tc>
      </w:tr>
      <w:tr w:rsidR="008033D3" w:rsidRPr="00DE2437" w14:paraId="1A696279" w14:textId="77777777" w:rsidTr="009E77CA">
        <w:trPr>
          <w:trHeight w:val="467"/>
          <w:jc w:val="center"/>
        </w:trPr>
        <w:tc>
          <w:tcPr>
            <w:tcW w:w="2567" w:type="dxa"/>
            <w:tcBorders>
              <w:top w:val="nil"/>
              <w:left w:val="nil"/>
              <w:bottom w:val="single" w:sz="8" w:space="0" w:color="auto"/>
              <w:right w:val="nil"/>
            </w:tcBorders>
            <w:shd w:val="clear" w:color="FFFFFF" w:fill="FFFFFF"/>
            <w:noWrap/>
            <w:hideMark/>
          </w:tcPr>
          <w:p w14:paraId="78089988" w14:textId="77777777" w:rsidR="008033D3" w:rsidRPr="00DE2437" w:rsidRDefault="008033D3" w:rsidP="009E77CA">
            <w:pPr>
              <w:spacing w:after="0" w:line="240" w:lineRule="auto"/>
              <w:rPr>
                <w:rFonts w:eastAsia="Times New Roman" w:cs="Times New Roman"/>
                <w:color w:val="000000"/>
                <w:szCs w:val="24"/>
                <w:lang w:eastAsia="es-ES"/>
              </w:rPr>
            </w:pPr>
            <w:r w:rsidRPr="00DE2437">
              <w:rPr>
                <w:rFonts w:eastAsia="Times New Roman" w:cs="Times New Roman"/>
                <w:color w:val="000000"/>
                <w:szCs w:val="24"/>
                <w:lang w:eastAsia="es-ES"/>
              </w:rPr>
              <w:t>8517.12</w:t>
            </w:r>
          </w:p>
        </w:tc>
        <w:tc>
          <w:tcPr>
            <w:tcW w:w="1020" w:type="dxa"/>
            <w:tcBorders>
              <w:top w:val="nil"/>
              <w:left w:val="nil"/>
              <w:bottom w:val="single" w:sz="8" w:space="0" w:color="auto"/>
              <w:right w:val="nil"/>
            </w:tcBorders>
            <w:shd w:val="clear" w:color="FFFFFF" w:fill="FFFFFF"/>
            <w:noWrap/>
            <w:hideMark/>
          </w:tcPr>
          <w:p w14:paraId="7CF6E945" w14:textId="77777777" w:rsidR="008033D3" w:rsidRPr="00DE2437" w:rsidRDefault="008033D3" w:rsidP="009E77CA">
            <w:pPr>
              <w:spacing w:after="0" w:line="240" w:lineRule="auto"/>
              <w:rPr>
                <w:rFonts w:eastAsia="Times New Roman" w:cs="Times New Roman"/>
                <w:color w:val="000000"/>
                <w:szCs w:val="24"/>
                <w:lang w:eastAsia="es-ES"/>
              </w:rPr>
            </w:pPr>
            <w:r w:rsidRPr="00DE2437">
              <w:rPr>
                <w:rFonts w:eastAsia="Times New Roman" w:cs="Times New Roman"/>
                <w:color w:val="000000"/>
                <w:szCs w:val="24"/>
                <w:lang w:eastAsia="es-ES"/>
              </w:rPr>
              <w:t>.90</w:t>
            </w:r>
          </w:p>
        </w:tc>
        <w:tc>
          <w:tcPr>
            <w:tcW w:w="3941" w:type="dxa"/>
            <w:tcBorders>
              <w:top w:val="nil"/>
              <w:left w:val="nil"/>
              <w:bottom w:val="single" w:sz="8" w:space="0" w:color="auto"/>
              <w:right w:val="nil"/>
            </w:tcBorders>
            <w:shd w:val="clear" w:color="FFFFFF" w:fill="FFFFFF"/>
            <w:noWrap/>
            <w:hideMark/>
          </w:tcPr>
          <w:p w14:paraId="275FE771" w14:textId="77777777" w:rsidR="008033D3" w:rsidRPr="00DE2437" w:rsidRDefault="008033D3" w:rsidP="009E77CA">
            <w:pPr>
              <w:spacing w:after="0" w:line="240" w:lineRule="auto"/>
              <w:rPr>
                <w:rFonts w:eastAsia="Times New Roman" w:cs="Times New Roman"/>
                <w:color w:val="000000"/>
                <w:szCs w:val="24"/>
                <w:lang w:eastAsia="es-ES"/>
              </w:rPr>
            </w:pPr>
            <w:r w:rsidRPr="00DE2437">
              <w:rPr>
                <w:rFonts w:eastAsia="Times New Roman" w:cs="Times New Roman"/>
                <w:color w:val="000000"/>
                <w:szCs w:val="24"/>
                <w:lang w:eastAsia="es-ES"/>
              </w:rPr>
              <w:t>Los demás</w:t>
            </w:r>
          </w:p>
        </w:tc>
        <w:tc>
          <w:tcPr>
            <w:tcW w:w="992" w:type="dxa"/>
            <w:tcBorders>
              <w:top w:val="nil"/>
              <w:left w:val="nil"/>
              <w:bottom w:val="single" w:sz="8" w:space="0" w:color="auto"/>
              <w:right w:val="nil"/>
            </w:tcBorders>
            <w:shd w:val="clear" w:color="FFFFFF" w:fill="FFFFFF"/>
            <w:noWrap/>
            <w:hideMark/>
          </w:tcPr>
          <w:p w14:paraId="253E98C5" w14:textId="77777777" w:rsidR="008033D3" w:rsidRPr="00DE2437" w:rsidRDefault="008033D3" w:rsidP="009E77CA">
            <w:pPr>
              <w:spacing w:after="0" w:line="240" w:lineRule="auto"/>
              <w:rPr>
                <w:rFonts w:eastAsia="Times New Roman" w:cs="Times New Roman"/>
                <w:color w:val="000000"/>
                <w:szCs w:val="24"/>
                <w:lang w:eastAsia="es-ES"/>
              </w:rPr>
            </w:pPr>
            <w:r w:rsidRPr="00DE2437">
              <w:rPr>
                <w:rFonts w:eastAsia="Times New Roman" w:cs="Times New Roman"/>
                <w:color w:val="000000"/>
                <w:szCs w:val="24"/>
                <w:lang w:eastAsia="es-ES"/>
              </w:rPr>
              <w:t>u</w:t>
            </w:r>
          </w:p>
        </w:tc>
        <w:tc>
          <w:tcPr>
            <w:tcW w:w="992" w:type="dxa"/>
            <w:tcBorders>
              <w:top w:val="nil"/>
              <w:left w:val="nil"/>
              <w:bottom w:val="single" w:sz="8" w:space="0" w:color="auto"/>
              <w:right w:val="nil"/>
            </w:tcBorders>
            <w:shd w:val="clear" w:color="FFFFFF" w:fill="FFFFFF"/>
            <w:noWrap/>
            <w:hideMark/>
          </w:tcPr>
          <w:p w14:paraId="6D777250" w14:textId="77777777" w:rsidR="008033D3" w:rsidRPr="00DE2437" w:rsidRDefault="008033D3" w:rsidP="009E77CA">
            <w:pPr>
              <w:spacing w:after="0" w:line="240" w:lineRule="auto"/>
              <w:rPr>
                <w:rFonts w:eastAsia="Times New Roman" w:cs="Times New Roman"/>
                <w:color w:val="000000"/>
                <w:szCs w:val="24"/>
                <w:lang w:eastAsia="es-ES"/>
              </w:rPr>
            </w:pPr>
            <w:r w:rsidRPr="00DE2437">
              <w:rPr>
                <w:rFonts w:eastAsia="Times New Roman" w:cs="Times New Roman"/>
                <w:color w:val="000000"/>
                <w:szCs w:val="24"/>
                <w:lang w:eastAsia="es-ES"/>
              </w:rPr>
              <w:t>15</w:t>
            </w:r>
          </w:p>
        </w:tc>
      </w:tr>
      <w:tr w:rsidR="008033D3" w:rsidRPr="00DE2437" w14:paraId="3D8F96E8" w14:textId="77777777" w:rsidTr="009E77CA">
        <w:trPr>
          <w:trHeight w:val="300"/>
          <w:jc w:val="center"/>
        </w:trPr>
        <w:tc>
          <w:tcPr>
            <w:tcW w:w="2567" w:type="dxa"/>
            <w:tcBorders>
              <w:top w:val="nil"/>
              <w:left w:val="nil"/>
              <w:bottom w:val="nil"/>
              <w:right w:val="nil"/>
            </w:tcBorders>
            <w:shd w:val="clear" w:color="FFFFFF" w:fill="FFFFFF"/>
            <w:noWrap/>
            <w:hideMark/>
          </w:tcPr>
          <w:p w14:paraId="57F375BA" w14:textId="77777777" w:rsidR="008033D3" w:rsidRPr="00CD71BD" w:rsidRDefault="008033D3" w:rsidP="009E77CA">
            <w:pPr>
              <w:spacing w:after="0" w:line="240" w:lineRule="auto"/>
              <w:rPr>
                <w:rFonts w:eastAsia="Times New Roman" w:cs="Times New Roman"/>
                <w:color w:val="000000"/>
                <w:sz w:val="16"/>
                <w:szCs w:val="16"/>
                <w:lang w:eastAsia="es-ES"/>
              </w:rPr>
            </w:pPr>
            <w:r w:rsidRPr="00CD71BD">
              <w:rPr>
                <w:rFonts w:eastAsia="Times New Roman" w:cs="Times New Roman"/>
                <w:color w:val="000000"/>
                <w:sz w:val="16"/>
                <w:szCs w:val="16"/>
                <w:lang w:eastAsia="es-ES"/>
              </w:rPr>
              <w:t xml:space="preserve">Elaborado por: Héctor </w:t>
            </w:r>
            <w:proofErr w:type="spellStart"/>
            <w:r w:rsidRPr="00CD71BD">
              <w:rPr>
                <w:rFonts w:eastAsia="Times New Roman" w:cs="Times New Roman"/>
                <w:color w:val="000000"/>
                <w:sz w:val="16"/>
                <w:szCs w:val="16"/>
                <w:lang w:eastAsia="es-ES"/>
              </w:rPr>
              <w:t>Ruilova</w:t>
            </w:r>
            <w:proofErr w:type="spellEnd"/>
            <w:r w:rsidRPr="00CD71BD">
              <w:rPr>
                <w:rFonts w:eastAsia="Times New Roman" w:cs="Times New Roman"/>
                <w:color w:val="000000"/>
                <w:sz w:val="16"/>
                <w:szCs w:val="16"/>
                <w:lang w:eastAsia="es-ES"/>
              </w:rPr>
              <w:t xml:space="preserve"> Vidal</w:t>
            </w:r>
          </w:p>
        </w:tc>
        <w:tc>
          <w:tcPr>
            <w:tcW w:w="1020" w:type="dxa"/>
            <w:tcBorders>
              <w:top w:val="nil"/>
              <w:left w:val="nil"/>
              <w:bottom w:val="nil"/>
              <w:right w:val="nil"/>
            </w:tcBorders>
            <w:shd w:val="clear" w:color="FFFFFF" w:fill="FFFFFF"/>
            <w:noWrap/>
            <w:vAlign w:val="bottom"/>
            <w:hideMark/>
          </w:tcPr>
          <w:p w14:paraId="31F83C22" w14:textId="77777777" w:rsidR="008033D3" w:rsidRPr="00DE2437" w:rsidRDefault="008033D3" w:rsidP="009E77CA">
            <w:pPr>
              <w:spacing w:after="0" w:line="240" w:lineRule="auto"/>
              <w:rPr>
                <w:rFonts w:eastAsia="Times New Roman" w:cs="Times New Roman"/>
                <w:color w:val="000000"/>
                <w:lang w:eastAsia="es-ES"/>
              </w:rPr>
            </w:pPr>
            <w:r w:rsidRPr="00DE2437">
              <w:rPr>
                <w:rFonts w:eastAsia="Times New Roman" w:cs="Times New Roman"/>
                <w:color w:val="000000"/>
                <w:lang w:eastAsia="es-ES"/>
              </w:rPr>
              <w:t> </w:t>
            </w:r>
          </w:p>
        </w:tc>
        <w:tc>
          <w:tcPr>
            <w:tcW w:w="3941" w:type="dxa"/>
            <w:tcBorders>
              <w:top w:val="nil"/>
              <w:left w:val="nil"/>
              <w:bottom w:val="nil"/>
              <w:right w:val="nil"/>
            </w:tcBorders>
            <w:shd w:val="clear" w:color="FFFFFF" w:fill="FFFFFF"/>
            <w:noWrap/>
            <w:vAlign w:val="bottom"/>
            <w:hideMark/>
          </w:tcPr>
          <w:p w14:paraId="1B27BCD8" w14:textId="77777777" w:rsidR="008033D3" w:rsidRPr="00DE2437" w:rsidRDefault="008033D3" w:rsidP="009E77CA">
            <w:pPr>
              <w:spacing w:after="0" w:line="240" w:lineRule="auto"/>
              <w:rPr>
                <w:rFonts w:eastAsia="Times New Roman" w:cs="Times New Roman"/>
                <w:color w:val="000000"/>
                <w:lang w:eastAsia="es-ES"/>
              </w:rPr>
            </w:pPr>
            <w:r w:rsidRPr="00DE2437">
              <w:rPr>
                <w:rFonts w:eastAsia="Times New Roman" w:cs="Times New Roman"/>
                <w:color w:val="000000"/>
                <w:lang w:eastAsia="es-ES"/>
              </w:rPr>
              <w:t> </w:t>
            </w:r>
          </w:p>
        </w:tc>
        <w:tc>
          <w:tcPr>
            <w:tcW w:w="992" w:type="dxa"/>
            <w:tcBorders>
              <w:top w:val="nil"/>
              <w:left w:val="nil"/>
              <w:bottom w:val="nil"/>
              <w:right w:val="nil"/>
            </w:tcBorders>
            <w:shd w:val="clear" w:color="FFFFFF" w:fill="FFFFFF"/>
            <w:noWrap/>
            <w:vAlign w:val="bottom"/>
            <w:hideMark/>
          </w:tcPr>
          <w:p w14:paraId="5E8471CD" w14:textId="77777777" w:rsidR="008033D3" w:rsidRPr="00DE2437" w:rsidRDefault="008033D3" w:rsidP="009E77CA">
            <w:pPr>
              <w:spacing w:after="0" w:line="240" w:lineRule="auto"/>
              <w:rPr>
                <w:rFonts w:eastAsia="Times New Roman" w:cs="Times New Roman"/>
                <w:color w:val="000000"/>
                <w:lang w:eastAsia="es-ES"/>
              </w:rPr>
            </w:pPr>
            <w:r w:rsidRPr="00DE2437">
              <w:rPr>
                <w:rFonts w:eastAsia="Times New Roman" w:cs="Times New Roman"/>
                <w:color w:val="000000"/>
                <w:lang w:eastAsia="es-ES"/>
              </w:rPr>
              <w:t> </w:t>
            </w:r>
          </w:p>
        </w:tc>
        <w:tc>
          <w:tcPr>
            <w:tcW w:w="992" w:type="dxa"/>
            <w:tcBorders>
              <w:top w:val="nil"/>
              <w:left w:val="nil"/>
              <w:bottom w:val="nil"/>
              <w:right w:val="nil"/>
            </w:tcBorders>
            <w:shd w:val="clear" w:color="FFFFFF" w:fill="FFFFFF"/>
            <w:noWrap/>
            <w:vAlign w:val="bottom"/>
            <w:hideMark/>
          </w:tcPr>
          <w:p w14:paraId="1A0E9C51" w14:textId="77777777" w:rsidR="008033D3" w:rsidRPr="00DE2437" w:rsidRDefault="008033D3" w:rsidP="009E77CA">
            <w:pPr>
              <w:spacing w:after="0" w:line="240" w:lineRule="auto"/>
              <w:rPr>
                <w:rFonts w:eastAsia="Times New Roman" w:cs="Times New Roman"/>
                <w:color w:val="000000"/>
                <w:lang w:eastAsia="es-ES"/>
              </w:rPr>
            </w:pPr>
            <w:r w:rsidRPr="00DE2437">
              <w:rPr>
                <w:rFonts w:eastAsia="Times New Roman" w:cs="Times New Roman"/>
                <w:color w:val="000000"/>
                <w:lang w:eastAsia="es-ES"/>
              </w:rPr>
              <w:t> </w:t>
            </w:r>
          </w:p>
        </w:tc>
      </w:tr>
    </w:tbl>
    <w:p w14:paraId="489D270F" w14:textId="77777777" w:rsidR="008033D3" w:rsidRPr="003264E2" w:rsidRDefault="008033D3" w:rsidP="008033D3">
      <w:pPr>
        <w:spacing w:line="360" w:lineRule="auto"/>
        <w:rPr>
          <w:rFonts w:cs="Times New Roman"/>
          <w:szCs w:val="24"/>
        </w:rPr>
      </w:pPr>
    </w:p>
    <w:p w14:paraId="4FF0500D" w14:textId="77777777" w:rsidR="008033D3" w:rsidRDefault="008033D3" w:rsidP="008033D3">
      <w:pPr>
        <w:spacing w:line="360" w:lineRule="auto"/>
        <w:rPr>
          <w:rFonts w:cs="Times New Roman"/>
          <w:szCs w:val="24"/>
        </w:rPr>
      </w:pPr>
      <w:r w:rsidRPr="003264E2">
        <w:rPr>
          <w:rFonts w:cs="Times New Roman"/>
          <w:szCs w:val="24"/>
        </w:rPr>
        <w:t xml:space="preserve">De igual manera incluir una </w:t>
      </w:r>
      <w:proofErr w:type="spellStart"/>
      <w:r w:rsidRPr="003264E2">
        <w:rPr>
          <w:rFonts w:cs="Times New Roman"/>
          <w:szCs w:val="24"/>
        </w:rPr>
        <w:t>subpartida</w:t>
      </w:r>
      <w:proofErr w:type="spellEnd"/>
      <w:r w:rsidRPr="003264E2">
        <w:rPr>
          <w:rFonts w:cs="Times New Roman"/>
          <w:szCs w:val="24"/>
        </w:rPr>
        <w:t xml:space="preserve"> conforme para diferimiento arancelario como se detalla a continuación:</w:t>
      </w:r>
    </w:p>
    <w:p w14:paraId="513BE840" w14:textId="77777777" w:rsidR="008033D3" w:rsidRDefault="008033D3" w:rsidP="008033D3">
      <w:pPr>
        <w:pStyle w:val="Estilo3"/>
      </w:pPr>
      <w:bookmarkStart w:id="39" w:name="_Toc442343932"/>
      <w:r>
        <w:t>Cuadro 5.</w:t>
      </w:r>
      <w:bookmarkEnd w:id="39"/>
    </w:p>
    <w:p w14:paraId="0249BDD0" w14:textId="77777777" w:rsidR="008033D3" w:rsidRPr="003264E2" w:rsidRDefault="008033D3" w:rsidP="008033D3">
      <w:pPr>
        <w:spacing w:line="240" w:lineRule="auto"/>
        <w:jc w:val="center"/>
        <w:rPr>
          <w:rFonts w:cs="Times New Roman"/>
          <w:szCs w:val="24"/>
        </w:rPr>
      </w:pPr>
      <w:r>
        <w:rPr>
          <w:rFonts w:cs="Times New Roman"/>
          <w:szCs w:val="24"/>
        </w:rPr>
        <w:t xml:space="preserve">Nueva </w:t>
      </w:r>
      <w:proofErr w:type="spellStart"/>
      <w:r>
        <w:rPr>
          <w:rFonts w:cs="Times New Roman"/>
          <w:szCs w:val="24"/>
        </w:rPr>
        <w:t>subpartida</w:t>
      </w:r>
      <w:proofErr w:type="spellEnd"/>
      <w:r>
        <w:rPr>
          <w:rFonts w:cs="Times New Roman"/>
          <w:szCs w:val="24"/>
        </w:rPr>
        <w:t xml:space="preserve"> conforme al diferimiento arancelario</w:t>
      </w:r>
    </w:p>
    <w:tbl>
      <w:tblPr>
        <w:tblW w:w="9039" w:type="dxa"/>
        <w:jc w:val="center"/>
        <w:tblCellMar>
          <w:left w:w="70" w:type="dxa"/>
          <w:right w:w="70" w:type="dxa"/>
        </w:tblCellMar>
        <w:tblLook w:val="04A0" w:firstRow="1" w:lastRow="0" w:firstColumn="1" w:lastColumn="0" w:noHBand="0" w:noVBand="1"/>
      </w:tblPr>
      <w:tblGrid>
        <w:gridCol w:w="2555"/>
        <w:gridCol w:w="862"/>
        <w:gridCol w:w="3672"/>
        <w:gridCol w:w="1950"/>
      </w:tblGrid>
      <w:tr w:rsidR="008033D3" w:rsidRPr="00DE2437" w14:paraId="53C6A6E9" w14:textId="77777777" w:rsidTr="009E77CA">
        <w:trPr>
          <w:trHeight w:val="585"/>
          <w:jc w:val="center"/>
        </w:trPr>
        <w:tc>
          <w:tcPr>
            <w:tcW w:w="2555" w:type="dxa"/>
            <w:tcBorders>
              <w:top w:val="single" w:sz="12" w:space="0" w:color="auto"/>
              <w:left w:val="nil"/>
              <w:bottom w:val="single" w:sz="12" w:space="0" w:color="auto"/>
              <w:right w:val="nil"/>
            </w:tcBorders>
            <w:shd w:val="clear" w:color="FFFFFF" w:fill="FFFFFF"/>
            <w:noWrap/>
            <w:hideMark/>
          </w:tcPr>
          <w:p w14:paraId="620390E1" w14:textId="77777777" w:rsidR="008033D3" w:rsidRPr="00DE2437" w:rsidRDefault="008033D3" w:rsidP="009E77CA">
            <w:pPr>
              <w:spacing w:after="0" w:line="240" w:lineRule="auto"/>
              <w:rPr>
                <w:rFonts w:eastAsia="Times New Roman" w:cs="Times New Roman"/>
                <w:b/>
                <w:bCs/>
                <w:color w:val="000000"/>
                <w:szCs w:val="24"/>
                <w:lang w:eastAsia="es-ES"/>
              </w:rPr>
            </w:pPr>
            <w:r w:rsidRPr="00DE2437">
              <w:rPr>
                <w:rFonts w:eastAsia="Times New Roman" w:cs="Times New Roman"/>
                <w:b/>
                <w:bCs/>
                <w:color w:val="000000"/>
                <w:szCs w:val="24"/>
                <w:lang w:eastAsia="es-ES"/>
              </w:rPr>
              <w:t>CÓDIGO NANDINA</w:t>
            </w:r>
          </w:p>
        </w:tc>
        <w:tc>
          <w:tcPr>
            <w:tcW w:w="862" w:type="dxa"/>
            <w:tcBorders>
              <w:top w:val="single" w:sz="12" w:space="0" w:color="auto"/>
              <w:left w:val="nil"/>
              <w:bottom w:val="single" w:sz="12" w:space="0" w:color="auto"/>
              <w:right w:val="nil"/>
            </w:tcBorders>
            <w:shd w:val="clear" w:color="FFFFFF" w:fill="FFFFFF"/>
            <w:noWrap/>
            <w:hideMark/>
          </w:tcPr>
          <w:p w14:paraId="3DD9EA0C" w14:textId="77777777" w:rsidR="008033D3" w:rsidRPr="00DE2437" w:rsidRDefault="008033D3" w:rsidP="009E77CA">
            <w:pPr>
              <w:spacing w:after="0" w:line="240" w:lineRule="auto"/>
              <w:rPr>
                <w:rFonts w:eastAsia="Times New Roman" w:cs="Times New Roman"/>
                <w:b/>
                <w:bCs/>
                <w:color w:val="000000"/>
                <w:szCs w:val="24"/>
                <w:lang w:eastAsia="es-ES"/>
              </w:rPr>
            </w:pPr>
            <w:r w:rsidRPr="00DE2437">
              <w:rPr>
                <w:rFonts w:eastAsia="Times New Roman" w:cs="Times New Roman"/>
                <w:b/>
                <w:bCs/>
                <w:color w:val="000000"/>
                <w:szCs w:val="24"/>
                <w:lang w:eastAsia="es-ES"/>
              </w:rPr>
              <w:t> </w:t>
            </w:r>
          </w:p>
        </w:tc>
        <w:tc>
          <w:tcPr>
            <w:tcW w:w="3672" w:type="dxa"/>
            <w:tcBorders>
              <w:top w:val="single" w:sz="12" w:space="0" w:color="auto"/>
              <w:left w:val="nil"/>
              <w:bottom w:val="single" w:sz="12" w:space="0" w:color="auto"/>
              <w:right w:val="nil"/>
            </w:tcBorders>
            <w:shd w:val="clear" w:color="FFFFFF" w:fill="FFFFFF"/>
            <w:noWrap/>
            <w:hideMark/>
          </w:tcPr>
          <w:p w14:paraId="6BF4A4D3" w14:textId="77777777" w:rsidR="008033D3" w:rsidRPr="00DE2437" w:rsidRDefault="008033D3" w:rsidP="009E77CA">
            <w:pPr>
              <w:spacing w:after="0" w:line="240" w:lineRule="auto"/>
              <w:rPr>
                <w:rFonts w:eastAsia="Times New Roman" w:cs="Times New Roman"/>
                <w:b/>
                <w:bCs/>
                <w:color w:val="000000"/>
                <w:szCs w:val="24"/>
                <w:lang w:eastAsia="es-ES"/>
              </w:rPr>
            </w:pPr>
            <w:r w:rsidRPr="00DE2437">
              <w:rPr>
                <w:rFonts w:eastAsia="Times New Roman" w:cs="Times New Roman"/>
                <w:b/>
                <w:bCs/>
                <w:color w:val="000000"/>
                <w:szCs w:val="24"/>
                <w:lang w:eastAsia="es-ES"/>
              </w:rPr>
              <w:t>DETALLE DE LA MERCANCÍA</w:t>
            </w:r>
          </w:p>
        </w:tc>
        <w:tc>
          <w:tcPr>
            <w:tcW w:w="1950" w:type="dxa"/>
            <w:tcBorders>
              <w:top w:val="single" w:sz="12" w:space="0" w:color="auto"/>
              <w:left w:val="nil"/>
              <w:bottom w:val="single" w:sz="12" w:space="0" w:color="auto"/>
              <w:right w:val="nil"/>
            </w:tcBorders>
            <w:shd w:val="clear" w:color="FFFFFF" w:fill="FFFFFF"/>
            <w:noWrap/>
            <w:hideMark/>
          </w:tcPr>
          <w:p w14:paraId="23642405" w14:textId="77777777" w:rsidR="008033D3" w:rsidRPr="00DE2437" w:rsidRDefault="008033D3" w:rsidP="009E77CA">
            <w:pPr>
              <w:spacing w:after="0" w:line="240" w:lineRule="auto"/>
              <w:rPr>
                <w:rFonts w:eastAsia="Times New Roman" w:cs="Times New Roman"/>
                <w:b/>
                <w:bCs/>
                <w:color w:val="000000"/>
                <w:szCs w:val="24"/>
                <w:lang w:eastAsia="es-ES"/>
              </w:rPr>
            </w:pPr>
            <w:r w:rsidRPr="00DE2437">
              <w:rPr>
                <w:rFonts w:eastAsia="Times New Roman" w:cs="Times New Roman"/>
                <w:b/>
                <w:bCs/>
                <w:color w:val="000000"/>
                <w:szCs w:val="24"/>
                <w:lang w:eastAsia="es-ES"/>
              </w:rPr>
              <w:t>ADVALOREM</w:t>
            </w:r>
          </w:p>
        </w:tc>
      </w:tr>
      <w:tr w:rsidR="008033D3" w:rsidRPr="00DE2437" w14:paraId="100E93F6" w14:textId="77777777" w:rsidTr="009E77CA">
        <w:trPr>
          <w:trHeight w:val="451"/>
          <w:jc w:val="center"/>
        </w:trPr>
        <w:tc>
          <w:tcPr>
            <w:tcW w:w="2555" w:type="dxa"/>
            <w:tcBorders>
              <w:top w:val="nil"/>
              <w:left w:val="nil"/>
              <w:bottom w:val="single" w:sz="12" w:space="0" w:color="auto"/>
              <w:right w:val="nil"/>
            </w:tcBorders>
            <w:shd w:val="clear" w:color="FFFFFF" w:fill="FFFFFF"/>
            <w:noWrap/>
            <w:hideMark/>
          </w:tcPr>
          <w:p w14:paraId="06FE2359" w14:textId="77777777" w:rsidR="008033D3" w:rsidRPr="00DE2437" w:rsidRDefault="008033D3" w:rsidP="009E77CA">
            <w:pPr>
              <w:spacing w:after="0" w:line="240" w:lineRule="auto"/>
              <w:rPr>
                <w:rFonts w:eastAsia="Times New Roman" w:cs="Times New Roman"/>
                <w:color w:val="000000"/>
                <w:szCs w:val="24"/>
                <w:lang w:eastAsia="es-ES"/>
              </w:rPr>
            </w:pPr>
            <w:r w:rsidRPr="00DE2437">
              <w:rPr>
                <w:rFonts w:eastAsia="Times New Roman" w:cs="Times New Roman"/>
                <w:color w:val="000000"/>
                <w:szCs w:val="24"/>
                <w:lang w:eastAsia="es-ES"/>
              </w:rPr>
              <w:lastRenderedPageBreak/>
              <w:t>8517.12.00.10</w:t>
            </w:r>
          </w:p>
        </w:tc>
        <w:tc>
          <w:tcPr>
            <w:tcW w:w="862" w:type="dxa"/>
            <w:tcBorders>
              <w:top w:val="nil"/>
              <w:left w:val="nil"/>
              <w:bottom w:val="single" w:sz="12" w:space="0" w:color="auto"/>
              <w:right w:val="nil"/>
            </w:tcBorders>
            <w:shd w:val="clear" w:color="FFFFFF" w:fill="FFFFFF"/>
            <w:noWrap/>
            <w:hideMark/>
          </w:tcPr>
          <w:p w14:paraId="5E9EB39E" w14:textId="77777777" w:rsidR="008033D3" w:rsidRPr="00DE2437" w:rsidRDefault="008033D3" w:rsidP="009E77CA">
            <w:pPr>
              <w:spacing w:after="0" w:line="240" w:lineRule="auto"/>
              <w:rPr>
                <w:rFonts w:eastAsia="Times New Roman" w:cs="Times New Roman"/>
                <w:color w:val="000000"/>
                <w:szCs w:val="24"/>
                <w:lang w:eastAsia="es-ES"/>
              </w:rPr>
            </w:pPr>
            <w:r w:rsidRPr="00DE2437">
              <w:rPr>
                <w:rFonts w:eastAsia="Times New Roman" w:cs="Times New Roman"/>
                <w:color w:val="000000"/>
                <w:szCs w:val="24"/>
                <w:lang w:eastAsia="es-ES"/>
              </w:rPr>
              <w:t> </w:t>
            </w:r>
          </w:p>
        </w:tc>
        <w:tc>
          <w:tcPr>
            <w:tcW w:w="3672" w:type="dxa"/>
            <w:tcBorders>
              <w:top w:val="nil"/>
              <w:left w:val="nil"/>
              <w:bottom w:val="single" w:sz="12" w:space="0" w:color="auto"/>
              <w:right w:val="nil"/>
            </w:tcBorders>
            <w:shd w:val="clear" w:color="FFFFFF" w:fill="FFFFFF"/>
            <w:noWrap/>
            <w:hideMark/>
          </w:tcPr>
          <w:p w14:paraId="095DADA3" w14:textId="77777777" w:rsidR="008033D3" w:rsidRPr="00DE2437" w:rsidRDefault="008033D3" w:rsidP="009E77CA">
            <w:pPr>
              <w:spacing w:after="0" w:line="240" w:lineRule="auto"/>
              <w:rPr>
                <w:rFonts w:eastAsia="Times New Roman" w:cs="Times New Roman"/>
                <w:color w:val="000000"/>
                <w:szCs w:val="24"/>
                <w:lang w:eastAsia="es-ES"/>
              </w:rPr>
            </w:pPr>
            <w:r w:rsidRPr="00DE2437">
              <w:rPr>
                <w:rFonts w:eastAsia="Times New Roman" w:cs="Times New Roman"/>
                <w:color w:val="000000"/>
                <w:szCs w:val="24"/>
                <w:lang w:eastAsia="es-ES"/>
              </w:rPr>
              <w:t>En CKD</w:t>
            </w:r>
          </w:p>
        </w:tc>
        <w:tc>
          <w:tcPr>
            <w:tcW w:w="1950" w:type="dxa"/>
            <w:tcBorders>
              <w:top w:val="nil"/>
              <w:left w:val="nil"/>
              <w:bottom w:val="single" w:sz="12" w:space="0" w:color="auto"/>
              <w:right w:val="nil"/>
            </w:tcBorders>
            <w:shd w:val="clear" w:color="FFFFFF" w:fill="FFFFFF"/>
            <w:noWrap/>
            <w:hideMark/>
          </w:tcPr>
          <w:p w14:paraId="69DAF5A4" w14:textId="77777777" w:rsidR="008033D3" w:rsidRPr="00DE2437" w:rsidRDefault="008033D3" w:rsidP="009E77CA">
            <w:pPr>
              <w:spacing w:after="0" w:line="240" w:lineRule="auto"/>
              <w:rPr>
                <w:rFonts w:eastAsia="Times New Roman" w:cs="Times New Roman"/>
                <w:color w:val="000000"/>
                <w:szCs w:val="24"/>
                <w:lang w:eastAsia="es-ES"/>
              </w:rPr>
            </w:pPr>
            <w:r w:rsidRPr="00DE2437">
              <w:rPr>
                <w:rFonts w:eastAsia="Times New Roman" w:cs="Times New Roman"/>
                <w:color w:val="000000"/>
                <w:szCs w:val="24"/>
                <w:lang w:eastAsia="es-ES"/>
              </w:rPr>
              <w:t>0</w:t>
            </w:r>
          </w:p>
        </w:tc>
      </w:tr>
      <w:tr w:rsidR="008033D3" w:rsidRPr="00DE2437" w14:paraId="3BA9B231" w14:textId="77777777" w:rsidTr="009E77CA">
        <w:trPr>
          <w:trHeight w:val="315"/>
          <w:jc w:val="center"/>
        </w:trPr>
        <w:tc>
          <w:tcPr>
            <w:tcW w:w="2555" w:type="dxa"/>
            <w:tcBorders>
              <w:top w:val="nil"/>
              <w:left w:val="nil"/>
              <w:bottom w:val="nil"/>
              <w:right w:val="nil"/>
            </w:tcBorders>
            <w:shd w:val="clear" w:color="FFFFFF" w:fill="FFFFFF"/>
            <w:noWrap/>
            <w:hideMark/>
          </w:tcPr>
          <w:p w14:paraId="1A4EEFC1" w14:textId="77777777" w:rsidR="008033D3" w:rsidRPr="00DE2437" w:rsidRDefault="008033D3" w:rsidP="009E77CA">
            <w:pPr>
              <w:spacing w:after="0" w:line="240" w:lineRule="auto"/>
              <w:rPr>
                <w:rFonts w:eastAsia="Times New Roman" w:cs="Times New Roman"/>
                <w:color w:val="000000"/>
                <w:sz w:val="14"/>
                <w:szCs w:val="14"/>
                <w:lang w:eastAsia="es-ES"/>
              </w:rPr>
            </w:pPr>
            <w:r w:rsidRPr="00CD71BD">
              <w:rPr>
                <w:rFonts w:eastAsia="Times New Roman" w:cs="Times New Roman"/>
                <w:color w:val="000000"/>
                <w:sz w:val="16"/>
                <w:szCs w:val="16"/>
                <w:lang w:eastAsia="es-ES"/>
              </w:rPr>
              <w:t xml:space="preserve">Elaborado por: Héctor </w:t>
            </w:r>
            <w:proofErr w:type="spellStart"/>
            <w:r w:rsidRPr="00CD71BD">
              <w:rPr>
                <w:rFonts w:eastAsia="Times New Roman" w:cs="Times New Roman"/>
                <w:color w:val="000000"/>
                <w:sz w:val="16"/>
                <w:szCs w:val="16"/>
                <w:lang w:eastAsia="es-ES"/>
              </w:rPr>
              <w:t>Ruilova</w:t>
            </w:r>
            <w:proofErr w:type="spellEnd"/>
            <w:r w:rsidRPr="00CD71BD">
              <w:rPr>
                <w:rFonts w:eastAsia="Times New Roman" w:cs="Times New Roman"/>
                <w:color w:val="000000"/>
                <w:sz w:val="16"/>
                <w:szCs w:val="16"/>
                <w:lang w:eastAsia="es-ES"/>
              </w:rPr>
              <w:t xml:space="preserve"> Vidal</w:t>
            </w:r>
          </w:p>
        </w:tc>
        <w:tc>
          <w:tcPr>
            <w:tcW w:w="862" w:type="dxa"/>
            <w:tcBorders>
              <w:top w:val="nil"/>
              <w:left w:val="nil"/>
              <w:bottom w:val="nil"/>
              <w:right w:val="nil"/>
            </w:tcBorders>
            <w:shd w:val="clear" w:color="FFFFFF" w:fill="FFFFFF"/>
            <w:noWrap/>
            <w:vAlign w:val="bottom"/>
            <w:hideMark/>
          </w:tcPr>
          <w:p w14:paraId="6150791B" w14:textId="77777777" w:rsidR="008033D3" w:rsidRPr="00DE2437" w:rsidRDefault="008033D3" w:rsidP="009E77CA">
            <w:pPr>
              <w:spacing w:after="0" w:line="240" w:lineRule="auto"/>
              <w:rPr>
                <w:rFonts w:eastAsia="Times New Roman" w:cs="Times New Roman"/>
                <w:color w:val="000000"/>
                <w:lang w:eastAsia="es-ES"/>
              </w:rPr>
            </w:pPr>
            <w:r w:rsidRPr="00DE2437">
              <w:rPr>
                <w:rFonts w:eastAsia="Times New Roman" w:cs="Times New Roman"/>
                <w:color w:val="000000"/>
                <w:lang w:eastAsia="es-ES"/>
              </w:rPr>
              <w:t> </w:t>
            </w:r>
          </w:p>
        </w:tc>
        <w:tc>
          <w:tcPr>
            <w:tcW w:w="3672" w:type="dxa"/>
            <w:tcBorders>
              <w:top w:val="nil"/>
              <w:left w:val="nil"/>
              <w:bottom w:val="nil"/>
              <w:right w:val="nil"/>
            </w:tcBorders>
            <w:shd w:val="clear" w:color="FFFFFF" w:fill="FFFFFF"/>
            <w:noWrap/>
            <w:vAlign w:val="bottom"/>
            <w:hideMark/>
          </w:tcPr>
          <w:p w14:paraId="6742F146" w14:textId="77777777" w:rsidR="008033D3" w:rsidRPr="00DE2437" w:rsidRDefault="008033D3" w:rsidP="009E77CA">
            <w:pPr>
              <w:spacing w:after="0" w:line="240" w:lineRule="auto"/>
              <w:rPr>
                <w:rFonts w:eastAsia="Times New Roman" w:cs="Times New Roman"/>
                <w:color w:val="000000"/>
                <w:lang w:eastAsia="es-ES"/>
              </w:rPr>
            </w:pPr>
            <w:r w:rsidRPr="00DE2437">
              <w:rPr>
                <w:rFonts w:eastAsia="Times New Roman" w:cs="Times New Roman"/>
                <w:color w:val="000000"/>
                <w:lang w:eastAsia="es-ES"/>
              </w:rPr>
              <w:t> </w:t>
            </w:r>
          </w:p>
        </w:tc>
        <w:tc>
          <w:tcPr>
            <w:tcW w:w="1950" w:type="dxa"/>
            <w:tcBorders>
              <w:top w:val="nil"/>
              <w:left w:val="nil"/>
              <w:bottom w:val="nil"/>
              <w:right w:val="nil"/>
            </w:tcBorders>
            <w:shd w:val="clear" w:color="FFFFFF" w:fill="FFFFFF"/>
            <w:noWrap/>
            <w:vAlign w:val="bottom"/>
            <w:hideMark/>
          </w:tcPr>
          <w:p w14:paraId="0E2EFCEC" w14:textId="77777777" w:rsidR="008033D3" w:rsidRPr="00DE2437" w:rsidRDefault="008033D3" w:rsidP="009E77CA">
            <w:pPr>
              <w:spacing w:after="0" w:line="240" w:lineRule="auto"/>
              <w:rPr>
                <w:rFonts w:eastAsia="Times New Roman" w:cs="Times New Roman"/>
                <w:color w:val="000000"/>
                <w:lang w:eastAsia="es-ES"/>
              </w:rPr>
            </w:pPr>
            <w:r w:rsidRPr="00DE2437">
              <w:rPr>
                <w:rFonts w:eastAsia="Times New Roman" w:cs="Times New Roman"/>
                <w:color w:val="000000"/>
                <w:lang w:eastAsia="es-ES"/>
              </w:rPr>
              <w:t> </w:t>
            </w:r>
          </w:p>
        </w:tc>
      </w:tr>
    </w:tbl>
    <w:p w14:paraId="7825CE13" w14:textId="77777777" w:rsidR="008033D3" w:rsidRPr="003264E2" w:rsidRDefault="008033D3" w:rsidP="008033D3">
      <w:pPr>
        <w:spacing w:line="360" w:lineRule="auto"/>
        <w:rPr>
          <w:rFonts w:cs="Times New Roman"/>
          <w:szCs w:val="24"/>
        </w:rPr>
      </w:pPr>
      <w:r w:rsidRPr="003264E2">
        <w:rPr>
          <w:rFonts w:cs="Times New Roman"/>
          <w:szCs w:val="24"/>
        </w:rPr>
        <w:t xml:space="preserve">Se asigna al Ministerio de Industrias y Productividad (MIPRO) </w:t>
      </w:r>
      <w:r>
        <w:rPr>
          <w:rFonts w:cs="Times New Roman"/>
          <w:szCs w:val="24"/>
        </w:rPr>
        <w:t xml:space="preserve">es </w:t>
      </w:r>
      <w:r w:rsidRPr="003264E2">
        <w:rPr>
          <w:rFonts w:cs="Times New Roman"/>
          <w:szCs w:val="24"/>
        </w:rPr>
        <w:t xml:space="preserve"> la entidad que realiza el monitoreo y evaluación. </w:t>
      </w:r>
      <w:r>
        <w:rPr>
          <w:rFonts w:cs="Times New Roman"/>
          <w:szCs w:val="24"/>
        </w:rPr>
        <w:t>El Ministerio e</w:t>
      </w:r>
      <w:r w:rsidRPr="003264E2">
        <w:rPr>
          <w:rFonts w:cs="Times New Roman"/>
          <w:szCs w:val="24"/>
        </w:rPr>
        <w:t xml:space="preserve">valúa e informa cada semestre al Consejo de Comercio Exterior e Inversiones (COMEX) sobre los avances de la industria y será la institución responsable de suspender el dictamen. </w:t>
      </w:r>
    </w:p>
    <w:p w14:paraId="5D5FABA8" w14:textId="77777777" w:rsidR="008033D3" w:rsidRPr="003264E2" w:rsidRDefault="008033D3" w:rsidP="008033D3">
      <w:pPr>
        <w:spacing w:line="360" w:lineRule="auto"/>
        <w:rPr>
          <w:rFonts w:cs="Times New Roman"/>
          <w:szCs w:val="24"/>
        </w:rPr>
      </w:pPr>
      <w:r w:rsidRPr="003264E2">
        <w:rPr>
          <w:rFonts w:cs="Times New Roman"/>
          <w:szCs w:val="24"/>
        </w:rPr>
        <w:t xml:space="preserve">Por último da la ejecución del Decreto Ejecutivo a los Ministerios de Finanzas y Productividad y encomienda a la Corporación Aduanero Ecuatoriana (CAE) realizar los procesos de control respectivos que se deben aplicar a las importaciones CKD conforme la Nota Complementaria Nacional incorporada al Capítulo 85. </w:t>
      </w:r>
      <w:r>
        <w:rPr>
          <w:rFonts w:cs="Times New Roman"/>
          <w:szCs w:val="24"/>
        </w:rPr>
        <w:t>(</w:t>
      </w:r>
      <w:r w:rsidRPr="003264E2">
        <w:rPr>
          <w:rFonts w:cs="Times New Roman"/>
          <w:szCs w:val="24"/>
        </w:rPr>
        <w:t xml:space="preserve">Anexo </w:t>
      </w:r>
      <w:r>
        <w:rPr>
          <w:rFonts w:cs="Times New Roman"/>
          <w:szCs w:val="24"/>
        </w:rPr>
        <w:t>1)</w:t>
      </w:r>
    </w:p>
    <w:p w14:paraId="3A493681" w14:textId="77777777" w:rsidR="008033D3" w:rsidRPr="00CD71BD" w:rsidRDefault="008033D3" w:rsidP="008033D3">
      <w:pPr>
        <w:spacing w:line="360" w:lineRule="auto"/>
        <w:rPr>
          <w:rFonts w:cs="Times New Roman"/>
          <w:i/>
          <w:szCs w:val="24"/>
        </w:rPr>
      </w:pPr>
      <w:r w:rsidRPr="00CD71BD">
        <w:rPr>
          <w:rFonts w:cs="Times New Roman"/>
          <w:i/>
          <w:szCs w:val="24"/>
        </w:rPr>
        <w:t>1.4.1.1</w:t>
      </w:r>
      <w:r w:rsidRPr="00CD71BD">
        <w:rPr>
          <w:rFonts w:cs="Times New Roman"/>
          <w:i/>
          <w:szCs w:val="24"/>
        </w:rPr>
        <w:tab/>
        <w:t>Resolución Nº 64 MODIFICACIÓN ARANCEL CKD CELULARES – 11 JUNIO 2012</w:t>
      </w:r>
    </w:p>
    <w:p w14:paraId="25BCD0FA" w14:textId="77777777" w:rsidR="008033D3" w:rsidRDefault="008033D3" w:rsidP="008033D3">
      <w:pPr>
        <w:spacing w:line="360" w:lineRule="auto"/>
        <w:rPr>
          <w:rFonts w:cs="Times New Roman"/>
          <w:szCs w:val="24"/>
        </w:rPr>
      </w:pPr>
      <w:r w:rsidRPr="003264E2">
        <w:rPr>
          <w:rFonts w:cs="Times New Roman"/>
          <w:szCs w:val="24"/>
        </w:rPr>
        <w:t xml:space="preserve">Resuelve modificar el Arancel Nacional a las mercancías clasificadas como CKD descritas en la </w:t>
      </w:r>
      <w:proofErr w:type="spellStart"/>
      <w:r w:rsidRPr="003264E2">
        <w:rPr>
          <w:rFonts w:cs="Times New Roman"/>
          <w:szCs w:val="24"/>
        </w:rPr>
        <w:t>subpartida</w:t>
      </w:r>
      <w:proofErr w:type="spellEnd"/>
      <w:r w:rsidRPr="003264E2">
        <w:rPr>
          <w:rFonts w:cs="Times New Roman"/>
          <w:szCs w:val="24"/>
        </w:rPr>
        <w:t xml:space="preserve"> 8717200.10</w:t>
      </w:r>
      <w:r>
        <w:rPr>
          <w:rFonts w:cs="Times New Roman"/>
          <w:szCs w:val="24"/>
        </w:rPr>
        <w:t xml:space="preserve"> y menciona</w:t>
      </w:r>
      <w:r w:rsidRPr="003264E2">
        <w:rPr>
          <w:rFonts w:cs="Times New Roman"/>
          <w:szCs w:val="24"/>
        </w:rPr>
        <w:t xml:space="preserve"> que los celulares importados</w:t>
      </w:r>
      <w:r>
        <w:rPr>
          <w:rFonts w:cs="Times New Roman"/>
          <w:szCs w:val="24"/>
        </w:rPr>
        <w:t xml:space="preserve"> deben pagar</w:t>
      </w:r>
      <w:r w:rsidRPr="003264E2">
        <w:rPr>
          <w:rFonts w:cs="Times New Roman"/>
          <w:szCs w:val="24"/>
        </w:rPr>
        <w:t xml:space="preserve"> el 100% de arancel consolidado correspondiente al bien final. Este porcentaje p</w:t>
      </w:r>
      <w:r>
        <w:rPr>
          <w:rFonts w:cs="Times New Roman"/>
          <w:szCs w:val="24"/>
        </w:rPr>
        <w:t xml:space="preserve">uede </w:t>
      </w:r>
      <w:r w:rsidRPr="003264E2">
        <w:rPr>
          <w:rFonts w:cs="Times New Roman"/>
          <w:szCs w:val="24"/>
        </w:rPr>
        <w:t>disminuir, en la medida en que el porcentaje de producto ecuatoriano incorporado al bien ensamblado sea mayor de acuerdo a la siguiente tabla:</w:t>
      </w:r>
    </w:p>
    <w:p w14:paraId="57A9BFB1" w14:textId="77777777" w:rsidR="008033D3" w:rsidRDefault="008033D3" w:rsidP="008033D3">
      <w:pPr>
        <w:pStyle w:val="Estilo3"/>
      </w:pPr>
      <w:bookmarkStart w:id="40" w:name="_Toc442343933"/>
      <w:r>
        <w:t>Cuadro 6.</w:t>
      </w:r>
      <w:bookmarkEnd w:id="40"/>
    </w:p>
    <w:p w14:paraId="262BBDF9" w14:textId="77777777" w:rsidR="008033D3" w:rsidRPr="003264E2" w:rsidRDefault="008033D3" w:rsidP="008033D3">
      <w:pPr>
        <w:spacing w:line="240" w:lineRule="auto"/>
        <w:jc w:val="center"/>
        <w:rPr>
          <w:rFonts w:cs="Times New Roman"/>
          <w:szCs w:val="24"/>
        </w:rPr>
      </w:pPr>
      <w:r>
        <w:rPr>
          <w:rFonts w:cs="Times New Roman"/>
          <w:szCs w:val="24"/>
        </w:rPr>
        <w:t>Porcentaje de arancel a pagar correspondiente al producto ecuatoriano incorporado al bien ensamblado</w:t>
      </w:r>
    </w:p>
    <w:tbl>
      <w:tblPr>
        <w:tblW w:w="6260" w:type="dxa"/>
        <w:jc w:val="center"/>
        <w:tblCellMar>
          <w:left w:w="70" w:type="dxa"/>
          <w:right w:w="70" w:type="dxa"/>
        </w:tblCellMar>
        <w:tblLook w:val="04A0" w:firstRow="1" w:lastRow="0" w:firstColumn="1" w:lastColumn="0" w:noHBand="0" w:noVBand="1"/>
      </w:tblPr>
      <w:tblGrid>
        <w:gridCol w:w="1900"/>
        <w:gridCol w:w="2160"/>
        <w:gridCol w:w="2200"/>
      </w:tblGrid>
      <w:tr w:rsidR="008033D3" w:rsidRPr="00CA55DA" w14:paraId="72B80EA0" w14:textId="77777777" w:rsidTr="009E77CA">
        <w:trPr>
          <w:trHeight w:val="1155"/>
          <w:jc w:val="center"/>
        </w:trPr>
        <w:tc>
          <w:tcPr>
            <w:tcW w:w="1900" w:type="dxa"/>
            <w:tcBorders>
              <w:top w:val="single" w:sz="12" w:space="0" w:color="auto"/>
              <w:left w:val="nil"/>
              <w:bottom w:val="single" w:sz="12" w:space="0" w:color="auto"/>
              <w:right w:val="nil"/>
            </w:tcBorders>
            <w:shd w:val="clear" w:color="FFFFFF" w:fill="FFFFFF"/>
            <w:hideMark/>
          </w:tcPr>
          <w:p w14:paraId="7723B6AC" w14:textId="77777777" w:rsidR="008033D3" w:rsidRPr="00CA55DA" w:rsidRDefault="008033D3" w:rsidP="009E77CA">
            <w:pPr>
              <w:spacing w:after="0" w:line="240" w:lineRule="auto"/>
              <w:rPr>
                <w:rFonts w:eastAsia="Times New Roman" w:cs="Times New Roman"/>
                <w:b/>
                <w:bCs/>
                <w:color w:val="000000"/>
                <w:szCs w:val="24"/>
                <w:lang w:eastAsia="es-ES"/>
              </w:rPr>
            </w:pPr>
            <w:r w:rsidRPr="00CA55DA">
              <w:rPr>
                <w:rFonts w:eastAsia="Times New Roman" w:cs="Times New Roman"/>
                <w:b/>
                <w:bCs/>
                <w:color w:val="000000"/>
                <w:szCs w:val="24"/>
                <w:lang w:eastAsia="es-ES"/>
              </w:rPr>
              <w:t>% de Producto Ecuatoriano Incorporado</w:t>
            </w:r>
          </w:p>
        </w:tc>
        <w:tc>
          <w:tcPr>
            <w:tcW w:w="2160" w:type="dxa"/>
            <w:tcBorders>
              <w:top w:val="single" w:sz="12" w:space="0" w:color="auto"/>
              <w:left w:val="nil"/>
              <w:bottom w:val="single" w:sz="12" w:space="0" w:color="auto"/>
              <w:right w:val="nil"/>
            </w:tcBorders>
            <w:shd w:val="clear" w:color="FFFFFF" w:fill="FFFFFF"/>
            <w:hideMark/>
          </w:tcPr>
          <w:p w14:paraId="3023CDAF" w14:textId="77777777" w:rsidR="008033D3" w:rsidRPr="00CA55DA" w:rsidRDefault="008033D3" w:rsidP="009E77CA">
            <w:pPr>
              <w:spacing w:after="0" w:line="240" w:lineRule="auto"/>
              <w:rPr>
                <w:rFonts w:eastAsia="Times New Roman" w:cs="Times New Roman"/>
                <w:b/>
                <w:bCs/>
                <w:color w:val="000000"/>
                <w:szCs w:val="24"/>
                <w:lang w:eastAsia="es-ES"/>
              </w:rPr>
            </w:pPr>
            <w:r w:rsidRPr="00CA55DA">
              <w:rPr>
                <w:rFonts w:eastAsia="Times New Roman" w:cs="Times New Roman"/>
                <w:b/>
                <w:bCs/>
                <w:color w:val="000000"/>
                <w:szCs w:val="24"/>
                <w:lang w:eastAsia="es-ES"/>
              </w:rPr>
              <w:t xml:space="preserve">Arancel a pagar Ad </w:t>
            </w:r>
            <w:proofErr w:type="spellStart"/>
            <w:r w:rsidRPr="00CA55DA">
              <w:rPr>
                <w:rFonts w:eastAsia="Times New Roman" w:cs="Times New Roman"/>
                <w:b/>
                <w:bCs/>
                <w:color w:val="000000"/>
                <w:szCs w:val="24"/>
                <w:lang w:eastAsia="es-ES"/>
              </w:rPr>
              <w:t>valorem</w:t>
            </w:r>
            <w:proofErr w:type="spellEnd"/>
          </w:p>
        </w:tc>
        <w:tc>
          <w:tcPr>
            <w:tcW w:w="2200" w:type="dxa"/>
            <w:tcBorders>
              <w:top w:val="single" w:sz="12" w:space="0" w:color="auto"/>
              <w:left w:val="nil"/>
              <w:bottom w:val="single" w:sz="12" w:space="0" w:color="auto"/>
              <w:right w:val="nil"/>
            </w:tcBorders>
            <w:shd w:val="clear" w:color="FFFFFF" w:fill="FFFFFF"/>
            <w:hideMark/>
          </w:tcPr>
          <w:p w14:paraId="68968D4F" w14:textId="77777777" w:rsidR="008033D3" w:rsidRPr="00CA55DA" w:rsidRDefault="008033D3" w:rsidP="009E77CA">
            <w:pPr>
              <w:spacing w:after="0" w:line="240" w:lineRule="auto"/>
              <w:rPr>
                <w:rFonts w:eastAsia="Times New Roman" w:cs="Times New Roman"/>
                <w:b/>
                <w:bCs/>
                <w:color w:val="000000"/>
                <w:szCs w:val="24"/>
                <w:lang w:eastAsia="es-ES"/>
              </w:rPr>
            </w:pPr>
            <w:r w:rsidRPr="00CA55DA">
              <w:rPr>
                <w:rFonts w:eastAsia="Times New Roman" w:cs="Times New Roman"/>
                <w:b/>
                <w:bCs/>
                <w:color w:val="000000"/>
                <w:szCs w:val="24"/>
                <w:lang w:eastAsia="es-ES"/>
              </w:rPr>
              <w:t>Observaciones</w:t>
            </w:r>
          </w:p>
        </w:tc>
      </w:tr>
      <w:tr w:rsidR="008033D3" w:rsidRPr="00CA55DA" w14:paraId="6CF757E7" w14:textId="77777777" w:rsidTr="009E77CA">
        <w:trPr>
          <w:trHeight w:val="600"/>
          <w:jc w:val="center"/>
        </w:trPr>
        <w:tc>
          <w:tcPr>
            <w:tcW w:w="1900" w:type="dxa"/>
            <w:tcBorders>
              <w:top w:val="nil"/>
              <w:left w:val="nil"/>
              <w:bottom w:val="nil"/>
              <w:right w:val="nil"/>
            </w:tcBorders>
            <w:shd w:val="clear" w:color="FFFFFF" w:fill="FFFFFF"/>
            <w:noWrap/>
            <w:hideMark/>
          </w:tcPr>
          <w:p w14:paraId="1A1604CA"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Menor a 5</w:t>
            </w:r>
          </w:p>
        </w:tc>
        <w:tc>
          <w:tcPr>
            <w:tcW w:w="2160" w:type="dxa"/>
            <w:tcBorders>
              <w:top w:val="nil"/>
              <w:left w:val="nil"/>
              <w:bottom w:val="nil"/>
              <w:right w:val="nil"/>
            </w:tcBorders>
            <w:shd w:val="clear" w:color="FFFFFF" w:fill="FFFFFF"/>
            <w:noWrap/>
            <w:hideMark/>
          </w:tcPr>
          <w:p w14:paraId="59C28C2D"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0,15</w:t>
            </w:r>
          </w:p>
        </w:tc>
        <w:tc>
          <w:tcPr>
            <w:tcW w:w="2200" w:type="dxa"/>
            <w:tcBorders>
              <w:top w:val="nil"/>
              <w:left w:val="nil"/>
              <w:bottom w:val="nil"/>
              <w:right w:val="nil"/>
            </w:tcBorders>
            <w:shd w:val="clear" w:color="FFFFFF" w:fill="FFFFFF"/>
            <w:noWrap/>
            <w:hideMark/>
          </w:tcPr>
          <w:p w14:paraId="17888F8A"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 </w:t>
            </w:r>
          </w:p>
        </w:tc>
      </w:tr>
      <w:tr w:rsidR="008033D3" w:rsidRPr="00CA55DA" w14:paraId="1AFCFE14" w14:textId="77777777" w:rsidTr="009E77CA">
        <w:trPr>
          <w:trHeight w:val="480"/>
          <w:jc w:val="center"/>
        </w:trPr>
        <w:tc>
          <w:tcPr>
            <w:tcW w:w="1900" w:type="dxa"/>
            <w:tcBorders>
              <w:top w:val="nil"/>
              <w:left w:val="nil"/>
              <w:bottom w:val="nil"/>
              <w:right w:val="nil"/>
            </w:tcBorders>
            <w:shd w:val="clear" w:color="FFFFFF" w:fill="FFFFFF"/>
            <w:noWrap/>
            <w:hideMark/>
          </w:tcPr>
          <w:p w14:paraId="67F430A7"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5</w:t>
            </w:r>
          </w:p>
        </w:tc>
        <w:tc>
          <w:tcPr>
            <w:tcW w:w="2160" w:type="dxa"/>
            <w:tcBorders>
              <w:top w:val="nil"/>
              <w:left w:val="nil"/>
              <w:bottom w:val="nil"/>
              <w:right w:val="nil"/>
            </w:tcBorders>
            <w:shd w:val="clear" w:color="FFFFFF" w:fill="FFFFFF"/>
            <w:noWrap/>
            <w:hideMark/>
          </w:tcPr>
          <w:p w14:paraId="1DFB5AB3"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7.50%</w:t>
            </w:r>
          </w:p>
        </w:tc>
        <w:tc>
          <w:tcPr>
            <w:tcW w:w="2200" w:type="dxa"/>
            <w:tcBorders>
              <w:top w:val="nil"/>
              <w:left w:val="nil"/>
              <w:bottom w:val="nil"/>
              <w:right w:val="nil"/>
            </w:tcBorders>
            <w:shd w:val="clear" w:color="FFFFFF" w:fill="FFFFFF"/>
            <w:noWrap/>
            <w:hideMark/>
          </w:tcPr>
          <w:p w14:paraId="4ED34B4F"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 </w:t>
            </w:r>
          </w:p>
        </w:tc>
      </w:tr>
      <w:tr w:rsidR="008033D3" w:rsidRPr="00CA55DA" w14:paraId="195A79D2" w14:textId="77777777" w:rsidTr="009E77CA">
        <w:trPr>
          <w:trHeight w:val="540"/>
          <w:jc w:val="center"/>
        </w:trPr>
        <w:tc>
          <w:tcPr>
            <w:tcW w:w="1900" w:type="dxa"/>
            <w:tcBorders>
              <w:top w:val="nil"/>
              <w:left w:val="nil"/>
              <w:bottom w:val="nil"/>
              <w:right w:val="nil"/>
            </w:tcBorders>
            <w:shd w:val="clear" w:color="FFFFFF" w:fill="FFFFFF"/>
            <w:noWrap/>
            <w:hideMark/>
          </w:tcPr>
          <w:p w14:paraId="76ABF9B6"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6</w:t>
            </w:r>
          </w:p>
        </w:tc>
        <w:tc>
          <w:tcPr>
            <w:tcW w:w="2160" w:type="dxa"/>
            <w:tcBorders>
              <w:top w:val="nil"/>
              <w:left w:val="nil"/>
              <w:bottom w:val="nil"/>
              <w:right w:val="nil"/>
            </w:tcBorders>
            <w:shd w:val="clear" w:color="FFFFFF" w:fill="FFFFFF"/>
            <w:noWrap/>
            <w:hideMark/>
          </w:tcPr>
          <w:p w14:paraId="3E97C104"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6.60%</w:t>
            </w:r>
          </w:p>
        </w:tc>
        <w:tc>
          <w:tcPr>
            <w:tcW w:w="2200" w:type="dxa"/>
            <w:tcBorders>
              <w:top w:val="nil"/>
              <w:left w:val="nil"/>
              <w:bottom w:val="nil"/>
              <w:right w:val="nil"/>
            </w:tcBorders>
            <w:shd w:val="clear" w:color="FFFFFF" w:fill="FFFFFF"/>
            <w:noWrap/>
            <w:hideMark/>
          </w:tcPr>
          <w:p w14:paraId="5ED480B5"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 </w:t>
            </w:r>
          </w:p>
        </w:tc>
      </w:tr>
      <w:tr w:rsidR="008033D3" w:rsidRPr="00CA55DA" w14:paraId="0D0041E7" w14:textId="77777777" w:rsidTr="009E77CA">
        <w:trPr>
          <w:trHeight w:val="450"/>
          <w:jc w:val="center"/>
        </w:trPr>
        <w:tc>
          <w:tcPr>
            <w:tcW w:w="1900" w:type="dxa"/>
            <w:tcBorders>
              <w:top w:val="nil"/>
              <w:left w:val="nil"/>
              <w:bottom w:val="nil"/>
              <w:right w:val="nil"/>
            </w:tcBorders>
            <w:shd w:val="clear" w:color="FFFFFF" w:fill="FFFFFF"/>
            <w:noWrap/>
            <w:hideMark/>
          </w:tcPr>
          <w:p w14:paraId="3F002D81"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7</w:t>
            </w:r>
          </w:p>
        </w:tc>
        <w:tc>
          <w:tcPr>
            <w:tcW w:w="2160" w:type="dxa"/>
            <w:tcBorders>
              <w:top w:val="nil"/>
              <w:left w:val="nil"/>
              <w:bottom w:val="nil"/>
              <w:right w:val="nil"/>
            </w:tcBorders>
            <w:shd w:val="clear" w:color="FFFFFF" w:fill="FFFFFF"/>
            <w:noWrap/>
            <w:hideMark/>
          </w:tcPr>
          <w:p w14:paraId="04DE7AE5"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5.70%</w:t>
            </w:r>
          </w:p>
        </w:tc>
        <w:tc>
          <w:tcPr>
            <w:tcW w:w="2200" w:type="dxa"/>
            <w:tcBorders>
              <w:top w:val="nil"/>
              <w:left w:val="nil"/>
              <w:bottom w:val="nil"/>
              <w:right w:val="nil"/>
            </w:tcBorders>
            <w:shd w:val="clear" w:color="FFFFFF" w:fill="FFFFFF"/>
            <w:noWrap/>
            <w:hideMark/>
          </w:tcPr>
          <w:p w14:paraId="661D4C2D"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 </w:t>
            </w:r>
          </w:p>
        </w:tc>
      </w:tr>
      <w:tr w:rsidR="008033D3" w:rsidRPr="00CA55DA" w14:paraId="2D782E6A" w14:textId="77777777" w:rsidTr="009E77CA">
        <w:trPr>
          <w:trHeight w:val="495"/>
          <w:jc w:val="center"/>
        </w:trPr>
        <w:tc>
          <w:tcPr>
            <w:tcW w:w="1900" w:type="dxa"/>
            <w:tcBorders>
              <w:top w:val="nil"/>
              <w:left w:val="nil"/>
              <w:bottom w:val="nil"/>
              <w:right w:val="nil"/>
            </w:tcBorders>
            <w:shd w:val="clear" w:color="FFFFFF" w:fill="FFFFFF"/>
            <w:noWrap/>
            <w:hideMark/>
          </w:tcPr>
          <w:p w14:paraId="5DECEF71"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8</w:t>
            </w:r>
          </w:p>
        </w:tc>
        <w:tc>
          <w:tcPr>
            <w:tcW w:w="2160" w:type="dxa"/>
            <w:tcBorders>
              <w:top w:val="nil"/>
              <w:left w:val="nil"/>
              <w:bottom w:val="nil"/>
              <w:right w:val="nil"/>
            </w:tcBorders>
            <w:shd w:val="clear" w:color="FFFFFF" w:fill="FFFFFF"/>
            <w:noWrap/>
            <w:hideMark/>
          </w:tcPr>
          <w:p w14:paraId="65AAA88D"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4.80%</w:t>
            </w:r>
          </w:p>
        </w:tc>
        <w:tc>
          <w:tcPr>
            <w:tcW w:w="2200" w:type="dxa"/>
            <w:tcBorders>
              <w:top w:val="nil"/>
              <w:left w:val="nil"/>
              <w:bottom w:val="nil"/>
              <w:right w:val="nil"/>
            </w:tcBorders>
            <w:shd w:val="clear" w:color="FFFFFF" w:fill="FFFFFF"/>
            <w:noWrap/>
            <w:hideMark/>
          </w:tcPr>
          <w:p w14:paraId="5F1115A4"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 </w:t>
            </w:r>
          </w:p>
        </w:tc>
      </w:tr>
      <w:tr w:rsidR="008033D3" w:rsidRPr="00CA55DA" w14:paraId="264C5BB1" w14:textId="77777777" w:rsidTr="009E77CA">
        <w:trPr>
          <w:trHeight w:val="465"/>
          <w:jc w:val="center"/>
        </w:trPr>
        <w:tc>
          <w:tcPr>
            <w:tcW w:w="1900" w:type="dxa"/>
            <w:tcBorders>
              <w:top w:val="nil"/>
              <w:left w:val="nil"/>
              <w:bottom w:val="nil"/>
              <w:right w:val="nil"/>
            </w:tcBorders>
            <w:shd w:val="clear" w:color="FFFFFF" w:fill="FFFFFF"/>
            <w:noWrap/>
            <w:hideMark/>
          </w:tcPr>
          <w:p w14:paraId="76995951"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9</w:t>
            </w:r>
          </w:p>
        </w:tc>
        <w:tc>
          <w:tcPr>
            <w:tcW w:w="2160" w:type="dxa"/>
            <w:tcBorders>
              <w:top w:val="nil"/>
              <w:left w:val="nil"/>
              <w:bottom w:val="nil"/>
              <w:right w:val="nil"/>
            </w:tcBorders>
            <w:shd w:val="clear" w:color="FFFFFF" w:fill="FFFFFF"/>
            <w:noWrap/>
            <w:hideMark/>
          </w:tcPr>
          <w:p w14:paraId="74047D32"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3.90%</w:t>
            </w:r>
          </w:p>
        </w:tc>
        <w:tc>
          <w:tcPr>
            <w:tcW w:w="2200" w:type="dxa"/>
            <w:tcBorders>
              <w:top w:val="nil"/>
              <w:left w:val="nil"/>
              <w:bottom w:val="nil"/>
              <w:right w:val="nil"/>
            </w:tcBorders>
            <w:shd w:val="clear" w:color="FFFFFF" w:fill="FFFFFF"/>
            <w:noWrap/>
            <w:hideMark/>
          </w:tcPr>
          <w:p w14:paraId="6B43E245"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 </w:t>
            </w:r>
          </w:p>
        </w:tc>
      </w:tr>
      <w:tr w:rsidR="008033D3" w:rsidRPr="00CA55DA" w14:paraId="77C990F5" w14:textId="77777777" w:rsidTr="009E77CA">
        <w:trPr>
          <w:trHeight w:val="420"/>
          <w:jc w:val="center"/>
        </w:trPr>
        <w:tc>
          <w:tcPr>
            <w:tcW w:w="1900" w:type="dxa"/>
            <w:tcBorders>
              <w:top w:val="nil"/>
              <w:left w:val="nil"/>
              <w:bottom w:val="single" w:sz="8" w:space="0" w:color="auto"/>
              <w:right w:val="nil"/>
            </w:tcBorders>
            <w:shd w:val="clear" w:color="FFFFFF" w:fill="FFFFFF"/>
            <w:noWrap/>
            <w:hideMark/>
          </w:tcPr>
          <w:p w14:paraId="5A665B0F"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lastRenderedPageBreak/>
              <w:t>10 o superior</w:t>
            </w:r>
          </w:p>
        </w:tc>
        <w:tc>
          <w:tcPr>
            <w:tcW w:w="2160" w:type="dxa"/>
            <w:tcBorders>
              <w:top w:val="nil"/>
              <w:left w:val="nil"/>
              <w:bottom w:val="single" w:sz="8" w:space="0" w:color="auto"/>
              <w:right w:val="nil"/>
            </w:tcBorders>
            <w:shd w:val="clear" w:color="FFFFFF" w:fill="FFFFFF"/>
            <w:noWrap/>
            <w:hideMark/>
          </w:tcPr>
          <w:p w14:paraId="23C02C69"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3%</w:t>
            </w:r>
          </w:p>
        </w:tc>
        <w:tc>
          <w:tcPr>
            <w:tcW w:w="2200" w:type="dxa"/>
            <w:tcBorders>
              <w:top w:val="nil"/>
              <w:left w:val="nil"/>
              <w:bottom w:val="single" w:sz="8" w:space="0" w:color="auto"/>
              <w:right w:val="nil"/>
            </w:tcBorders>
            <w:shd w:val="clear" w:color="FFFFFF" w:fill="FFFFFF"/>
            <w:noWrap/>
            <w:hideMark/>
          </w:tcPr>
          <w:p w14:paraId="1E748972"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Arancel mínimo</w:t>
            </w:r>
          </w:p>
        </w:tc>
      </w:tr>
      <w:tr w:rsidR="008033D3" w:rsidRPr="00CA55DA" w14:paraId="4E1ED93D" w14:textId="77777777" w:rsidTr="009E77CA">
        <w:trPr>
          <w:trHeight w:val="300"/>
          <w:jc w:val="center"/>
        </w:trPr>
        <w:tc>
          <w:tcPr>
            <w:tcW w:w="4060" w:type="dxa"/>
            <w:gridSpan w:val="2"/>
            <w:tcBorders>
              <w:top w:val="nil"/>
              <w:left w:val="nil"/>
              <w:bottom w:val="nil"/>
              <w:right w:val="nil"/>
            </w:tcBorders>
            <w:shd w:val="clear" w:color="FFFFFF" w:fill="FFFFFF"/>
            <w:noWrap/>
            <w:hideMark/>
          </w:tcPr>
          <w:p w14:paraId="0ACB1034" w14:textId="77777777" w:rsidR="008033D3" w:rsidRPr="00CD71BD" w:rsidRDefault="008033D3" w:rsidP="009E77CA">
            <w:pPr>
              <w:spacing w:after="0" w:line="240" w:lineRule="auto"/>
              <w:rPr>
                <w:rFonts w:eastAsia="Times New Roman" w:cs="Times New Roman"/>
                <w:color w:val="000000"/>
                <w:sz w:val="16"/>
                <w:szCs w:val="16"/>
                <w:lang w:eastAsia="es-ES"/>
              </w:rPr>
            </w:pPr>
            <w:r w:rsidRPr="00CD71BD">
              <w:rPr>
                <w:rFonts w:eastAsia="Times New Roman" w:cs="Times New Roman"/>
                <w:color w:val="000000"/>
                <w:sz w:val="16"/>
                <w:szCs w:val="16"/>
                <w:lang w:eastAsia="es-ES"/>
              </w:rPr>
              <w:t xml:space="preserve">Elaborado por: Héctor </w:t>
            </w:r>
            <w:proofErr w:type="spellStart"/>
            <w:r w:rsidRPr="00CD71BD">
              <w:rPr>
                <w:rFonts w:eastAsia="Times New Roman" w:cs="Times New Roman"/>
                <w:color w:val="000000"/>
                <w:sz w:val="16"/>
                <w:szCs w:val="16"/>
                <w:lang w:eastAsia="es-ES"/>
              </w:rPr>
              <w:t>Ruilova</w:t>
            </w:r>
            <w:proofErr w:type="spellEnd"/>
            <w:r w:rsidRPr="00CD71BD">
              <w:rPr>
                <w:rFonts w:eastAsia="Times New Roman" w:cs="Times New Roman"/>
                <w:color w:val="000000"/>
                <w:sz w:val="16"/>
                <w:szCs w:val="16"/>
                <w:lang w:eastAsia="es-ES"/>
              </w:rPr>
              <w:t xml:space="preserve"> Vidal</w:t>
            </w:r>
          </w:p>
        </w:tc>
        <w:tc>
          <w:tcPr>
            <w:tcW w:w="2200" w:type="dxa"/>
            <w:tcBorders>
              <w:top w:val="nil"/>
              <w:left w:val="nil"/>
              <w:bottom w:val="nil"/>
              <w:right w:val="nil"/>
            </w:tcBorders>
            <w:shd w:val="clear" w:color="FFFFFF" w:fill="FFFFFF"/>
            <w:noWrap/>
            <w:hideMark/>
          </w:tcPr>
          <w:p w14:paraId="2B393E7C" w14:textId="77777777" w:rsidR="008033D3" w:rsidRPr="00CA55DA" w:rsidRDefault="008033D3" w:rsidP="009E77CA">
            <w:pPr>
              <w:spacing w:after="0" w:line="240" w:lineRule="auto"/>
              <w:rPr>
                <w:rFonts w:eastAsia="Times New Roman" w:cs="Times New Roman"/>
                <w:color w:val="000000"/>
                <w:lang w:eastAsia="es-ES"/>
              </w:rPr>
            </w:pPr>
            <w:r w:rsidRPr="00CA55DA">
              <w:rPr>
                <w:rFonts w:eastAsia="Times New Roman" w:cs="Times New Roman"/>
                <w:color w:val="000000"/>
                <w:lang w:eastAsia="es-ES"/>
              </w:rPr>
              <w:t> </w:t>
            </w:r>
          </w:p>
        </w:tc>
      </w:tr>
    </w:tbl>
    <w:p w14:paraId="1080C9DC" w14:textId="0278CE5C" w:rsidR="008033D3" w:rsidRPr="003264E2" w:rsidRDefault="008033D3" w:rsidP="008033D3">
      <w:pPr>
        <w:spacing w:line="360" w:lineRule="auto"/>
        <w:rPr>
          <w:rFonts w:cs="Times New Roman"/>
          <w:szCs w:val="24"/>
        </w:rPr>
      </w:pPr>
      <w:r w:rsidRPr="003264E2">
        <w:rPr>
          <w:rFonts w:cs="Times New Roman"/>
          <w:szCs w:val="24"/>
        </w:rPr>
        <w:t>Lo que quiere decir</w:t>
      </w:r>
      <w:r>
        <w:rPr>
          <w:rFonts w:cs="Times New Roman"/>
          <w:szCs w:val="24"/>
        </w:rPr>
        <w:t>, es</w:t>
      </w:r>
      <w:r w:rsidRPr="003264E2">
        <w:rPr>
          <w:rFonts w:cs="Times New Roman"/>
          <w:szCs w:val="24"/>
        </w:rPr>
        <w:t xml:space="preserve"> que todo producto importado en categoría CKD debe</w:t>
      </w:r>
      <w:r w:rsidR="004508CB">
        <w:rPr>
          <w:rFonts w:cs="Times New Roman"/>
          <w:szCs w:val="24"/>
        </w:rPr>
        <w:t xml:space="preserve"> </w:t>
      </w:r>
      <w:r w:rsidRPr="003264E2">
        <w:rPr>
          <w:rFonts w:cs="Times New Roman"/>
          <w:szCs w:val="24"/>
        </w:rPr>
        <w:t xml:space="preserve">pagar un arancel ad </w:t>
      </w:r>
      <w:proofErr w:type="spellStart"/>
      <w:r w:rsidRPr="003264E2">
        <w:rPr>
          <w:rFonts w:cs="Times New Roman"/>
          <w:szCs w:val="24"/>
        </w:rPr>
        <w:t>valorem</w:t>
      </w:r>
      <w:proofErr w:type="spellEnd"/>
      <w:r w:rsidRPr="003264E2">
        <w:rPr>
          <w:rFonts w:cs="Times New Roman"/>
          <w:szCs w:val="24"/>
        </w:rPr>
        <w:t xml:space="preserve"> dependiendo al porcentaje de producto ecuatoriano que se componga denominado como porcentaje de producto ecuatoriano incorporado, es decir, el arancel será determinado por la cantidad de materiales hechos en Ecuador que contenga el bien terminado. Adicional, todas las importaciones de CKD deberán pagar un arancel mínimo aplicado, independientemente del porcentaje del producto ecuatoriano incorporado.</w:t>
      </w:r>
      <w:r>
        <w:rPr>
          <w:rFonts w:cs="Times New Roman"/>
          <w:szCs w:val="24"/>
        </w:rPr>
        <w:t xml:space="preserve"> (</w:t>
      </w:r>
      <w:r w:rsidRPr="003264E2">
        <w:rPr>
          <w:rFonts w:cs="Times New Roman"/>
          <w:szCs w:val="24"/>
        </w:rPr>
        <w:t>Anexo</w:t>
      </w:r>
      <w:r>
        <w:rPr>
          <w:rFonts w:cs="Times New Roman"/>
          <w:szCs w:val="24"/>
        </w:rPr>
        <w:t xml:space="preserve"> 2)</w:t>
      </w:r>
    </w:p>
    <w:p w14:paraId="37CCC873" w14:textId="77777777" w:rsidR="008033D3" w:rsidRPr="003264E2" w:rsidRDefault="008033D3" w:rsidP="008033D3">
      <w:pPr>
        <w:spacing w:line="360" w:lineRule="auto"/>
        <w:rPr>
          <w:rFonts w:cs="Times New Roman"/>
          <w:i/>
          <w:szCs w:val="24"/>
        </w:rPr>
      </w:pPr>
      <w:r>
        <w:rPr>
          <w:rFonts w:cs="Times New Roman"/>
          <w:i/>
          <w:szCs w:val="24"/>
        </w:rPr>
        <w:t>1.4.1.2</w:t>
      </w:r>
      <w:r>
        <w:rPr>
          <w:rFonts w:cs="Times New Roman"/>
          <w:i/>
          <w:szCs w:val="24"/>
        </w:rPr>
        <w:tab/>
      </w:r>
      <w:r w:rsidRPr="003264E2">
        <w:rPr>
          <w:rFonts w:cs="Times New Roman"/>
          <w:i/>
          <w:szCs w:val="24"/>
        </w:rPr>
        <w:t>Resolución Nº 67, 69 y 71 Cupos de Importación de Celulares – 11 de Junio 2012</w:t>
      </w:r>
    </w:p>
    <w:p w14:paraId="4632C136" w14:textId="77777777" w:rsidR="008033D3" w:rsidRPr="003264E2" w:rsidRDefault="008033D3" w:rsidP="008033D3">
      <w:pPr>
        <w:spacing w:line="360" w:lineRule="auto"/>
        <w:rPr>
          <w:rFonts w:cs="Times New Roman"/>
          <w:szCs w:val="24"/>
        </w:rPr>
      </w:pPr>
      <w:r w:rsidRPr="003264E2">
        <w:rPr>
          <w:rFonts w:cs="Times New Roman"/>
          <w:szCs w:val="24"/>
        </w:rPr>
        <w:t xml:space="preserve">El COMEX determina que según datos de la Superintendencia de Telecomunicaciones de Ecuador (SUPERTEL), las líneas activas de usuarios alcanzan a 16 millones a abril de 2012. De esta cifra el 18% de las líneas en promedio cambian teléfonos nuevos cada año, lo que implica que, según el Ministerio de Ambiente, los teléfonos celulares se han convertido en una de las fuentes de desechos tecnológicos más relevantes que existe actualmente. Por lo tanto el COMEX recomienda la adopción de una restricción a las importaciones de celulares y así reducir el acelerado crecimiento que existía. </w:t>
      </w:r>
    </w:p>
    <w:p w14:paraId="242B21DD" w14:textId="77777777" w:rsidR="008033D3" w:rsidRPr="003264E2" w:rsidRDefault="008033D3" w:rsidP="008033D3">
      <w:pPr>
        <w:spacing w:line="360" w:lineRule="auto"/>
        <w:rPr>
          <w:rFonts w:cs="Times New Roman"/>
          <w:szCs w:val="24"/>
        </w:rPr>
      </w:pPr>
      <w:r w:rsidRPr="003264E2">
        <w:rPr>
          <w:rFonts w:cs="Times New Roman"/>
          <w:szCs w:val="24"/>
        </w:rPr>
        <w:t xml:space="preserve">La restricción cuantitativa se fijará por unidades de teléfonos y por valor para poder nacionalizar las mercancías. El plazo determinado de la restricción será hasta el 31 de Diciembre del 2014 y el Servicio Nacional de Aduanas del Ecuador deberá renovar automáticamente las cuotas establecidas el primero de Enero de cada año. Adicionalmente la resolución prohíbe la importación de teléfonos celulares a través de Correos del Ecuador, </w:t>
      </w:r>
      <w:proofErr w:type="spellStart"/>
      <w:r w:rsidRPr="003264E2">
        <w:rPr>
          <w:rFonts w:cs="Times New Roman"/>
          <w:szCs w:val="24"/>
        </w:rPr>
        <w:t>currier</w:t>
      </w:r>
      <w:proofErr w:type="spellEnd"/>
      <w:r w:rsidRPr="003264E2">
        <w:rPr>
          <w:rFonts w:cs="Times New Roman"/>
          <w:szCs w:val="24"/>
        </w:rPr>
        <w:t>, personas naturales que ingresen por las salas de arribo internacional de pasajeros, pasos fronterizos o puertos marítimos.</w:t>
      </w:r>
      <w:r>
        <w:rPr>
          <w:rFonts w:cs="Times New Roman"/>
          <w:szCs w:val="24"/>
        </w:rPr>
        <w:t xml:space="preserve"> (Anexo 3)</w:t>
      </w:r>
    </w:p>
    <w:p w14:paraId="25BEEEAF" w14:textId="77777777" w:rsidR="008033D3" w:rsidRPr="003264E2" w:rsidRDefault="008033D3" w:rsidP="008033D3">
      <w:pPr>
        <w:spacing w:line="360" w:lineRule="auto"/>
        <w:rPr>
          <w:rFonts w:cs="Times New Roman"/>
          <w:i/>
          <w:szCs w:val="24"/>
        </w:rPr>
      </w:pPr>
      <w:r>
        <w:rPr>
          <w:rFonts w:cs="Times New Roman"/>
          <w:i/>
          <w:szCs w:val="24"/>
        </w:rPr>
        <w:t>1.4.1.3</w:t>
      </w:r>
      <w:r>
        <w:rPr>
          <w:rFonts w:cs="Times New Roman"/>
          <w:i/>
          <w:szCs w:val="24"/>
        </w:rPr>
        <w:tab/>
      </w:r>
      <w:r w:rsidRPr="003264E2">
        <w:rPr>
          <w:rFonts w:cs="Times New Roman"/>
          <w:i/>
          <w:szCs w:val="24"/>
        </w:rPr>
        <w:t>Acuerdo Ministerial 12.392 Registro de Ensambladoras – 29 de Agosto 2012</w:t>
      </w:r>
    </w:p>
    <w:p w14:paraId="28D7696C" w14:textId="1FEC41B1" w:rsidR="008033D3" w:rsidRPr="003264E2" w:rsidRDefault="008033D3" w:rsidP="008033D3">
      <w:pPr>
        <w:spacing w:line="360" w:lineRule="auto"/>
        <w:rPr>
          <w:rFonts w:cs="Times New Roman"/>
          <w:szCs w:val="24"/>
        </w:rPr>
      </w:pPr>
      <w:r w:rsidRPr="003264E2">
        <w:rPr>
          <w:rFonts w:cs="Times New Roman"/>
          <w:szCs w:val="24"/>
        </w:rPr>
        <w:t xml:space="preserve">Establece el registro de personas naturales o jurídicas encargadas a la actividad de ensamblaje en el país, a partir de la importación de material CKD para productos que sean susceptibles de procesos de ensamblaje. El acuerdo requiere que las ensambladoras estén domiciliadas y/o constituidas en el país de conformidad a la normativa vigente. El registro se </w:t>
      </w:r>
      <w:r w:rsidR="00EE0310" w:rsidRPr="003264E2">
        <w:rPr>
          <w:rFonts w:cs="Times New Roman"/>
          <w:szCs w:val="24"/>
        </w:rPr>
        <w:t>realiza</w:t>
      </w:r>
      <w:r w:rsidRPr="003264E2">
        <w:rPr>
          <w:rFonts w:cs="Times New Roman"/>
          <w:szCs w:val="24"/>
        </w:rPr>
        <w:t xml:space="preserve"> través de la Subsecretaría de Industrias, Productividad e Innovación Tecnológica del Ministerio de </w:t>
      </w:r>
      <w:r w:rsidRPr="003264E2">
        <w:rPr>
          <w:rFonts w:cs="Times New Roman"/>
          <w:szCs w:val="24"/>
        </w:rPr>
        <w:lastRenderedPageBreak/>
        <w:t xml:space="preserve">Industrias y Productividad (SIPIT). SIPIT </w:t>
      </w:r>
      <w:r>
        <w:rPr>
          <w:rFonts w:cs="Times New Roman"/>
          <w:szCs w:val="24"/>
        </w:rPr>
        <w:t>es</w:t>
      </w:r>
      <w:r w:rsidR="00EE0310">
        <w:rPr>
          <w:rFonts w:cs="Times New Roman"/>
          <w:szCs w:val="24"/>
        </w:rPr>
        <w:t xml:space="preserve"> </w:t>
      </w:r>
      <w:r w:rsidRPr="003264E2">
        <w:rPr>
          <w:rFonts w:cs="Times New Roman"/>
          <w:szCs w:val="24"/>
        </w:rPr>
        <w:t>la entidad encargada de publicar y actualizar a las ensambladoras inscritas.</w:t>
      </w:r>
    </w:p>
    <w:p w14:paraId="6AF41066" w14:textId="77777777" w:rsidR="008033D3" w:rsidRPr="003264E2" w:rsidRDefault="008033D3" w:rsidP="008033D3">
      <w:pPr>
        <w:spacing w:line="360" w:lineRule="auto"/>
        <w:rPr>
          <w:rFonts w:cs="Times New Roman"/>
          <w:szCs w:val="24"/>
        </w:rPr>
      </w:pPr>
      <w:r>
        <w:rPr>
          <w:rFonts w:cs="Times New Roman"/>
          <w:szCs w:val="24"/>
        </w:rPr>
        <w:t>El objetiv</w:t>
      </w:r>
      <w:r w:rsidRPr="003264E2">
        <w:rPr>
          <w:rFonts w:cs="Times New Roman"/>
          <w:szCs w:val="24"/>
        </w:rPr>
        <w:t>o de</w:t>
      </w:r>
      <w:r>
        <w:rPr>
          <w:rFonts w:cs="Times New Roman"/>
          <w:szCs w:val="24"/>
        </w:rPr>
        <w:t>l</w:t>
      </w:r>
      <w:r w:rsidRPr="003264E2">
        <w:rPr>
          <w:rFonts w:cs="Times New Roman"/>
          <w:szCs w:val="24"/>
        </w:rPr>
        <w:t xml:space="preserve"> acuerdo ministerial es regular la actividad de ensamblaje a través de CKD en el país y controlar y promover la incorporación de un mayor componente nacional, generar mayor valor agregado y regular la provisión de productos de calidad. El acuerdo define los conceptos de conjunto CKD, Material No Originario Ecuatoriano o Importado (MNOE), ensamblaje o montaje</w:t>
      </w:r>
      <w:r>
        <w:rPr>
          <w:rFonts w:cs="Times New Roman"/>
          <w:szCs w:val="24"/>
        </w:rPr>
        <w:t>,</w:t>
      </w:r>
      <w:r w:rsidRPr="003264E2">
        <w:rPr>
          <w:rFonts w:cs="Times New Roman"/>
          <w:szCs w:val="24"/>
        </w:rPr>
        <w:t xml:space="preserve"> y los requisitos para el registro. En el caso de que se requiera ensamblar un producto, modelo o versión nueva</w:t>
      </w:r>
      <w:r>
        <w:rPr>
          <w:rFonts w:cs="Times New Roman"/>
          <w:szCs w:val="24"/>
        </w:rPr>
        <w:t>,</w:t>
      </w:r>
      <w:r w:rsidRPr="003264E2">
        <w:rPr>
          <w:rFonts w:cs="Times New Roman"/>
          <w:szCs w:val="24"/>
        </w:rPr>
        <w:t xml:space="preserve"> se deberá presentar la solicitud a la SIPIT</w:t>
      </w:r>
      <w:r>
        <w:rPr>
          <w:rFonts w:cs="Times New Roman"/>
          <w:szCs w:val="24"/>
        </w:rPr>
        <w:t>,</w:t>
      </w:r>
      <w:r w:rsidRPr="003264E2">
        <w:rPr>
          <w:rFonts w:cs="Times New Roman"/>
          <w:szCs w:val="24"/>
        </w:rPr>
        <w:t xml:space="preserve"> de igual manera </w:t>
      </w:r>
      <w:r>
        <w:rPr>
          <w:rFonts w:cs="Times New Roman"/>
          <w:szCs w:val="24"/>
        </w:rPr>
        <w:t xml:space="preserve">se debe proceder </w:t>
      </w:r>
      <w:r w:rsidRPr="003264E2">
        <w:rPr>
          <w:rFonts w:cs="Times New Roman"/>
          <w:szCs w:val="24"/>
        </w:rPr>
        <w:t>en el caso de que una industria ensamblad</w:t>
      </w:r>
      <w:r>
        <w:rPr>
          <w:rFonts w:cs="Times New Roman"/>
          <w:szCs w:val="24"/>
        </w:rPr>
        <w:t>o</w:t>
      </w:r>
      <w:r w:rsidRPr="003264E2">
        <w:rPr>
          <w:rFonts w:cs="Times New Roman"/>
          <w:szCs w:val="24"/>
        </w:rPr>
        <w:t>ra requiera la autorización para ensamblar en el país</w:t>
      </w:r>
      <w:r>
        <w:rPr>
          <w:rFonts w:cs="Times New Roman"/>
          <w:szCs w:val="24"/>
        </w:rPr>
        <w:t>,</w:t>
      </w:r>
      <w:r w:rsidRPr="003264E2">
        <w:rPr>
          <w:rFonts w:cs="Times New Roman"/>
          <w:szCs w:val="24"/>
        </w:rPr>
        <w:t xml:space="preserve"> y por último se estructura el estudio de factibilidad para registro como ensambladora. </w:t>
      </w:r>
      <w:r>
        <w:rPr>
          <w:rFonts w:cs="Times New Roman"/>
          <w:szCs w:val="24"/>
        </w:rPr>
        <w:t>(Anexo 4)</w:t>
      </w:r>
    </w:p>
    <w:p w14:paraId="302613CA" w14:textId="77777777" w:rsidR="008033D3" w:rsidRPr="003264E2" w:rsidRDefault="008033D3" w:rsidP="008033D3">
      <w:pPr>
        <w:spacing w:line="360" w:lineRule="auto"/>
        <w:rPr>
          <w:rFonts w:cs="Times New Roman"/>
          <w:i/>
          <w:szCs w:val="24"/>
        </w:rPr>
      </w:pPr>
      <w:r>
        <w:rPr>
          <w:rFonts w:cs="Times New Roman"/>
          <w:i/>
          <w:szCs w:val="24"/>
        </w:rPr>
        <w:t>1.4.1.4</w:t>
      </w:r>
      <w:r>
        <w:rPr>
          <w:rFonts w:cs="Times New Roman"/>
          <w:i/>
          <w:szCs w:val="24"/>
        </w:rPr>
        <w:tab/>
      </w:r>
      <w:r w:rsidRPr="003264E2">
        <w:rPr>
          <w:rFonts w:cs="Times New Roman"/>
          <w:i/>
          <w:szCs w:val="24"/>
        </w:rPr>
        <w:t>Acuerdo Ministerial 14.265 del Ministerio de Producción – 22 de Julio de 2014</w:t>
      </w:r>
    </w:p>
    <w:p w14:paraId="3FD1F43D" w14:textId="77777777" w:rsidR="008033D3" w:rsidRPr="003264E2" w:rsidRDefault="008033D3" w:rsidP="008033D3">
      <w:pPr>
        <w:spacing w:line="360" w:lineRule="auto"/>
        <w:rPr>
          <w:rFonts w:cs="Times New Roman"/>
          <w:szCs w:val="24"/>
        </w:rPr>
      </w:pPr>
      <w:r w:rsidRPr="003264E2">
        <w:rPr>
          <w:rFonts w:cs="Times New Roman"/>
          <w:szCs w:val="24"/>
        </w:rPr>
        <w:t xml:space="preserve">El 10 de mayo de 2013 se  acordó que el porcentaje mínimo de integración de partes y piezas será determinado anualmente con base a informes técnicos de la Subsecretaría de Desarrollo Industrial y la Subsecretaría de Desagregación Tecnológica. El 7 Julio de 2014 se remitió el alcance al informe técnico para definir el porcentaje mínimo para las ensambladoras registradas. </w:t>
      </w:r>
    </w:p>
    <w:p w14:paraId="7493A96A" w14:textId="77777777" w:rsidR="008033D3" w:rsidRDefault="008033D3" w:rsidP="008033D3">
      <w:pPr>
        <w:spacing w:line="360" w:lineRule="auto"/>
        <w:rPr>
          <w:rFonts w:cs="Times New Roman"/>
          <w:szCs w:val="24"/>
        </w:rPr>
      </w:pPr>
      <w:r w:rsidRPr="003264E2">
        <w:rPr>
          <w:rFonts w:cs="Times New Roman"/>
          <w:szCs w:val="24"/>
        </w:rPr>
        <w:t xml:space="preserve">Se acuerda expedir el porcentaje mínimo de integración de partes, piezas y </w:t>
      </w:r>
      <w:r w:rsidRPr="008E3E12">
        <w:rPr>
          <w:rFonts w:cs="Times New Roman"/>
          <w:i/>
          <w:szCs w:val="24"/>
        </w:rPr>
        <w:t>software</w:t>
      </w:r>
      <w:r w:rsidRPr="003264E2">
        <w:rPr>
          <w:rFonts w:cs="Times New Roman"/>
          <w:szCs w:val="24"/>
        </w:rPr>
        <w:t xml:space="preserve"> para teléfonos móviles (celulares) para el año 2014</w:t>
      </w:r>
      <w:r>
        <w:rPr>
          <w:rFonts w:cs="Times New Roman"/>
          <w:szCs w:val="24"/>
        </w:rPr>
        <w:t>,</w:t>
      </w:r>
      <w:r w:rsidRPr="003264E2">
        <w:rPr>
          <w:rFonts w:cs="Times New Roman"/>
          <w:szCs w:val="24"/>
        </w:rPr>
        <w:t xml:space="preserve"> a ser aplicado en el registro y operación de las empresas ensambladoras de teléfonos móviles de acuerdo a la siguiente tabla:</w:t>
      </w:r>
    </w:p>
    <w:p w14:paraId="5FD73EDE" w14:textId="77777777" w:rsidR="008033D3" w:rsidRDefault="008033D3" w:rsidP="008033D3">
      <w:pPr>
        <w:pStyle w:val="Estilo3"/>
      </w:pPr>
      <w:bookmarkStart w:id="41" w:name="_Toc442343934"/>
      <w:r>
        <w:t>Cuadro 7.</w:t>
      </w:r>
      <w:bookmarkEnd w:id="41"/>
    </w:p>
    <w:p w14:paraId="5F93B21F" w14:textId="77777777" w:rsidR="008033D3" w:rsidRPr="003264E2" w:rsidRDefault="008033D3" w:rsidP="008033D3">
      <w:pPr>
        <w:spacing w:line="360" w:lineRule="auto"/>
        <w:jc w:val="center"/>
        <w:rPr>
          <w:rFonts w:cs="Times New Roman"/>
          <w:szCs w:val="24"/>
        </w:rPr>
      </w:pPr>
      <w:r>
        <w:rPr>
          <w:rFonts w:cs="Times New Roman"/>
          <w:szCs w:val="24"/>
        </w:rPr>
        <w:t>Porcentaje mínimo de integración de partes piezas y software para celulares</w:t>
      </w:r>
    </w:p>
    <w:tbl>
      <w:tblPr>
        <w:tblW w:w="7900" w:type="dxa"/>
        <w:jc w:val="center"/>
        <w:tblCellMar>
          <w:left w:w="70" w:type="dxa"/>
          <w:right w:w="70" w:type="dxa"/>
        </w:tblCellMar>
        <w:tblLook w:val="04A0" w:firstRow="1" w:lastRow="0" w:firstColumn="1" w:lastColumn="0" w:noHBand="0" w:noVBand="1"/>
      </w:tblPr>
      <w:tblGrid>
        <w:gridCol w:w="2660"/>
        <w:gridCol w:w="2680"/>
        <w:gridCol w:w="2560"/>
      </w:tblGrid>
      <w:tr w:rsidR="008033D3" w:rsidRPr="00CA55DA" w14:paraId="4B85010E" w14:textId="77777777" w:rsidTr="009E77CA">
        <w:trPr>
          <w:trHeight w:val="720"/>
          <w:jc w:val="center"/>
        </w:trPr>
        <w:tc>
          <w:tcPr>
            <w:tcW w:w="2660" w:type="dxa"/>
            <w:tcBorders>
              <w:top w:val="single" w:sz="12" w:space="0" w:color="auto"/>
              <w:left w:val="nil"/>
              <w:bottom w:val="single" w:sz="12" w:space="0" w:color="auto"/>
              <w:right w:val="nil"/>
            </w:tcBorders>
            <w:shd w:val="clear" w:color="FFFFFF" w:fill="FFFFFF"/>
            <w:hideMark/>
          </w:tcPr>
          <w:p w14:paraId="4025498C" w14:textId="77777777" w:rsidR="008033D3" w:rsidRPr="00CA55DA" w:rsidRDefault="008033D3" w:rsidP="009E77CA">
            <w:pPr>
              <w:spacing w:after="0" w:line="240" w:lineRule="auto"/>
              <w:rPr>
                <w:rFonts w:eastAsia="Times New Roman" w:cs="Times New Roman"/>
                <w:b/>
                <w:bCs/>
                <w:color w:val="000000"/>
                <w:szCs w:val="24"/>
                <w:lang w:eastAsia="es-ES"/>
              </w:rPr>
            </w:pPr>
            <w:r w:rsidRPr="00CA55DA">
              <w:rPr>
                <w:rFonts w:eastAsia="Times New Roman" w:cs="Times New Roman"/>
                <w:b/>
                <w:bCs/>
                <w:color w:val="000000"/>
                <w:szCs w:val="24"/>
                <w:lang w:eastAsia="es-ES"/>
              </w:rPr>
              <w:t>Categoría</w:t>
            </w:r>
          </w:p>
        </w:tc>
        <w:tc>
          <w:tcPr>
            <w:tcW w:w="2680" w:type="dxa"/>
            <w:tcBorders>
              <w:top w:val="single" w:sz="12" w:space="0" w:color="auto"/>
              <w:left w:val="nil"/>
              <w:bottom w:val="single" w:sz="12" w:space="0" w:color="auto"/>
              <w:right w:val="nil"/>
            </w:tcBorders>
            <w:shd w:val="clear" w:color="FFFFFF" w:fill="FFFFFF"/>
            <w:hideMark/>
          </w:tcPr>
          <w:p w14:paraId="7183441E" w14:textId="77777777" w:rsidR="008033D3" w:rsidRPr="00CA55DA" w:rsidRDefault="008033D3" w:rsidP="009E77CA">
            <w:pPr>
              <w:spacing w:after="0" w:line="240" w:lineRule="auto"/>
              <w:rPr>
                <w:rFonts w:eastAsia="Times New Roman" w:cs="Times New Roman"/>
                <w:b/>
                <w:bCs/>
                <w:color w:val="000000"/>
                <w:szCs w:val="24"/>
                <w:lang w:eastAsia="es-ES"/>
              </w:rPr>
            </w:pPr>
            <w:r w:rsidRPr="00CA55DA">
              <w:rPr>
                <w:rFonts w:eastAsia="Times New Roman" w:cs="Times New Roman"/>
                <w:b/>
                <w:bCs/>
                <w:color w:val="000000"/>
                <w:szCs w:val="24"/>
                <w:lang w:eastAsia="es-ES"/>
              </w:rPr>
              <w:t>Rango Costo CIF* US$</w:t>
            </w:r>
          </w:p>
        </w:tc>
        <w:tc>
          <w:tcPr>
            <w:tcW w:w="2560" w:type="dxa"/>
            <w:tcBorders>
              <w:top w:val="single" w:sz="12" w:space="0" w:color="auto"/>
              <w:left w:val="nil"/>
              <w:bottom w:val="single" w:sz="12" w:space="0" w:color="auto"/>
              <w:right w:val="nil"/>
            </w:tcBorders>
            <w:shd w:val="clear" w:color="FFFFFF" w:fill="FFFFFF"/>
            <w:hideMark/>
          </w:tcPr>
          <w:p w14:paraId="53D91EF2" w14:textId="77777777" w:rsidR="008033D3" w:rsidRPr="00CA55DA" w:rsidRDefault="008033D3" w:rsidP="009E77CA">
            <w:pPr>
              <w:spacing w:after="0" w:line="240" w:lineRule="auto"/>
              <w:rPr>
                <w:rFonts w:eastAsia="Times New Roman" w:cs="Times New Roman"/>
                <w:b/>
                <w:bCs/>
                <w:color w:val="000000"/>
                <w:szCs w:val="24"/>
                <w:lang w:eastAsia="es-ES"/>
              </w:rPr>
            </w:pPr>
            <w:r w:rsidRPr="00CA55DA">
              <w:rPr>
                <w:rFonts w:eastAsia="Times New Roman" w:cs="Times New Roman"/>
                <w:b/>
                <w:bCs/>
                <w:color w:val="000000"/>
                <w:szCs w:val="24"/>
                <w:lang w:eastAsia="es-ES"/>
              </w:rPr>
              <w:t>Porcentaje Mínimo de Arancel Nacional</w:t>
            </w:r>
          </w:p>
        </w:tc>
      </w:tr>
      <w:tr w:rsidR="008033D3" w:rsidRPr="00CA55DA" w14:paraId="4E70BCFB" w14:textId="77777777" w:rsidTr="009E77CA">
        <w:trPr>
          <w:trHeight w:val="495"/>
          <w:jc w:val="center"/>
        </w:trPr>
        <w:tc>
          <w:tcPr>
            <w:tcW w:w="2660" w:type="dxa"/>
            <w:tcBorders>
              <w:top w:val="nil"/>
              <w:left w:val="nil"/>
              <w:bottom w:val="nil"/>
              <w:right w:val="nil"/>
            </w:tcBorders>
            <w:shd w:val="clear" w:color="FFFFFF" w:fill="FFFFFF"/>
            <w:noWrap/>
            <w:hideMark/>
          </w:tcPr>
          <w:p w14:paraId="48865971"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1</w:t>
            </w:r>
          </w:p>
        </w:tc>
        <w:tc>
          <w:tcPr>
            <w:tcW w:w="2680" w:type="dxa"/>
            <w:tcBorders>
              <w:top w:val="nil"/>
              <w:left w:val="nil"/>
              <w:bottom w:val="nil"/>
              <w:right w:val="nil"/>
            </w:tcBorders>
            <w:shd w:val="clear" w:color="FFFFFF" w:fill="FFFFFF"/>
            <w:noWrap/>
            <w:hideMark/>
          </w:tcPr>
          <w:p w14:paraId="65221858"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0-50,99</w:t>
            </w:r>
          </w:p>
        </w:tc>
        <w:tc>
          <w:tcPr>
            <w:tcW w:w="2560" w:type="dxa"/>
            <w:tcBorders>
              <w:top w:val="nil"/>
              <w:left w:val="nil"/>
              <w:bottom w:val="nil"/>
              <w:right w:val="nil"/>
            </w:tcBorders>
            <w:shd w:val="clear" w:color="FFFFFF" w:fill="FFFFFF"/>
            <w:noWrap/>
            <w:hideMark/>
          </w:tcPr>
          <w:p w14:paraId="680CCF11"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24%</w:t>
            </w:r>
          </w:p>
        </w:tc>
      </w:tr>
      <w:tr w:rsidR="008033D3" w:rsidRPr="00CA55DA" w14:paraId="67E5A814" w14:textId="77777777" w:rsidTr="009E77CA">
        <w:trPr>
          <w:trHeight w:val="480"/>
          <w:jc w:val="center"/>
        </w:trPr>
        <w:tc>
          <w:tcPr>
            <w:tcW w:w="2660" w:type="dxa"/>
            <w:tcBorders>
              <w:top w:val="nil"/>
              <w:left w:val="nil"/>
              <w:bottom w:val="single" w:sz="8" w:space="0" w:color="auto"/>
              <w:right w:val="nil"/>
            </w:tcBorders>
            <w:shd w:val="clear" w:color="FFFFFF" w:fill="FFFFFF"/>
            <w:noWrap/>
            <w:hideMark/>
          </w:tcPr>
          <w:p w14:paraId="560EC20C"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2</w:t>
            </w:r>
          </w:p>
        </w:tc>
        <w:tc>
          <w:tcPr>
            <w:tcW w:w="2680" w:type="dxa"/>
            <w:tcBorders>
              <w:top w:val="nil"/>
              <w:left w:val="nil"/>
              <w:bottom w:val="single" w:sz="8" w:space="0" w:color="auto"/>
              <w:right w:val="nil"/>
            </w:tcBorders>
            <w:shd w:val="clear" w:color="FFFFFF" w:fill="FFFFFF"/>
            <w:noWrap/>
            <w:hideMark/>
          </w:tcPr>
          <w:p w14:paraId="0F373089"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˃51</w:t>
            </w:r>
          </w:p>
        </w:tc>
        <w:tc>
          <w:tcPr>
            <w:tcW w:w="2560" w:type="dxa"/>
            <w:tcBorders>
              <w:top w:val="nil"/>
              <w:left w:val="nil"/>
              <w:bottom w:val="single" w:sz="8" w:space="0" w:color="auto"/>
              <w:right w:val="nil"/>
            </w:tcBorders>
            <w:shd w:val="clear" w:color="FFFFFF" w:fill="FFFFFF"/>
            <w:noWrap/>
            <w:hideMark/>
          </w:tcPr>
          <w:p w14:paraId="534DBA01"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13%</w:t>
            </w:r>
          </w:p>
        </w:tc>
      </w:tr>
      <w:tr w:rsidR="008033D3" w:rsidRPr="00CA55DA" w14:paraId="208C1EC5" w14:textId="77777777" w:rsidTr="009E77CA">
        <w:trPr>
          <w:trHeight w:val="675"/>
          <w:jc w:val="center"/>
        </w:trPr>
        <w:tc>
          <w:tcPr>
            <w:tcW w:w="2660" w:type="dxa"/>
            <w:tcBorders>
              <w:top w:val="nil"/>
              <w:left w:val="nil"/>
              <w:bottom w:val="nil"/>
              <w:right w:val="nil"/>
            </w:tcBorders>
            <w:shd w:val="clear" w:color="FFFFFF" w:fill="FFFFFF"/>
            <w:hideMark/>
          </w:tcPr>
          <w:p w14:paraId="706E00CC" w14:textId="49983CB8" w:rsidR="008033D3" w:rsidRPr="00CA55DA" w:rsidRDefault="00EE0310" w:rsidP="009E77CA">
            <w:pPr>
              <w:spacing w:after="0" w:line="240" w:lineRule="auto"/>
              <w:rPr>
                <w:rFonts w:eastAsia="Times New Roman" w:cs="Times New Roman"/>
                <w:color w:val="000000"/>
                <w:sz w:val="16"/>
                <w:szCs w:val="16"/>
                <w:lang w:eastAsia="es-ES"/>
              </w:rPr>
            </w:pPr>
            <w:r w:rsidRPr="00CA55DA">
              <w:rPr>
                <w:rFonts w:eastAsia="Times New Roman" w:cs="Times New Roman"/>
                <w:color w:val="000000"/>
                <w:sz w:val="16"/>
                <w:szCs w:val="16"/>
                <w:lang w:eastAsia="es-ES"/>
              </w:rPr>
              <w:t>Elaborado</w:t>
            </w:r>
            <w:r w:rsidR="008033D3" w:rsidRPr="00CA55DA">
              <w:rPr>
                <w:rFonts w:eastAsia="Times New Roman" w:cs="Times New Roman"/>
                <w:color w:val="000000"/>
                <w:sz w:val="16"/>
                <w:szCs w:val="16"/>
                <w:lang w:eastAsia="es-ES"/>
              </w:rPr>
              <w:t xml:space="preserve"> por: Héctor </w:t>
            </w:r>
            <w:proofErr w:type="spellStart"/>
            <w:r w:rsidR="008033D3" w:rsidRPr="00CA55DA">
              <w:rPr>
                <w:rFonts w:eastAsia="Times New Roman" w:cs="Times New Roman"/>
                <w:color w:val="000000"/>
                <w:sz w:val="16"/>
                <w:szCs w:val="16"/>
                <w:lang w:eastAsia="es-ES"/>
              </w:rPr>
              <w:t>Ruilova</w:t>
            </w:r>
            <w:proofErr w:type="spellEnd"/>
            <w:r w:rsidR="008033D3" w:rsidRPr="00CA55DA">
              <w:rPr>
                <w:rFonts w:eastAsia="Times New Roman" w:cs="Times New Roman"/>
                <w:color w:val="000000"/>
                <w:sz w:val="16"/>
                <w:szCs w:val="16"/>
                <w:lang w:eastAsia="es-ES"/>
              </w:rPr>
              <w:t xml:space="preserve"> Vidal *CIF (</w:t>
            </w:r>
            <w:proofErr w:type="spellStart"/>
            <w:r w:rsidR="008033D3" w:rsidRPr="00CA55DA">
              <w:rPr>
                <w:rFonts w:eastAsia="Times New Roman" w:cs="Times New Roman"/>
                <w:color w:val="000000"/>
                <w:sz w:val="16"/>
                <w:szCs w:val="16"/>
                <w:lang w:eastAsia="es-ES"/>
              </w:rPr>
              <w:t>Cost</w:t>
            </w:r>
            <w:proofErr w:type="spellEnd"/>
            <w:r w:rsidR="008033D3" w:rsidRPr="00CA55DA">
              <w:rPr>
                <w:rFonts w:eastAsia="Times New Roman" w:cs="Times New Roman"/>
                <w:color w:val="000000"/>
                <w:sz w:val="16"/>
                <w:szCs w:val="16"/>
                <w:lang w:eastAsia="es-ES"/>
              </w:rPr>
              <w:t xml:space="preserve">, </w:t>
            </w:r>
            <w:proofErr w:type="spellStart"/>
            <w:r w:rsidR="008033D3" w:rsidRPr="00CA55DA">
              <w:rPr>
                <w:rFonts w:eastAsia="Times New Roman" w:cs="Times New Roman"/>
                <w:color w:val="000000"/>
                <w:sz w:val="16"/>
                <w:szCs w:val="16"/>
                <w:lang w:eastAsia="es-ES"/>
              </w:rPr>
              <w:t>Insurance</w:t>
            </w:r>
            <w:proofErr w:type="spellEnd"/>
            <w:r w:rsidR="008033D3" w:rsidRPr="00CA55DA">
              <w:rPr>
                <w:rFonts w:eastAsia="Times New Roman" w:cs="Times New Roman"/>
                <w:color w:val="000000"/>
                <w:sz w:val="16"/>
                <w:szCs w:val="16"/>
                <w:lang w:eastAsia="es-ES"/>
              </w:rPr>
              <w:t xml:space="preserve"> &amp; </w:t>
            </w:r>
            <w:proofErr w:type="spellStart"/>
            <w:r w:rsidR="008033D3" w:rsidRPr="00CA55DA">
              <w:rPr>
                <w:rFonts w:eastAsia="Times New Roman" w:cs="Times New Roman"/>
                <w:color w:val="000000"/>
                <w:sz w:val="16"/>
                <w:szCs w:val="16"/>
                <w:lang w:eastAsia="es-ES"/>
              </w:rPr>
              <w:t>Freight</w:t>
            </w:r>
            <w:proofErr w:type="spellEnd"/>
            <w:r w:rsidR="008033D3" w:rsidRPr="00CA55DA">
              <w:rPr>
                <w:rFonts w:eastAsia="Times New Roman" w:cs="Times New Roman"/>
                <w:color w:val="000000"/>
                <w:sz w:val="16"/>
                <w:szCs w:val="16"/>
                <w:lang w:eastAsia="es-ES"/>
              </w:rPr>
              <w:t>)</w:t>
            </w:r>
          </w:p>
        </w:tc>
        <w:tc>
          <w:tcPr>
            <w:tcW w:w="2680" w:type="dxa"/>
            <w:tcBorders>
              <w:top w:val="nil"/>
              <w:left w:val="nil"/>
              <w:bottom w:val="nil"/>
              <w:right w:val="nil"/>
            </w:tcBorders>
            <w:shd w:val="clear" w:color="FFFFFF" w:fill="FFFFFF"/>
            <w:noWrap/>
            <w:vAlign w:val="bottom"/>
            <w:hideMark/>
          </w:tcPr>
          <w:p w14:paraId="472183C7" w14:textId="77777777" w:rsidR="008033D3" w:rsidRPr="00CA55DA" w:rsidRDefault="008033D3" w:rsidP="009E77CA">
            <w:pPr>
              <w:spacing w:after="0" w:line="240" w:lineRule="auto"/>
              <w:rPr>
                <w:rFonts w:eastAsia="Times New Roman" w:cs="Times New Roman"/>
                <w:color w:val="000000"/>
                <w:lang w:eastAsia="es-ES"/>
              </w:rPr>
            </w:pPr>
            <w:r w:rsidRPr="00CA55DA">
              <w:rPr>
                <w:rFonts w:eastAsia="Times New Roman" w:cs="Times New Roman"/>
                <w:color w:val="000000"/>
                <w:lang w:eastAsia="es-ES"/>
              </w:rPr>
              <w:t> </w:t>
            </w:r>
          </w:p>
        </w:tc>
        <w:tc>
          <w:tcPr>
            <w:tcW w:w="2560" w:type="dxa"/>
            <w:tcBorders>
              <w:top w:val="nil"/>
              <w:left w:val="nil"/>
              <w:bottom w:val="nil"/>
              <w:right w:val="nil"/>
            </w:tcBorders>
            <w:shd w:val="clear" w:color="FFFFFF" w:fill="FFFFFF"/>
            <w:noWrap/>
            <w:vAlign w:val="bottom"/>
            <w:hideMark/>
          </w:tcPr>
          <w:p w14:paraId="6BC931E5" w14:textId="77777777" w:rsidR="008033D3" w:rsidRPr="00CA55DA" w:rsidRDefault="008033D3" w:rsidP="009E77CA">
            <w:pPr>
              <w:spacing w:after="0" w:line="240" w:lineRule="auto"/>
              <w:rPr>
                <w:rFonts w:eastAsia="Times New Roman" w:cs="Times New Roman"/>
                <w:color w:val="000000"/>
                <w:lang w:eastAsia="es-ES"/>
              </w:rPr>
            </w:pPr>
            <w:r w:rsidRPr="00CA55DA">
              <w:rPr>
                <w:rFonts w:eastAsia="Times New Roman" w:cs="Times New Roman"/>
                <w:color w:val="000000"/>
                <w:lang w:eastAsia="es-ES"/>
              </w:rPr>
              <w:t> </w:t>
            </w:r>
          </w:p>
        </w:tc>
      </w:tr>
    </w:tbl>
    <w:p w14:paraId="3A8539B8" w14:textId="77777777" w:rsidR="008033D3" w:rsidRPr="003264E2" w:rsidRDefault="008033D3" w:rsidP="008033D3">
      <w:pPr>
        <w:spacing w:line="360" w:lineRule="auto"/>
        <w:rPr>
          <w:rFonts w:cs="Times New Roman"/>
          <w:szCs w:val="24"/>
        </w:rPr>
      </w:pPr>
    </w:p>
    <w:p w14:paraId="24040CA1" w14:textId="47C4DE2A" w:rsidR="008033D3" w:rsidRPr="003264E2" w:rsidRDefault="008033D3" w:rsidP="008033D3">
      <w:pPr>
        <w:spacing w:line="360" w:lineRule="auto"/>
        <w:rPr>
          <w:rFonts w:cs="Times New Roman"/>
          <w:szCs w:val="24"/>
        </w:rPr>
      </w:pPr>
      <w:r w:rsidRPr="003264E2">
        <w:rPr>
          <w:rFonts w:cs="Times New Roman"/>
          <w:szCs w:val="24"/>
        </w:rPr>
        <w:t xml:space="preserve">Se establece que los porcentajes mínimos deben ser cumplidos a partir de 1 de diciembre de 2014 en cada una de las unidades ensambladas, sin considerar la fecha de negociación o de embarque de los equipos. En el caso de que las ensambladoras quieran registrar un producto o modelo nuevo se </w:t>
      </w:r>
      <w:r w:rsidR="00EE0310" w:rsidRPr="003264E2">
        <w:rPr>
          <w:rFonts w:cs="Times New Roman"/>
          <w:szCs w:val="24"/>
        </w:rPr>
        <w:t>d</w:t>
      </w:r>
      <w:r w:rsidR="00EE0310">
        <w:rPr>
          <w:rFonts w:cs="Times New Roman"/>
          <w:szCs w:val="24"/>
        </w:rPr>
        <w:t>a</w:t>
      </w:r>
      <w:r w:rsidR="00EE0310" w:rsidRPr="003264E2">
        <w:rPr>
          <w:rFonts w:cs="Times New Roman"/>
          <w:szCs w:val="24"/>
        </w:rPr>
        <w:t xml:space="preserve"> un</w:t>
      </w:r>
      <w:r w:rsidRPr="003264E2">
        <w:rPr>
          <w:rFonts w:cs="Times New Roman"/>
          <w:szCs w:val="24"/>
        </w:rPr>
        <w:t xml:space="preserve"> plazo hasta 4 meses para desarrollar proveedores o implementar desarrollo interno de partes y pizas para cumplir con el porcentaje mínimo. Durante estos cuatro meses las ensambladoras deberán cumplir con al menos el 15% y el 7% de integración nacional para la primera y segunda categorías respectivamente. </w:t>
      </w:r>
    </w:p>
    <w:p w14:paraId="4A654C96" w14:textId="77777777" w:rsidR="008033D3" w:rsidRPr="003264E2" w:rsidRDefault="008033D3" w:rsidP="008033D3">
      <w:pPr>
        <w:spacing w:line="360" w:lineRule="auto"/>
        <w:rPr>
          <w:rFonts w:cs="Times New Roman"/>
          <w:szCs w:val="24"/>
        </w:rPr>
      </w:pPr>
      <w:r w:rsidRPr="003264E2">
        <w:rPr>
          <w:rFonts w:cs="Times New Roman"/>
          <w:szCs w:val="24"/>
        </w:rPr>
        <w:t>A este acuerdo ministerial se le agrega la posibilidad de aceptar como integración nacional o MOE</w:t>
      </w:r>
      <w:r>
        <w:rPr>
          <w:rFonts w:cs="Times New Roman"/>
          <w:szCs w:val="24"/>
        </w:rPr>
        <w:t xml:space="preserve"> (Material Originario Ecuatoriano)</w:t>
      </w:r>
      <w:r w:rsidRPr="003264E2">
        <w:rPr>
          <w:rFonts w:cs="Times New Roman"/>
          <w:szCs w:val="24"/>
        </w:rPr>
        <w:t xml:space="preserve"> de teléfonos celulares al empaque y embalaje, como por ejemplo, protectores, etiquetas, manuales, estuche, mica protectora de pantalla, entre otros. Adicional, se acepta como material originario hasta un 4% de software ecuatoriano</w:t>
      </w:r>
      <w:r>
        <w:rPr>
          <w:rFonts w:cs="Times New Roman"/>
          <w:szCs w:val="24"/>
        </w:rPr>
        <w:t>,</w:t>
      </w:r>
      <w:r w:rsidRPr="003264E2">
        <w:rPr>
          <w:rFonts w:cs="Times New Roman"/>
          <w:szCs w:val="24"/>
        </w:rPr>
        <w:t xml:space="preserve"> como aplicaciones para productos de la primera categoría y hasta un 6% para los productos de la segunda categoría, sin embargo no existe límite para la incorporación de sistema operativo.</w:t>
      </w:r>
      <w:r>
        <w:rPr>
          <w:rFonts w:cs="Times New Roman"/>
          <w:szCs w:val="24"/>
        </w:rPr>
        <w:t xml:space="preserve"> (</w:t>
      </w:r>
      <w:r w:rsidRPr="003264E2">
        <w:rPr>
          <w:rFonts w:cs="Times New Roman"/>
          <w:szCs w:val="24"/>
        </w:rPr>
        <w:t>Anexo</w:t>
      </w:r>
      <w:r>
        <w:rPr>
          <w:rFonts w:cs="Times New Roman"/>
          <w:szCs w:val="24"/>
        </w:rPr>
        <w:t xml:space="preserve"> 5)</w:t>
      </w:r>
    </w:p>
    <w:p w14:paraId="2B37F700" w14:textId="77777777" w:rsidR="008033D3" w:rsidRPr="003264E2" w:rsidRDefault="008033D3" w:rsidP="008033D3">
      <w:pPr>
        <w:spacing w:line="360" w:lineRule="auto"/>
        <w:rPr>
          <w:rFonts w:cs="Times New Roman"/>
          <w:i/>
          <w:szCs w:val="24"/>
        </w:rPr>
      </w:pPr>
      <w:r>
        <w:rPr>
          <w:rFonts w:cs="Times New Roman"/>
          <w:i/>
          <w:szCs w:val="24"/>
        </w:rPr>
        <w:t>1.4.1.5</w:t>
      </w:r>
      <w:r>
        <w:rPr>
          <w:rFonts w:cs="Times New Roman"/>
          <w:i/>
          <w:szCs w:val="24"/>
        </w:rPr>
        <w:tab/>
      </w:r>
      <w:r w:rsidRPr="003264E2">
        <w:rPr>
          <w:rFonts w:cs="Times New Roman"/>
          <w:i/>
          <w:szCs w:val="24"/>
        </w:rPr>
        <w:t>Normativa Gubernamental Resolución 047 COMEX – 17 de diciembre de 2014</w:t>
      </w:r>
    </w:p>
    <w:p w14:paraId="1D0B930B" w14:textId="77777777" w:rsidR="008033D3" w:rsidRPr="003264E2" w:rsidRDefault="008033D3" w:rsidP="008033D3">
      <w:pPr>
        <w:spacing w:line="360" w:lineRule="auto"/>
        <w:rPr>
          <w:rFonts w:cs="Times New Roman"/>
          <w:szCs w:val="24"/>
        </w:rPr>
      </w:pPr>
      <w:r w:rsidRPr="003264E2">
        <w:rPr>
          <w:rFonts w:cs="Times New Roman"/>
          <w:szCs w:val="24"/>
        </w:rPr>
        <w:t>Resuelve prorrogar hasta el 31 de Marzo de 2015 la vigencia de la resolución Nº 67 de COMEX y sus reformas así como también las Resoluciones 100 y 104 del mismo cuerpo legal. Adicional se resuelve los cupos de importación asignados correspond</w:t>
      </w:r>
      <w:r>
        <w:rPr>
          <w:rFonts w:cs="Times New Roman"/>
          <w:szCs w:val="24"/>
        </w:rPr>
        <w:t>en</w:t>
      </w:r>
      <w:r w:rsidRPr="003264E2">
        <w:rPr>
          <w:rFonts w:cs="Times New Roman"/>
          <w:szCs w:val="24"/>
        </w:rPr>
        <w:t xml:space="preserve"> a la cuarta part</w:t>
      </w:r>
      <w:r>
        <w:rPr>
          <w:rFonts w:cs="Times New Roman"/>
          <w:szCs w:val="24"/>
        </w:rPr>
        <w:t>e</w:t>
      </w:r>
      <w:r w:rsidRPr="003264E2">
        <w:rPr>
          <w:rFonts w:cs="Times New Roman"/>
          <w:szCs w:val="24"/>
        </w:rPr>
        <w:t xml:space="preserve"> de los cupos anuales y tendrán vigencia del 1 de enero al 31 de marzo de 2015.</w:t>
      </w:r>
      <w:r>
        <w:rPr>
          <w:rFonts w:cs="Times New Roman"/>
          <w:szCs w:val="24"/>
        </w:rPr>
        <w:t xml:space="preserve"> (</w:t>
      </w:r>
      <w:r w:rsidRPr="003264E2">
        <w:rPr>
          <w:rFonts w:cs="Times New Roman"/>
          <w:szCs w:val="24"/>
        </w:rPr>
        <w:t>Anexo</w:t>
      </w:r>
      <w:r>
        <w:rPr>
          <w:rFonts w:cs="Times New Roman"/>
          <w:szCs w:val="24"/>
        </w:rPr>
        <w:t xml:space="preserve"> 6)</w:t>
      </w:r>
    </w:p>
    <w:p w14:paraId="6014D0E1" w14:textId="77777777" w:rsidR="008033D3" w:rsidRPr="003264E2" w:rsidRDefault="008033D3" w:rsidP="008033D3">
      <w:pPr>
        <w:spacing w:line="360" w:lineRule="auto"/>
        <w:rPr>
          <w:rFonts w:cs="Times New Roman"/>
          <w:i/>
          <w:szCs w:val="24"/>
        </w:rPr>
      </w:pPr>
      <w:r>
        <w:rPr>
          <w:rFonts w:cs="Times New Roman"/>
          <w:i/>
          <w:szCs w:val="24"/>
        </w:rPr>
        <w:t>1.4.1.6</w:t>
      </w:r>
      <w:r>
        <w:rPr>
          <w:rFonts w:cs="Times New Roman"/>
          <w:i/>
          <w:szCs w:val="24"/>
        </w:rPr>
        <w:tab/>
      </w:r>
      <w:r w:rsidRPr="003264E2">
        <w:rPr>
          <w:rFonts w:cs="Times New Roman"/>
          <w:i/>
          <w:szCs w:val="24"/>
        </w:rPr>
        <w:t xml:space="preserve">Nota Complementaria Nacional CKD Celulares – 01 de febrero 2015  </w:t>
      </w:r>
    </w:p>
    <w:p w14:paraId="199E374F" w14:textId="77777777" w:rsidR="008033D3" w:rsidRPr="003264E2" w:rsidRDefault="008033D3" w:rsidP="008033D3">
      <w:pPr>
        <w:spacing w:line="360" w:lineRule="auto"/>
        <w:rPr>
          <w:rFonts w:cs="Times New Roman"/>
          <w:szCs w:val="24"/>
        </w:rPr>
      </w:pPr>
      <w:r w:rsidRPr="003264E2">
        <w:rPr>
          <w:rFonts w:cs="Times New Roman"/>
          <w:szCs w:val="24"/>
        </w:rPr>
        <w:t>En esta nota se sustituye la anterior Nota Complementaria Nacional y se redefine legalmente el concepto CKD</w:t>
      </w:r>
      <w:r>
        <w:rPr>
          <w:rFonts w:cs="Times New Roman"/>
          <w:szCs w:val="24"/>
        </w:rPr>
        <w:t xml:space="preserve"> para teléfonos celulares como </w:t>
      </w:r>
      <w:r w:rsidRPr="003264E2">
        <w:rPr>
          <w:rFonts w:cs="Times New Roman"/>
          <w:szCs w:val="24"/>
        </w:rPr>
        <w:t>teléfonos móviles (celulares), al conjunto de partes que serán soldadas, ensambladas o atornilladas y que contengan como mínimo las siguientes partes desensambladas: pantalla (</w:t>
      </w:r>
      <w:proofErr w:type="spellStart"/>
      <w:r w:rsidRPr="008E3E12">
        <w:rPr>
          <w:rFonts w:cs="Times New Roman"/>
          <w:i/>
          <w:szCs w:val="24"/>
        </w:rPr>
        <w:t>display</w:t>
      </w:r>
      <w:proofErr w:type="spellEnd"/>
      <w:r w:rsidRPr="008E3E12">
        <w:rPr>
          <w:rFonts w:cs="Times New Roman"/>
          <w:szCs w:val="24"/>
        </w:rPr>
        <w:t>)</w:t>
      </w:r>
      <w:r w:rsidRPr="008E3E12">
        <w:rPr>
          <w:rFonts w:cs="Times New Roman"/>
          <w:i/>
          <w:szCs w:val="24"/>
        </w:rPr>
        <w:t xml:space="preserve"> </w:t>
      </w:r>
      <w:r w:rsidRPr="003264E2">
        <w:rPr>
          <w:rFonts w:cs="Times New Roman"/>
          <w:szCs w:val="24"/>
        </w:rPr>
        <w:t xml:space="preserve">y tarjeta electrónica principal; e importadas por empresas ensambladoras de teléfonos móviles (celulares) que estén debidamente registradas en el Ministerio de </w:t>
      </w:r>
      <w:r>
        <w:rPr>
          <w:rFonts w:cs="Times New Roman"/>
          <w:szCs w:val="24"/>
        </w:rPr>
        <w:t>I</w:t>
      </w:r>
      <w:r w:rsidRPr="003264E2">
        <w:rPr>
          <w:rFonts w:cs="Times New Roman"/>
          <w:szCs w:val="24"/>
        </w:rPr>
        <w:t xml:space="preserve">ndustrias y </w:t>
      </w:r>
      <w:r>
        <w:rPr>
          <w:rFonts w:cs="Times New Roman"/>
          <w:szCs w:val="24"/>
        </w:rPr>
        <w:t>P</w:t>
      </w:r>
      <w:r w:rsidRPr="003264E2">
        <w:rPr>
          <w:rFonts w:cs="Times New Roman"/>
          <w:szCs w:val="24"/>
        </w:rPr>
        <w:t xml:space="preserve">roductividad, de conformidad con la </w:t>
      </w:r>
      <w:r w:rsidRPr="003264E2">
        <w:rPr>
          <w:rFonts w:cs="Times New Roman"/>
          <w:szCs w:val="24"/>
        </w:rPr>
        <w:lastRenderedPageBreak/>
        <w:t>legislación pertinente.</w:t>
      </w:r>
      <w:r>
        <w:rPr>
          <w:rFonts w:cs="Times New Roman"/>
          <w:szCs w:val="24"/>
        </w:rPr>
        <w:t xml:space="preserve"> </w:t>
      </w:r>
      <w:r w:rsidRPr="003264E2">
        <w:rPr>
          <w:rFonts w:cs="Times New Roman"/>
          <w:szCs w:val="24"/>
        </w:rPr>
        <w:t>Estas partes y piezas pueden tener uno o varios orígenes, deben llegar en un solo embarque, y cumplir con las siguientes condiciones:</w:t>
      </w:r>
    </w:p>
    <w:p w14:paraId="65BC96EE" w14:textId="77777777" w:rsidR="008033D3" w:rsidRPr="003264E2" w:rsidRDefault="008033D3" w:rsidP="008033D3">
      <w:pPr>
        <w:pStyle w:val="Prrafodelista"/>
        <w:numPr>
          <w:ilvl w:val="0"/>
          <w:numId w:val="5"/>
        </w:numPr>
        <w:spacing w:line="360" w:lineRule="auto"/>
        <w:rPr>
          <w:rFonts w:cs="Times New Roman"/>
          <w:szCs w:val="24"/>
        </w:rPr>
      </w:pPr>
      <w:r w:rsidRPr="003264E2">
        <w:rPr>
          <w:rFonts w:cs="Times New Roman"/>
          <w:szCs w:val="24"/>
        </w:rPr>
        <w:t>Que forme parte del mismo conjunto completo de CKD;</w:t>
      </w:r>
    </w:p>
    <w:p w14:paraId="0EF7225F" w14:textId="77777777" w:rsidR="008033D3" w:rsidRPr="003264E2" w:rsidRDefault="008033D3" w:rsidP="008033D3">
      <w:pPr>
        <w:pStyle w:val="Prrafodelista"/>
        <w:numPr>
          <w:ilvl w:val="0"/>
          <w:numId w:val="5"/>
        </w:numPr>
        <w:spacing w:line="360" w:lineRule="auto"/>
        <w:rPr>
          <w:rFonts w:cs="Times New Roman"/>
          <w:szCs w:val="24"/>
        </w:rPr>
      </w:pPr>
      <w:r w:rsidRPr="003264E2">
        <w:rPr>
          <w:rFonts w:cs="Times New Roman"/>
          <w:szCs w:val="24"/>
        </w:rPr>
        <w:t>Que sean modelos de CKD autorizados por el MIPRO y notificados al SENAE;</w:t>
      </w:r>
    </w:p>
    <w:p w14:paraId="39EE5E4B" w14:textId="77777777" w:rsidR="008033D3" w:rsidRPr="008E3E12" w:rsidRDefault="008033D3" w:rsidP="008033D3">
      <w:pPr>
        <w:pStyle w:val="Prrafodelista"/>
        <w:numPr>
          <w:ilvl w:val="0"/>
          <w:numId w:val="5"/>
        </w:numPr>
        <w:spacing w:line="360" w:lineRule="auto"/>
        <w:rPr>
          <w:rFonts w:cs="Times New Roman"/>
          <w:szCs w:val="24"/>
        </w:rPr>
      </w:pPr>
      <w:r w:rsidRPr="003264E2">
        <w:rPr>
          <w:rFonts w:cs="Times New Roman"/>
          <w:szCs w:val="24"/>
        </w:rPr>
        <w:t>Que estén destinados exclusivamente al ensamblaje de teléfonos móviles.</w:t>
      </w:r>
      <w:r>
        <w:rPr>
          <w:rFonts w:cs="Times New Roman"/>
          <w:szCs w:val="24"/>
        </w:rPr>
        <w:t xml:space="preserve"> </w:t>
      </w:r>
      <w:r w:rsidRPr="008E3E12">
        <w:rPr>
          <w:rFonts w:cs="Times New Roman"/>
          <w:szCs w:val="24"/>
        </w:rPr>
        <w:t>(Anexo 7)</w:t>
      </w:r>
    </w:p>
    <w:p w14:paraId="08A43D8A" w14:textId="77777777" w:rsidR="008033D3" w:rsidRPr="003264E2" w:rsidRDefault="008033D3" w:rsidP="008033D3">
      <w:pPr>
        <w:spacing w:line="360" w:lineRule="auto"/>
        <w:rPr>
          <w:rFonts w:cs="Times New Roman"/>
          <w:i/>
          <w:szCs w:val="24"/>
        </w:rPr>
      </w:pPr>
      <w:r>
        <w:rPr>
          <w:rFonts w:cs="Times New Roman"/>
          <w:i/>
          <w:szCs w:val="24"/>
        </w:rPr>
        <w:t>1.4.1.7</w:t>
      </w:r>
      <w:r>
        <w:rPr>
          <w:rFonts w:cs="Times New Roman"/>
          <w:i/>
          <w:szCs w:val="24"/>
        </w:rPr>
        <w:tab/>
      </w:r>
      <w:r w:rsidRPr="003264E2">
        <w:rPr>
          <w:rFonts w:cs="Times New Roman"/>
          <w:i/>
          <w:szCs w:val="24"/>
        </w:rPr>
        <w:t>Resolución 024-2015 del COMEX Ampliación de Cupos a Operadoras – 30 de mayo de 2015</w:t>
      </w:r>
    </w:p>
    <w:p w14:paraId="1FD985E4" w14:textId="77777777" w:rsidR="008033D3" w:rsidRPr="003264E2" w:rsidRDefault="008033D3" w:rsidP="008033D3">
      <w:pPr>
        <w:spacing w:line="360" w:lineRule="auto"/>
        <w:rPr>
          <w:rFonts w:cs="Times New Roman"/>
          <w:szCs w:val="24"/>
        </w:rPr>
      </w:pPr>
      <w:r w:rsidRPr="003264E2">
        <w:rPr>
          <w:rFonts w:cs="Times New Roman"/>
          <w:szCs w:val="24"/>
        </w:rPr>
        <w:t>El 30 de mayo de 2015 se reinstaló el pleno del COMEX para debatir sobre los cupos de importación para teléfonos celulares</w:t>
      </w:r>
      <w:r>
        <w:rPr>
          <w:rFonts w:cs="Times New Roman"/>
          <w:szCs w:val="24"/>
        </w:rPr>
        <w:t>,</w:t>
      </w:r>
      <w:r w:rsidRPr="003264E2">
        <w:rPr>
          <w:rFonts w:cs="Times New Roman"/>
          <w:szCs w:val="24"/>
        </w:rPr>
        <w:t xml:space="preserve"> sesión en la cual no se aprobó el informe previamente recibido poniendo en su lugar una renovación de los cupos hasta el 31 de diciembre de 2015 con una ampliación para celulares inteligentes. Adicionalmente se prorroga también la vigencia de los cupos adicionales por reciclaje previstos (Resoluciones 100 y 104 del COMEX) cuya asignación se dará conforme especifican las resoluciones aprobadas. Es decir que</w:t>
      </w:r>
      <w:r>
        <w:rPr>
          <w:rFonts w:cs="Times New Roman"/>
          <w:szCs w:val="24"/>
        </w:rPr>
        <w:t>,</w:t>
      </w:r>
      <w:r w:rsidRPr="003264E2">
        <w:rPr>
          <w:rFonts w:cs="Times New Roman"/>
          <w:szCs w:val="24"/>
        </w:rPr>
        <w:t xml:space="preserve"> el COMEX </w:t>
      </w:r>
      <w:r>
        <w:rPr>
          <w:rFonts w:cs="Times New Roman"/>
          <w:szCs w:val="24"/>
        </w:rPr>
        <w:t>decidió</w:t>
      </w:r>
      <w:r w:rsidRPr="003264E2">
        <w:rPr>
          <w:rFonts w:cs="Times New Roman"/>
          <w:szCs w:val="24"/>
        </w:rPr>
        <w:t xml:space="preserve"> postergar los cupos de importación de celulares terminados incluyendo los celulares que estaban autorizados la importación por cupos de reciclaje de equipos evitando que las operadoras puedan importar libremente equipos celulares hasta diciembre de 2015.</w:t>
      </w:r>
      <w:r>
        <w:rPr>
          <w:rFonts w:cs="Times New Roman"/>
          <w:szCs w:val="24"/>
        </w:rPr>
        <w:t xml:space="preserve"> (</w:t>
      </w:r>
      <w:r w:rsidRPr="003264E2">
        <w:rPr>
          <w:rFonts w:cs="Times New Roman"/>
          <w:szCs w:val="24"/>
        </w:rPr>
        <w:t>Anexo</w:t>
      </w:r>
      <w:r>
        <w:rPr>
          <w:rFonts w:cs="Times New Roman"/>
          <w:szCs w:val="24"/>
        </w:rPr>
        <w:t xml:space="preserve"> 8)</w:t>
      </w:r>
    </w:p>
    <w:p w14:paraId="76F23C7D" w14:textId="77777777" w:rsidR="008033D3" w:rsidRPr="003264E2" w:rsidRDefault="008033D3" w:rsidP="008033D3">
      <w:pPr>
        <w:spacing w:line="360" w:lineRule="auto"/>
        <w:rPr>
          <w:rFonts w:cs="Times New Roman"/>
          <w:i/>
          <w:szCs w:val="24"/>
        </w:rPr>
      </w:pPr>
      <w:r>
        <w:rPr>
          <w:rFonts w:cs="Times New Roman"/>
          <w:i/>
          <w:szCs w:val="24"/>
        </w:rPr>
        <w:t>1.4.1.8</w:t>
      </w:r>
      <w:r>
        <w:rPr>
          <w:rFonts w:cs="Times New Roman"/>
          <w:i/>
          <w:szCs w:val="24"/>
        </w:rPr>
        <w:tab/>
      </w:r>
      <w:r w:rsidRPr="003264E2">
        <w:rPr>
          <w:rFonts w:cs="Times New Roman"/>
          <w:i/>
          <w:szCs w:val="24"/>
        </w:rPr>
        <w:t>Resolución 049-2015 del COMEX Cuota global de celulares para 2016</w:t>
      </w:r>
      <w:r>
        <w:rPr>
          <w:rFonts w:cs="Times New Roman"/>
          <w:i/>
          <w:szCs w:val="24"/>
        </w:rPr>
        <w:t xml:space="preserve"> - </w:t>
      </w:r>
      <w:r w:rsidRPr="00CE36FD">
        <w:rPr>
          <w:rFonts w:cs="Times New Roman"/>
          <w:i/>
          <w:szCs w:val="24"/>
        </w:rPr>
        <w:t>1 de Enero 2016</w:t>
      </w:r>
    </w:p>
    <w:p w14:paraId="46077E3F" w14:textId="77777777" w:rsidR="008033D3" w:rsidRPr="003264E2" w:rsidRDefault="008033D3" w:rsidP="008033D3">
      <w:pPr>
        <w:spacing w:line="360" w:lineRule="auto"/>
        <w:rPr>
          <w:rFonts w:cs="Times New Roman"/>
          <w:szCs w:val="24"/>
        </w:rPr>
      </w:pPr>
      <w:r w:rsidRPr="003264E2">
        <w:rPr>
          <w:rFonts w:cs="Times New Roman"/>
          <w:szCs w:val="24"/>
        </w:rPr>
        <w:t xml:space="preserve">Establece una cuota global para la importación a consumo de teléfonos celulares equivalente a </w:t>
      </w:r>
      <w:r>
        <w:rPr>
          <w:rFonts w:cs="Times New Roman"/>
          <w:szCs w:val="24"/>
        </w:rPr>
        <w:t>US$250 millones en valor FO</w:t>
      </w:r>
      <w:r w:rsidRPr="003264E2">
        <w:rPr>
          <w:rFonts w:cs="Times New Roman"/>
          <w:szCs w:val="24"/>
        </w:rPr>
        <w:t xml:space="preserve">B, que no podrá superar el total de 2´633.762 unidades físicas para Smartphone, </w:t>
      </w:r>
      <w:proofErr w:type="spellStart"/>
      <w:r w:rsidRPr="008E3E12">
        <w:rPr>
          <w:rFonts w:cs="Times New Roman"/>
          <w:i/>
          <w:szCs w:val="24"/>
        </w:rPr>
        <w:t>feature</w:t>
      </w:r>
      <w:proofErr w:type="spellEnd"/>
      <w:r w:rsidRPr="008E3E12">
        <w:rPr>
          <w:rFonts w:cs="Times New Roman"/>
          <w:i/>
          <w:szCs w:val="24"/>
        </w:rPr>
        <w:t xml:space="preserve"> </w:t>
      </w:r>
      <w:proofErr w:type="spellStart"/>
      <w:r w:rsidRPr="008E3E12">
        <w:rPr>
          <w:rFonts w:cs="Times New Roman"/>
          <w:i/>
          <w:szCs w:val="24"/>
        </w:rPr>
        <w:t>phones</w:t>
      </w:r>
      <w:proofErr w:type="spellEnd"/>
      <w:r w:rsidRPr="003264E2">
        <w:rPr>
          <w:rFonts w:cs="Times New Roman"/>
          <w:szCs w:val="24"/>
        </w:rPr>
        <w:t xml:space="preserve"> (teléfonos básicos) y teléfonos de otras redes inalámbricas. </w:t>
      </w:r>
      <w:r>
        <w:rPr>
          <w:rFonts w:cs="Times New Roman"/>
          <w:szCs w:val="24"/>
        </w:rPr>
        <w:t>En el caso de personas naturales l</w:t>
      </w:r>
      <w:r w:rsidRPr="003264E2">
        <w:rPr>
          <w:rFonts w:cs="Times New Roman"/>
          <w:szCs w:val="24"/>
        </w:rPr>
        <w:t>a restricción aplicará a la importación con documento de identidad ecuatoriana a través del tráfico postal internacional, mensajería acelerada y las que ingresen por salas de arribo internacional de pasajeros, pasos fronterizos o puertos marítimos hasta una unidad por año fiscal. Están exentos de la norma los pasajeros que los traigan como objetos personales.</w:t>
      </w:r>
    </w:p>
    <w:p w14:paraId="28831406" w14:textId="77777777" w:rsidR="008033D3" w:rsidRDefault="008033D3" w:rsidP="008033D3">
      <w:pPr>
        <w:spacing w:line="360" w:lineRule="auto"/>
        <w:rPr>
          <w:rFonts w:cs="Times New Roman"/>
          <w:szCs w:val="24"/>
        </w:rPr>
      </w:pPr>
      <w:r w:rsidRPr="003264E2">
        <w:rPr>
          <w:rFonts w:cs="Times New Roman"/>
          <w:szCs w:val="24"/>
        </w:rPr>
        <w:lastRenderedPageBreak/>
        <w:t>Las cuotas establecidas para la importación de teléfonos celulares estarán d</w:t>
      </w:r>
      <w:r>
        <w:rPr>
          <w:rFonts w:cs="Times New Roman"/>
          <w:szCs w:val="24"/>
        </w:rPr>
        <w:t>istribuidas respectivamente en cuatro</w:t>
      </w:r>
      <w:r w:rsidRPr="003264E2">
        <w:rPr>
          <w:rFonts w:cs="Times New Roman"/>
          <w:szCs w:val="24"/>
        </w:rPr>
        <w:t xml:space="preserve"> cupos trimestrales, cuyos saldos no utilizados serán acumulables y la cuota se distribuirá de la siguiente forma:</w:t>
      </w:r>
    </w:p>
    <w:p w14:paraId="47A3FB8D" w14:textId="77777777" w:rsidR="008033D3" w:rsidRDefault="008033D3" w:rsidP="008033D3">
      <w:pPr>
        <w:pStyle w:val="Estilo3"/>
      </w:pPr>
      <w:bookmarkStart w:id="42" w:name="_Toc442343935"/>
      <w:r>
        <w:t>Cuadro 8.</w:t>
      </w:r>
      <w:bookmarkEnd w:id="42"/>
    </w:p>
    <w:p w14:paraId="78F63419" w14:textId="77777777" w:rsidR="008033D3" w:rsidRPr="003264E2" w:rsidRDefault="008033D3" w:rsidP="008033D3">
      <w:pPr>
        <w:spacing w:line="360" w:lineRule="auto"/>
        <w:jc w:val="center"/>
        <w:rPr>
          <w:rFonts w:cs="Times New Roman"/>
          <w:szCs w:val="24"/>
        </w:rPr>
      </w:pPr>
      <w:r>
        <w:rPr>
          <w:rFonts w:cs="Times New Roman"/>
          <w:szCs w:val="24"/>
        </w:rPr>
        <w:t>Cupos trimestrales y cuotas establecidas para la importación de celulares</w:t>
      </w:r>
    </w:p>
    <w:tbl>
      <w:tblPr>
        <w:tblW w:w="9591" w:type="dxa"/>
        <w:jc w:val="center"/>
        <w:tblCellMar>
          <w:left w:w="70" w:type="dxa"/>
          <w:right w:w="70" w:type="dxa"/>
        </w:tblCellMar>
        <w:tblLook w:val="04A0" w:firstRow="1" w:lastRow="0" w:firstColumn="1" w:lastColumn="0" w:noHBand="0" w:noVBand="1"/>
      </w:tblPr>
      <w:tblGrid>
        <w:gridCol w:w="2425"/>
        <w:gridCol w:w="2317"/>
        <w:gridCol w:w="2409"/>
        <w:gridCol w:w="2440"/>
      </w:tblGrid>
      <w:tr w:rsidR="008033D3" w:rsidRPr="00A87D66" w14:paraId="2C916B06" w14:textId="77777777" w:rsidTr="009E77CA">
        <w:trPr>
          <w:trHeight w:val="570"/>
          <w:jc w:val="center"/>
        </w:trPr>
        <w:tc>
          <w:tcPr>
            <w:tcW w:w="2425" w:type="dxa"/>
            <w:tcBorders>
              <w:top w:val="single" w:sz="12" w:space="0" w:color="auto"/>
              <w:left w:val="nil"/>
              <w:bottom w:val="single" w:sz="12" w:space="0" w:color="auto"/>
              <w:right w:val="nil"/>
            </w:tcBorders>
            <w:shd w:val="clear" w:color="FFFFFF" w:fill="FFFFFF"/>
            <w:noWrap/>
            <w:hideMark/>
          </w:tcPr>
          <w:p w14:paraId="1839A828" w14:textId="77777777" w:rsidR="008033D3" w:rsidRPr="00A87D66" w:rsidRDefault="008033D3" w:rsidP="009E77CA">
            <w:pPr>
              <w:spacing w:after="0" w:line="240" w:lineRule="auto"/>
              <w:rPr>
                <w:rFonts w:eastAsia="Times New Roman" w:cs="Times New Roman"/>
                <w:b/>
                <w:bCs/>
                <w:color w:val="000000"/>
                <w:szCs w:val="24"/>
                <w:lang w:eastAsia="es-ES"/>
              </w:rPr>
            </w:pPr>
            <w:r w:rsidRPr="00A87D66">
              <w:rPr>
                <w:rFonts w:eastAsia="Times New Roman" w:cs="Times New Roman"/>
                <w:b/>
                <w:bCs/>
                <w:color w:val="000000"/>
                <w:szCs w:val="24"/>
                <w:lang w:eastAsia="es-ES"/>
              </w:rPr>
              <w:t>Primer Trimestre</w:t>
            </w:r>
          </w:p>
        </w:tc>
        <w:tc>
          <w:tcPr>
            <w:tcW w:w="2317" w:type="dxa"/>
            <w:tcBorders>
              <w:top w:val="single" w:sz="12" w:space="0" w:color="auto"/>
              <w:left w:val="nil"/>
              <w:bottom w:val="single" w:sz="12" w:space="0" w:color="auto"/>
              <w:right w:val="nil"/>
            </w:tcBorders>
            <w:shd w:val="clear" w:color="FFFFFF" w:fill="FFFFFF"/>
            <w:noWrap/>
            <w:hideMark/>
          </w:tcPr>
          <w:p w14:paraId="76F4D0C8" w14:textId="77777777" w:rsidR="008033D3" w:rsidRPr="00A87D66" w:rsidRDefault="008033D3" w:rsidP="009E77CA">
            <w:pPr>
              <w:spacing w:after="0" w:line="240" w:lineRule="auto"/>
              <w:rPr>
                <w:rFonts w:eastAsia="Times New Roman" w:cs="Times New Roman"/>
                <w:b/>
                <w:bCs/>
                <w:color w:val="000000"/>
                <w:szCs w:val="24"/>
                <w:lang w:eastAsia="es-ES"/>
              </w:rPr>
            </w:pPr>
            <w:r w:rsidRPr="00A87D66">
              <w:rPr>
                <w:rFonts w:eastAsia="Times New Roman" w:cs="Times New Roman"/>
                <w:b/>
                <w:bCs/>
                <w:color w:val="000000"/>
                <w:szCs w:val="24"/>
                <w:lang w:eastAsia="es-ES"/>
              </w:rPr>
              <w:t>Segundo Trimestre</w:t>
            </w:r>
          </w:p>
        </w:tc>
        <w:tc>
          <w:tcPr>
            <w:tcW w:w="2409" w:type="dxa"/>
            <w:tcBorders>
              <w:top w:val="single" w:sz="12" w:space="0" w:color="000000" w:themeColor="text1"/>
              <w:left w:val="nil"/>
              <w:bottom w:val="nil"/>
              <w:right w:val="nil"/>
            </w:tcBorders>
            <w:shd w:val="clear" w:color="FFFFFF" w:fill="FFFFFF"/>
            <w:noWrap/>
            <w:hideMark/>
          </w:tcPr>
          <w:p w14:paraId="28FA8916" w14:textId="77777777" w:rsidR="008033D3" w:rsidRPr="00A87D66" w:rsidRDefault="008033D3" w:rsidP="009E77CA">
            <w:pPr>
              <w:spacing w:after="0" w:line="240" w:lineRule="auto"/>
              <w:rPr>
                <w:rFonts w:eastAsia="Times New Roman" w:cs="Times New Roman"/>
                <w:b/>
                <w:bCs/>
                <w:color w:val="000000"/>
                <w:szCs w:val="24"/>
                <w:lang w:eastAsia="es-ES"/>
              </w:rPr>
            </w:pPr>
            <w:r w:rsidRPr="00A87D66">
              <w:rPr>
                <w:rFonts w:eastAsia="Times New Roman" w:cs="Times New Roman"/>
                <w:b/>
                <w:bCs/>
                <w:color w:val="000000"/>
                <w:szCs w:val="24"/>
                <w:lang w:eastAsia="es-ES"/>
              </w:rPr>
              <w:t>Tercer Trimestre</w:t>
            </w:r>
          </w:p>
        </w:tc>
        <w:tc>
          <w:tcPr>
            <w:tcW w:w="2440" w:type="dxa"/>
            <w:tcBorders>
              <w:top w:val="single" w:sz="12" w:space="0" w:color="auto"/>
              <w:left w:val="nil"/>
              <w:bottom w:val="single" w:sz="12" w:space="0" w:color="auto"/>
              <w:right w:val="nil"/>
            </w:tcBorders>
            <w:shd w:val="clear" w:color="FFFFFF" w:fill="FFFFFF"/>
            <w:noWrap/>
            <w:hideMark/>
          </w:tcPr>
          <w:p w14:paraId="2E69D15B" w14:textId="77777777" w:rsidR="008033D3" w:rsidRPr="00A87D66" w:rsidRDefault="008033D3" w:rsidP="009E77CA">
            <w:pPr>
              <w:spacing w:after="0" w:line="240" w:lineRule="auto"/>
              <w:rPr>
                <w:rFonts w:eastAsia="Times New Roman" w:cs="Times New Roman"/>
                <w:b/>
                <w:bCs/>
                <w:color w:val="000000"/>
                <w:szCs w:val="24"/>
                <w:lang w:eastAsia="es-ES"/>
              </w:rPr>
            </w:pPr>
            <w:r w:rsidRPr="00A87D66">
              <w:rPr>
                <w:rFonts w:eastAsia="Times New Roman" w:cs="Times New Roman"/>
                <w:b/>
                <w:bCs/>
                <w:color w:val="000000"/>
                <w:szCs w:val="24"/>
                <w:lang w:eastAsia="es-ES"/>
              </w:rPr>
              <w:t>Cuarto Trimestre</w:t>
            </w:r>
          </w:p>
        </w:tc>
      </w:tr>
      <w:tr w:rsidR="008033D3" w:rsidRPr="00A87D66" w14:paraId="0811D289" w14:textId="77777777" w:rsidTr="009E77CA">
        <w:trPr>
          <w:trHeight w:val="510"/>
          <w:jc w:val="center"/>
        </w:trPr>
        <w:tc>
          <w:tcPr>
            <w:tcW w:w="2425" w:type="dxa"/>
            <w:tcBorders>
              <w:top w:val="nil"/>
              <w:left w:val="nil"/>
              <w:bottom w:val="nil"/>
              <w:right w:val="nil"/>
            </w:tcBorders>
            <w:shd w:val="clear" w:color="FFFFFF" w:fill="FFFFFF"/>
            <w:noWrap/>
            <w:hideMark/>
          </w:tcPr>
          <w:p w14:paraId="61C38C49" w14:textId="77777777" w:rsidR="008033D3" w:rsidRPr="00A87D66" w:rsidRDefault="008033D3" w:rsidP="009E77CA">
            <w:pPr>
              <w:spacing w:after="0" w:line="240" w:lineRule="auto"/>
              <w:rPr>
                <w:rFonts w:eastAsia="Times New Roman" w:cs="Times New Roman"/>
                <w:color w:val="000000"/>
                <w:szCs w:val="24"/>
                <w:lang w:eastAsia="es-ES"/>
              </w:rPr>
            </w:pPr>
            <w:r w:rsidRPr="00A87D66">
              <w:rPr>
                <w:rFonts w:eastAsia="Times New Roman" w:cs="Times New Roman"/>
                <w:color w:val="000000"/>
                <w:szCs w:val="24"/>
                <w:lang w:eastAsia="es-ES"/>
              </w:rPr>
              <w:t>US$50 MILLONES</w:t>
            </w:r>
          </w:p>
        </w:tc>
        <w:tc>
          <w:tcPr>
            <w:tcW w:w="2317" w:type="dxa"/>
            <w:tcBorders>
              <w:top w:val="nil"/>
              <w:left w:val="nil"/>
              <w:bottom w:val="nil"/>
              <w:right w:val="nil"/>
            </w:tcBorders>
            <w:shd w:val="clear" w:color="FFFFFF" w:fill="FFFFFF"/>
            <w:noWrap/>
            <w:hideMark/>
          </w:tcPr>
          <w:p w14:paraId="25E9B4D2" w14:textId="77777777" w:rsidR="008033D3" w:rsidRPr="00A87D66" w:rsidRDefault="008033D3" w:rsidP="009E77CA">
            <w:pPr>
              <w:spacing w:after="0" w:line="240" w:lineRule="auto"/>
              <w:rPr>
                <w:rFonts w:eastAsia="Times New Roman" w:cs="Times New Roman"/>
                <w:color w:val="000000"/>
                <w:szCs w:val="24"/>
                <w:lang w:eastAsia="es-ES"/>
              </w:rPr>
            </w:pPr>
            <w:r w:rsidRPr="00A87D66">
              <w:rPr>
                <w:rFonts w:eastAsia="Times New Roman" w:cs="Times New Roman"/>
                <w:color w:val="000000"/>
                <w:szCs w:val="24"/>
                <w:lang w:eastAsia="es-ES"/>
              </w:rPr>
              <w:t xml:space="preserve">US$74 MILLONES </w:t>
            </w:r>
          </w:p>
        </w:tc>
        <w:tc>
          <w:tcPr>
            <w:tcW w:w="2409" w:type="dxa"/>
            <w:tcBorders>
              <w:top w:val="single" w:sz="12" w:space="0" w:color="auto"/>
              <w:left w:val="nil"/>
              <w:bottom w:val="nil"/>
              <w:right w:val="nil"/>
            </w:tcBorders>
            <w:shd w:val="clear" w:color="FFFFFF" w:fill="FFFFFF"/>
            <w:noWrap/>
            <w:hideMark/>
          </w:tcPr>
          <w:p w14:paraId="11CAB023" w14:textId="77777777" w:rsidR="008033D3" w:rsidRPr="00A87D66" w:rsidRDefault="008033D3" w:rsidP="009E77CA">
            <w:pPr>
              <w:spacing w:after="0" w:line="240" w:lineRule="auto"/>
              <w:rPr>
                <w:rFonts w:eastAsia="Times New Roman" w:cs="Times New Roman"/>
                <w:color w:val="000000"/>
                <w:szCs w:val="24"/>
                <w:lang w:eastAsia="es-ES"/>
              </w:rPr>
            </w:pPr>
            <w:r w:rsidRPr="00A87D66">
              <w:rPr>
                <w:rFonts w:eastAsia="Times New Roman" w:cs="Times New Roman"/>
                <w:color w:val="000000"/>
                <w:szCs w:val="24"/>
                <w:lang w:eastAsia="es-ES"/>
              </w:rPr>
              <w:t xml:space="preserve">US$52 MILLONES </w:t>
            </w:r>
          </w:p>
        </w:tc>
        <w:tc>
          <w:tcPr>
            <w:tcW w:w="2440" w:type="dxa"/>
            <w:tcBorders>
              <w:top w:val="nil"/>
              <w:left w:val="nil"/>
              <w:bottom w:val="nil"/>
              <w:right w:val="nil"/>
            </w:tcBorders>
            <w:shd w:val="clear" w:color="FFFFFF" w:fill="FFFFFF"/>
            <w:noWrap/>
            <w:hideMark/>
          </w:tcPr>
          <w:p w14:paraId="27D3EC02" w14:textId="77777777" w:rsidR="008033D3" w:rsidRPr="00A87D66" w:rsidRDefault="008033D3" w:rsidP="009E77CA">
            <w:pPr>
              <w:spacing w:after="0" w:line="240" w:lineRule="auto"/>
              <w:ind w:left="-362" w:firstLine="362"/>
              <w:rPr>
                <w:rFonts w:eastAsia="Times New Roman" w:cs="Times New Roman"/>
                <w:color w:val="000000"/>
                <w:szCs w:val="24"/>
                <w:lang w:eastAsia="es-ES"/>
              </w:rPr>
            </w:pPr>
            <w:r w:rsidRPr="00A87D66">
              <w:rPr>
                <w:rFonts w:eastAsia="Times New Roman" w:cs="Times New Roman"/>
                <w:color w:val="000000"/>
                <w:szCs w:val="24"/>
                <w:lang w:eastAsia="es-ES"/>
              </w:rPr>
              <w:t xml:space="preserve">US$73 MILLONES </w:t>
            </w:r>
          </w:p>
        </w:tc>
      </w:tr>
      <w:tr w:rsidR="008033D3" w:rsidRPr="00A87D66" w14:paraId="425F4344" w14:textId="77777777" w:rsidTr="009E77CA">
        <w:trPr>
          <w:trHeight w:val="510"/>
          <w:jc w:val="center"/>
        </w:trPr>
        <w:tc>
          <w:tcPr>
            <w:tcW w:w="2425" w:type="dxa"/>
            <w:tcBorders>
              <w:top w:val="nil"/>
              <w:left w:val="nil"/>
              <w:bottom w:val="single" w:sz="8" w:space="0" w:color="auto"/>
              <w:right w:val="nil"/>
            </w:tcBorders>
            <w:shd w:val="clear" w:color="FFFFFF" w:fill="FFFFFF"/>
            <w:noWrap/>
            <w:hideMark/>
          </w:tcPr>
          <w:p w14:paraId="2EC68206" w14:textId="77777777" w:rsidR="008033D3" w:rsidRPr="00A87D66" w:rsidRDefault="008033D3" w:rsidP="009E77CA">
            <w:pPr>
              <w:spacing w:after="0" w:line="240" w:lineRule="auto"/>
              <w:rPr>
                <w:rFonts w:eastAsia="Times New Roman" w:cs="Times New Roman"/>
                <w:color w:val="000000"/>
                <w:szCs w:val="24"/>
                <w:lang w:eastAsia="es-ES"/>
              </w:rPr>
            </w:pPr>
            <w:r w:rsidRPr="00A87D66">
              <w:rPr>
                <w:rFonts w:eastAsia="Times New Roman" w:cs="Times New Roman"/>
                <w:color w:val="000000"/>
                <w:szCs w:val="24"/>
                <w:lang w:eastAsia="es-ES"/>
              </w:rPr>
              <w:t>559 MIL UNIDADES</w:t>
            </w:r>
          </w:p>
        </w:tc>
        <w:tc>
          <w:tcPr>
            <w:tcW w:w="2317" w:type="dxa"/>
            <w:tcBorders>
              <w:top w:val="nil"/>
              <w:left w:val="nil"/>
              <w:bottom w:val="single" w:sz="8" w:space="0" w:color="auto"/>
              <w:right w:val="nil"/>
            </w:tcBorders>
            <w:shd w:val="clear" w:color="FFFFFF" w:fill="FFFFFF"/>
            <w:noWrap/>
            <w:hideMark/>
          </w:tcPr>
          <w:p w14:paraId="1076F91F" w14:textId="77777777" w:rsidR="008033D3" w:rsidRPr="00A87D66" w:rsidRDefault="008033D3" w:rsidP="009E77CA">
            <w:pPr>
              <w:spacing w:after="0" w:line="240" w:lineRule="auto"/>
              <w:rPr>
                <w:rFonts w:eastAsia="Times New Roman" w:cs="Times New Roman"/>
                <w:color w:val="000000"/>
                <w:szCs w:val="24"/>
                <w:lang w:eastAsia="es-ES"/>
              </w:rPr>
            </w:pPr>
            <w:r w:rsidRPr="00A87D66">
              <w:rPr>
                <w:rFonts w:eastAsia="Times New Roman" w:cs="Times New Roman"/>
                <w:color w:val="000000"/>
                <w:szCs w:val="24"/>
                <w:lang w:eastAsia="es-ES"/>
              </w:rPr>
              <w:t>801 MIL UNIDADES</w:t>
            </w:r>
          </w:p>
        </w:tc>
        <w:tc>
          <w:tcPr>
            <w:tcW w:w="2409" w:type="dxa"/>
            <w:tcBorders>
              <w:top w:val="nil"/>
              <w:left w:val="nil"/>
              <w:bottom w:val="single" w:sz="8" w:space="0" w:color="auto"/>
              <w:right w:val="nil"/>
            </w:tcBorders>
            <w:shd w:val="clear" w:color="FFFFFF" w:fill="FFFFFF"/>
            <w:noWrap/>
            <w:hideMark/>
          </w:tcPr>
          <w:p w14:paraId="3F3FE50A" w14:textId="77777777" w:rsidR="008033D3" w:rsidRPr="00A87D66" w:rsidRDefault="008033D3" w:rsidP="009E77CA">
            <w:pPr>
              <w:spacing w:after="0" w:line="240" w:lineRule="auto"/>
              <w:rPr>
                <w:rFonts w:eastAsia="Times New Roman" w:cs="Times New Roman"/>
                <w:color w:val="000000"/>
                <w:szCs w:val="24"/>
                <w:lang w:eastAsia="es-ES"/>
              </w:rPr>
            </w:pPr>
            <w:r w:rsidRPr="00A87D66">
              <w:rPr>
                <w:rFonts w:eastAsia="Times New Roman" w:cs="Times New Roman"/>
                <w:color w:val="000000"/>
                <w:szCs w:val="24"/>
                <w:lang w:eastAsia="es-ES"/>
              </w:rPr>
              <w:t>517 MIL UNIDADES</w:t>
            </w:r>
          </w:p>
        </w:tc>
        <w:tc>
          <w:tcPr>
            <w:tcW w:w="2440" w:type="dxa"/>
            <w:tcBorders>
              <w:top w:val="nil"/>
              <w:left w:val="nil"/>
              <w:bottom w:val="single" w:sz="8" w:space="0" w:color="auto"/>
              <w:right w:val="nil"/>
            </w:tcBorders>
            <w:shd w:val="clear" w:color="FFFFFF" w:fill="FFFFFF"/>
            <w:noWrap/>
            <w:hideMark/>
          </w:tcPr>
          <w:p w14:paraId="1142951D" w14:textId="77777777" w:rsidR="008033D3" w:rsidRPr="00A87D66" w:rsidRDefault="008033D3" w:rsidP="009E77CA">
            <w:pPr>
              <w:spacing w:after="0" w:line="240" w:lineRule="auto"/>
              <w:rPr>
                <w:rFonts w:eastAsia="Times New Roman" w:cs="Times New Roman"/>
                <w:color w:val="000000"/>
                <w:szCs w:val="24"/>
                <w:lang w:eastAsia="es-ES"/>
              </w:rPr>
            </w:pPr>
            <w:r w:rsidRPr="00A87D66">
              <w:rPr>
                <w:rFonts w:eastAsia="Times New Roman" w:cs="Times New Roman"/>
                <w:color w:val="000000"/>
                <w:szCs w:val="24"/>
                <w:lang w:eastAsia="es-ES"/>
              </w:rPr>
              <w:t xml:space="preserve">784 MIL UNIDADES </w:t>
            </w:r>
          </w:p>
        </w:tc>
      </w:tr>
      <w:tr w:rsidR="008033D3" w:rsidRPr="00A87D66" w14:paraId="0E3580E2" w14:textId="77777777" w:rsidTr="009E77CA">
        <w:trPr>
          <w:trHeight w:val="480"/>
          <w:jc w:val="center"/>
        </w:trPr>
        <w:tc>
          <w:tcPr>
            <w:tcW w:w="2425" w:type="dxa"/>
            <w:tcBorders>
              <w:top w:val="single" w:sz="4" w:space="0" w:color="auto"/>
              <w:left w:val="nil"/>
              <w:bottom w:val="nil"/>
              <w:right w:val="nil"/>
            </w:tcBorders>
            <w:shd w:val="clear" w:color="FFFFFF" w:fill="FFFFFF"/>
            <w:hideMark/>
          </w:tcPr>
          <w:p w14:paraId="5BA4575A" w14:textId="77777777" w:rsidR="008033D3" w:rsidRPr="00B73266" w:rsidRDefault="008033D3" w:rsidP="009E77CA">
            <w:pPr>
              <w:spacing w:after="0" w:line="240" w:lineRule="auto"/>
              <w:rPr>
                <w:rFonts w:eastAsia="Times New Roman" w:cs="Times New Roman"/>
                <w:color w:val="000000"/>
                <w:sz w:val="16"/>
                <w:szCs w:val="16"/>
                <w:lang w:eastAsia="es-ES"/>
              </w:rPr>
            </w:pPr>
            <w:r w:rsidRPr="00B73266">
              <w:rPr>
                <w:rFonts w:eastAsia="Times New Roman" w:cs="Times New Roman"/>
                <w:color w:val="000000"/>
                <w:sz w:val="16"/>
                <w:szCs w:val="16"/>
                <w:lang w:eastAsia="es-ES"/>
              </w:rPr>
              <w:t xml:space="preserve">Elaborado por: Héctor </w:t>
            </w:r>
            <w:proofErr w:type="spellStart"/>
            <w:r w:rsidRPr="00B73266">
              <w:rPr>
                <w:rFonts w:eastAsia="Times New Roman" w:cs="Times New Roman"/>
                <w:color w:val="000000"/>
                <w:sz w:val="16"/>
                <w:szCs w:val="16"/>
                <w:lang w:eastAsia="es-ES"/>
              </w:rPr>
              <w:t>Ruilova</w:t>
            </w:r>
            <w:proofErr w:type="spellEnd"/>
            <w:r w:rsidRPr="00B73266">
              <w:rPr>
                <w:rFonts w:eastAsia="Times New Roman" w:cs="Times New Roman"/>
                <w:color w:val="000000"/>
                <w:sz w:val="16"/>
                <w:szCs w:val="16"/>
                <w:lang w:eastAsia="es-ES"/>
              </w:rPr>
              <w:t xml:space="preserve"> Vidal Fuente: COMEX</w:t>
            </w:r>
          </w:p>
        </w:tc>
        <w:tc>
          <w:tcPr>
            <w:tcW w:w="7166" w:type="dxa"/>
            <w:gridSpan w:val="3"/>
            <w:tcBorders>
              <w:top w:val="single" w:sz="8" w:space="0" w:color="auto"/>
              <w:left w:val="nil"/>
              <w:bottom w:val="nil"/>
              <w:right w:val="nil"/>
            </w:tcBorders>
            <w:shd w:val="clear" w:color="FFFFFF" w:fill="FFFFFF"/>
            <w:noWrap/>
            <w:vAlign w:val="bottom"/>
            <w:hideMark/>
          </w:tcPr>
          <w:p w14:paraId="4AB7F4C2" w14:textId="77777777" w:rsidR="008033D3" w:rsidRPr="00A87D66" w:rsidRDefault="008033D3" w:rsidP="009E77CA">
            <w:pPr>
              <w:spacing w:after="0" w:line="240" w:lineRule="auto"/>
              <w:jc w:val="center"/>
              <w:rPr>
                <w:rFonts w:eastAsia="Times New Roman" w:cs="Times New Roman"/>
                <w:color w:val="000000"/>
                <w:lang w:eastAsia="es-ES"/>
              </w:rPr>
            </w:pPr>
            <w:r w:rsidRPr="00A87D66">
              <w:rPr>
                <w:rFonts w:eastAsia="Times New Roman" w:cs="Times New Roman"/>
                <w:color w:val="000000"/>
                <w:lang w:eastAsia="es-ES"/>
              </w:rPr>
              <w:t> </w:t>
            </w:r>
          </w:p>
        </w:tc>
      </w:tr>
    </w:tbl>
    <w:p w14:paraId="359E1FBD" w14:textId="77777777" w:rsidR="008033D3" w:rsidRDefault="008033D3" w:rsidP="008033D3">
      <w:pPr>
        <w:spacing w:line="360" w:lineRule="auto"/>
        <w:rPr>
          <w:rFonts w:cs="Times New Roman"/>
          <w:szCs w:val="24"/>
        </w:rPr>
      </w:pPr>
    </w:p>
    <w:p w14:paraId="0E347400" w14:textId="77777777" w:rsidR="008033D3" w:rsidRDefault="008033D3" w:rsidP="008033D3">
      <w:pPr>
        <w:spacing w:line="360" w:lineRule="auto"/>
        <w:rPr>
          <w:rFonts w:cs="Times New Roman"/>
          <w:szCs w:val="24"/>
        </w:rPr>
      </w:pPr>
      <w:r w:rsidRPr="003264E2">
        <w:rPr>
          <w:rFonts w:cs="Times New Roman"/>
          <w:szCs w:val="24"/>
        </w:rPr>
        <w:t xml:space="preserve">Se incorpora al arancel del Ecuador las siguientes </w:t>
      </w:r>
      <w:proofErr w:type="spellStart"/>
      <w:r w:rsidRPr="003264E2">
        <w:rPr>
          <w:rFonts w:cs="Times New Roman"/>
          <w:szCs w:val="24"/>
        </w:rPr>
        <w:t>subpartidas</w:t>
      </w:r>
      <w:proofErr w:type="spellEnd"/>
      <w:r w:rsidRPr="003264E2">
        <w:rPr>
          <w:rFonts w:cs="Times New Roman"/>
          <w:szCs w:val="24"/>
        </w:rPr>
        <w:t>:</w:t>
      </w:r>
    </w:p>
    <w:p w14:paraId="0D52CB6A" w14:textId="77777777" w:rsidR="008033D3" w:rsidRDefault="008033D3" w:rsidP="008033D3">
      <w:pPr>
        <w:pStyle w:val="Estilo3"/>
      </w:pPr>
      <w:bookmarkStart w:id="43" w:name="_Toc442343936"/>
      <w:r>
        <w:t>Cuadro 9.</w:t>
      </w:r>
      <w:bookmarkEnd w:id="43"/>
    </w:p>
    <w:p w14:paraId="3C5269D0" w14:textId="77777777" w:rsidR="008033D3" w:rsidRPr="003264E2" w:rsidRDefault="008033D3" w:rsidP="008033D3">
      <w:pPr>
        <w:spacing w:line="360" w:lineRule="auto"/>
        <w:jc w:val="center"/>
        <w:rPr>
          <w:rFonts w:cs="Times New Roman"/>
          <w:szCs w:val="24"/>
        </w:rPr>
      </w:pPr>
      <w:r>
        <w:rPr>
          <w:rFonts w:cs="Times New Roman"/>
          <w:szCs w:val="24"/>
        </w:rPr>
        <w:t xml:space="preserve">Nuevas </w:t>
      </w:r>
      <w:proofErr w:type="spellStart"/>
      <w:r>
        <w:rPr>
          <w:rFonts w:cs="Times New Roman"/>
          <w:szCs w:val="24"/>
        </w:rPr>
        <w:t>subpartidas</w:t>
      </w:r>
      <w:proofErr w:type="spellEnd"/>
      <w:r>
        <w:rPr>
          <w:rFonts w:cs="Times New Roman"/>
          <w:szCs w:val="24"/>
        </w:rPr>
        <w:t xml:space="preserve"> incorporadas</w:t>
      </w:r>
    </w:p>
    <w:tbl>
      <w:tblPr>
        <w:tblW w:w="8176" w:type="dxa"/>
        <w:jc w:val="center"/>
        <w:tblCellMar>
          <w:left w:w="70" w:type="dxa"/>
          <w:right w:w="70" w:type="dxa"/>
        </w:tblCellMar>
        <w:tblLook w:val="04A0" w:firstRow="1" w:lastRow="0" w:firstColumn="1" w:lastColumn="0" w:noHBand="0" w:noVBand="1"/>
      </w:tblPr>
      <w:tblGrid>
        <w:gridCol w:w="2660"/>
        <w:gridCol w:w="2956"/>
        <w:gridCol w:w="2560"/>
      </w:tblGrid>
      <w:tr w:rsidR="008033D3" w:rsidRPr="00CA55DA" w14:paraId="6FE6F503" w14:textId="77777777" w:rsidTr="009E77CA">
        <w:trPr>
          <w:trHeight w:val="450"/>
          <w:jc w:val="center"/>
        </w:trPr>
        <w:tc>
          <w:tcPr>
            <w:tcW w:w="2660" w:type="dxa"/>
            <w:tcBorders>
              <w:top w:val="single" w:sz="12" w:space="0" w:color="auto"/>
              <w:left w:val="nil"/>
              <w:bottom w:val="single" w:sz="12" w:space="0" w:color="auto"/>
              <w:right w:val="nil"/>
            </w:tcBorders>
            <w:shd w:val="clear" w:color="FFFFFF" w:fill="FFFFFF"/>
            <w:noWrap/>
            <w:hideMark/>
          </w:tcPr>
          <w:p w14:paraId="40B23544" w14:textId="77777777" w:rsidR="008033D3" w:rsidRPr="00CA55DA" w:rsidRDefault="008033D3" w:rsidP="009E77CA">
            <w:pPr>
              <w:spacing w:after="0" w:line="240" w:lineRule="auto"/>
              <w:rPr>
                <w:rFonts w:eastAsia="Times New Roman" w:cs="Times New Roman"/>
                <w:b/>
                <w:bCs/>
                <w:color w:val="000000"/>
                <w:szCs w:val="24"/>
                <w:lang w:eastAsia="es-ES"/>
              </w:rPr>
            </w:pPr>
            <w:r w:rsidRPr="00CA55DA">
              <w:rPr>
                <w:rFonts w:eastAsia="Times New Roman" w:cs="Times New Roman"/>
                <w:b/>
                <w:bCs/>
                <w:color w:val="000000"/>
                <w:szCs w:val="24"/>
                <w:lang w:eastAsia="es-ES"/>
              </w:rPr>
              <w:t>Código</w:t>
            </w:r>
          </w:p>
        </w:tc>
        <w:tc>
          <w:tcPr>
            <w:tcW w:w="2956" w:type="dxa"/>
            <w:tcBorders>
              <w:top w:val="single" w:sz="12" w:space="0" w:color="auto"/>
              <w:left w:val="nil"/>
              <w:bottom w:val="single" w:sz="12" w:space="0" w:color="auto"/>
              <w:right w:val="nil"/>
            </w:tcBorders>
            <w:shd w:val="clear" w:color="FFFFFF" w:fill="FFFFFF"/>
            <w:noWrap/>
            <w:hideMark/>
          </w:tcPr>
          <w:p w14:paraId="0FB25057" w14:textId="77777777" w:rsidR="008033D3" w:rsidRPr="00CA55DA" w:rsidRDefault="008033D3" w:rsidP="009E77CA">
            <w:pPr>
              <w:spacing w:after="0" w:line="240" w:lineRule="auto"/>
              <w:rPr>
                <w:rFonts w:eastAsia="Times New Roman" w:cs="Times New Roman"/>
                <w:b/>
                <w:bCs/>
                <w:color w:val="000000"/>
                <w:szCs w:val="24"/>
                <w:lang w:eastAsia="es-ES"/>
              </w:rPr>
            </w:pPr>
            <w:r w:rsidRPr="00CA55DA">
              <w:rPr>
                <w:rFonts w:eastAsia="Times New Roman" w:cs="Times New Roman"/>
                <w:b/>
                <w:bCs/>
                <w:color w:val="000000"/>
                <w:szCs w:val="24"/>
                <w:lang w:eastAsia="es-ES"/>
              </w:rPr>
              <w:t>Designación de la mercancía</w:t>
            </w:r>
          </w:p>
        </w:tc>
        <w:tc>
          <w:tcPr>
            <w:tcW w:w="2560" w:type="dxa"/>
            <w:tcBorders>
              <w:top w:val="single" w:sz="12" w:space="0" w:color="auto"/>
              <w:left w:val="nil"/>
              <w:bottom w:val="single" w:sz="12" w:space="0" w:color="auto"/>
              <w:right w:val="nil"/>
            </w:tcBorders>
            <w:shd w:val="clear" w:color="FFFFFF" w:fill="FFFFFF"/>
            <w:noWrap/>
            <w:hideMark/>
          </w:tcPr>
          <w:p w14:paraId="46C0DCE4" w14:textId="77777777" w:rsidR="008033D3" w:rsidRPr="00CA55DA" w:rsidRDefault="008033D3" w:rsidP="009E77CA">
            <w:pPr>
              <w:spacing w:after="0" w:line="240" w:lineRule="auto"/>
              <w:rPr>
                <w:rFonts w:eastAsia="Times New Roman" w:cs="Times New Roman"/>
                <w:b/>
                <w:bCs/>
                <w:color w:val="000000"/>
                <w:szCs w:val="24"/>
                <w:lang w:eastAsia="es-ES"/>
              </w:rPr>
            </w:pPr>
            <w:r w:rsidRPr="00CA55DA">
              <w:rPr>
                <w:rFonts w:eastAsia="Times New Roman" w:cs="Times New Roman"/>
                <w:b/>
                <w:bCs/>
                <w:color w:val="000000"/>
                <w:szCs w:val="24"/>
                <w:lang w:eastAsia="es-ES"/>
              </w:rPr>
              <w:t>Tarifa Arancelaria</w:t>
            </w:r>
          </w:p>
        </w:tc>
      </w:tr>
      <w:tr w:rsidR="008033D3" w:rsidRPr="00CA55DA" w14:paraId="5A0462B4" w14:textId="77777777" w:rsidTr="009E77CA">
        <w:trPr>
          <w:trHeight w:val="480"/>
          <w:jc w:val="center"/>
        </w:trPr>
        <w:tc>
          <w:tcPr>
            <w:tcW w:w="2660" w:type="dxa"/>
            <w:tcBorders>
              <w:top w:val="nil"/>
              <w:left w:val="nil"/>
              <w:bottom w:val="nil"/>
              <w:right w:val="nil"/>
            </w:tcBorders>
            <w:shd w:val="clear" w:color="FFFFFF" w:fill="FFFFFF"/>
            <w:noWrap/>
            <w:hideMark/>
          </w:tcPr>
          <w:p w14:paraId="0A525A4C"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9807.20.50</w:t>
            </w:r>
          </w:p>
        </w:tc>
        <w:tc>
          <w:tcPr>
            <w:tcW w:w="2956" w:type="dxa"/>
            <w:tcBorders>
              <w:top w:val="nil"/>
              <w:left w:val="nil"/>
              <w:bottom w:val="nil"/>
              <w:right w:val="nil"/>
            </w:tcBorders>
            <w:shd w:val="clear" w:color="FFFFFF" w:fill="FFFFFF"/>
            <w:noWrap/>
            <w:hideMark/>
          </w:tcPr>
          <w:p w14:paraId="145EBFCC"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Celulares</w:t>
            </w:r>
          </w:p>
        </w:tc>
        <w:tc>
          <w:tcPr>
            <w:tcW w:w="2560" w:type="dxa"/>
            <w:tcBorders>
              <w:top w:val="nil"/>
              <w:left w:val="nil"/>
              <w:bottom w:val="nil"/>
              <w:right w:val="nil"/>
            </w:tcBorders>
            <w:shd w:val="clear" w:color="FFFFFF" w:fill="FFFFFF"/>
            <w:noWrap/>
            <w:hideMark/>
          </w:tcPr>
          <w:p w14:paraId="11F0B2B4"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 </w:t>
            </w:r>
          </w:p>
        </w:tc>
      </w:tr>
      <w:tr w:rsidR="008033D3" w:rsidRPr="00CA55DA" w14:paraId="0EDA5831" w14:textId="77777777" w:rsidTr="009E77CA">
        <w:trPr>
          <w:trHeight w:val="450"/>
          <w:jc w:val="center"/>
        </w:trPr>
        <w:tc>
          <w:tcPr>
            <w:tcW w:w="2660" w:type="dxa"/>
            <w:tcBorders>
              <w:top w:val="nil"/>
              <w:left w:val="nil"/>
              <w:bottom w:val="nil"/>
              <w:right w:val="nil"/>
            </w:tcBorders>
            <w:shd w:val="clear" w:color="FFFFFF" w:fill="FFFFFF"/>
            <w:noWrap/>
            <w:hideMark/>
          </w:tcPr>
          <w:p w14:paraId="754B7FE2"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9807.20.50.10</w:t>
            </w:r>
          </w:p>
        </w:tc>
        <w:tc>
          <w:tcPr>
            <w:tcW w:w="2956" w:type="dxa"/>
            <w:tcBorders>
              <w:top w:val="nil"/>
              <w:left w:val="nil"/>
              <w:bottom w:val="nil"/>
              <w:right w:val="nil"/>
            </w:tcBorders>
            <w:shd w:val="clear" w:color="FFFFFF" w:fill="FFFFFF"/>
            <w:noWrap/>
            <w:hideMark/>
          </w:tcPr>
          <w:p w14:paraId="6C7601E7"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Smartphone</w:t>
            </w:r>
          </w:p>
        </w:tc>
        <w:tc>
          <w:tcPr>
            <w:tcW w:w="2560" w:type="dxa"/>
            <w:tcBorders>
              <w:top w:val="nil"/>
              <w:left w:val="nil"/>
              <w:bottom w:val="nil"/>
              <w:right w:val="nil"/>
            </w:tcBorders>
            <w:shd w:val="clear" w:color="FFFFFF" w:fill="FFFFFF"/>
            <w:noWrap/>
            <w:hideMark/>
          </w:tcPr>
          <w:p w14:paraId="0633DE0D"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15%</w:t>
            </w:r>
          </w:p>
        </w:tc>
      </w:tr>
      <w:tr w:rsidR="008033D3" w:rsidRPr="00CA55DA" w14:paraId="219BA460" w14:textId="77777777" w:rsidTr="009E77CA">
        <w:trPr>
          <w:trHeight w:val="450"/>
          <w:jc w:val="center"/>
        </w:trPr>
        <w:tc>
          <w:tcPr>
            <w:tcW w:w="2660" w:type="dxa"/>
            <w:tcBorders>
              <w:top w:val="nil"/>
              <w:left w:val="nil"/>
              <w:bottom w:val="nil"/>
              <w:right w:val="nil"/>
            </w:tcBorders>
            <w:shd w:val="clear" w:color="FFFFFF" w:fill="FFFFFF"/>
            <w:noWrap/>
            <w:hideMark/>
          </w:tcPr>
          <w:p w14:paraId="6975FD81"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9807.20.50.20</w:t>
            </w:r>
          </w:p>
        </w:tc>
        <w:tc>
          <w:tcPr>
            <w:tcW w:w="2956" w:type="dxa"/>
            <w:tcBorders>
              <w:top w:val="nil"/>
              <w:left w:val="nil"/>
              <w:bottom w:val="nil"/>
              <w:right w:val="nil"/>
            </w:tcBorders>
            <w:shd w:val="clear" w:color="FFFFFF" w:fill="FFFFFF"/>
            <w:noWrap/>
            <w:hideMark/>
          </w:tcPr>
          <w:p w14:paraId="6E8B366C" w14:textId="77777777" w:rsidR="008033D3" w:rsidRPr="00CA55DA" w:rsidRDefault="008033D3" w:rsidP="009E77CA">
            <w:pPr>
              <w:spacing w:after="0" w:line="240" w:lineRule="auto"/>
              <w:rPr>
                <w:rFonts w:eastAsia="Times New Roman" w:cs="Times New Roman"/>
                <w:color w:val="000000"/>
                <w:szCs w:val="24"/>
                <w:lang w:eastAsia="es-ES"/>
              </w:rPr>
            </w:pPr>
            <w:proofErr w:type="spellStart"/>
            <w:r w:rsidRPr="00CA55DA">
              <w:rPr>
                <w:rFonts w:eastAsia="Times New Roman" w:cs="Times New Roman"/>
                <w:color w:val="000000"/>
                <w:szCs w:val="24"/>
                <w:lang w:eastAsia="es-ES"/>
              </w:rPr>
              <w:t>Feature</w:t>
            </w:r>
            <w:proofErr w:type="spellEnd"/>
            <w:r w:rsidRPr="00CA55DA">
              <w:rPr>
                <w:rFonts w:eastAsia="Times New Roman" w:cs="Times New Roman"/>
                <w:color w:val="000000"/>
                <w:szCs w:val="24"/>
                <w:lang w:eastAsia="es-ES"/>
              </w:rPr>
              <w:t xml:space="preserve"> </w:t>
            </w:r>
            <w:proofErr w:type="spellStart"/>
            <w:r w:rsidRPr="00CA55DA">
              <w:rPr>
                <w:rFonts w:eastAsia="Times New Roman" w:cs="Times New Roman"/>
                <w:color w:val="000000"/>
                <w:szCs w:val="24"/>
                <w:lang w:eastAsia="es-ES"/>
              </w:rPr>
              <w:t>Phone</w:t>
            </w:r>
            <w:proofErr w:type="spellEnd"/>
          </w:p>
        </w:tc>
        <w:tc>
          <w:tcPr>
            <w:tcW w:w="2560" w:type="dxa"/>
            <w:tcBorders>
              <w:top w:val="nil"/>
              <w:left w:val="nil"/>
              <w:bottom w:val="nil"/>
              <w:right w:val="nil"/>
            </w:tcBorders>
            <w:shd w:val="clear" w:color="FFFFFF" w:fill="FFFFFF"/>
            <w:noWrap/>
            <w:hideMark/>
          </w:tcPr>
          <w:p w14:paraId="6DB3B109"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15%</w:t>
            </w:r>
          </w:p>
        </w:tc>
      </w:tr>
      <w:tr w:rsidR="008033D3" w:rsidRPr="00CA55DA" w14:paraId="5DBC6818" w14:textId="77777777" w:rsidTr="009E77CA">
        <w:trPr>
          <w:trHeight w:val="710"/>
          <w:jc w:val="center"/>
        </w:trPr>
        <w:tc>
          <w:tcPr>
            <w:tcW w:w="2660" w:type="dxa"/>
            <w:tcBorders>
              <w:top w:val="nil"/>
              <w:left w:val="nil"/>
              <w:bottom w:val="single" w:sz="8" w:space="0" w:color="auto"/>
              <w:right w:val="nil"/>
            </w:tcBorders>
            <w:shd w:val="clear" w:color="auto" w:fill="auto"/>
            <w:noWrap/>
            <w:hideMark/>
          </w:tcPr>
          <w:p w14:paraId="6AFDC553"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9807.20.50.90</w:t>
            </w:r>
          </w:p>
        </w:tc>
        <w:tc>
          <w:tcPr>
            <w:tcW w:w="2956" w:type="dxa"/>
            <w:tcBorders>
              <w:top w:val="nil"/>
              <w:left w:val="nil"/>
              <w:bottom w:val="single" w:sz="8" w:space="0" w:color="auto"/>
              <w:right w:val="nil"/>
            </w:tcBorders>
            <w:shd w:val="clear" w:color="auto" w:fill="auto"/>
            <w:noWrap/>
            <w:hideMark/>
          </w:tcPr>
          <w:p w14:paraId="2487E1D0"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Equipos de redes inalámbricas</w:t>
            </w:r>
          </w:p>
        </w:tc>
        <w:tc>
          <w:tcPr>
            <w:tcW w:w="2560" w:type="dxa"/>
            <w:tcBorders>
              <w:top w:val="nil"/>
              <w:left w:val="nil"/>
              <w:bottom w:val="single" w:sz="8" w:space="0" w:color="auto"/>
              <w:right w:val="nil"/>
            </w:tcBorders>
            <w:shd w:val="clear" w:color="FFFFFF" w:fill="FFFFFF"/>
            <w:noWrap/>
            <w:hideMark/>
          </w:tcPr>
          <w:p w14:paraId="0BEEA854"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15%</w:t>
            </w:r>
          </w:p>
        </w:tc>
      </w:tr>
      <w:tr w:rsidR="008033D3" w:rsidRPr="00CA55DA" w14:paraId="1E289EEC" w14:textId="77777777" w:rsidTr="009E77CA">
        <w:trPr>
          <w:trHeight w:val="510"/>
          <w:jc w:val="center"/>
        </w:trPr>
        <w:tc>
          <w:tcPr>
            <w:tcW w:w="2660" w:type="dxa"/>
            <w:tcBorders>
              <w:top w:val="single" w:sz="4" w:space="0" w:color="auto"/>
              <w:left w:val="nil"/>
              <w:bottom w:val="nil"/>
              <w:right w:val="nil"/>
            </w:tcBorders>
            <w:shd w:val="clear" w:color="FFFFFF" w:fill="FFFFFF"/>
            <w:hideMark/>
          </w:tcPr>
          <w:p w14:paraId="1FF248CC" w14:textId="77777777" w:rsidR="008033D3" w:rsidRPr="00B73266" w:rsidRDefault="008033D3" w:rsidP="009E77CA">
            <w:pPr>
              <w:spacing w:after="0" w:line="240" w:lineRule="auto"/>
              <w:rPr>
                <w:rFonts w:eastAsia="Times New Roman" w:cs="Times New Roman"/>
                <w:color w:val="000000"/>
                <w:sz w:val="16"/>
                <w:szCs w:val="16"/>
                <w:lang w:eastAsia="es-ES"/>
              </w:rPr>
            </w:pPr>
            <w:r w:rsidRPr="00B73266">
              <w:rPr>
                <w:rFonts w:eastAsia="Times New Roman" w:cs="Times New Roman"/>
                <w:color w:val="000000"/>
                <w:sz w:val="16"/>
                <w:szCs w:val="16"/>
                <w:lang w:eastAsia="es-ES"/>
              </w:rPr>
              <w:t xml:space="preserve">Elaborado por: Héctor </w:t>
            </w:r>
            <w:proofErr w:type="spellStart"/>
            <w:r w:rsidRPr="00B73266">
              <w:rPr>
                <w:rFonts w:eastAsia="Times New Roman" w:cs="Times New Roman"/>
                <w:color w:val="000000"/>
                <w:sz w:val="16"/>
                <w:szCs w:val="16"/>
                <w:lang w:eastAsia="es-ES"/>
              </w:rPr>
              <w:t>Ruilova</w:t>
            </w:r>
            <w:proofErr w:type="spellEnd"/>
            <w:r w:rsidRPr="00B73266">
              <w:rPr>
                <w:rFonts w:eastAsia="Times New Roman" w:cs="Times New Roman"/>
                <w:color w:val="000000"/>
                <w:sz w:val="16"/>
                <w:szCs w:val="16"/>
                <w:lang w:eastAsia="es-ES"/>
              </w:rPr>
              <w:t xml:space="preserve"> Vidal Fuente: COMEX</w:t>
            </w:r>
          </w:p>
        </w:tc>
        <w:tc>
          <w:tcPr>
            <w:tcW w:w="2956" w:type="dxa"/>
            <w:tcBorders>
              <w:top w:val="nil"/>
              <w:left w:val="nil"/>
              <w:bottom w:val="nil"/>
              <w:right w:val="nil"/>
            </w:tcBorders>
            <w:shd w:val="clear" w:color="FFFFFF" w:fill="FFFFFF"/>
            <w:noWrap/>
            <w:vAlign w:val="bottom"/>
            <w:hideMark/>
          </w:tcPr>
          <w:p w14:paraId="2CDF790D" w14:textId="77777777" w:rsidR="008033D3" w:rsidRPr="00CA55DA" w:rsidRDefault="008033D3" w:rsidP="009E77CA">
            <w:pPr>
              <w:spacing w:after="0" w:line="240" w:lineRule="auto"/>
              <w:rPr>
                <w:rFonts w:eastAsia="Times New Roman" w:cs="Times New Roman"/>
                <w:color w:val="000000"/>
                <w:lang w:eastAsia="es-ES"/>
              </w:rPr>
            </w:pPr>
            <w:r w:rsidRPr="00CA55DA">
              <w:rPr>
                <w:rFonts w:eastAsia="Times New Roman" w:cs="Times New Roman"/>
                <w:color w:val="000000"/>
                <w:lang w:eastAsia="es-ES"/>
              </w:rPr>
              <w:t> </w:t>
            </w:r>
          </w:p>
        </w:tc>
        <w:tc>
          <w:tcPr>
            <w:tcW w:w="2560" w:type="dxa"/>
            <w:tcBorders>
              <w:top w:val="nil"/>
              <w:left w:val="nil"/>
              <w:bottom w:val="nil"/>
              <w:right w:val="nil"/>
            </w:tcBorders>
            <w:shd w:val="clear" w:color="FFFFFF" w:fill="FFFFFF"/>
            <w:noWrap/>
            <w:vAlign w:val="bottom"/>
            <w:hideMark/>
          </w:tcPr>
          <w:p w14:paraId="1433B161" w14:textId="77777777" w:rsidR="008033D3" w:rsidRPr="00CA55DA" w:rsidRDefault="008033D3" w:rsidP="009E77CA">
            <w:pPr>
              <w:spacing w:after="0" w:line="240" w:lineRule="auto"/>
              <w:rPr>
                <w:rFonts w:eastAsia="Times New Roman" w:cs="Times New Roman"/>
                <w:color w:val="000000"/>
                <w:lang w:eastAsia="es-ES"/>
              </w:rPr>
            </w:pPr>
            <w:r w:rsidRPr="00CA55DA">
              <w:rPr>
                <w:rFonts w:eastAsia="Times New Roman" w:cs="Times New Roman"/>
                <w:color w:val="000000"/>
                <w:lang w:eastAsia="es-ES"/>
              </w:rPr>
              <w:t> </w:t>
            </w:r>
          </w:p>
        </w:tc>
      </w:tr>
    </w:tbl>
    <w:p w14:paraId="17657E8E" w14:textId="77777777" w:rsidR="008033D3" w:rsidRPr="003264E2" w:rsidRDefault="008033D3" w:rsidP="008033D3">
      <w:pPr>
        <w:spacing w:line="360" w:lineRule="auto"/>
        <w:rPr>
          <w:rFonts w:cs="Times New Roman"/>
          <w:szCs w:val="24"/>
        </w:rPr>
      </w:pPr>
    </w:p>
    <w:p w14:paraId="2BB4D79E" w14:textId="77777777" w:rsidR="008033D3" w:rsidRPr="003264E2" w:rsidRDefault="008033D3" w:rsidP="008033D3">
      <w:pPr>
        <w:spacing w:line="360" w:lineRule="auto"/>
        <w:rPr>
          <w:rFonts w:cs="Times New Roman"/>
          <w:szCs w:val="24"/>
        </w:rPr>
      </w:pPr>
      <w:r w:rsidRPr="003264E2">
        <w:rPr>
          <w:rFonts w:cs="Times New Roman"/>
          <w:szCs w:val="24"/>
        </w:rPr>
        <w:t xml:space="preserve">Para el caso de personas naturales que traigan teléfonos por </w:t>
      </w:r>
      <w:r>
        <w:rPr>
          <w:rFonts w:cs="Times New Roman"/>
          <w:szCs w:val="24"/>
        </w:rPr>
        <w:t>correo</w:t>
      </w:r>
      <w:r w:rsidRPr="003264E2">
        <w:rPr>
          <w:rFonts w:cs="Times New Roman"/>
          <w:szCs w:val="24"/>
        </w:rPr>
        <w:t xml:space="preserve"> deberán sujetarse a la misma normativa arancelaria en la categoría C. Para ellos aplica la Nota Nacional G del Capítulo 98 del Arancel del Ecuador expedido mediante resolución Nº59 del 17 de mayo de 2012. La Categoría C se define como los paquetes cuyo peso sea menor o igu</w:t>
      </w:r>
      <w:r>
        <w:rPr>
          <w:rFonts w:cs="Times New Roman"/>
          <w:szCs w:val="24"/>
        </w:rPr>
        <w:t>al a 50 kilogramos y su valor FO</w:t>
      </w:r>
      <w:r w:rsidRPr="003264E2">
        <w:rPr>
          <w:rFonts w:cs="Times New Roman"/>
          <w:szCs w:val="24"/>
        </w:rPr>
        <w:t xml:space="preserve">B sea menor o igual a </w:t>
      </w:r>
      <w:r>
        <w:rPr>
          <w:rFonts w:cs="Times New Roman"/>
          <w:szCs w:val="24"/>
        </w:rPr>
        <w:t>US</w:t>
      </w:r>
      <w:r w:rsidRPr="003264E2">
        <w:rPr>
          <w:rFonts w:cs="Times New Roman"/>
          <w:szCs w:val="24"/>
        </w:rPr>
        <w:t xml:space="preserve">$2000. El SENAE deberá descontar las </w:t>
      </w:r>
      <w:r w:rsidRPr="003264E2">
        <w:rPr>
          <w:rFonts w:cs="Times New Roman"/>
          <w:szCs w:val="24"/>
        </w:rPr>
        <w:lastRenderedPageBreak/>
        <w:t>declaraciones aduaneras y descontar de las cuotas trimestrales aceptadas desde el 01 de enero de 2016. Por último, podrán traer los equipos una vez que se realicen las adecuaciones en el si</w:t>
      </w:r>
      <w:r>
        <w:rPr>
          <w:rFonts w:cs="Times New Roman"/>
          <w:szCs w:val="24"/>
        </w:rPr>
        <w:t>stema informático de la SENAE. (Anexo 9)</w:t>
      </w:r>
    </w:p>
    <w:p w14:paraId="53C08D8E" w14:textId="77777777" w:rsidR="008033D3" w:rsidRPr="003264E2" w:rsidRDefault="008033D3" w:rsidP="008033D3">
      <w:pPr>
        <w:spacing w:line="360" w:lineRule="auto"/>
        <w:rPr>
          <w:rFonts w:cs="Times New Roman"/>
          <w:i/>
          <w:szCs w:val="24"/>
        </w:rPr>
      </w:pPr>
      <w:r>
        <w:rPr>
          <w:rFonts w:cs="Times New Roman"/>
          <w:i/>
          <w:szCs w:val="24"/>
        </w:rPr>
        <w:t>1.4.1.9</w:t>
      </w:r>
      <w:r>
        <w:rPr>
          <w:rFonts w:cs="Times New Roman"/>
          <w:i/>
          <w:szCs w:val="24"/>
        </w:rPr>
        <w:tab/>
      </w:r>
      <w:r w:rsidRPr="003264E2">
        <w:rPr>
          <w:rFonts w:cs="Times New Roman"/>
          <w:i/>
          <w:szCs w:val="24"/>
        </w:rPr>
        <w:t>Resolución Nº 51 del COMEX Normativa CKD – Enero 2016</w:t>
      </w:r>
    </w:p>
    <w:p w14:paraId="1D037387" w14:textId="77777777" w:rsidR="008033D3" w:rsidRDefault="008033D3" w:rsidP="008033D3">
      <w:pPr>
        <w:spacing w:line="360" w:lineRule="auto"/>
        <w:rPr>
          <w:rFonts w:cs="Times New Roman"/>
          <w:szCs w:val="24"/>
        </w:rPr>
      </w:pPr>
      <w:r w:rsidRPr="003264E2">
        <w:rPr>
          <w:rFonts w:cs="Times New Roman"/>
          <w:szCs w:val="24"/>
        </w:rPr>
        <w:t xml:space="preserve">El COMEX el 30 de diciembre del 2015 revisó el informe técnico denominado “Informe de Celulares - 2015” emitido por la Coordinación de Políticas de Importaciones del Ministerio de Comercio Exterior. Se suprime el anexo de la Resolución del COMEX Nº 64 específicamente la tabla que concierne a “CKD de celulares clasificados en la </w:t>
      </w:r>
      <w:proofErr w:type="spellStart"/>
      <w:r w:rsidRPr="003264E2">
        <w:rPr>
          <w:rFonts w:cs="Times New Roman"/>
          <w:szCs w:val="24"/>
        </w:rPr>
        <w:t>subpartida</w:t>
      </w:r>
      <w:proofErr w:type="spellEnd"/>
      <w:r w:rsidRPr="003264E2">
        <w:rPr>
          <w:rFonts w:cs="Times New Roman"/>
          <w:szCs w:val="24"/>
        </w:rPr>
        <w:t xml:space="preserve"> 8517120010” y la reemplaza por la siguiente:</w:t>
      </w:r>
      <w:r>
        <w:rPr>
          <w:rFonts w:cs="Times New Roman"/>
          <w:szCs w:val="24"/>
        </w:rPr>
        <w:t xml:space="preserve"> (Anexo 10)</w:t>
      </w:r>
    </w:p>
    <w:p w14:paraId="2873CDF2" w14:textId="77777777" w:rsidR="008033D3" w:rsidRDefault="008033D3" w:rsidP="008033D3">
      <w:pPr>
        <w:pStyle w:val="Estilo3"/>
      </w:pPr>
      <w:bookmarkStart w:id="44" w:name="_Toc442343937"/>
      <w:r>
        <w:t>Cuadro 10.</w:t>
      </w:r>
      <w:bookmarkEnd w:id="44"/>
    </w:p>
    <w:p w14:paraId="7DB096D3" w14:textId="77777777" w:rsidR="008033D3" w:rsidRPr="003264E2" w:rsidRDefault="008033D3" w:rsidP="008033D3">
      <w:pPr>
        <w:spacing w:line="360" w:lineRule="auto"/>
        <w:ind w:left="708" w:hanging="708"/>
        <w:jc w:val="center"/>
        <w:rPr>
          <w:rFonts w:cs="Times New Roman"/>
          <w:szCs w:val="24"/>
        </w:rPr>
      </w:pPr>
      <w:r>
        <w:rPr>
          <w:rFonts w:cs="Times New Roman"/>
          <w:szCs w:val="24"/>
        </w:rPr>
        <w:t>Nuevo porcentaje de arancel a pagar correspondiente al producto ecuatoriano incorporado al bien ensamblado</w:t>
      </w:r>
    </w:p>
    <w:tbl>
      <w:tblPr>
        <w:tblW w:w="6260" w:type="dxa"/>
        <w:jc w:val="center"/>
        <w:tblCellMar>
          <w:left w:w="70" w:type="dxa"/>
          <w:right w:w="70" w:type="dxa"/>
        </w:tblCellMar>
        <w:tblLook w:val="04A0" w:firstRow="1" w:lastRow="0" w:firstColumn="1" w:lastColumn="0" w:noHBand="0" w:noVBand="1"/>
      </w:tblPr>
      <w:tblGrid>
        <w:gridCol w:w="1900"/>
        <w:gridCol w:w="2160"/>
        <w:gridCol w:w="2200"/>
      </w:tblGrid>
      <w:tr w:rsidR="008033D3" w:rsidRPr="00CA55DA" w14:paraId="0FB12A66" w14:textId="77777777" w:rsidTr="009E77CA">
        <w:trPr>
          <w:trHeight w:val="1155"/>
          <w:jc w:val="center"/>
        </w:trPr>
        <w:tc>
          <w:tcPr>
            <w:tcW w:w="1900" w:type="dxa"/>
            <w:tcBorders>
              <w:top w:val="single" w:sz="12" w:space="0" w:color="auto"/>
              <w:left w:val="nil"/>
              <w:bottom w:val="single" w:sz="12" w:space="0" w:color="auto"/>
              <w:right w:val="nil"/>
            </w:tcBorders>
            <w:shd w:val="clear" w:color="FFFFFF" w:fill="FFFFFF"/>
            <w:hideMark/>
          </w:tcPr>
          <w:p w14:paraId="7A971BA7" w14:textId="77777777" w:rsidR="008033D3" w:rsidRPr="00CA55DA" w:rsidRDefault="008033D3" w:rsidP="009E77CA">
            <w:pPr>
              <w:spacing w:after="0" w:line="240" w:lineRule="auto"/>
              <w:rPr>
                <w:rFonts w:eastAsia="Times New Roman" w:cs="Times New Roman"/>
                <w:b/>
                <w:bCs/>
                <w:color w:val="000000"/>
                <w:szCs w:val="24"/>
                <w:lang w:eastAsia="es-ES"/>
              </w:rPr>
            </w:pPr>
            <w:r w:rsidRPr="00CA55DA">
              <w:rPr>
                <w:rFonts w:eastAsia="Times New Roman" w:cs="Times New Roman"/>
                <w:b/>
                <w:bCs/>
                <w:color w:val="000000"/>
                <w:szCs w:val="24"/>
                <w:lang w:eastAsia="es-ES"/>
              </w:rPr>
              <w:t>% de Producto Ecuatoriano Incorporado</w:t>
            </w:r>
          </w:p>
        </w:tc>
        <w:tc>
          <w:tcPr>
            <w:tcW w:w="2160" w:type="dxa"/>
            <w:tcBorders>
              <w:top w:val="single" w:sz="12" w:space="0" w:color="auto"/>
              <w:left w:val="nil"/>
              <w:bottom w:val="single" w:sz="12" w:space="0" w:color="auto"/>
              <w:right w:val="nil"/>
            </w:tcBorders>
            <w:shd w:val="clear" w:color="FFFFFF" w:fill="FFFFFF"/>
            <w:hideMark/>
          </w:tcPr>
          <w:p w14:paraId="120CD161" w14:textId="77777777" w:rsidR="008033D3" w:rsidRPr="00CA55DA" w:rsidRDefault="008033D3" w:rsidP="009E77CA">
            <w:pPr>
              <w:spacing w:after="0" w:line="240" w:lineRule="auto"/>
              <w:rPr>
                <w:rFonts w:eastAsia="Times New Roman" w:cs="Times New Roman"/>
                <w:b/>
                <w:bCs/>
                <w:color w:val="000000"/>
                <w:szCs w:val="24"/>
                <w:lang w:eastAsia="es-ES"/>
              </w:rPr>
            </w:pPr>
            <w:r w:rsidRPr="00CA55DA">
              <w:rPr>
                <w:rFonts w:eastAsia="Times New Roman" w:cs="Times New Roman"/>
                <w:b/>
                <w:bCs/>
                <w:color w:val="000000"/>
                <w:szCs w:val="24"/>
                <w:lang w:eastAsia="es-ES"/>
              </w:rPr>
              <w:t xml:space="preserve">Arancel a pagar Ad </w:t>
            </w:r>
            <w:proofErr w:type="spellStart"/>
            <w:r w:rsidRPr="00CA55DA">
              <w:rPr>
                <w:rFonts w:eastAsia="Times New Roman" w:cs="Times New Roman"/>
                <w:b/>
                <w:bCs/>
                <w:color w:val="000000"/>
                <w:szCs w:val="24"/>
                <w:lang w:eastAsia="es-ES"/>
              </w:rPr>
              <w:t>valorem</w:t>
            </w:r>
            <w:proofErr w:type="spellEnd"/>
          </w:p>
        </w:tc>
        <w:tc>
          <w:tcPr>
            <w:tcW w:w="2200" w:type="dxa"/>
            <w:tcBorders>
              <w:top w:val="single" w:sz="12" w:space="0" w:color="auto"/>
              <w:left w:val="nil"/>
              <w:bottom w:val="single" w:sz="12" w:space="0" w:color="auto"/>
              <w:right w:val="nil"/>
            </w:tcBorders>
            <w:shd w:val="clear" w:color="FFFFFF" w:fill="FFFFFF"/>
            <w:hideMark/>
          </w:tcPr>
          <w:p w14:paraId="10C92585" w14:textId="77777777" w:rsidR="008033D3" w:rsidRPr="00CA55DA" w:rsidRDefault="008033D3" w:rsidP="009E77CA">
            <w:pPr>
              <w:spacing w:after="0" w:line="240" w:lineRule="auto"/>
              <w:rPr>
                <w:rFonts w:eastAsia="Times New Roman" w:cs="Times New Roman"/>
                <w:b/>
                <w:bCs/>
                <w:color w:val="000000"/>
                <w:szCs w:val="24"/>
                <w:lang w:eastAsia="es-ES"/>
              </w:rPr>
            </w:pPr>
            <w:r w:rsidRPr="00CA55DA">
              <w:rPr>
                <w:rFonts w:eastAsia="Times New Roman" w:cs="Times New Roman"/>
                <w:b/>
                <w:bCs/>
                <w:color w:val="000000"/>
                <w:szCs w:val="24"/>
                <w:lang w:eastAsia="es-ES"/>
              </w:rPr>
              <w:t>Observaciones</w:t>
            </w:r>
          </w:p>
        </w:tc>
      </w:tr>
      <w:tr w:rsidR="008033D3" w:rsidRPr="00CA55DA" w14:paraId="1D3D54AA" w14:textId="77777777" w:rsidTr="009E77CA">
        <w:trPr>
          <w:trHeight w:val="600"/>
          <w:jc w:val="center"/>
        </w:trPr>
        <w:tc>
          <w:tcPr>
            <w:tcW w:w="1900" w:type="dxa"/>
            <w:tcBorders>
              <w:top w:val="nil"/>
              <w:left w:val="nil"/>
              <w:bottom w:val="nil"/>
              <w:right w:val="nil"/>
            </w:tcBorders>
            <w:shd w:val="clear" w:color="FFFFFF" w:fill="FFFFFF"/>
            <w:noWrap/>
            <w:hideMark/>
          </w:tcPr>
          <w:p w14:paraId="1AB43EAF"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Menor a 5</w:t>
            </w:r>
          </w:p>
        </w:tc>
        <w:tc>
          <w:tcPr>
            <w:tcW w:w="2160" w:type="dxa"/>
            <w:tcBorders>
              <w:top w:val="nil"/>
              <w:left w:val="nil"/>
              <w:bottom w:val="nil"/>
              <w:right w:val="nil"/>
            </w:tcBorders>
            <w:shd w:val="clear" w:color="FFFFFF" w:fill="FFFFFF"/>
            <w:noWrap/>
            <w:hideMark/>
          </w:tcPr>
          <w:p w14:paraId="0FD578D3"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0,15</w:t>
            </w:r>
          </w:p>
        </w:tc>
        <w:tc>
          <w:tcPr>
            <w:tcW w:w="2200" w:type="dxa"/>
            <w:tcBorders>
              <w:top w:val="nil"/>
              <w:left w:val="nil"/>
              <w:bottom w:val="nil"/>
              <w:right w:val="nil"/>
            </w:tcBorders>
            <w:shd w:val="clear" w:color="FFFFFF" w:fill="FFFFFF"/>
            <w:noWrap/>
            <w:hideMark/>
          </w:tcPr>
          <w:p w14:paraId="0B88E171"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 </w:t>
            </w:r>
          </w:p>
        </w:tc>
      </w:tr>
      <w:tr w:rsidR="008033D3" w:rsidRPr="00CA55DA" w14:paraId="4C24A068" w14:textId="77777777" w:rsidTr="009E77CA">
        <w:trPr>
          <w:trHeight w:val="480"/>
          <w:jc w:val="center"/>
        </w:trPr>
        <w:tc>
          <w:tcPr>
            <w:tcW w:w="1900" w:type="dxa"/>
            <w:tcBorders>
              <w:top w:val="nil"/>
              <w:left w:val="nil"/>
              <w:bottom w:val="nil"/>
              <w:right w:val="nil"/>
            </w:tcBorders>
            <w:shd w:val="clear" w:color="FFFFFF" w:fill="FFFFFF"/>
            <w:noWrap/>
            <w:hideMark/>
          </w:tcPr>
          <w:p w14:paraId="54E5C277"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5</w:t>
            </w:r>
          </w:p>
        </w:tc>
        <w:tc>
          <w:tcPr>
            <w:tcW w:w="2160" w:type="dxa"/>
            <w:tcBorders>
              <w:top w:val="nil"/>
              <w:left w:val="nil"/>
              <w:bottom w:val="nil"/>
              <w:right w:val="nil"/>
            </w:tcBorders>
            <w:shd w:val="clear" w:color="FFFFFF" w:fill="FFFFFF"/>
            <w:noWrap/>
            <w:hideMark/>
          </w:tcPr>
          <w:p w14:paraId="0D623EBA"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7.50%</w:t>
            </w:r>
          </w:p>
        </w:tc>
        <w:tc>
          <w:tcPr>
            <w:tcW w:w="2200" w:type="dxa"/>
            <w:tcBorders>
              <w:top w:val="nil"/>
              <w:left w:val="nil"/>
              <w:bottom w:val="nil"/>
              <w:right w:val="nil"/>
            </w:tcBorders>
            <w:shd w:val="clear" w:color="FFFFFF" w:fill="FFFFFF"/>
            <w:noWrap/>
            <w:hideMark/>
          </w:tcPr>
          <w:p w14:paraId="0D0D23D7"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 </w:t>
            </w:r>
          </w:p>
        </w:tc>
      </w:tr>
      <w:tr w:rsidR="008033D3" w:rsidRPr="00CA55DA" w14:paraId="5C8E97A4" w14:textId="77777777" w:rsidTr="009E77CA">
        <w:trPr>
          <w:trHeight w:val="540"/>
          <w:jc w:val="center"/>
        </w:trPr>
        <w:tc>
          <w:tcPr>
            <w:tcW w:w="1900" w:type="dxa"/>
            <w:tcBorders>
              <w:top w:val="nil"/>
              <w:left w:val="nil"/>
              <w:bottom w:val="nil"/>
              <w:right w:val="nil"/>
            </w:tcBorders>
            <w:shd w:val="clear" w:color="FFFFFF" w:fill="FFFFFF"/>
            <w:noWrap/>
            <w:hideMark/>
          </w:tcPr>
          <w:p w14:paraId="342AA38D"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6</w:t>
            </w:r>
          </w:p>
        </w:tc>
        <w:tc>
          <w:tcPr>
            <w:tcW w:w="2160" w:type="dxa"/>
            <w:tcBorders>
              <w:top w:val="nil"/>
              <w:left w:val="nil"/>
              <w:bottom w:val="nil"/>
              <w:right w:val="nil"/>
            </w:tcBorders>
            <w:shd w:val="clear" w:color="FFFFFF" w:fill="FFFFFF"/>
            <w:noWrap/>
            <w:hideMark/>
          </w:tcPr>
          <w:p w14:paraId="62D13608"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6.60%</w:t>
            </w:r>
          </w:p>
        </w:tc>
        <w:tc>
          <w:tcPr>
            <w:tcW w:w="2200" w:type="dxa"/>
            <w:tcBorders>
              <w:top w:val="nil"/>
              <w:left w:val="nil"/>
              <w:bottom w:val="nil"/>
              <w:right w:val="nil"/>
            </w:tcBorders>
            <w:shd w:val="clear" w:color="FFFFFF" w:fill="FFFFFF"/>
            <w:noWrap/>
            <w:hideMark/>
          </w:tcPr>
          <w:p w14:paraId="0F12BAA2"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 </w:t>
            </w:r>
          </w:p>
        </w:tc>
      </w:tr>
      <w:tr w:rsidR="008033D3" w:rsidRPr="00CA55DA" w14:paraId="0889B3FF" w14:textId="77777777" w:rsidTr="009E77CA">
        <w:trPr>
          <w:trHeight w:val="450"/>
          <w:jc w:val="center"/>
        </w:trPr>
        <w:tc>
          <w:tcPr>
            <w:tcW w:w="1900" w:type="dxa"/>
            <w:tcBorders>
              <w:top w:val="nil"/>
              <w:left w:val="nil"/>
              <w:bottom w:val="nil"/>
              <w:right w:val="nil"/>
            </w:tcBorders>
            <w:shd w:val="clear" w:color="FFFFFF" w:fill="FFFFFF"/>
            <w:noWrap/>
            <w:hideMark/>
          </w:tcPr>
          <w:p w14:paraId="655C50A8"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7</w:t>
            </w:r>
          </w:p>
        </w:tc>
        <w:tc>
          <w:tcPr>
            <w:tcW w:w="2160" w:type="dxa"/>
            <w:tcBorders>
              <w:top w:val="nil"/>
              <w:left w:val="nil"/>
              <w:bottom w:val="nil"/>
              <w:right w:val="nil"/>
            </w:tcBorders>
            <w:shd w:val="clear" w:color="FFFFFF" w:fill="FFFFFF"/>
            <w:noWrap/>
            <w:hideMark/>
          </w:tcPr>
          <w:p w14:paraId="218F3452"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5.70%</w:t>
            </w:r>
          </w:p>
        </w:tc>
        <w:tc>
          <w:tcPr>
            <w:tcW w:w="2200" w:type="dxa"/>
            <w:tcBorders>
              <w:top w:val="nil"/>
              <w:left w:val="nil"/>
              <w:bottom w:val="nil"/>
              <w:right w:val="nil"/>
            </w:tcBorders>
            <w:shd w:val="clear" w:color="FFFFFF" w:fill="FFFFFF"/>
            <w:noWrap/>
            <w:hideMark/>
          </w:tcPr>
          <w:p w14:paraId="0DD6E7DD"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 </w:t>
            </w:r>
          </w:p>
        </w:tc>
      </w:tr>
      <w:tr w:rsidR="008033D3" w:rsidRPr="00CA55DA" w14:paraId="3E1770CD" w14:textId="77777777" w:rsidTr="009E77CA">
        <w:trPr>
          <w:trHeight w:val="495"/>
          <w:jc w:val="center"/>
        </w:trPr>
        <w:tc>
          <w:tcPr>
            <w:tcW w:w="1900" w:type="dxa"/>
            <w:tcBorders>
              <w:top w:val="nil"/>
              <w:left w:val="nil"/>
              <w:bottom w:val="nil"/>
              <w:right w:val="nil"/>
            </w:tcBorders>
            <w:shd w:val="clear" w:color="FFFFFF" w:fill="FFFFFF"/>
            <w:noWrap/>
            <w:hideMark/>
          </w:tcPr>
          <w:p w14:paraId="25CB05A5"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8</w:t>
            </w:r>
          </w:p>
        </w:tc>
        <w:tc>
          <w:tcPr>
            <w:tcW w:w="2160" w:type="dxa"/>
            <w:tcBorders>
              <w:top w:val="nil"/>
              <w:left w:val="nil"/>
              <w:bottom w:val="nil"/>
              <w:right w:val="nil"/>
            </w:tcBorders>
            <w:shd w:val="clear" w:color="FFFFFF" w:fill="FFFFFF"/>
            <w:noWrap/>
            <w:hideMark/>
          </w:tcPr>
          <w:p w14:paraId="78A453C5"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4.80%</w:t>
            </w:r>
          </w:p>
        </w:tc>
        <w:tc>
          <w:tcPr>
            <w:tcW w:w="2200" w:type="dxa"/>
            <w:tcBorders>
              <w:top w:val="nil"/>
              <w:left w:val="nil"/>
              <w:bottom w:val="nil"/>
              <w:right w:val="nil"/>
            </w:tcBorders>
            <w:shd w:val="clear" w:color="FFFFFF" w:fill="FFFFFF"/>
            <w:noWrap/>
            <w:hideMark/>
          </w:tcPr>
          <w:p w14:paraId="532E9BAF"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 </w:t>
            </w:r>
          </w:p>
        </w:tc>
      </w:tr>
      <w:tr w:rsidR="008033D3" w:rsidRPr="00CA55DA" w14:paraId="24E5D416" w14:textId="77777777" w:rsidTr="009E77CA">
        <w:trPr>
          <w:trHeight w:val="465"/>
          <w:jc w:val="center"/>
        </w:trPr>
        <w:tc>
          <w:tcPr>
            <w:tcW w:w="1900" w:type="dxa"/>
            <w:tcBorders>
              <w:top w:val="nil"/>
              <w:left w:val="nil"/>
              <w:bottom w:val="nil"/>
              <w:right w:val="nil"/>
            </w:tcBorders>
            <w:shd w:val="clear" w:color="FFFFFF" w:fill="FFFFFF"/>
            <w:noWrap/>
            <w:hideMark/>
          </w:tcPr>
          <w:p w14:paraId="244F355A"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9</w:t>
            </w:r>
          </w:p>
        </w:tc>
        <w:tc>
          <w:tcPr>
            <w:tcW w:w="2160" w:type="dxa"/>
            <w:tcBorders>
              <w:top w:val="nil"/>
              <w:left w:val="nil"/>
              <w:bottom w:val="nil"/>
              <w:right w:val="nil"/>
            </w:tcBorders>
            <w:shd w:val="clear" w:color="FFFFFF" w:fill="FFFFFF"/>
            <w:noWrap/>
            <w:hideMark/>
          </w:tcPr>
          <w:p w14:paraId="0DBE7F1C"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3.90%</w:t>
            </w:r>
          </w:p>
        </w:tc>
        <w:tc>
          <w:tcPr>
            <w:tcW w:w="2200" w:type="dxa"/>
            <w:tcBorders>
              <w:top w:val="nil"/>
              <w:left w:val="nil"/>
              <w:bottom w:val="nil"/>
              <w:right w:val="nil"/>
            </w:tcBorders>
            <w:shd w:val="clear" w:color="FFFFFF" w:fill="FFFFFF"/>
            <w:noWrap/>
            <w:hideMark/>
          </w:tcPr>
          <w:p w14:paraId="601F1E9A"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 </w:t>
            </w:r>
          </w:p>
        </w:tc>
      </w:tr>
      <w:tr w:rsidR="008033D3" w:rsidRPr="00CA55DA" w14:paraId="084F7246" w14:textId="77777777" w:rsidTr="009E77CA">
        <w:trPr>
          <w:trHeight w:val="420"/>
          <w:jc w:val="center"/>
        </w:trPr>
        <w:tc>
          <w:tcPr>
            <w:tcW w:w="1900" w:type="dxa"/>
            <w:tcBorders>
              <w:top w:val="nil"/>
              <w:left w:val="nil"/>
              <w:bottom w:val="single" w:sz="8" w:space="0" w:color="auto"/>
              <w:right w:val="nil"/>
            </w:tcBorders>
            <w:shd w:val="clear" w:color="FFFFFF" w:fill="FFFFFF"/>
            <w:noWrap/>
            <w:hideMark/>
          </w:tcPr>
          <w:p w14:paraId="2006172D"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10 o superior</w:t>
            </w:r>
          </w:p>
        </w:tc>
        <w:tc>
          <w:tcPr>
            <w:tcW w:w="2160" w:type="dxa"/>
            <w:tcBorders>
              <w:top w:val="nil"/>
              <w:left w:val="nil"/>
              <w:bottom w:val="single" w:sz="8" w:space="0" w:color="auto"/>
              <w:right w:val="nil"/>
            </w:tcBorders>
            <w:shd w:val="clear" w:color="FFFFFF" w:fill="FFFFFF"/>
            <w:noWrap/>
            <w:hideMark/>
          </w:tcPr>
          <w:p w14:paraId="24B3E241"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1%</w:t>
            </w:r>
          </w:p>
        </w:tc>
        <w:tc>
          <w:tcPr>
            <w:tcW w:w="2200" w:type="dxa"/>
            <w:tcBorders>
              <w:top w:val="nil"/>
              <w:left w:val="nil"/>
              <w:bottom w:val="single" w:sz="8" w:space="0" w:color="auto"/>
              <w:right w:val="nil"/>
            </w:tcBorders>
            <w:shd w:val="clear" w:color="FFFFFF" w:fill="FFFFFF"/>
            <w:noWrap/>
            <w:hideMark/>
          </w:tcPr>
          <w:p w14:paraId="23FBA757" w14:textId="77777777" w:rsidR="008033D3" w:rsidRPr="00CA55DA" w:rsidRDefault="008033D3" w:rsidP="009E77CA">
            <w:pPr>
              <w:spacing w:after="0" w:line="240" w:lineRule="auto"/>
              <w:rPr>
                <w:rFonts w:eastAsia="Times New Roman" w:cs="Times New Roman"/>
                <w:color w:val="000000"/>
                <w:szCs w:val="24"/>
                <w:lang w:eastAsia="es-ES"/>
              </w:rPr>
            </w:pPr>
            <w:r w:rsidRPr="00CA55DA">
              <w:rPr>
                <w:rFonts w:eastAsia="Times New Roman" w:cs="Times New Roman"/>
                <w:color w:val="000000"/>
                <w:szCs w:val="24"/>
                <w:lang w:eastAsia="es-ES"/>
              </w:rPr>
              <w:t>Arancel mínimo</w:t>
            </w:r>
          </w:p>
        </w:tc>
      </w:tr>
      <w:tr w:rsidR="008033D3" w:rsidRPr="00CA55DA" w14:paraId="0EE447AA" w14:textId="77777777" w:rsidTr="009E77CA">
        <w:trPr>
          <w:trHeight w:val="300"/>
          <w:jc w:val="center"/>
        </w:trPr>
        <w:tc>
          <w:tcPr>
            <w:tcW w:w="4060" w:type="dxa"/>
            <w:gridSpan w:val="2"/>
            <w:tcBorders>
              <w:top w:val="nil"/>
              <w:left w:val="nil"/>
              <w:bottom w:val="nil"/>
              <w:right w:val="nil"/>
            </w:tcBorders>
            <w:shd w:val="clear" w:color="FFFFFF" w:fill="FFFFFF"/>
            <w:noWrap/>
            <w:hideMark/>
          </w:tcPr>
          <w:p w14:paraId="6ADFADB6" w14:textId="77777777" w:rsidR="008033D3" w:rsidRPr="00B73266" w:rsidRDefault="008033D3" w:rsidP="009E77CA">
            <w:pPr>
              <w:spacing w:after="0" w:line="240" w:lineRule="auto"/>
              <w:rPr>
                <w:rFonts w:eastAsia="Times New Roman" w:cs="Times New Roman"/>
                <w:color w:val="000000"/>
                <w:sz w:val="16"/>
                <w:szCs w:val="16"/>
                <w:lang w:eastAsia="es-ES"/>
              </w:rPr>
            </w:pPr>
            <w:r w:rsidRPr="00B73266">
              <w:rPr>
                <w:rFonts w:eastAsia="Times New Roman" w:cs="Times New Roman"/>
                <w:color w:val="000000"/>
                <w:sz w:val="16"/>
                <w:szCs w:val="16"/>
                <w:lang w:eastAsia="es-ES"/>
              </w:rPr>
              <w:t xml:space="preserve">Elaborado por: Héctor </w:t>
            </w:r>
            <w:proofErr w:type="spellStart"/>
            <w:r w:rsidRPr="00B73266">
              <w:rPr>
                <w:rFonts w:eastAsia="Times New Roman" w:cs="Times New Roman"/>
                <w:color w:val="000000"/>
                <w:sz w:val="16"/>
                <w:szCs w:val="16"/>
                <w:lang w:eastAsia="es-ES"/>
              </w:rPr>
              <w:t>Ruilova</w:t>
            </w:r>
            <w:proofErr w:type="spellEnd"/>
            <w:r w:rsidRPr="00B73266">
              <w:rPr>
                <w:rFonts w:eastAsia="Times New Roman" w:cs="Times New Roman"/>
                <w:color w:val="000000"/>
                <w:sz w:val="16"/>
                <w:szCs w:val="16"/>
                <w:lang w:eastAsia="es-ES"/>
              </w:rPr>
              <w:t xml:space="preserve"> Vidal</w:t>
            </w:r>
          </w:p>
        </w:tc>
        <w:tc>
          <w:tcPr>
            <w:tcW w:w="2200" w:type="dxa"/>
            <w:tcBorders>
              <w:top w:val="nil"/>
              <w:left w:val="nil"/>
              <w:bottom w:val="nil"/>
              <w:right w:val="nil"/>
            </w:tcBorders>
            <w:shd w:val="clear" w:color="FFFFFF" w:fill="FFFFFF"/>
            <w:noWrap/>
            <w:hideMark/>
          </w:tcPr>
          <w:p w14:paraId="2218077F" w14:textId="77777777" w:rsidR="008033D3" w:rsidRPr="00CA55DA" w:rsidRDefault="008033D3" w:rsidP="009E77CA">
            <w:pPr>
              <w:spacing w:after="0" w:line="240" w:lineRule="auto"/>
              <w:rPr>
                <w:rFonts w:eastAsia="Times New Roman" w:cs="Times New Roman"/>
                <w:color w:val="000000"/>
                <w:lang w:eastAsia="es-ES"/>
              </w:rPr>
            </w:pPr>
            <w:r w:rsidRPr="00CA55DA">
              <w:rPr>
                <w:rFonts w:eastAsia="Times New Roman" w:cs="Times New Roman"/>
                <w:color w:val="000000"/>
                <w:lang w:eastAsia="es-ES"/>
              </w:rPr>
              <w:t> </w:t>
            </w:r>
          </w:p>
        </w:tc>
      </w:tr>
    </w:tbl>
    <w:p w14:paraId="669E04E5" w14:textId="77777777" w:rsidR="008033D3" w:rsidRDefault="008033D3" w:rsidP="008033D3">
      <w:pPr>
        <w:spacing w:line="360" w:lineRule="auto"/>
        <w:jc w:val="center"/>
        <w:rPr>
          <w:rFonts w:cs="Times New Roman"/>
          <w:szCs w:val="24"/>
        </w:rPr>
      </w:pPr>
    </w:p>
    <w:p w14:paraId="572EB19D" w14:textId="77777777" w:rsidR="008033D3" w:rsidRDefault="008033D3" w:rsidP="008033D3">
      <w:pPr>
        <w:spacing w:line="360" w:lineRule="auto"/>
        <w:jc w:val="center"/>
        <w:rPr>
          <w:rFonts w:cs="Times New Roman"/>
          <w:szCs w:val="24"/>
        </w:rPr>
      </w:pPr>
    </w:p>
    <w:p w14:paraId="3560A782" w14:textId="77777777" w:rsidR="008033D3" w:rsidRDefault="008033D3" w:rsidP="008033D3">
      <w:pPr>
        <w:spacing w:line="360" w:lineRule="auto"/>
        <w:jc w:val="center"/>
        <w:rPr>
          <w:rFonts w:cs="Times New Roman"/>
          <w:szCs w:val="24"/>
        </w:rPr>
      </w:pPr>
    </w:p>
    <w:p w14:paraId="5806E70A" w14:textId="77777777" w:rsidR="008033D3" w:rsidRDefault="008033D3" w:rsidP="008033D3">
      <w:pPr>
        <w:spacing w:line="360" w:lineRule="auto"/>
        <w:jc w:val="center"/>
        <w:rPr>
          <w:rFonts w:cs="Times New Roman"/>
          <w:szCs w:val="24"/>
        </w:rPr>
      </w:pPr>
    </w:p>
    <w:p w14:paraId="7622563C" w14:textId="77777777" w:rsidR="000253C2" w:rsidRDefault="000253C2" w:rsidP="008033D3">
      <w:pPr>
        <w:pStyle w:val="Titulo1"/>
        <w:spacing w:before="0" w:after="200"/>
      </w:pPr>
      <w:bookmarkStart w:id="45" w:name="_Toc442343938"/>
    </w:p>
    <w:p w14:paraId="1E532B38" w14:textId="77777777" w:rsidR="000253C2" w:rsidRDefault="000253C2" w:rsidP="008033D3">
      <w:pPr>
        <w:pStyle w:val="Titulo1"/>
        <w:spacing w:before="0" w:after="200"/>
      </w:pPr>
    </w:p>
    <w:p w14:paraId="74522650" w14:textId="12931726" w:rsidR="008033D3" w:rsidRPr="00AD585F" w:rsidRDefault="002444D6" w:rsidP="008033D3">
      <w:pPr>
        <w:pStyle w:val="Titulo1"/>
        <w:spacing w:before="0" w:after="200"/>
      </w:pPr>
      <w:r>
        <w:t xml:space="preserve">   </w:t>
      </w:r>
      <w:r w:rsidR="008033D3" w:rsidRPr="00AD585F">
        <w:t>CONCLUSIONES</w:t>
      </w:r>
      <w:bookmarkEnd w:id="45"/>
    </w:p>
    <w:p w14:paraId="0E94D17D" w14:textId="77777777" w:rsidR="008033D3" w:rsidRPr="003264E2" w:rsidRDefault="008033D3" w:rsidP="008033D3">
      <w:pPr>
        <w:spacing w:line="360" w:lineRule="auto"/>
        <w:rPr>
          <w:rFonts w:cs="Times New Roman"/>
          <w:szCs w:val="24"/>
        </w:rPr>
      </w:pPr>
      <w:r w:rsidRPr="003264E2">
        <w:rPr>
          <w:rFonts w:cs="Times New Roman"/>
          <w:szCs w:val="24"/>
        </w:rPr>
        <w:t>Dado que los procesos de ensam</w:t>
      </w:r>
      <w:r>
        <w:rPr>
          <w:rFonts w:cs="Times New Roman"/>
          <w:szCs w:val="24"/>
        </w:rPr>
        <w:t>blaje de celulares</w:t>
      </w:r>
      <w:r w:rsidRPr="003264E2">
        <w:rPr>
          <w:rFonts w:cs="Times New Roman"/>
          <w:szCs w:val="24"/>
        </w:rPr>
        <w:t xml:space="preserve"> han sido implementados recientemente, la industria nacional de ensamblaje no está posicionada. El comprador promedio no puede tener una elección responsable del tipo de la marca “Primero Ecuador” si no conoce qu</w:t>
      </w:r>
      <w:r>
        <w:rPr>
          <w:rFonts w:cs="Times New Roman"/>
          <w:szCs w:val="24"/>
        </w:rPr>
        <w:t>é</w:t>
      </w:r>
      <w:r w:rsidRPr="003264E2">
        <w:rPr>
          <w:rFonts w:cs="Times New Roman"/>
          <w:szCs w:val="24"/>
        </w:rPr>
        <w:t xml:space="preserve"> marcas de celulares son ensambladas en el Ecuador</w:t>
      </w:r>
      <w:r>
        <w:rPr>
          <w:rFonts w:cs="Times New Roman"/>
          <w:szCs w:val="24"/>
        </w:rPr>
        <w:t xml:space="preserve">. </w:t>
      </w:r>
      <w:r w:rsidRPr="003264E2">
        <w:rPr>
          <w:rFonts w:cs="Times New Roman"/>
          <w:szCs w:val="24"/>
        </w:rPr>
        <w:t xml:space="preserve">Además los procesos de revisión de calidad </w:t>
      </w:r>
      <w:r>
        <w:rPr>
          <w:rFonts w:cs="Times New Roman"/>
          <w:szCs w:val="24"/>
        </w:rPr>
        <w:t>están</w:t>
      </w:r>
      <w:r w:rsidRPr="003264E2">
        <w:rPr>
          <w:rFonts w:cs="Times New Roman"/>
          <w:szCs w:val="24"/>
        </w:rPr>
        <w:t xml:space="preserve"> sujetos a normativas</w:t>
      </w:r>
      <w:r>
        <w:rPr>
          <w:rFonts w:cs="Times New Roman"/>
          <w:szCs w:val="24"/>
        </w:rPr>
        <w:t xml:space="preserve"> establecidas</w:t>
      </w:r>
      <w:r w:rsidRPr="003264E2">
        <w:rPr>
          <w:rFonts w:cs="Times New Roman"/>
          <w:szCs w:val="24"/>
        </w:rPr>
        <w:t xml:space="preserve"> por el MIPRO </w:t>
      </w:r>
      <w:r>
        <w:rPr>
          <w:rFonts w:cs="Times New Roman"/>
          <w:szCs w:val="24"/>
        </w:rPr>
        <w:t xml:space="preserve">por lo que </w:t>
      </w:r>
      <w:r w:rsidRPr="003264E2">
        <w:rPr>
          <w:rFonts w:cs="Times New Roman"/>
          <w:szCs w:val="24"/>
        </w:rPr>
        <w:t>no existe mucha diferencia entre celulares de la misma gama ensamblados o importados. Por lo tanto es muy importante promover de forma activa un cambio en la percepción</w:t>
      </w:r>
      <w:r>
        <w:rPr>
          <w:rFonts w:cs="Times New Roman"/>
          <w:szCs w:val="24"/>
        </w:rPr>
        <w:t xml:space="preserve"> del consumidor</w:t>
      </w:r>
      <w:r w:rsidRPr="003264E2">
        <w:rPr>
          <w:rFonts w:cs="Times New Roman"/>
          <w:szCs w:val="24"/>
        </w:rPr>
        <w:t xml:space="preserve"> </w:t>
      </w:r>
      <w:r>
        <w:rPr>
          <w:rFonts w:cs="Times New Roman"/>
          <w:szCs w:val="24"/>
        </w:rPr>
        <w:t>en relación a la industria y</w:t>
      </w:r>
      <w:r w:rsidRPr="003264E2">
        <w:rPr>
          <w:rFonts w:cs="Times New Roman"/>
          <w:szCs w:val="24"/>
        </w:rPr>
        <w:t xml:space="preserve"> al papel que cumple el Estado</w:t>
      </w:r>
      <w:r>
        <w:rPr>
          <w:rFonts w:cs="Times New Roman"/>
          <w:szCs w:val="24"/>
        </w:rPr>
        <w:t xml:space="preserve"> al implementar normativas que potencien la industria</w:t>
      </w:r>
      <w:r w:rsidRPr="003264E2">
        <w:rPr>
          <w:rFonts w:cs="Times New Roman"/>
          <w:szCs w:val="24"/>
        </w:rPr>
        <w:t>.</w:t>
      </w:r>
    </w:p>
    <w:p w14:paraId="7E3556CA" w14:textId="77777777" w:rsidR="008033D3" w:rsidRPr="003264E2" w:rsidRDefault="008033D3" w:rsidP="008033D3">
      <w:pPr>
        <w:spacing w:line="360" w:lineRule="auto"/>
        <w:rPr>
          <w:rFonts w:cs="Times New Roman"/>
          <w:szCs w:val="24"/>
        </w:rPr>
      </w:pPr>
      <w:r w:rsidRPr="003264E2">
        <w:rPr>
          <w:rFonts w:cs="Times New Roman"/>
          <w:szCs w:val="24"/>
        </w:rPr>
        <w:t>Según datos de las operadoras</w:t>
      </w:r>
      <w:r>
        <w:rPr>
          <w:rFonts w:cs="Times New Roman"/>
          <w:szCs w:val="24"/>
        </w:rPr>
        <w:t>,</w:t>
      </w:r>
      <w:r w:rsidRPr="003264E2">
        <w:rPr>
          <w:rFonts w:cs="Times New Roman"/>
          <w:szCs w:val="24"/>
        </w:rPr>
        <w:t xml:space="preserve"> la relación entre compra de teléfonos básicos (</w:t>
      </w:r>
      <w:proofErr w:type="spellStart"/>
      <w:r w:rsidRPr="00A32A4A">
        <w:rPr>
          <w:rFonts w:cs="Times New Roman"/>
          <w:i/>
          <w:szCs w:val="24"/>
        </w:rPr>
        <w:t>feature</w:t>
      </w:r>
      <w:proofErr w:type="spellEnd"/>
      <w:r w:rsidRPr="00A32A4A">
        <w:rPr>
          <w:rFonts w:cs="Times New Roman"/>
          <w:i/>
          <w:szCs w:val="24"/>
        </w:rPr>
        <w:t xml:space="preserve"> </w:t>
      </w:r>
      <w:proofErr w:type="spellStart"/>
      <w:r w:rsidRPr="00A32A4A">
        <w:rPr>
          <w:rFonts w:cs="Times New Roman"/>
          <w:i/>
          <w:szCs w:val="24"/>
        </w:rPr>
        <w:t>phone</w:t>
      </w:r>
      <w:proofErr w:type="spellEnd"/>
      <w:r w:rsidRPr="003264E2">
        <w:rPr>
          <w:rFonts w:cs="Times New Roman"/>
          <w:szCs w:val="24"/>
        </w:rPr>
        <w:t xml:space="preserve">) y </w:t>
      </w:r>
      <w:proofErr w:type="spellStart"/>
      <w:r w:rsidRPr="00A32A4A">
        <w:rPr>
          <w:rFonts w:cs="Times New Roman"/>
          <w:i/>
          <w:szCs w:val="24"/>
        </w:rPr>
        <w:t>smartphone</w:t>
      </w:r>
      <w:proofErr w:type="spellEnd"/>
      <w:r w:rsidRPr="003264E2">
        <w:rPr>
          <w:rFonts w:cs="Times New Roman"/>
          <w:szCs w:val="24"/>
        </w:rPr>
        <w:t xml:space="preserve"> es aproximadamente 70 – 30 respectivamente. Esto es explicable en el sentido de que el valor de uso de un teléfono se cumple </w:t>
      </w:r>
      <w:r>
        <w:rPr>
          <w:rFonts w:cs="Times New Roman"/>
          <w:szCs w:val="24"/>
        </w:rPr>
        <w:t xml:space="preserve">al tener </w:t>
      </w:r>
      <w:r w:rsidRPr="003264E2">
        <w:rPr>
          <w:rFonts w:cs="Times New Roman"/>
          <w:szCs w:val="24"/>
        </w:rPr>
        <w:t xml:space="preserve">la capacidad de hacer llamadas y enviar mensajes de texto. Las otras funcionalidades propias de los </w:t>
      </w:r>
      <w:proofErr w:type="spellStart"/>
      <w:r w:rsidRPr="00A32A4A">
        <w:rPr>
          <w:rFonts w:cs="Times New Roman"/>
          <w:i/>
          <w:szCs w:val="24"/>
        </w:rPr>
        <w:t>smartphones</w:t>
      </w:r>
      <w:proofErr w:type="spellEnd"/>
      <w:r>
        <w:rPr>
          <w:rFonts w:cs="Times New Roman"/>
          <w:szCs w:val="24"/>
        </w:rPr>
        <w:t xml:space="preserve">, como aplicaciones, </w:t>
      </w:r>
      <w:r w:rsidRPr="003264E2">
        <w:rPr>
          <w:rFonts w:cs="Times New Roman"/>
          <w:szCs w:val="24"/>
        </w:rPr>
        <w:t>resultan de valores agregados deseables pero si la primera condición se cumple, el producto está respondiendo a la demanda fundamental de permitir al usuario la función de estar comunicado.</w:t>
      </w:r>
    </w:p>
    <w:p w14:paraId="5F4F6DEE" w14:textId="668BBE95" w:rsidR="008033D3" w:rsidRPr="003264E2" w:rsidRDefault="008033D3" w:rsidP="008033D3">
      <w:pPr>
        <w:spacing w:line="360" w:lineRule="auto"/>
        <w:rPr>
          <w:rFonts w:cs="Times New Roman"/>
          <w:szCs w:val="24"/>
        </w:rPr>
      </w:pPr>
      <w:r w:rsidRPr="003264E2">
        <w:rPr>
          <w:rFonts w:cs="Times New Roman"/>
          <w:szCs w:val="24"/>
        </w:rPr>
        <w:t>A partir de Junio de 2012</w:t>
      </w:r>
      <w:r>
        <w:rPr>
          <w:rFonts w:cs="Times New Roman"/>
          <w:szCs w:val="24"/>
        </w:rPr>
        <w:t>,</w:t>
      </w:r>
      <w:r w:rsidRPr="003264E2">
        <w:rPr>
          <w:rFonts w:cs="Times New Roman"/>
          <w:szCs w:val="24"/>
        </w:rPr>
        <w:t xml:space="preserve"> el Estado incentivó a las empresas ensambladoras a invertir en sus plantas</w:t>
      </w:r>
      <w:r>
        <w:rPr>
          <w:rFonts w:cs="Times New Roman"/>
          <w:szCs w:val="24"/>
        </w:rPr>
        <w:t>,</w:t>
      </w:r>
      <w:r w:rsidRPr="003264E2">
        <w:rPr>
          <w:rFonts w:cs="Times New Roman"/>
          <w:szCs w:val="24"/>
        </w:rPr>
        <w:t xml:space="preserve"> generando cupos de importación para los celulares terminados y bajando el arancel a las piezas CKD. Esto provocó que disminuyan los inventarios de las operadoras y en consecuencia el alza de los precios de los equipos terminados. Debido a que la reforma arancelaria emitida por el COMEX no contenía un estudio </w:t>
      </w:r>
      <w:r>
        <w:rPr>
          <w:rFonts w:cs="Times New Roman"/>
          <w:szCs w:val="24"/>
        </w:rPr>
        <w:t xml:space="preserve">técnico previo </w:t>
      </w:r>
      <w:r w:rsidRPr="003264E2">
        <w:rPr>
          <w:rFonts w:cs="Times New Roman"/>
          <w:szCs w:val="24"/>
        </w:rPr>
        <w:t>del</w:t>
      </w:r>
      <w:r>
        <w:rPr>
          <w:rFonts w:cs="Times New Roman"/>
          <w:szCs w:val="24"/>
        </w:rPr>
        <w:t xml:space="preserve"> proceso de </w:t>
      </w:r>
      <w:r w:rsidRPr="003264E2">
        <w:rPr>
          <w:rFonts w:cs="Times New Roman"/>
          <w:szCs w:val="24"/>
        </w:rPr>
        <w:t>ensamblaje</w:t>
      </w:r>
      <w:r>
        <w:rPr>
          <w:rFonts w:cs="Times New Roman"/>
          <w:szCs w:val="24"/>
        </w:rPr>
        <w:t xml:space="preserve"> en consecuencia llevó a que se obligue</w:t>
      </w:r>
      <w:r w:rsidRPr="003264E2">
        <w:rPr>
          <w:rFonts w:cs="Times New Roman"/>
          <w:szCs w:val="24"/>
        </w:rPr>
        <w:t xml:space="preserve"> que todas las partes ingresen para ser soldadas localmente lo cual no era técnicamente posible. Al ser levantada la vigencia de la entrada de equipos CKD soldados en el 2014</w:t>
      </w:r>
      <w:r>
        <w:rPr>
          <w:rFonts w:cs="Times New Roman"/>
          <w:szCs w:val="24"/>
        </w:rPr>
        <w:t>,</w:t>
      </w:r>
      <w:r w:rsidRPr="003264E2">
        <w:rPr>
          <w:rFonts w:cs="Times New Roman"/>
          <w:szCs w:val="24"/>
        </w:rPr>
        <w:t xml:space="preserve"> se presentó el mayor ingreso</w:t>
      </w:r>
      <w:r>
        <w:rPr>
          <w:rFonts w:cs="Times New Roman"/>
          <w:szCs w:val="24"/>
        </w:rPr>
        <w:t xml:space="preserve"> desde que se aplicaron los cupos de importación</w:t>
      </w:r>
      <w:r w:rsidRPr="003264E2">
        <w:rPr>
          <w:rFonts w:cs="Times New Roman"/>
          <w:szCs w:val="24"/>
        </w:rPr>
        <w:t xml:space="preserve"> llegando a los </w:t>
      </w:r>
      <w:r>
        <w:rPr>
          <w:rFonts w:cs="Times New Roman"/>
          <w:szCs w:val="24"/>
        </w:rPr>
        <w:t>US</w:t>
      </w:r>
      <w:r w:rsidRPr="003264E2">
        <w:rPr>
          <w:rFonts w:cs="Times New Roman"/>
          <w:szCs w:val="24"/>
        </w:rPr>
        <w:t xml:space="preserve">$17 millones en contraste a los </w:t>
      </w:r>
      <w:r>
        <w:rPr>
          <w:rFonts w:cs="Times New Roman"/>
          <w:szCs w:val="24"/>
        </w:rPr>
        <w:t>US</w:t>
      </w:r>
      <w:r w:rsidRPr="003264E2">
        <w:rPr>
          <w:rFonts w:cs="Times New Roman"/>
          <w:szCs w:val="24"/>
        </w:rPr>
        <w:t xml:space="preserve">$6 millones del </w:t>
      </w:r>
      <w:r>
        <w:rPr>
          <w:rFonts w:cs="Times New Roman"/>
          <w:szCs w:val="24"/>
        </w:rPr>
        <w:t>2012</w:t>
      </w:r>
      <w:r w:rsidRPr="003264E2">
        <w:rPr>
          <w:rFonts w:cs="Times New Roman"/>
          <w:szCs w:val="24"/>
        </w:rPr>
        <w:t xml:space="preserve"> que se aplicaron los cupos de importación.</w:t>
      </w:r>
    </w:p>
    <w:p w14:paraId="053928B1" w14:textId="77777777" w:rsidR="008033D3" w:rsidRPr="003264E2" w:rsidRDefault="008033D3" w:rsidP="008033D3">
      <w:pPr>
        <w:spacing w:line="360" w:lineRule="auto"/>
        <w:rPr>
          <w:rFonts w:cs="Times New Roman"/>
          <w:szCs w:val="24"/>
        </w:rPr>
      </w:pPr>
      <w:r w:rsidRPr="003264E2">
        <w:rPr>
          <w:rFonts w:cs="Times New Roman"/>
          <w:szCs w:val="24"/>
        </w:rPr>
        <w:lastRenderedPageBreak/>
        <w:t>A mediados del 2015, mientras los equipos ensamblados localmente tenían buena aceptación en el mercado</w:t>
      </w:r>
      <w:r>
        <w:rPr>
          <w:rFonts w:cs="Times New Roman"/>
          <w:szCs w:val="24"/>
        </w:rPr>
        <w:t>,</w:t>
      </w:r>
      <w:r w:rsidRPr="003264E2">
        <w:rPr>
          <w:rFonts w:cs="Times New Roman"/>
          <w:szCs w:val="24"/>
        </w:rPr>
        <w:t xml:space="preserve"> el gobierno decidió aumentar el cupo a las operadoras</w:t>
      </w:r>
      <w:r>
        <w:rPr>
          <w:rFonts w:cs="Times New Roman"/>
          <w:szCs w:val="24"/>
        </w:rPr>
        <w:t>,</w:t>
      </w:r>
      <w:r w:rsidRPr="003264E2">
        <w:rPr>
          <w:rFonts w:cs="Times New Roman"/>
          <w:szCs w:val="24"/>
        </w:rPr>
        <w:t xml:space="preserve"> lo cual generó especulación en las ensambladoras limitando su producción. </w:t>
      </w:r>
    </w:p>
    <w:p w14:paraId="7CDAD0FC" w14:textId="77777777" w:rsidR="008033D3" w:rsidRPr="003264E2" w:rsidRDefault="008033D3" w:rsidP="008033D3">
      <w:pPr>
        <w:spacing w:line="360" w:lineRule="auto"/>
        <w:rPr>
          <w:rFonts w:cs="Times New Roman"/>
          <w:szCs w:val="24"/>
        </w:rPr>
      </w:pPr>
      <w:r w:rsidRPr="003264E2">
        <w:rPr>
          <w:rFonts w:cs="Times New Roman"/>
          <w:szCs w:val="24"/>
        </w:rPr>
        <w:t>A finales de 2015 el gobierno empezó a tener políticas menos drásticas en cuanto a importaciones de celulares</w:t>
      </w:r>
      <w:r>
        <w:rPr>
          <w:rFonts w:cs="Times New Roman"/>
          <w:szCs w:val="24"/>
        </w:rPr>
        <w:t>,</w:t>
      </w:r>
      <w:r w:rsidRPr="003264E2">
        <w:rPr>
          <w:rFonts w:cs="Times New Roman"/>
          <w:szCs w:val="24"/>
        </w:rPr>
        <w:t xml:space="preserve"> lo cual benefició a las operadoras locales con </w:t>
      </w:r>
      <w:r>
        <w:rPr>
          <w:rFonts w:cs="Times New Roman"/>
          <w:szCs w:val="24"/>
        </w:rPr>
        <w:t>US</w:t>
      </w:r>
      <w:r w:rsidRPr="003264E2">
        <w:rPr>
          <w:rFonts w:cs="Times New Roman"/>
          <w:szCs w:val="24"/>
        </w:rPr>
        <w:t>$50 millones adicionales en contraste con años anteriores. Estas medidas no solamente perjudican a la industria de ensamblaje de celulares sino a las empresas relacionadas con la industria y sus trabajadores</w:t>
      </w:r>
      <w:r>
        <w:rPr>
          <w:rFonts w:cs="Times New Roman"/>
          <w:szCs w:val="24"/>
        </w:rPr>
        <w:t>,</w:t>
      </w:r>
      <w:r w:rsidRPr="003264E2">
        <w:rPr>
          <w:rFonts w:cs="Times New Roman"/>
          <w:szCs w:val="24"/>
        </w:rPr>
        <w:t xml:space="preserve"> tanto directos como indirectos. A pesar que las medidas tomadas ayudan de cierto modo a las ensambladoras con créditos tributarios para el 2016, se esperan cortes de personal y el posible cierre de algunas empresas ensambladoras por la falta de demanda. </w:t>
      </w:r>
    </w:p>
    <w:p w14:paraId="719046B5" w14:textId="77777777" w:rsidR="008033D3" w:rsidRDefault="008033D3" w:rsidP="008033D3">
      <w:pPr>
        <w:spacing w:line="360" w:lineRule="auto"/>
        <w:rPr>
          <w:rFonts w:cs="Times New Roman"/>
          <w:szCs w:val="24"/>
        </w:rPr>
      </w:pPr>
      <w:r w:rsidRPr="003264E2">
        <w:rPr>
          <w:rFonts w:cs="Times New Roman"/>
          <w:szCs w:val="24"/>
        </w:rPr>
        <w:t>Por último, la industria se desenvuelve en un contexto mundial marcado por la inestabilidad e incertidumbre. Los precios internacionales del petróleo han caído abruptamente y ello afecta los ingresos fiscales y de balanza de pagos.  No hay información sobre cu</w:t>
      </w:r>
      <w:r>
        <w:rPr>
          <w:rFonts w:cs="Times New Roman"/>
          <w:szCs w:val="24"/>
        </w:rPr>
        <w:t>á</w:t>
      </w:r>
      <w:r w:rsidRPr="003264E2">
        <w:rPr>
          <w:rFonts w:cs="Times New Roman"/>
          <w:szCs w:val="24"/>
        </w:rPr>
        <w:t>ndo se podría detener este proceso que obedece a profundos cambios en la explotación de crudo y al debilitamiento de las economías industriales. Esto está directamente vinculado a preocupaciones derivadas de la situación de la balanza comercial</w:t>
      </w:r>
      <w:r>
        <w:rPr>
          <w:rFonts w:cs="Times New Roman"/>
          <w:szCs w:val="24"/>
        </w:rPr>
        <w:t>,</w:t>
      </w:r>
      <w:r w:rsidRPr="003264E2">
        <w:rPr>
          <w:rFonts w:cs="Times New Roman"/>
          <w:szCs w:val="24"/>
        </w:rPr>
        <w:t xml:space="preserve"> que hacia fines del 2014 se ubicó en – </w:t>
      </w:r>
      <w:r>
        <w:rPr>
          <w:rFonts w:cs="Times New Roman"/>
          <w:szCs w:val="24"/>
        </w:rPr>
        <w:t>US$727 millones</w:t>
      </w:r>
      <w:r w:rsidRPr="003264E2">
        <w:rPr>
          <w:rFonts w:cs="Times New Roman"/>
          <w:szCs w:val="24"/>
        </w:rPr>
        <w:t xml:space="preserve">. </w:t>
      </w:r>
    </w:p>
    <w:p w14:paraId="46F59500" w14:textId="77777777" w:rsidR="008033D3" w:rsidRDefault="008033D3" w:rsidP="008033D3">
      <w:pPr>
        <w:spacing w:line="360" w:lineRule="auto"/>
        <w:rPr>
          <w:rFonts w:cs="Times New Roman"/>
          <w:szCs w:val="24"/>
        </w:rPr>
      </w:pPr>
    </w:p>
    <w:p w14:paraId="5661F598" w14:textId="77777777" w:rsidR="008033D3" w:rsidRDefault="008033D3" w:rsidP="008033D3">
      <w:pPr>
        <w:spacing w:line="360" w:lineRule="auto"/>
        <w:rPr>
          <w:rFonts w:cs="Times New Roman"/>
          <w:szCs w:val="24"/>
        </w:rPr>
      </w:pPr>
    </w:p>
    <w:p w14:paraId="0717A4D5" w14:textId="77777777" w:rsidR="008033D3" w:rsidRDefault="008033D3" w:rsidP="008033D3">
      <w:pPr>
        <w:spacing w:line="360" w:lineRule="auto"/>
        <w:rPr>
          <w:rFonts w:cs="Times New Roman"/>
          <w:szCs w:val="24"/>
        </w:rPr>
      </w:pPr>
    </w:p>
    <w:p w14:paraId="311B4656" w14:textId="77777777" w:rsidR="008033D3" w:rsidRDefault="008033D3" w:rsidP="008033D3">
      <w:pPr>
        <w:spacing w:line="360" w:lineRule="auto"/>
        <w:rPr>
          <w:rFonts w:cs="Times New Roman"/>
          <w:szCs w:val="24"/>
        </w:rPr>
      </w:pPr>
    </w:p>
    <w:p w14:paraId="7E662B9A" w14:textId="77777777" w:rsidR="008033D3" w:rsidRDefault="008033D3" w:rsidP="008033D3">
      <w:pPr>
        <w:spacing w:line="360" w:lineRule="auto"/>
        <w:rPr>
          <w:rFonts w:cs="Times New Roman"/>
          <w:szCs w:val="24"/>
        </w:rPr>
      </w:pPr>
    </w:p>
    <w:p w14:paraId="30A3B566" w14:textId="77777777" w:rsidR="008033D3" w:rsidRDefault="008033D3" w:rsidP="008033D3">
      <w:pPr>
        <w:spacing w:line="360" w:lineRule="auto"/>
        <w:rPr>
          <w:rFonts w:cs="Times New Roman"/>
          <w:szCs w:val="24"/>
        </w:rPr>
      </w:pPr>
    </w:p>
    <w:p w14:paraId="1372C6AD" w14:textId="77777777" w:rsidR="008033D3" w:rsidRDefault="008033D3" w:rsidP="008033D3">
      <w:pPr>
        <w:spacing w:line="360" w:lineRule="auto"/>
        <w:rPr>
          <w:rFonts w:cs="Times New Roman"/>
          <w:szCs w:val="24"/>
        </w:rPr>
      </w:pPr>
    </w:p>
    <w:p w14:paraId="353C8C4D" w14:textId="77777777" w:rsidR="008033D3" w:rsidRDefault="008033D3" w:rsidP="008033D3">
      <w:pPr>
        <w:spacing w:line="360" w:lineRule="auto"/>
        <w:rPr>
          <w:rFonts w:cs="Times New Roman"/>
          <w:szCs w:val="24"/>
        </w:rPr>
      </w:pPr>
    </w:p>
    <w:p w14:paraId="04F367FF" w14:textId="77777777" w:rsidR="008033D3" w:rsidRDefault="008033D3" w:rsidP="008033D3">
      <w:pPr>
        <w:pStyle w:val="Titulo1"/>
        <w:spacing w:before="0" w:after="200"/>
      </w:pPr>
      <w:bookmarkStart w:id="46" w:name="_Toc442343939"/>
    </w:p>
    <w:p w14:paraId="08E965E6" w14:textId="77777777" w:rsidR="008033D3" w:rsidRDefault="008033D3" w:rsidP="008033D3">
      <w:pPr>
        <w:pStyle w:val="Titulo1"/>
        <w:spacing w:before="0" w:after="200"/>
      </w:pPr>
    </w:p>
    <w:p w14:paraId="7CF6EE3C" w14:textId="77777777" w:rsidR="008033D3" w:rsidRPr="000D0F7D" w:rsidRDefault="008033D3" w:rsidP="008033D3">
      <w:pPr>
        <w:pStyle w:val="Titulo1"/>
        <w:spacing w:before="0" w:after="200"/>
      </w:pPr>
      <w:r w:rsidRPr="00AD585F">
        <w:t>RECOMENDACIONES</w:t>
      </w:r>
      <w:bookmarkEnd w:id="46"/>
    </w:p>
    <w:p w14:paraId="281E7127" w14:textId="77777777" w:rsidR="008033D3" w:rsidRPr="003264E2" w:rsidRDefault="008033D3" w:rsidP="008033D3">
      <w:pPr>
        <w:spacing w:line="360" w:lineRule="auto"/>
        <w:rPr>
          <w:rFonts w:cs="Times New Roman"/>
          <w:szCs w:val="24"/>
        </w:rPr>
      </w:pPr>
      <w:r w:rsidRPr="003264E2">
        <w:rPr>
          <w:rFonts w:cs="Times New Roman"/>
          <w:szCs w:val="24"/>
        </w:rPr>
        <w:t xml:space="preserve">La industria de ensamblaje de electrónicos tiene la responsabilidad de mantener una posición competitiva en el mercado. Dados los recientes cambios a la legislación se debe incentivar la </w:t>
      </w:r>
      <w:r>
        <w:rPr>
          <w:rFonts w:cs="Times New Roman"/>
          <w:szCs w:val="24"/>
        </w:rPr>
        <w:t>inversión a</w:t>
      </w:r>
      <w:r w:rsidRPr="003264E2">
        <w:rPr>
          <w:rFonts w:cs="Times New Roman"/>
          <w:szCs w:val="24"/>
        </w:rPr>
        <w:t xml:space="preserve"> las empresas ensambladoras y generar mesas de trabajo con los organismos del Estado para garantizar la correcta aplicación del cambio de la matriz productiva. </w:t>
      </w:r>
    </w:p>
    <w:p w14:paraId="32E7BAAA" w14:textId="77777777" w:rsidR="008033D3" w:rsidRPr="003264E2" w:rsidRDefault="008033D3" w:rsidP="008033D3">
      <w:pPr>
        <w:spacing w:line="360" w:lineRule="auto"/>
        <w:rPr>
          <w:rFonts w:cs="Times New Roman"/>
          <w:szCs w:val="24"/>
        </w:rPr>
      </w:pPr>
      <w:r w:rsidRPr="003264E2">
        <w:rPr>
          <w:rFonts w:cs="Times New Roman"/>
          <w:szCs w:val="24"/>
        </w:rPr>
        <w:t>Es muy importante generar un proceso de diálogo sostenido dirigido a construir cadenas entre los actores del sector y las instituciones públicas. Los actores incluyen todos los participantes de la cadena y no solo los ensambladores. En tal sentido, se debe emprender en la generación de espacios de diálogo nacional dirigidos no solo a la generación de encuentros para construir estrategias de ordenamiento industrial sino también dirigidos a promover cercanía entre la instituciones públicas y los actores de la industria de tal modo que permita posicionar una imagen de coalición que trabaja para favorecer el desarrollo de todos los actores participantes de la cadena de valor.</w:t>
      </w:r>
      <w:r>
        <w:rPr>
          <w:rFonts w:cs="Times New Roman"/>
          <w:szCs w:val="24"/>
        </w:rPr>
        <w:t xml:space="preserve"> </w:t>
      </w:r>
      <w:r w:rsidRPr="003264E2">
        <w:rPr>
          <w:rFonts w:cs="Times New Roman"/>
          <w:szCs w:val="24"/>
        </w:rPr>
        <w:t>Lograr esto requiere un esfuerzo sostenido y estratégico dirigido específicamente a tal fin. Implica generar instancias donde los actores</w:t>
      </w:r>
      <w:r>
        <w:rPr>
          <w:rFonts w:cs="Times New Roman"/>
          <w:szCs w:val="24"/>
        </w:rPr>
        <w:t xml:space="preserve"> del sector</w:t>
      </w:r>
      <w:r w:rsidRPr="003264E2">
        <w:rPr>
          <w:rFonts w:cs="Times New Roman"/>
          <w:szCs w:val="24"/>
        </w:rPr>
        <w:t xml:space="preserve"> participan y se muestran sin reservas porque entienden que el diálogo va a tener consecuencias prácticas que beneficien la actividad que desarrollan. Debe existir un interlocutor claro en la institucionalidad pública con nivel de liderazgo reconocido para el diálogo. A esto también se debe considerar a las operadoras que trabajan en el país, ya que ellos siendo el mayor mecanismo de ventas, buscar un punto de equilibrio que beneficie a todas las partes.</w:t>
      </w:r>
    </w:p>
    <w:p w14:paraId="7EF0C8E5" w14:textId="77777777" w:rsidR="008033D3" w:rsidRPr="003264E2" w:rsidRDefault="008033D3" w:rsidP="008033D3">
      <w:pPr>
        <w:spacing w:line="360" w:lineRule="auto"/>
        <w:rPr>
          <w:rFonts w:cs="Times New Roman"/>
          <w:szCs w:val="24"/>
        </w:rPr>
      </w:pPr>
      <w:r w:rsidRPr="003264E2">
        <w:rPr>
          <w:rFonts w:cs="Times New Roman"/>
          <w:szCs w:val="24"/>
        </w:rPr>
        <w:t>Es necesario generar amplias campañas de información a los consumidores que beneficien la difusión de marcas de productos ensamblados en Ecuador. La estrategia de comunicación debería incluir amplios diálogos con asociaciones de comercializadores de electrodomésticos y las operadoras locales para generar procesos de capacitación a vendedores y promotores. No se puede lograr el posicionamiento de marcas ensambladas localmente  si los comercializadores no brindan información específica a los consumidores finales a través de su personal de venta.</w:t>
      </w:r>
    </w:p>
    <w:p w14:paraId="765801C8" w14:textId="77777777" w:rsidR="008033D3" w:rsidRPr="003264E2" w:rsidRDefault="008033D3" w:rsidP="008033D3">
      <w:pPr>
        <w:spacing w:line="360" w:lineRule="auto"/>
        <w:rPr>
          <w:rFonts w:cs="Times New Roman"/>
          <w:szCs w:val="24"/>
        </w:rPr>
      </w:pPr>
      <w:r w:rsidRPr="003264E2">
        <w:rPr>
          <w:rFonts w:cs="Times New Roman"/>
          <w:szCs w:val="24"/>
        </w:rPr>
        <w:lastRenderedPageBreak/>
        <w:t>En la misma línea el Estado puede usar los medios públicos de comunicación para levantar en relación a estos productos campañas de sensibilización de consumidores bajo la marca “Primero Ecuador”. Promover un enfoque de consumo responsable puede ser una estrategia importante para difundir que en Ecuador las empresas están en capacidad de generar procesos de ensamblaje</w:t>
      </w:r>
      <w:r>
        <w:rPr>
          <w:rFonts w:cs="Times New Roman"/>
          <w:szCs w:val="24"/>
        </w:rPr>
        <w:t>,</w:t>
      </w:r>
      <w:r w:rsidRPr="003264E2">
        <w:rPr>
          <w:rFonts w:cs="Times New Roman"/>
          <w:szCs w:val="24"/>
        </w:rPr>
        <w:t xml:space="preserve"> produciendo equipos con estándares de calidad internacional y promov</w:t>
      </w:r>
      <w:r>
        <w:rPr>
          <w:rFonts w:cs="Times New Roman"/>
          <w:szCs w:val="24"/>
        </w:rPr>
        <w:t>iendo</w:t>
      </w:r>
      <w:r w:rsidRPr="003264E2">
        <w:rPr>
          <w:rFonts w:cs="Times New Roman"/>
          <w:szCs w:val="24"/>
        </w:rPr>
        <w:t xml:space="preserve"> a las marcas nacionales no posicionadas en el mercado. Esto puede dar confianza al consumidor y ayudar a sembrar cambios en relación a las tendencias de consumo.</w:t>
      </w:r>
    </w:p>
    <w:p w14:paraId="29495AF5" w14:textId="77777777" w:rsidR="008033D3" w:rsidRPr="003264E2" w:rsidRDefault="008033D3" w:rsidP="008033D3">
      <w:pPr>
        <w:spacing w:line="360" w:lineRule="auto"/>
        <w:rPr>
          <w:rFonts w:cs="Times New Roman"/>
          <w:szCs w:val="24"/>
        </w:rPr>
      </w:pPr>
      <w:r w:rsidRPr="003264E2">
        <w:rPr>
          <w:rFonts w:cs="Times New Roman"/>
          <w:szCs w:val="24"/>
        </w:rPr>
        <w:t xml:space="preserve">En cuanto a innovación, es importante tener seguimiento del proceso de cambio de tendencias de consumo en relación al tipo de tecnología que los usuarios finales prefieren consumir. Esto es responsabilidad del Estado en particular ya que informar a los consumidores las ventajas y aplicaciones que pueden mejorar la calidad de vida y puede ayudar a incrementar su productividad. El estado debe promover e incentivar los productos que responden de mejor manera a la tendencia de hacer de la interconectividad el aspecto central de su día a día.  </w:t>
      </w:r>
    </w:p>
    <w:p w14:paraId="7E3321DF" w14:textId="77777777" w:rsidR="008033D3" w:rsidRPr="003264E2" w:rsidRDefault="008033D3" w:rsidP="008033D3">
      <w:pPr>
        <w:spacing w:line="360" w:lineRule="auto"/>
        <w:rPr>
          <w:rFonts w:cs="Times New Roman"/>
          <w:szCs w:val="24"/>
        </w:rPr>
      </w:pPr>
      <w:r w:rsidRPr="003264E2">
        <w:rPr>
          <w:rFonts w:cs="Times New Roman"/>
          <w:szCs w:val="24"/>
        </w:rPr>
        <w:t xml:space="preserve">Si bien en celulares existe espacio todavía para la producción de equipos que vayan más allá de los celulares como </w:t>
      </w:r>
      <w:proofErr w:type="spellStart"/>
      <w:r w:rsidRPr="003264E2">
        <w:rPr>
          <w:rFonts w:cs="Times New Roman"/>
          <w:szCs w:val="24"/>
        </w:rPr>
        <w:t>tablets</w:t>
      </w:r>
      <w:proofErr w:type="spellEnd"/>
      <w:r w:rsidRPr="003264E2">
        <w:rPr>
          <w:rFonts w:cs="Times New Roman"/>
          <w:szCs w:val="24"/>
        </w:rPr>
        <w:t>, GPS, lapto</w:t>
      </w:r>
      <w:r>
        <w:rPr>
          <w:rFonts w:cs="Times New Roman"/>
          <w:szCs w:val="24"/>
        </w:rPr>
        <w:t>p</w:t>
      </w:r>
      <w:r w:rsidRPr="003264E2">
        <w:rPr>
          <w:rFonts w:cs="Times New Roman"/>
          <w:szCs w:val="24"/>
        </w:rPr>
        <w:t>s, etc., estos podrían encontrar mercado y dirigir al país hacia una independencia tecnológica como pretende el cambio de la matriz productiva. Estos desarrollos tecnológicos proporcionan un cambio en las necesidades y potencialidades de los productos adaptándolos a las exigencias de los consumidores.</w:t>
      </w:r>
    </w:p>
    <w:p w14:paraId="0AA7630C" w14:textId="77777777" w:rsidR="008033D3" w:rsidRDefault="008033D3" w:rsidP="008033D3">
      <w:pPr>
        <w:spacing w:line="360" w:lineRule="auto"/>
        <w:ind w:left="-142"/>
        <w:rPr>
          <w:rFonts w:cs="Times New Roman"/>
          <w:szCs w:val="24"/>
        </w:rPr>
      </w:pPr>
      <w:r w:rsidRPr="003264E2">
        <w:rPr>
          <w:rFonts w:cs="Times New Roman"/>
          <w:szCs w:val="24"/>
        </w:rPr>
        <w:t>En tal sentido debemos como país tener una estrategia para insertarnos y priorizar el ensamblaje de productos con mayor valor agregado y un papel para el MIPRO es</w:t>
      </w:r>
      <w:r>
        <w:rPr>
          <w:rFonts w:cs="Times New Roman"/>
          <w:szCs w:val="24"/>
        </w:rPr>
        <w:t>;</w:t>
      </w:r>
      <w:r w:rsidRPr="003264E2">
        <w:rPr>
          <w:rFonts w:cs="Times New Roman"/>
          <w:szCs w:val="24"/>
        </w:rPr>
        <w:t xml:space="preserve"> evaluar las oportunidades de generar mecanismos de incentivo en acuerdo con otras instituciones como el Ministerio de Telecomunicaciones y el Ministerio de Gestión del Conocimiento en línea con una visión unificada de producción de </w:t>
      </w:r>
      <w:proofErr w:type="spellStart"/>
      <w:r w:rsidRPr="00BA1A22">
        <w:rPr>
          <w:rFonts w:cs="Times New Roman"/>
          <w:i/>
          <w:szCs w:val="24"/>
        </w:rPr>
        <w:t>smartphones</w:t>
      </w:r>
      <w:proofErr w:type="spellEnd"/>
      <w:r w:rsidRPr="003264E2">
        <w:rPr>
          <w:rFonts w:cs="Times New Roman"/>
          <w:szCs w:val="24"/>
        </w:rPr>
        <w:t>. Los incentivos son un bien meritorio en el contexto de la época trabajar por eliminar la brecha digital que sufren segmentos importantes de la población. La industria tiene el potencial de tener incidencia directa e indirecta positiva en la balanza comercial, en el caso</w:t>
      </w:r>
      <w:r>
        <w:rPr>
          <w:rFonts w:cs="Times New Roman"/>
          <w:szCs w:val="24"/>
        </w:rPr>
        <w:t xml:space="preserve"> en</w:t>
      </w:r>
      <w:r w:rsidRPr="003264E2">
        <w:rPr>
          <w:rFonts w:cs="Times New Roman"/>
          <w:szCs w:val="24"/>
        </w:rPr>
        <w:t xml:space="preserve"> que la distribución de la producción de equipos tenga un superávit</w:t>
      </w:r>
      <w:r>
        <w:rPr>
          <w:rFonts w:cs="Times New Roman"/>
          <w:szCs w:val="24"/>
        </w:rPr>
        <w:t xml:space="preserve"> comercial</w:t>
      </w:r>
      <w:r w:rsidRPr="003264E2">
        <w:rPr>
          <w:rFonts w:cs="Times New Roman"/>
          <w:szCs w:val="24"/>
        </w:rPr>
        <w:t xml:space="preserve"> se podría considerar la posibilidad de exportación</w:t>
      </w:r>
      <w:r>
        <w:rPr>
          <w:rFonts w:cs="Times New Roman"/>
          <w:szCs w:val="24"/>
        </w:rPr>
        <w:t xml:space="preserve"> de equipos ensamblados en Ecuador</w:t>
      </w:r>
      <w:r w:rsidRPr="003264E2">
        <w:rPr>
          <w:rFonts w:cs="Times New Roman"/>
          <w:szCs w:val="24"/>
        </w:rPr>
        <w:t xml:space="preserve">. </w:t>
      </w:r>
    </w:p>
    <w:p w14:paraId="528F80BA" w14:textId="77777777" w:rsidR="008033D3" w:rsidRDefault="008033D3" w:rsidP="008033D3">
      <w:pPr>
        <w:pStyle w:val="Titulo1"/>
        <w:spacing w:before="0" w:after="200"/>
      </w:pPr>
      <w:bookmarkStart w:id="47" w:name="_Toc442343940"/>
    </w:p>
    <w:p w14:paraId="664A3057" w14:textId="77777777" w:rsidR="008033D3" w:rsidRDefault="008033D3" w:rsidP="008033D3">
      <w:pPr>
        <w:pStyle w:val="Titulo1"/>
        <w:spacing w:before="0" w:after="200"/>
      </w:pPr>
    </w:p>
    <w:p w14:paraId="472D7277" w14:textId="77777777" w:rsidR="008033D3" w:rsidRDefault="008033D3" w:rsidP="008033D3">
      <w:pPr>
        <w:pStyle w:val="Titulo1"/>
        <w:spacing w:before="0" w:after="200"/>
      </w:pPr>
    </w:p>
    <w:p w14:paraId="358D188C" w14:textId="77777777" w:rsidR="008033D3" w:rsidRPr="000D0F7D" w:rsidRDefault="008033D3" w:rsidP="008033D3">
      <w:pPr>
        <w:pStyle w:val="Titulo1"/>
        <w:spacing w:before="0" w:after="200"/>
      </w:pPr>
      <w:r w:rsidRPr="00EF3F8F">
        <w:t>BIBLIOGRAFÍA</w:t>
      </w:r>
      <w:bookmarkEnd w:id="47"/>
    </w:p>
    <w:p w14:paraId="00F37A1F" w14:textId="77777777" w:rsidR="008033D3" w:rsidRPr="00EF3F8F" w:rsidRDefault="008033D3" w:rsidP="008033D3">
      <w:pPr>
        <w:pStyle w:val="Bibliografa"/>
        <w:spacing w:line="360" w:lineRule="auto"/>
        <w:ind w:left="720" w:hanging="720"/>
        <w:rPr>
          <w:rFonts w:cs="Times New Roman"/>
          <w:noProof/>
          <w:szCs w:val="24"/>
          <w:lang w:val="en-US"/>
        </w:rPr>
      </w:pPr>
      <w:r w:rsidRPr="00EF3F8F">
        <w:rPr>
          <w:rFonts w:cs="Times New Roman"/>
          <w:szCs w:val="24"/>
        </w:rPr>
        <w:fldChar w:fldCharType="begin"/>
      </w:r>
      <w:r w:rsidRPr="00EF3F8F">
        <w:rPr>
          <w:rFonts w:cs="Times New Roman"/>
          <w:szCs w:val="24"/>
        </w:rPr>
        <w:instrText xml:space="preserve"> BIBLIOGRAPHY  \l 3082 </w:instrText>
      </w:r>
      <w:r w:rsidRPr="00EF3F8F">
        <w:rPr>
          <w:rFonts w:cs="Times New Roman"/>
          <w:szCs w:val="24"/>
        </w:rPr>
        <w:fldChar w:fldCharType="separate"/>
      </w:r>
      <w:r w:rsidRPr="00EF3F8F">
        <w:rPr>
          <w:rFonts w:cs="Times New Roman"/>
          <w:noProof/>
          <w:szCs w:val="24"/>
        </w:rPr>
        <w:t xml:space="preserve">Arias, F. (1999). </w:t>
      </w:r>
      <w:r w:rsidRPr="00EF3F8F">
        <w:rPr>
          <w:rFonts w:cs="Times New Roman"/>
          <w:i/>
          <w:iCs/>
          <w:noProof/>
          <w:szCs w:val="24"/>
        </w:rPr>
        <w:t>El Proyecto de Investigación.</w:t>
      </w:r>
      <w:r w:rsidRPr="00EF3F8F">
        <w:rPr>
          <w:rFonts w:cs="Times New Roman"/>
          <w:noProof/>
          <w:szCs w:val="24"/>
        </w:rPr>
        <w:t xml:space="preserve"> </w:t>
      </w:r>
      <w:r w:rsidRPr="00EF3F8F">
        <w:rPr>
          <w:rFonts w:cs="Times New Roman"/>
          <w:noProof/>
          <w:szCs w:val="24"/>
          <w:lang w:val="en-US"/>
        </w:rPr>
        <w:t>Caracas: Episteme.</w:t>
      </w:r>
    </w:p>
    <w:p w14:paraId="17A0A0C6"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lang w:val="en-US"/>
        </w:rPr>
        <w:t xml:space="preserve">Balassa, B. (1998). Intra-Industry trade and the integration of developing countries in the world economy. </w:t>
      </w:r>
      <w:r w:rsidRPr="00EF3F8F">
        <w:rPr>
          <w:rFonts w:cs="Times New Roman"/>
          <w:noProof/>
          <w:szCs w:val="24"/>
        </w:rPr>
        <w:t>London: Routledge.</w:t>
      </w:r>
    </w:p>
    <w:p w14:paraId="0844978A"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t>Comercio, E. (Octubre de 2014). Seis empresas compiten por el ensamblaje de celulares. Obtenido de http://www.elcomercio.com/actualidad/seis-empresas-compiten-ensamblaje-celulares.htm</w:t>
      </w:r>
    </w:p>
    <w:p w14:paraId="4A762C50"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t xml:space="preserve">COMEX. (2012). </w:t>
      </w:r>
      <w:r w:rsidRPr="00EF3F8F">
        <w:rPr>
          <w:rFonts w:cs="Times New Roman"/>
          <w:i/>
          <w:iCs/>
          <w:noProof/>
          <w:szCs w:val="24"/>
        </w:rPr>
        <w:t>Resolución No 59.</w:t>
      </w:r>
      <w:r w:rsidRPr="00EF3F8F">
        <w:rPr>
          <w:rFonts w:cs="Times New Roman"/>
          <w:noProof/>
          <w:szCs w:val="24"/>
        </w:rPr>
        <w:t xml:space="preserve"> Quito: COMEX.</w:t>
      </w:r>
    </w:p>
    <w:p w14:paraId="328ECA79"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t xml:space="preserve">Ecuador, B. c. (Diciembre 2007). </w:t>
      </w:r>
      <w:r w:rsidRPr="00EF3F8F">
        <w:rPr>
          <w:rFonts w:cs="Times New Roman"/>
          <w:i/>
          <w:iCs/>
          <w:noProof/>
          <w:szCs w:val="24"/>
        </w:rPr>
        <w:t>Evolución de la Balanza de Pagos.</w:t>
      </w:r>
      <w:r w:rsidRPr="00EF3F8F">
        <w:rPr>
          <w:rFonts w:cs="Times New Roman"/>
          <w:noProof/>
          <w:szCs w:val="24"/>
        </w:rPr>
        <w:t xml:space="preserve"> </w:t>
      </w:r>
    </w:p>
    <w:p w14:paraId="2AFA582E"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t xml:space="preserve">Franco, Y. (2014). </w:t>
      </w:r>
      <w:r w:rsidRPr="00EF3F8F">
        <w:rPr>
          <w:rFonts w:cs="Times New Roman"/>
          <w:i/>
          <w:iCs/>
          <w:noProof/>
          <w:szCs w:val="24"/>
        </w:rPr>
        <w:t>Tesis de Investigacion</w:t>
      </w:r>
      <w:r w:rsidRPr="00EF3F8F">
        <w:rPr>
          <w:rFonts w:cs="Times New Roman"/>
          <w:noProof/>
          <w:szCs w:val="24"/>
        </w:rPr>
        <w:t>. Obtenido de http://tesisdeinvestig.blogspot.com/2011/06/poblacion-y-muestra-tamayo-y-tamayo.html</w:t>
      </w:r>
    </w:p>
    <w:p w14:paraId="6115967B"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t>Franco, Y. (2014). Tesis de Investigación. Caracas.</w:t>
      </w:r>
    </w:p>
    <w:p w14:paraId="143AC840"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t xml:space="preserve">Laguna, C. (2009). </w:t>
      </w:r>
      <w:r w:rsidRPr="00EF3F8F">
        <w:rPr>
          <w:rFonts w:cs="Times New Roman"/>
          <w:i/>
          <w:iCs/>
          <w:noProof/>
          <w:szCs w:val="24"/>
        </w:rPr>
        <w:t>Fundamentos de la teoría clásica del comercio internacional</w:t>
      </w:r>
      <w:r w:rsidRPr="00EF3F8F">
        <w:rPr>
          <w:rFonts w:cs="Times New Roman"/>
          <w:noProof/>
          <w:szCs w:val="24"/>
        </w:rPr>
        <w:t>. Obtenido de http://www.eumed.net/cursecon/colaboraciones/lrce-comercio.htm</w:t>
      </w:r>
    </w:p>
    <w:p w14:paraId="2E20F161"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lang w:val="en-US"/>
        </w:rPr>
        <w:t xml:space="preserve">Lyons, T. (2003). </w:t>
      </w:r>
      <w:r w:rsidRPr="00EF3F8F">
        <w:rPr>
          <w:rFonts w:cs="Times New Roman"/>
          <w:i/>
          <w:iCs/>
          <w:noProof/>
          <w:szCs w:val="24"/>
          <w:lang w:val="en-US"/>
        </w:rPr>
        <w:t>Incentives as a Public Business Investment.</w:t>
      </w:r>
      <w:r w:rsidRPr="00EF3F8F">
        <w:rPr>
          <w:rFonts w:cs="Times New Roman"/>
          <w:noProof/>
          <w:szCs w:val="24"/>
          <w:lang w:val="en-US"/>
        </w:rPr>
        <w:t xml:space="preserve"> </w:t>
      </w:r>
      <w:r w:rsidRPr="00EF3F8F">
        <w:rPr>
          <w:rFonts w:cs="Times New Roman"/>
          <w:noProof/>
          <w:szCs w:val="24"/>
        </w:rPr>
        <w:t>Westport: McEnroe.</w:t>
      </w:r>
    </w:p>
    <w:p w14:paraId="40D8DD92"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t xml:space="preserve">Picontó, T. (2012). </w:t>
      </w:r>
      <w:r w:rsidRPr="00EF3F8F">
        <w:rPr>
          <w:rFonts w:cs="Times New Roman"/>
          <w:i/>
          <w:iCs/>
          <w:noProof/>
          <w:szCs w:val="24"/>
        </w:rPr>
        <w:t>Teoría general de la interpretación y hermenéutica jurídica: Betti y Gadamer .</w:t>
      </w:r>
      <w:r w:rsidRPr="00EF3F8F">
        <w:rPr>
          <w:rFonts w:cs="Times New Roman"/>
          <w:noProof/>
          <w:szCs w:val="24"/>
        </w:rPr>
        <w:t xml:space="preserve"> Zaragoza .</w:t>
      </w:r>
    </w:p>
    <w:p w14:paraId="5AB900E1"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t xml:space="preserve">Puente, W. (2000). </w:t>
      </w:r>
      <w:r w:rsidRPr="00EF3F8F">
        <w:rPr>
          <w:rFonts w:cs="Times New Roman"/>
          <w:i/>
          <w:iCs/>
          <w:noProof/>
          <w:szCs w:val="24"/>
        </w:rPr>
        <w:t>Portal de Relaciones Públicas</w:t>
      </w:r>
      <w:r w:rsidRPr="00EF3F8F">
        <w:rPr>
          <w:rFonts w:cs="Times New Roman"/>
          <w:noProof/>
          <w:szCs w:val="24"/>
        </w:rPr>
        <w:t>. Obtenido de http://www.rrppnet.com.ar/tecnicasdeinvestigacion.htm</w:t>
      </w:r>
    </w:p>
    <w:p w14:paraId="0663A596"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lastRenderedPageBreak/>
        <w:t xml:space="preserve">Puente, w. (Mayo de 2008). </w:t>
      </w:r>
      <w:r w:rsidRPr="00EF3F8F">
        <w:rPr>
          <w:rFonts w:cs="Times New Roman"/>
          <w:i/>
          <w:iCs/>
          <w:noProof/>
          <w:szCs w:val="24"/>
        </w:rPr>
        <w:t>rrppnet.com.ar</w:t>
      </w:r>
      <w:r w:rsidRPr="00EF3F8F">
        <w:rPr>
          <w:rFonts w:cs="Times New Roman"/>
          <w:noProof/>
          <w:szCs w:val="24"/>
        </w:rPr>
        <w:t>. Obtenido de TÉCNICAS DE INVESTIGACIÓN: http://www.rrppnet.com.ar/tecnicasdeinvestigacion.htm</w:t>
      </w:r>
    </w:p>
    <w:p w14:paraId="37D429E9" w14:textId="77777777" w:rsidR="008033D3" w:rsidRPr="00EF3F8F" w:rsidRDefault="008033D3" w:rsidP="008033D3">
      <w:pPr>
        <w:pStyle w:val="Bibliografa"/>
        <w:spacing w:line="360" w:lineRule="auto"/>
        <w:ind w:left="720" w:hanging="720"/>
        <w:rPr>
          <w:rFonts w:cs="Times New Roman"/>
          <w:noProof/>
          <w:szCs w:val="24"/>
          <w:lang w:val="en-US"/>
        </w:rPr>
      </w:pPr>
      <w:r w:rsidRPr="00EF3F8F">
        <w:rPr>
          <w:rFonts w:cs="Times New Roman"/>
          <w:noProof/>
          <w:szCs w:val="24"/>
        </w:rPr>
        <w:t xml:space="preserve">Reza, M., Paulson, S., &amp; Tomlinson , W. (1991). </w:t>
      </w:r>
      <w:r w:rsidRPr="00EF3F8F">
        <w:rPr>
          <w:rFonts w:cs="Times New Roman"/>
          <w:i/>
          <w:iCs/>
          <w:noProof/>
          <w:szCs w:val="24"/>
          <w:lang w:val="en-US"/>
        </w:rPr>
        <w:t>International Business: Theory and Practice.</w:t>
      </w:r>
      <w:r w:rsidRPr="00EF3F8F">
        <w:rPr>
          <w:rFonts w:cs="Times New Roman"/>
          <w:noProof/>
          <w:szCs w:val="24"/>
          <w:lang w:val="en-US"/>
        </w:rPr>
        <w:t xml:space="preserve"> New York : Taylor &amp; Francis New York Inc.</w:t>
      </w:r>
    </w:p>
    <w:p w14:paraId="61588EE2"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lang w:val="en-US"/>
        </w:rPr>
        <w:t xml:space="preserve">Santa Palella, F. M. (2010). </w:t>
      </w:r>
      <w:r w:rsidRPr="00EF3F8F">
        <w:rPr>
          <w:rFonts w:cs="Times New Roman"/>
          <w:i/>
          <w:iCs/>
          <w:noProof/>
          <w:szCs w:val="24"/>
        </w:rPr>
        <w:t>Metodología de la Investigación Cuantitativa .</w:t>
      </w:r>
      <w:r w:rsidRPr="00EF3F8F">
        <w:rPr>
          <w:rFonts w:cs="Times New Roman"/>
          <w:noProof/>
          <w:szCs w:val="24"/>
        </w:rPr>
        <w:t xml:space="preserve"> Caracas: FEDUPEL.</w:t>
      </w:r>
    </w:p>
    <w:p w14:paraId="1D6E59A2" w14:textId="77777777" w:rsidR="008033D3" w:rsidRPr="00EF3F8F" w:rsidRDefault="008033D3" w:rsidP="008033D3">
      <w:pPr>
        <w:pStyle w:val="Bibliografa"/>
        <w:spacing w:line="360" w:lineRule="auto"/>
        <w:ind w:left="720" w:hanging="720"/>
        <w:rPr>
          <w:rFonts w:cs="Times New Roman"/>
          <w:noProof/>
          <w:szCs w:val="24"/>
          <w:lang w:val="en-US"/>
        </w:rPr>
      </w:pPr>
      <w:r w:rsidRPr="00EF3F8F">
        <w:rPr>
          <w:rFonts w:cs="Times New Roman"/>
          <w:noProof/>
          <w:szCs w:val="24"/>
        </w:rPr>
        <w:t xml:space="preserve">Tamayo, M. T. (1997). </w:t>
      </w:r>
      <w:r w:rsidRPr="00EF3F8F">
        <w:rPr>
          <w:rFonts w:cs="Times New Roman"/>
          <w:i/>
          <w:iCs/>
          <w:noProof/>
          <w:szCs w:val="24"/>
        </w:rPr>
        <w:t>El proceso de la investigación científica .</w:t>
      </w:r>
      <w:r w:rsidRPr="00EF3F8F">
        <w:rPr>
          <w:rFonts w:cs="Times New Roman"/>
          <w:noProof/>
          <w:szCs w:val="24"/>
        </w:rPr>
        <w:t xml:space="preserve"> </w:t>
      </w:r>
      <w:r w:rsidRPr="00EF3F8F">
        <w:rPr>
          <w:rFonts w:cs="Times New Roman"/>
          <w:noProof/>
          <w:szCs w:val="24"/>
          <w:lang w:val="en-US"/>
        </w:rPr>
        <w:t>México: Limusa.</w:t>
      </w:r>
    </w:p>
    <w:p w14:paraId="2D71540D"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lang w:val="en-US"/>
        </w:rPr>
        <w:t xml:space="preserve">Valencia, G. (2011). </w:t>
      </w:r>
      <w:r w:rsidRPr="00EF3F8F">
        <w:rPr>
          <w:rFonts w:cs="Times New Roman"/>
          <w:i/>
          <w:iCs/>
          <w:noProof/>
          <w:szCs w:val="24"/>
          <w:lang w:val="en-US"/>
        </w:rPr>
        <w:t>Economic Theory and the city state formation: Mercantilists and Liberalism.</w:t>
      </w:r>
      <w:r w:rsidRPr="00EF3F8F">
        <w:rPr>
          <w:rFonts w:cs="Times New Roman"/>
          <w:noProof/>
          <w:szCs w:val="24"/>
          <w:lang w:val="en-US"/>
        </w:rPr>
        <w:t xml:space="preserve"> </w:t>
      </w:r>
      <w:r w:rsidRPr="00EF3F8F">
        <w:rPr>
          <w:rFonts w:cs="Times New Roman"/>
          <w:noProof/>
          <w:szCs w:val="24"/>
        </w:rPr>
        <w:t>Medellin .</w:t>
      </w:r>
    </w:p>
    <w:p w14:paraId="6FB2330A"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t xml:space="preserve">Villena, N. (2015). El Ecuador y el proceso de cambio de la matriz productiva: consideraciones para el desarrollo y equilibrio de la balanza comercial. </w:t>
      </w:r>
      <w:r w:rsidRPr="00EF3F8F">
        <w:rPr>
          <w:rFonts w:cs="Times New Roman"/>
          <w:i/>
          <w:iCs/>
          <w:noProof/>
          <w:szCs w:val="24"/>
        </w:rPr>
        <w:t>Observatorio de la Economía Latinoamericana</w:t>
      </w:r>
      <w:r w:rsidRPr="00EF3F8F">
        <w:rPr>
          <w:rFonts w:cs="Times New Roman"/>
          <w:noProof/>
          <w:szCs w:val="24"/>
        </w:rPr>
        <w:t>.</w:t>
      </w:r>
    </w:p>
    <w:p w14:paraId="225CE8F1"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t xml:space="preserve">Zák, K. (21 de Noviembre de 2014). </w:t>
      </w:r>
      <w:r w:rsidRPr="00EF3F8F">
        <w:rPr>
          <w:rFonts w:cs="Times New Roman"/>
          <w:i/>
          <w:iCs/>
          <w:noProof/>
          <w:szCs w:val="24"/>
        </w:rPr>
        <w:t>Agencia Pública de Noticias del Ecuador y Suramérica ANDES.</w:t>
      </w:r>
      <w:r w:rsidRPr="00EF3F8F">
        <w:rPr>
          <w:rFonts w:cs="Times New Roman"/>
          <w:noProof/>
          <w:szCs w:val="24"/>
        </w:rPr>
        <w:t xml:space="preserve"> Obtenido de http://www.andes.info.ec/es/noticias/consiste-cambio-matriz-productiva-ecuador.html-0</w:t>
      </w:r>
    </w:p>
    <w:p w14:paraId="61612503"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szCs w:val="24"/>
        </w:rPr>
        <w:fldChar w:fldCharType="end"/>
      </w:r>
      <w:r w:rsidRPr="00EF3F8F">
        <w:rPr>
          <w:rFonts w:cs="Times New Roman"/>
          <w:noProof/>
          <w:szCs w:val="24"/>
        </w:rPr>
        <w:t xml:space="preserve">Fidias G. Arias </w:t>
      </w:r>
      <w:r w:rsidRPr="00EF3F8F">
        <w:rPr>
          <w:rFonts w:cs="Times New Roman"/>
          <w:i/>
          <w:noProof/>
          <w:szCs w:val="24"/>
        </w:rPr>
        <w:t>EL PROYECTO DE INVESTIGACION Guía para su elaboración</w:t>
      </w:r>
      <w:r w:rsidRPr="00EF3F8F">
        <w:rPr>
          <w:rFonts w:cs="Times New Roman"/>
          <w:noProof/>
          <w:szCs w:val="24"/>
        </w:rPr>
        <w:t xml:space="preserve"> (3RA. EDICIÓN)             Revisión por Carlos Sabino y Jesús Reyes Prólogo por: Luis Bravo Jáuregui Editorial Episteme• ORIAL EDICIONES Caracas, 1999  </w:t>
      </w:r>
    </w:p>
    <w:p w14:paraId="66D5DE85"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color w:val="222222"/>
          <w:szCs w:val="24"/>
          <w:shd w:val="clear" w:color="auto" w:fill="FFFFFF"/>
        </w:rPr>
        <w:t>​</w:t>
      </w:r>
      <w:r w:rsidRPr="00EF3F8F">
        <w:rPr>
          <w:rFonts w:cs="Times New Roman"/>
          <w:noProof/>
          <w:szCs w:val="24"/>
        </w:rPr>
        <w:t xml:space="preserve">Hernández R., Fernández C. y Baptista P. (1998) </w:t>
      </w:r>
      <w:r w:rsidRPr="00EF3F8F">
        <w:rPr>
          <w:rFonts w:cs="Times New Roman"/>
          <w:i/>
          <w:noProof/>
          <w:szCs w:val="24"/>
        </w:rPr>
        <w:t>Diseño de la Investigación</w:t>
      </w:r>
      <w:r w:rsidRPr="00EF3F8F">
        <w:rPr>
          <w:rFonts w:cs="Times New Roman"/>
          <w:noProof/>
          <w:szCs w:val="24"/>
        </w:rPr>
        <w:t>​. Ed. McGraw hill. México</w:t>
      </w:r>
    </w:p>
    <w:p w14:paraId="35C68CE1"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t xml:space="preserve">Ruiz R. (2006) </w:t>
      </w:r>
      <w:r w:rsidRPr="00EF3F8F">
        <w:rPr>
          <w:rFonts w:cs="Times New Roman"/>
          <w:i/>
          <w:noProof/>
          <w:szCs w:val="24"/>
        </w:rPr>
        <w:t>Historia y Evolución del Pensamiento Científico</w:t>
      </w:r>
      <w:r w:rsidRPr="00EF3F8F">
        <w:rPr>
          <w:rFonts w:cs="Times New Roman"/>
          <w:noProof/>
          <w:szCs w:val="24"/>
        </w:rPr>
        <w:t>. Ed. Esfinge S.A. México.</w:t>
      </w:r>
    </w:p>
    <w:p w14:paraId="1D17512F"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t xml:space="preserve">Puente W. (2000) </w:t>
      </w:r>
      <w:r w:rsidRPr="00EF3F8F">
        <w:rPr>
          <w:rFonts w:cs="Times New Roman"/>
          <w:i/>
          <w:noProof/>
          <w:szCs w:val="24"/>
        </w:rPr>
        <w:t>Técnicas de Investigación</w:t>
      </w:r>
      <w:r w:rsidRPr="00EF3F8F">
        <w:rPr>
          <w:rFonts w:cs="Times New Roman"/>
          <w:noProof/>
          <w:szCs w:val="24"/>
        </w:rPr>
        <w:t>. Obtenido de http://www.rrppnet.com.ar/tecnicasdeinvestigacion.htm</w:t>
      </w:r>
    </w:p>
    <w:p w14:paraId="22922974"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szCs w:val="24"/>
        </w:rPr>
        <w:fldChar w:fldCharType="begin"/>
      </w:r>
      <w:r w:rsidRPr="00EF3F8F">
        <w:rPr>
          <w:rFonts w:cs="Times New Roman"/>
          <w:szCs w:val="24"/>
        </w:rPr>
        <w:instrText xml:space="preserve"> BIBLIOGRAPHY  \l 3082 </w:instrText>
      </w:r>
      <w:r w:rsidRPr="00EF3F8F">
        <w:rPr>
          <w:rFonts w:cs="Times New Roman"/>
          <w:szCs w:val="24"/>
        </w:rPr>
        <w:fldChar w:fldCharType="separate"/>
      </w:r>
      <w:r w:rsidRPr="00EF3F8F">
        <w:rPr>
          <w:rFonts w:cs="Times New Roman"/>
          <w:noProof/>
          <w:szCs w:val="24"/>
        </w:rPr>
        <w:t>AEDE2. (10 de Abril de 2015). Obtenido de https://aede2ecuador.wordpress.com/2015/04/10/las-empresas-ensambladoras-de-celulares-del-ecuador-estan-al-borde-de-la-quiebra/</w:t>
      </w:r>
    </w:p>
    <w:p w14:paraId="5C4D1584"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lastRenderedPageBreak/>
        <w:t>AEDE2. (16 de Noviembre de 2015 ). Obtenido de https://aede2ecuador.wordpress.com/2015/11/16/comex-no-cometan-el-mismo-error-del-2015-para-el-2016/</w:t>
      </w:r>
    </w:p>
    <w:p w14:paraId="143F42A5"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t>BCE. (2014). Obtenido de http://www.bce.fin.ec/index.php/informacion-estadistica-1</w:t>
      </w:r>
    </w:p>
    <w:p w14:paraId="59EC77AD"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t>Comercio. (05 de Enero de 2015). Obtenido de http://www.elcomercio.com/actualidad/ecuador-medidas-importacion-celulares-aduana.html</w:t>
      </w:r>
    </w:p>
    <w:p w14:paraId="5FB8097A"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t xml:space="preserve">Comercio. (5 de Enero de 2015). </w:t>
      </w:r>
      <w:r w:rsidRPr="00EF3F8F">
        <w:rPr>
          <w:rFonts w:cs="Times New Roman"/>
          <w:i/>
          <w:iCs/>
          <w:noProof/>
          <w:szCs w:val="24"/>
        </w:rPr>
        <w:t>Estas son las nuevas medidas sobre la importación de celulares en el 2016</w:t>
      </w:r>
      <w:r w:rsidRPr="00EF3F8F">
        <w:rPr>
          <w:rFonts w:cs="Times New Roman"/>
          <w:noProof/>
          <w:szCs w:val="24"/>
        </w:rPr>
        <w:t>. Obtenido de http://www.elcomercio.com/actualidad/ecuador-medidas-importacion-celulares-aduana.html</w:t>
      </w:r>
    </w:p>
    <w:p w14:paraId="32508129"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t xml:space="preserve">Ecuador, B. C. (2014). </w:t>
      </w:r>
      <w:r w:rsidRPr="00EF3F8F">
        <w:rPr>
          <w:rFonts w:cs="Times New Roman"/>
          <w:i/>
          <w:iCs/>
          <w:noProof/>
          <w:szCs w:val="24"/>
        </w:rPr>
        <w:t>Crecimiento del sector industrial.</w:t>
      </w:r>
      <w:r w:rsidRPr="00EF3F8F">
        <w:rPr>
          <w:rFonts w:cs="Times New Roman"/>
          <w:noProof/>
          <w:szCs w:val="24"/>
        </w:rPr>
        <w:t xml:space="preserve"> </w:t>
      </w:r>
    </w:p>
    <w:p w14:paraId="5577D4B0"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t>Forbes. (13 de Mayo de 2014). Obtenido de http://www.forbes.com/sites/jacobmorgan/2014/05/13/simple-explanation-internet-things-that-anyone-can-understand/</w:t>
      </w:r>
    </w:p>
    <w:p w14:paraId="7127591F"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t xml:space="preserve">GSMAIntelligence. (2015). </w:t>
      </w:r>
      <w:r w:rsidRPr="00EF3F8F">
        <w:rPr>
          <w:rFonts w:cs="Times New Roman"/>
          <w:i/>
          <w:iCs/>
          <w:noProof/>
          <w:szCs w:val="24"/>
        </w:rPr>
        <w:t>GSMA Intelligence</w:t>
      </w:r>
      <w:r w:rsidRPr="00EF3F8F">
        <w:rPr>
          <w:rFonts w:cs="Times New Roman"/>
          <w:noProof/>
          <w:szCs w:val="24"/>
        </w:rPr>
        <w:t>. Obtenido de https://gsmaintelligence.com/research/2015/03/the-mobile-economy-2015/491/</w:t>
      </w:r>
    </w:p>
    <w:p w14:paraId="0D92FDC4"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t xml:space="preserve">movilbak.es. (s.f.). </w:t>
      </w:r>
      <w:r w:rsidRPr="00EF3F8F">
        <w:rPr>
          <w:rFonts w:cs="Times New Roman"/>
          <w:i/>
          <w:iCs/>
          <w:noProof/>
          <w:szCs w:val="24"/>
        </w:rPr>
        <w:t>http://www.movilbak.es/</w:t>
      </w:r>
      <w:r w:rsidRPr="00EF3F8F">
        <w:rPr>
          <w:rFonts w:cs="Times New Roman"/>
          <w:noProof/>
          <w:szCs w:val="24"/>
        </w:rPr>
        <w:t>. Obtenido de http://www.movilbak.es/blog/index.php/2012/11/27/de-que-esta-hecho-un-telefono-movil/</w:t>
      </w:r>
    </w:p>
    <w:p w14:paraId="5B1DF349"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t>Telégrafo. (7 de Febrero de 2015). 950 mil celulares fueron ensamblados en Ecuador en 2014 (Infografía). pág. 6.</w:t>
      </w:r>
    </w:p>
    <w:p w14:paraId="270B225E" w14:textId="77777777" w:rsidR="008033D3" w:rsidRPr="00EF3F8F" w:rsidRDefault="008033D3" w:rsidP="008033D3">
      <w:pPr>
        <w:pStyle w:val="Bibliografa"/>
        <w:spacing w:line="360" w:lineRule="auto"/>
        <w:ind w:left="720" w:hanging="720"/>
        <w:rPr>
          <w:rFonts w:cs="Times New Roman"/>
          <w:noProof/>
          <w:szCs w:val="24"/>
        </w:rPr>
      </w:pPr>
      <w:r w:rsidRPr="00EF3F8F">
        <w:rPr>
          <w:rFonts w:cs="Times New Roman"/>
          <w:noProof/>
          <w:szCs w:val="24"/>
        </w:rPr>
        <w:t>Universo, E. (15 de Febrero de 2015). Gobierno flexibilizará cupos para importar celulares en marzo.</w:t>
      </w:r>
    </w:p>
    <w:p w14:paraId="71324ABC" w14:textId="77777777" w:rsidR="008033D3" w:rsidRDefault="008033D3" w:rsidP="008033D3">
      <w:pPr>
        <w:spacing w:line="360" w:lineRule="auto"/>
      </w:pPr>
      <w:r w:rsidRPr="00EF3F8F">
        <w:rPr>
          <w:rFonts w:cs="Times New Roman"/>
          <w:szCs w:val="24"/>
        </w:rPr>
        <w:fldChar w:fldCharType="end"/>
      </w:r>
    </w:p>
    <w:p w14:paraId="3169FF4A" w14:textId="77777777" w:rsidR="008033D3" w:rsidRDefault="008033D3" w:rsidP="008033D3">
      <w:pPr>
        <w:spacing w:line="360" w:lineRule="auto"/>
      </w:pPr>
    </w:p>
    <w:p w14:paraId="4A73906D" w14:textId="77777777" w:rsidR="0000309E" w:rsidRDefault="0000309E"/>
    <w:sectPr w:rsidR="0000309E" w:rsidSect="009E77CA">
      <w:headerReference w:type="default" r:id="rId13"/>
      <w:footerReference w:type="default" r:id="rId14"/>
      <w:footerReference w:type="first" r:id="rId15"/>
      <w:type w:val="continuous"/>
      <w:pgSz w:w="12242" w:h="15842" w:code="1"/>
      <w:pgMar w:top="1418" w:right="1418" w:bottom="1418" w:left="1701" w:header="709" w:footer="709" w:gutter="0"/>
      <w:pgNumType w:start="1"/>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099408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78028E" w14:textId="77777777" w:rsidR="00A82D2C" w:rsidRDefault="00A82D2C">
      <w:pPr>
        <w:spacing w:after="0" w:line="240" w:lineRule="auto"/>
      </w:pPr>
      <w:r>
        <w:separator/>
      </w:r>
    </w:p>
  </w:endnote>
  <w:endnote w:type="continuationSeparator" w:id="0">
    <w:p w14:paraId="62679E6A" w14:textId="77777777" w:rsidR="00A82D2C" w:rsidRDefault="00A82D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3D5744" w14:textId="77777777" w:rsidR="009E77CA" w:rsidRPr="00190C98" w:rsidRDefault="009E77CA" w:rsidP="009E77CA">
    <w:pPr>
      <w:pStyle w:val="Piedepgina"/>
      <w:jc w:val="center"/>
      <w:rPr>
        <w:lang w:val="es-EC"/>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63CE0F" w14:textId="77777777" w:rsidR="009E77CA" w:rsidRPr="009C17F7" w:rsidRDefault="009E77CA" w:rsidP="009E77CA">
    <w:pPr>
      <w:pStyle w:val="Piedepgina"/>
      <w:jc w:val="center"/>
      <w:rPr>
        <w:lang w:val="es-EC"/>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C27B4D" w14:textId="77777777" w:rsidR="009E77CA" w:rsidRPr="006D1F49" w:rsidRDefault="009E77CA" w:rsidP="009E77CA">
    <w:pPr>
      <w:pStyle w:val="Piedepgina"/>
      <w:jc w:val="center"/>
      <w:rPr>
        <w:lang w:val="es-EC"/>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07233"/>
      <w:docPartObj>
        <w:docPartGallery w:val="Page Numbers (Bottom of Page)"/>
        <w:docPartUnique/>
      </w:docPartObj>
    </w:sdtPr>
    <w:sdtContent>
      <w:p w14:paraId="5D53BD1C" w14:textId="14AB01A0" w:rsidR="00EC3BAE" w:rsidRDefault="00EC3BAE">
        <w:pPr>
          <w:pStyle w:val="Piedepgina"/>
          <w:jc w:val="center"/>
        </w:pPr>
        <w:r>
          <w:fldChar w:fldCharType="begin"/>
        </w:r>
        <w:r>
          <w:instrText>PAGE   \* MERGEFORMAT</w:instrText>
        </w:r>
        <w:r>
          <w:fldChar w:fldCharType="separate"/>
        </w:r>
        <w:r>
          <w:rPr>
            <w:noProof/>
          </w:rPr>
          <w:t>9</w:t>
        </w:r>
        <w:r>
          <w:fldChar w:fldCharType="end"/>
        </w:r>
      </w:p>
    </w:sdtContent>
  </w:sdt>
  <w:p w14:paraId="243606C8" w14:textId="77777777" w:rsidR="009E77CA" w:rsidRPr="00374B18" w:rsidRDefault="009E77CA" w:rsidP="00374B18">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625D6F" w14:textId="77777777" w:rsidR="009E77CA" w:rsidRPr="006D1F49" w:rsidRDefault="009E77CA" w:rsidP="009E77CA">
    <w:pPr>
      <w:pStyle w:val="Piedepgina"/>
      <w:jc w:val="center"/>
      <w:rPr>
        <w:lang w:val="es-EC"/>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8C8244" w14:textId="77777777" w:rsidR="00A82D2C" w:rsidRDefault="00A82D2C">
      <w:pPr>
        <w:spacing w:after="0" w:line="240" w:lineRule="auto"/>
      </w:pPr>
      <w:r>
        <w:separator/>
      </w:r>
    </w:p>
  </w:footnote>
  <w:footnote w:type="continuationSeparator" w:id="0">
    <w:p w14:paraId="5731DDBB" w14:textId="77777777" w:rsidR="00A82D2C" w:rsidRDefault="00A82D2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2E5874" w14:textId="77777777" w:rsidR="009E77CA" w:rsidRDefault="009E77CA">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A588F"/>
    <w:multiLevelType w:val="hybridMultilevel"/>
    <w:tmpl w:val="89FAD112"/>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1B717304"/>
    <w:multiLevelType w:val="hybridMultilevel"/>
    <w:tmpl w:val="4C4667D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21BE25F1"/>
    <w:multiLevelType w:val="multilevel"/>
    <w:tmpl w:val="A492F90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3BE16871"/>
    <w:multiLevelType w:val="hybridMultilevel"/>
    <w:tmpl w:val="2AB84D2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40262378"/>
    <w:multiLevelType w:val="hybridMultilevel"/>
    <w:tmpl w:val="D7E2A4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456B5A7C"/>
    <w:multiLevelType w:val="hybridMultilevel"/>
    <w:tmpl w:val="1EDE7F9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53940A6D"/>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5FFA3C42"/>
    <w:multiLevelType w:val="multilevel"/>
    <w:tmpl w:val="D07CCB5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618B614A"/>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71BB742E"/>
    <w:multiLevelType w:val="multilevel"/>
    <w:tmpl w:val="4FC2338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7DD22595"/>
    <w:multiLevelType w:val="hybridMultilevel"/>
    <w:tmpl w:val="3DB22430"/>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0"/>
  </w:num>
  <w:num w:numId="2">
    <w:abstractNumId w:val="5"/>
  </w:num>
  <w:num w:numId="3">
    <w:abstractNumId w:val="4"/>
  </w:num>
  <w:num w:numId="4">
    <w:abstractNumId w:val="3"/>
  </w:num>
  <w:num w:numId="5">
    <w:abstractNumId w:val="1"/>
  </w:num>
  <w:num w:numId="6">
    <w:abstractNumId w:val="9"/>
  </w:num>
  <w:num w:numId="7">
    <w:abstractNumId w:val="8"/>
  </w:num>
  <w:num w:numId="8">
    <w:abstractNumId w:val="7"/>
  </w:num>
  <w:num w:numId="9">
    <w:abstractNumId w:val="6"/>
  </w:num>
  <w:num w:numId="10">
    <w:abstractNumId w:val="2"/>
  </w:num>
  <w:num w:numId="11">
    <w:abstractNumId w:val="1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oreikys Cruz">
    <w15:presenceInfo w15:providerId="AD" w15:userId="S-1-5-21-1273377595-647174852-606096026-771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33D3"/>
    <w:rsid w:val="0000309E"/>
    <w:rsid w:val="000253C2"/>
    <w:rsid w:val="00167F8F"/>
    <w:rsid w:val="002444D6"/>
    <w:rsid w:val="00374B18"/>
    <w:rsid w:val="004508CB"/>
    <w:rsid w:val="004A02CC"/>
    <w:rsid w:val="004E039E"/>
    <w:rsid w:val="00596F4D"/>
    <w:rsid w:val="00725E5F"/>
    <w:rsid w:val="008033D3"/>
    <w:rsid w:val="009E77CA"/>
    <w:rsid w:val="00A14983"/>
    <w:rsid w:val="00A82D2C"/>
    <w:rsid w:val="00B80AED"/>
    <w:rsid w:val="00BD5BA6"/>
    <w:rsid w:val="00C50C39"/>
    <w:rsid w:val="00E17CA2"/>
    <w:rsid w:val="00EC3BAE"/>
    <w:rsid w:val="00EE0310"/>
    <w:rsid w:val="00F62B4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E63B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33D3"/>
    <w:pPr>
      <w:spacing w:after="200" w:line="276" w:lineRule="auto"/>
      <w:jc w:val="both"/>
    </w:pPr>
    <w:rPr>
      <w:rFonts w:ascii="Times New Roman" w:hAnsi="Times New Roman"/>
      <w:sz w:val="24"/>
    </w:rPr>
  </w:style>
  <w:style w:type="paragraph" w:styleId="Ttulo1">
    <w:name w:val="heading 1"/>
    <w:basedOn w:val="Normal"/>
    <w:next w:val="Normal"/>
    <w:link w:val="Ttulo1Car"/>
    <w:uiPriority w:val="9"/>
    <w:rsid w:val="008033D3"/>
    <w:pPr>
      <w:keepNext/>
      <w:keepLines/>
      <w:spacing w:before="480" w:after="0"/>
      <w:jc w:val="center"/>
      <w:outlineLvl w:val="0"/>
    </w:pPr>
    <w:rPr>
      <w:rFonts w:eastAsiaTheme="majorEastAsia" w:cstheme="majorBidi"/>
      <w:b/>
      <w:bCs/>
      <w:sz w:val="28"/>
      <w:szCs w:val="28"/>
    </w:rPr>
  </w:style>
  <w:style w:type="paragraph" w:styleId="Ttulo2">
    <w:name w:val="heading 2"/>
    <w:basedOn w:val="Normal"/>
    <w:next w:val="Normal"/>
    <w:link w:val="Ttulo2Car"/>
    <w:uiPriority w:val="9"/>
    <w:unhideWhenUsed/>
    <w:qFormat/>
    <w:rsid w:val="008033D3"/>
    <w:pPr>
      <w:keepNext/>
      <w:keepLines/>
      <w:spacing w:before="200" w:after="0"/>
      <w:jc w:val="center"/>
      <w:outlineLvl w:val="1"/>
    </w:pPr>
    <w:rPr>
      <w:rFonts w:eastAsiaTheme="majorEastAsia" w:cstheme="majorBidi"/>
      <w:b/>
      <w:bCs/>
      <w:szCs w:val="26"/>
    </w:rPr>
  </w:style>
  <w:style w:type="paragraph" w:styleId="Ttulo3">
    <w:name w:val="heading 3"/>
    <w:basedOn w:val="Normal"/>
    <w:next w:val="Normal"/>
    <w:link w:val="Ttulo3Car"/>
    <w:uiPriority w:val="9"/>
    <w:unhideWhenUsed/>
    <w:qFormat/>
    <w:rsid w:val="008033D3"/>
    <w:pPr>
      <w:keepNext/>
      <w:keepLines/>
      <w:spacing w:before="200" w:after="0"/>
      <w:outlineLvl w:val="2"/>
    </w:pPr>
    <w:rPr>
      <w:rFonts w:eastAsiaTheme="majorEastAsia" w:cstheme="majorBidi"/>
      <w:b/>
      <w:bCs/>
    </w:rPr>
  </w:style>
  <w:style w:type="paragraph" w:styleId="Ttulo4">
    <w:name w:val="heading 4"/>
    <w:basedOn w:val="Normal"/>
    <w:next w:val="Normal"/>
    <w:link w:val="Ttulo4Car"/>
    <w:uiPriority w:val="9"/>
    <w:semiHidden/>
    <w:unhideWhenUsed/>
    <w:qFormat/>
    <w:rsid w:val="008033D3"/>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033D3"/>
    <w:rPr>
      <w:rFonts w:ascii="Times New Roman" w:eastAsiaTheme="majorEastAsia" w:hAnsi="Times New Roman" w:cstheme="majorBidi"/>
      <w:b/>
      <w:bCs/>
      <w:sz w:val="28"/>
      <w:szCs w:val="28"/>
    </w:rPr>
  </w:style>
  <w:style w:type="character" w:customStyle="1" w:styleId="Ttulo2Car">
    <w:name w:val="Título 2 Car"/>
    <w:basedOn w:val="Fuentedeprrafopredeter"/>
    <w:link w:val="Ttulo2"/>
    <w:uiPriority w:val="9"/>
    <w:rsid w:val="008033D3"/>
    <w:rPr>
      <w:rFonts w:ascii="Times New Roman" w:eastAsiaTheme="majorEastAsia" w:hAnsi="Times New Roman" w:cstheme="majorBidi"/>
      <w:b/>
      <w:bCs/>
      <w:sz w:val="24"/>
      <w:szCs w:val="26"/>
    </w:rPr>
  </w:style>
  <w:style w:type="character" w:customStyle="1" w:styleId="Ttulo3Car">
    <w:name w:val="Título 3 Car"/>
    <w:basedOn w:val="Fuentedeprrafopredeter"/>
    <w:link w:val="Ttulo3"/>
    <w:uiPriority w:val="9"/>
    <w:rsid w:val="008033D3"/>
    <w:rPr>
      <w:rFonts w:ascii="Times New Roman" w:eastAsiaTheme="majorEastAsia" w:hAnsi="Times New Roman" w:cstheme="majorBidi"/>
      <w:b/>
      <w:bCs/>
      <w:sz w:val="24"/>
    </w:rPr>
  </w:style>
  <w:style w:type="character" w:customStyle="1" w:styleId="Ttulo4Car">
    <w:name w:val="Título 4 Car"/>
    <w:basedOn w:val="Fuentedeprrafopredeter"/>
    <w:link w:val="Ttulo4"/>
    <w:uiPriority w:val="9"/>
    <w:semiHidden/>
    <w:rsid w:val="008033D3"/>
    <w:rPr>
      <w:rFonts w:asciiTheme="majorHAnsi" w:eastAsiaTheme="majorEastAsia" w:hAnsiTheme="majorHAnsi" w:cstheme="majorBidi"/>
      <w:b/>
      <w:bCs/>
      <w:i/>
      <w:iCs/>
      <w:color w:val="5B9BD5" w:themeColor="accent1"/>
      <w:sz w:val="24"/>
    </w:rPr>
  </w:style>
  <w:style w:type="paragraph" w:styleId="Ttulo">
    <w:name w:val="Title"/>
    <w:basedOn w:val="Normal"/>
    <w:next w:val="Normal"/>
    <w:link w:val="TtuloCar"/>
    <w:uiPriority w:val="10"/>
    <w:qFormat/>
    <w:rsid w:val="008033D3"/>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tuloCar">
    <w:name w:val="Título Car"/>
    <w:basedOn w:val="Fuentedeprrafopredeter"/>
    <w:link w:val="Ttulo"/>
    <w:uiPriority w:val="10"/>
    <w:rsid w:val="008033D3"/>
    <w:rPr>
      <w:rFonts w:asciiTheme="majorHAnsi" w:eastAsiaTheme="majorEastAsia" w:hAnsiTheme="majorHAnsi" w:cstheme="majorBidi"/>
      <w:color w:val="323E4F" w:themeColor="text2" w:themeShade="BF"/>
      <w:spacing w:val="5"/>
      <w:kern w:val="28"/>
      <w:sz w:val="52"/>
      <w:szCs w:val="52"/>
    </w:rPr>
  </w:style>
  <w:style w:type="paragraph" w:styleId="Prrafodelista">
    <w:name w:val="List Paragraph"/>
    <w:basedOn w:val="Normal"/>
    <w:uiPriority w:val="34"/>
    <w:qFormat/>
    <w:rsid w:val="008033D3"/>
    <w:pPr>
      <w:ind w:left="720"/>
      <w:contextualSpacing/>
    </w:pPr>
  </w:style>
  <w:style w:type="paragraph" w:customStyle="1" w:styleId="Estilo3">
    <w:name w:val="Estilo3"/>
    <w:basedOn w:val="Ttulo4"/>
    <w:link w:val="Estilo3Car"/>
    <w:qFormat/>
    <w:rsid w:val="008033D3"/>
    <w:pPr>
      <w:pBdr>
        <w:top w:val="nil"/>
        <w:left w:val="nil"/>
        <w:bottom w:val="nil"/>
        <w:right w:val="nil"/>
        <w:between w:val="nil"/>
        <w:bar w:val="nil"/>
      </w:pBdr>
      <w:spacing w:after="160" w:line="259" w:lineRule="auto"/>
      <w:jc w:val="center"/>
    </w:pPr>
    <w:rPr>
      <w:rFonts w:ascii="Times New Roman" w:eastAsia="Calibri" w:hAnsi="Times New Roman" w:cs="Calibri"/>
      <w:b w:val="0"/>
      <w:i w:val="0"/>
      <w:color w:val="000000"/>
      <w:szCs w:val="20"/>
      <w:u w:color="000000"/>
      <w:bdr w:val="nil"/>
      <w:lang w:val="es-ES_tradnl" w:eastAsia="es-EC"/>
    </w:rPr>
  </w:style>
  <w:style w:type="character" w:customStyle="1" w:styleId="Estilo3Car">
    <w:name w:val="Estilo3 Car"/>
    <w:basedOn w:val="Fuentedeprrafopredeter"/>
    <w:link w:val="Estilo3"/>
    <w:rsid w:val="008033D3"/>
    <w:rPr>
      <w:rFonts w:ascii="Times New Roman" w:eastAsia="Calibri" w:hAnsi="Times New Roman" w:cs="Calibri"/>
      <w:bCs/>
      <w:iCs/>
      <w:color w:val="000000"/>
      <w:sz w:val="24"/>
      <w:szCs w:val="20"/>
      <w:u w:color="000000"/>
      <w:bdr w:val="nil"/>
      <w:lang w:val="es-ES_tradnl" w:eastAsia="es-EC"/>
    </w:rPr>
  </w:style>
  <w:style w:type="paragraph" w:styleId="Bibliografa">
    <w:name w:val="Bibliography"/>
    <w:basedOn w:val="Normal"/>
    <w:next w:val="Normal"/>
    <w:uiPriority w:val="37"/>
    <w:unhideWhenUsed/>
    <w:rsid w:val="008033D3"/>
  </w:style>
  <w:style w:type="paragraph" w:styleId="Textodeglobo">
    <w:name w:val="Balloon Text"/>
    <w:basedOn w:val="Normal"/>
    <w:link w:val="TextodegloboCar"/>
    <w:uiPriority w:val="99"/>
    <w:semiHidden/>
    <w:unhideWhenUsed/>
    <w:rsid w:val="008033D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033D3"/>
    <w:rPr>
      <w:rFonts w:ascii="Tahoma" w:hAnsi="Tahoma" w:cs="Tahoma"/>
      <w:sz w:val="16"/>
      <w:szCs w:val="16"/>
    </w:rPr>
  </w:style>
  <w:style w:type="paragraph" w:styleId="Sinespaciado">
    <w:name w:val="No Spacing"/>
    <w:uiPriority w:val="1"/>
    <w:qFormat/>
    <w:rsid w:val="008033D3"/>
    <w:pPr>
      <w:spacing w:after="0" w:line="360" w:lineRule="auto"/>
    </w:pPr>
    <w:rPr>
      <w:rFonts w:ascii="Times New Roman" w:hAnsi="Times New Roman"/>
      <w:sz w:val="24"/>
    </w:rPr>
  </w:style>
  <w:style w:type="character" w:styleId="Hipervnculo">
    <w:name w:val="Hyperlink"/>
    <w:basedOn w:val="Fuentedeprrafopredeter"/>
    <w:uiPriority w:val="99"/>
    <w:unhideWhenUsed/>
    <w:rsid w:val="008033D3"/>
    <w:rPr>
      <w:color w:val="0563C1" w:themeColor="hyperlink"/>
      <w:u w:val="single"/>
    </w:rPr>
  </w:style>
  <w:style w:type="character" w:styleId="Hipervnculovisitado">
    <w:name w:val="FollowedHyperlink"/>
    <w:basedOn w:val="Fuentedeprrafopredeter"/>
    <w:uiPriority w:val="99"/>
    <w:semiHidden/>
    <w:unhideWhenUsed/>
    <w:rsid w:val="008033D3"/>
    <w:rPr>
      <w:color w:val="954F72" w:themeColor="followedHyperlink"/>
      <w:u w:val="single"/>
    </w:rPr>
  </w:style>
  <w:style w:type="character" w:styleId="Refdecomentario">
    <w:name w:val="annotation reference"/>
    <w:basedOn w:val="Fuentedeprrafopredeter"/>
    <w:uiPriority w:val="99"/>
    <w:semiHidden/>
    <w:unhideWhenUsed/>
    <w:rsid w:val="008033D3"/>
    <w:rPr>
      <w:sz w:val="16"/>
      <w:szCs w:val="16"/>
    </w:rPr>
  </w:style>
  <w:style w:type="paragraph" w:styleId="Textocomentario">
    <w:name w:val="annotation text"/>
    <w:basedOn w:val="Normal"/>
    <w:link w:val="TextocomentarioCar"/>
    <w:uiPriority w:val="99"/>
    <w:semiHidden/>
    <w:unhideWhenUsed/>
    <w:rsid w:val="008033D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033D3"/>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8033D3"/>
    <w:rPr>
      <w:b/>
      <w:bCs/>
    </w:rPr>
  </w:style>
  <w:style w:type="character" w:customStyle="1" w:styleId="AsuntodelcomentarioCar">
    <w:name w:val="Asunto del comentario Car"/>
    <w:basedOn w:val="TextocomentarioCar"/>
    <w:link w:val="Asuntodelcomentario"/>
    <w:uiPriority w:val="99"/>
    <w:semiHidden/>
    <w:rsid w:val="008033D3"/>
    <w:rPr>
      <w:rFonts w:ascii="Times New Roman" w:hAnsi="Times New Roman"/>
      <w:b/>
      <w:bCs/>
      <w:sz w:val="20"/>
      <w:szCs w:val="20"/>
    </w:rPr>
  </w:style>
  <w:style w:type="paragraph" w:customStyle="1" w:styleId="Titulo1">
    <w:name w:val="Titulo 1"/>
    <w:basedOn w:val="Ttulo1"/>
    <w:link w:val="Titulo1Car"/>
    <w:qFormat/>
    <w:rsid w:val="008033D3"/>
    <w:pPr>
      <w:spacing w:line="360" w:lineRule="auto"/>
    </w:pPr>
    <w:rPr>
      <w:rFonts w:eastAsia="Calibri" w:cs="Times New Roman"/>
      <w:color w:val="000000"/>
      <w:sz w:val="24"/>
      <w:szCs w:val="24"/>
      <w:u w:color="000000"/>
      <w:bdr w:val="nil"/>
      <w:lang w:val="es-ES_tradnl" w:eastAsia="es-EC"/>
    </w:rPr>
  </w:style>
  <w:style w:type="character" w:customStyle="1" w:styleId="Titulo1Car">
    <w:name w:val="Titulo 1 Car"/>
    <w:basedOn w:val="Estilo3Car"/>
    <w:link w:val="Titulo1"/>
    <w:rsid w:val="008033D3"/>
    <w:rPr>
      <w:rFonts w:ascii="Times New Roman" w:eastAsia="Calibri" w:hAnsi="Times New Roman" w:cs="Times New Roman"/>
      <w:b/>
      <w:bCs/>
      <w:iCs w:val="0"/>
      <w:color w:val="000000"/>
      <w:sz w:val="24"/>
      <w:szCs w:val="24"/>
      <w:u w:color="000000"/>
      <w:bdr w:val="nil"/>
      <w:lang w:val="es-ES_tradnl" w:eastAsia="es-EC"/>
    </w:rPr>
  </w:style>
  <w:style w:type="paragraph" w:styleId="TDC1">
    <w:name w:val="toc 1"/>
    <w:basedOn w:val="Normal"/>
    <w:next w:val="Normal"/>
    <w:autoRedefine/>
    <w:uiPriority w:val="39"/>
    <w:unhideWhenUsed/>
    <w:rsid w:val="008033D3"/>
    <w:pPr>
      <w:spacing w:after="100"/>
    </w:pPr>
    <w:rPr>
      <w:b/>
    </w:rPr>
  </w:style>
  <w:style w:type="paragraph" w:styleId="TDC2">
    <w:name w:val="toc 2"/>
    <w:basedOn w:val="Normal"/>
    <w:next w:val="Normal"/>
    <w:autoRedefine/>
    <w:uiPriority w:val="39"/>
    <w:unhideWhenUsed/>
    <w:rsid w:val="008033D3"/>
    <w:pPr>
      <w:spacing w:after="100"/>
      <w:ind w:left="220"/>
    </w:pPr>
  </w:style>
  <w:style w:type="paragraph" w:styleId="TDC3">
    <w:name w:val="toc 3"/>
    <w:basedOn w:val="Normal"/>
    <w:next w:val="Normal"/>
    <w:autoRedefine/>
    <w:uiPriority w:val="39"/>
    <w:unhideWhenUsed/>
    <w:rsid w:val="008033D3"/>
    <w:pPr>
      <w:spacing w:after="100"/>
      <w:ind w:left="440"/>
    </w:pPr>
  </w:style>
  <w:style w:type="paragraph" w:styleId="TDC4">
    <w:name w:val="toc 4"/>
    <w:basedOn w:val="Estilo3"/>
    <w:next w:val="Normal"/>
    <w:autoRedefine/>
    <w:uiPriority w:val="39"/>
    <w:unhideWhenUsed/>
    <w:rsid w:val="008033D3"/>
    <w:pPr>
      <w:spacing w:after="100"/>
      <w:ind w:left="660"/>
    </w:pPr>
  </w:style>
  <w:style w:type="paragraph" w:styleId="TDC5">
    <w:name w:val="toc 5"/>
    <w:basedOn w:val="Normal"/>
    <w:next w:val="Normal"/>
    <w:autoRedefine/>
    <w:uiPriority w:val="39"/>
    <w:semiHidden/>
    <w:unhideWhenUsed/>
    <w:rsid w:val="008033D3"/>
    <w:pPr>
      <w:spacing w:after="100"/>
      <w:ind w:left="960"/>
    </w:pPr>
  </w:style>
  <w:style w:type="character" w:styleId="nfasissutil">
    <w:name w:val="Subtle Emphasis"/>
    <w:basedOn w:val="Fuentedeprrafopredeter"/>
    <w:uiPriority w:val="19"/>
    <w:qFormat/>
    <w:rsid w:val="008033D3"/>
    <w:rPr>
      <w:i/>
      <w:iCs/>
      <w:color w:val="808080" w:themeColor="text1" w:themeTint="7F"/>
    </w:rPr>
  </w:style>
  <w:style w:type="paragraph" w:styleId="Encabezado">
    <w:name w:val="header"/>
    <w:basedOn w:val="Normal"/>
    <w:link w:val="EncabezadoCar"/>
    <w:uiPriority w:val="99"/>
    <w:unhideWhenUsed/>
    <w:rsid w:val="008033D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033D3"/>
    <w:rPr>
      <w:rFonts w:ascii="Times New Roman" w:hAnsi="Times New Roman"/>
      <w:sz w:val="24"/>
    </w:rPr>
  </w:style>
  <w:style w:type="paragraph" w:styleId="Piedepgina">
    <w:name w:val="footer"/>
    <w:basedOn w:val="Normal"/>
    <w:link w:val="PiedepginaCar"/>
    <w:uiPriority w:val="99"/>
    <w:unhideWhenUsed/>
    <w:rsid w:val="008033D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033D3"/>
    <w:rPr>
      <w:rFonts w:ascii="Times New Roman" w:hAnsi="Times New Roman"/>
      <w:sz w:val="24"/>
    </w:rPr>
  </w:style>
  <w:style w:type="paragraph" w:styleId="Revisin">
    <w:name w:val="Revision"/>
    <w:hidden/>
    <w:uiPriority w:val="99"/>
    <w:semiHidden/>
    <w:rsid w:val="00167F8F"/>
    <w:pPr>
      <w:spacing w:after="0" w:line="240" w:lineRule="auto"/>
    </w:pPr>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33D3"/>
    <w:pPr>
      <w:spacing w:after="200" w:line="276" w:lineRule="auto"/>
      <w:jc w:val="both"/>
    </w:pPr>
    <w:rPr>
      <w:rFonts w:ascii="Times New Roman" w:hAnsi="Times New Roman"/>
      <w:sz w:val="24"/>
    </w:rPr>
  </w:style>
  <w:style w:type="paragraph" w:styleId="Ttulo1">
    <w:name w:val="heading 1"/>
    <w:basedOn w:val="Normal"/>
    <w:next w:val="Normal"/>
    <w:link w:val="Ttulo1Car"/>
    <w:uiPriority w:val="9"/>
    <w:rsid w:val="008033D3"/>
    <w:pPr>
      <w:keepNext/>
      <w:keepLines/>
      <w:spacing w:before="480" w:after="0"/>
      <w:jc w:val="center"/>
      <w:outlineLvl w:val="0"/>
    </w:pPr>
    <w:rPr>
      <w:rFonts w:eastAsiaTheme="majorEastAsia" w:cstheme="majorBidi"/>
      <w:b/>
      <w:bCs/>
      <w:sz w:val="28"/>
      <w:szCs w:val="28"/>
    </w:rPr>
  </w:style>
  <w:style w:type="paragraph" w:styleId="Ttulo2">
    <w:name w:val="heading 2"/>
    <w:basedOn w:val="Normal"/>
    <w:next w:val="Normal"/>
    <w:link w:val="Ttulo2Car"/>
    <w:uiPriority w:val="9"/>
    <w:unhideWhenUsed/>
    <w:qFormat/>
    <w:rsid w:val="008033D3"/>
    <w:pPr>
      <w:keepNext/>
      <w:keepLines/>
      <w:spacing w:before="200" w:after="0"/>
      <w:jc w:val="center"/>
      <w:outlineLvl w:val="1"/>
    </w:pPr>
    <w:rPr>
      <w:rFonts w:eastAsiaTheme="majorEastAsia" w:cstheme="majorBidi"/>
      <w:b/>
      <w:bCs/>
      <w:szCs w:val="26"/>
    </w:rPr>
  </w:style>
  <w:style w:type="paragraph" w:styleId="Ttulo3">
    <w:name w:val="heading 3"/>
    <w:basedOn w:val="Normal"/>
    <w:next w:val="Normal"/>
    <w:link w:val="Ttulo3Car"/>
    <w:uiPriority w:val="9"/>
    <w:unhideWhenUsed/>
    <w:qFormat/>
    <w:rsid w:val="008033D3"/>
    <w:pPr>
      <w:keepNext/>
      <w:keepLines/>
      <w:spacing w:before="200" w:after="0"/>
      <w:outlineLvl w:val="2"/>
    </w:pPr>
    <w:rPr>
      <w:rFonts w:eastAsiaTheme="majorEastAsia" w:cstheme="majorBidi"/>
      <w:b/>
      <w:bCs/>
    </w:rPr>
  </w:style>
  <w:style w:type="paragraph" w:styleId="Ttulo4">
    <w:name w:val="heading 4"/>
    <w:basedOn w:val="Normal"/>
    <w:next w:val="Normal"/>
    <w:link w:val="Ttulo4Car"/>
    <w:uiPriority w:val="9"/>
    <w:semiHidden/>
    <w:unhideWhenUsed/>
    <w:qFormat/>
    <w:rsid w:val="008033D3"/>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033D3"/>
    <w:rPr>
      <w:rFonts w:ascii="Times New Roman" w:eastAsiaTheme="majorEastAsia" w:hAnsi="Times New Roman" w:cstheme="majorBidi"/>
      <w:b/>
      <w:bCs/>
      <w:sz w:val="28"/>
      <w:szCs w:val="28"/>
    </w:rPr>
  </w:style>
  <w:style w:type="character" w:customStyle="1" w:styleId="Ttulo2Car">
    <w:name w:val="Título 2 Car"/>
    <w:basedOn w:val="Fuentedeprrafopredeter"/>
    <w:link w:val="Ttulo2"/>
    <w:uiPriority w:val="9"/>
    <w:rsid w:val="008033D3"/>
    <w:rPr>
      <w:rFonts w:ascii="Times New Roman" w:eastAsiaTheme="majorEastAsia" w:hAnsi="Times New Roman" w:cstheme="majorBidi"/>
      <w:b/>
      <w:bCs/>
      <w:sz w:val="24"/>
      <w:szCs w:val="26"/>
    </w:rPr>
  </w:style>
  <w:style w:type="character" w:customStyle="1" w:styleId="Ttulo3Car">
    <w:name w:val="Título 3 Car"/>
    <w:basedOn w:val="Fuentedeprrafopredeter"/>
    <w:link w:val="Ttulo3"/>
    <w:uiPriority w:val="9"/>
    <w:rsid w:val="008033D3"/>
    <w:rPr>
      <w:rFonts w:ascii="Times New Roman" w:eastAsiaTheme="majorEastAsia" w:hAnsi="Times New Roman" w:cstheme="majorBidi"/>
      <w:b/>
      <w:bCs/>
      <w:sz w:val="24"/>
    </w:rPr>
  </w:style>
  <w:style w:type="character" w:customStyle="1" w:styleId="Ttulo4Car">
    <w:name w:val="Título 4 Car"/>
    <w:basedOn w:val="Fuentedeprrafopredeter"/>
    <w:link w:val="Ttulo4"/>
    <w:uiPriority w:val="9"/>
    <w:semiHidden/>
    <w:rsid w:val="008033D3"/>
    <w:rPr>
      <w:rFonts w:asciiTheme="majorHAnsi" w:eastAsiaTheme="majorEastAsia" w:hAnsiTheme="majorHAnsi" w:cstheme="majorBidi"/>
      <w:b/>
      <w:bCs/>
      <w:i/>
      <w:iCs/>
      <w:color w:val="5B9BD5" w:themeColor="accent1"/>
      <w:sz w:val="24"/>
    </w:rPr>
  </w:style>
  <w:style w:type="paragraph" w:styleId="Ttulo">
    <w:name w:val="Title"/>
    <w:basedOn w:val="Normal"/>
    <w:next w:val="Normal"/>
    <w:link w:val="TtuloCar"/>
    <w:uiPriority w:val="10"/>
    <w:qFormat/>
    <w:rsid w:val="008033D3"/>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tuloCar">
    <w:name w:val="Título Car"/>
    <w:basedOn w:val="Fuentedeprrafopredeter"/>
    <w:link w:val="Ttulo"/>
    <w:uiPriority w:val="10"/>
    <w:rsid w:val="008033D3"/>
    <w:rPr>
      <w:rFonts w:asciiTheme="majorHAnsi" w:eastAsiaTheme="majorEastAsia" w:hAnsiTheme="majorHAnsi" w:cstheme="majorBidi"/>
      <w:color w:val="323E4F" w:themeColor="text2" w:themeShade="BF"/>
      <w:spacing w:val="5"/>
      <w:kern w:val="28"/>
      <w:sz w:val="52"/>
      <w:szCs w:val="52"/>
    </w:rPr>
  </w:style>
  <w:style w:type="paragraph" w:styleId="Prrafodelista">
    <w:name w:val="List Paragraph"/>
    <w:basedOn w:val="Normal"/>
    <w:uiPriority w:val="34"/>
    <w:qFormat/>
    <w:rsid w:val="008033D3"/>
    <w:pPr>
      <w:ind w:left="720"/>
      <w:contextualSpacing/>
    </w:pPr>
  </w:style>
  <w:style w:type="paragraph" w:customStyle="1" w:styleId="Estilo3">
    <w:name w:val="Estilo3"/>
    <w:basedOn w:val="Ttulo4"/>
    <w:link w:val="Estilo3Car"/>
    <w:qFormat/>
    <w:rsid w:val="008033D3"/>
    <w:pPr>
      <w:pBdr>
        <w:top w:val="nil"/>
        <w:left w:val="nil"/>
        <w:bottom w:val="nil"/>
        <w:right w:val="nil"/>
        <w:between w:val="nil"/>
        <w:bar w:val="nil"/>
      </w:pBdr>
      <w:spacing w:after="160" w:line="259" w:lineRule="auto"/>
      <w:jc w:val="center"/>
    </w:pPr>
    <w:rPr>
      <w:rFonts w:ascii="Times New Roman" w:eastAsia="Calibri" w:hAnsi="Times New Roman" w:cs="Calibri"/>
      <w:b w:val="0"/>
      <w:i w:val="0"/>
      <w:color w:val="000000"/>
      <w:szCs w:val="20"/>
      <w:u w:color="000000"/>
      <w:bdr w:val="nil"/>
      <w:lang w:val="es-ES_tradnl" w:eastAsia="es-EC"/>
    </w:rPr>
  </w:style>
  <w:style w:type="character" w:customStyle="1" w:styleId="Estilo3Car">
    <w:name w:val="Estilo3 Car"/>
    <w:basedOn w:val="Fuentedeprrafopredeter"/>
    <w:link w:val="Estilo3"/>
    <w:rsid w:val="008033D3"/>
    <w:rPr>
      <w:rFonts w:ascii="Times New Roman" w:eastAsia="Calibri" w:hAnsi="Times New Roman" w:cs="Calibri"/>
      <w:bCs/>
      <w:iCs/>
      <w:color w:val="000000"/>
      <w:sz w:val="24"/>
      <w:szCs w:val="20"/>
      <w:u w:color="000000"/>
      <w:bdr w:val="nil"/>
      <w:lang w:val="es-ES_tradnl" w:eastAsia="es-EC"/>
    </w:rPr>
  </w:style>
  <w:style w:type="paragraph" w:styleId="Bibliografa">
    <w:name w:val="Bibliography"/>
    <w:basedOn w:val="Normal"/>
    <w:next w:val="Normal"/>
    <w:uiPriority w:val="37"/>
    <w:unhideWhenUsed/>
    <w:rsid w:val="008033D3"/>
  </w:style>
  <w:style w:type="paragraph" w:styleId="Textodeglobo">
    <w:name w:val="Balloon Text"/>
    <w:basedOn w:val="Normal"/>
    <w:link w:val="TextodegloboCar"/>
    <w:uiPriority w:val="99"/>
    <w:semiHidden/>
    <w:unhideWhenUsed/>
    <w:rsid w:val="008033D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033D3"/>
    <w:rPr>
      <w:rFonts w:ascii="Tahoma" w:hAnsi="Tahoma" w:cs="Tahoma"/>
      <w:sz w:val="16"/>
      <w:szCs w:val="16"/>
    </w:rPr>
  </w:style>
  <w:style w:type="paragraph" w:styleId="Sinespaciado">
    <w:name w:val="No Spacing"/>
    <w:uiPriority w:val="1"/>
    <w:qFormat/>
    <w:rsid w:val="008033D3"/>
    <w:pPr>
      <w:spacing w:after="0" w:line="360" w:lineRule="auto"/>
    </w:pPr>
    <w:rPr>
      <w:rFonts w:ascii="Times New Roman" w:hAnsi="Times New Roman"/>
      <w:sz w:val="24"/>
    </w:rPr>
  </w:style>
  <w:style w:type="character" w:styleId="Hipervnculo">
    <w:name w:val="Hyperlink"/>
    <w:basedOn w:val="Fuentedeprrafopredeter"/>
    <w:uiPriority w:val="99"/>
    <w:unhideWhenUsed/>
    <w:rsid w:val="008033D3"/>
    <w:rPr>
      <w:color w:val="0563C1" w:themeColor="hyperlink"/>
      <w:u w:val="single"/>
    </w:rPr>
  </w:style>
  <w:style w:type="character" w:styleId="Hipervnculovisitado">
    <w:name w:val="FollowedHyperlink"/>
    <w:basedOn w:val="Fuentedeprrafopredeter"/>
    <w:uiPriority w:val="99"/>
    <w:semiHidden/>
    <w:unhideWhenUsed/>
    <w:rsid w:val="008033D3"/>
    <w:rPr>
      <w:color w:val="954F72" w:themeColor="followedHyperlink"/>
      <w:u w:val="single"/>
    </w:rPr>
  </w:style>
  <w:style w:type="character" w:styleId="Refdecomentario">
    <w:name w:val="annotation reference"/>
    <w:basedOn w:val="Fuentedeprrafopredeter"/>
    <w:uiPriority w:val="99"/>
    <w:semiHidden/>
    <w:unhideWhenUsed/>
    <w:rsid w:val="008033D3"/>
    <w:rPr>
      <w:sz w:val="16"/>
      <w:szCs w:val="16"/>
    </w:rPr>
  </w:style>
  <w:style w:type="paragraph" w:styleId="Textocomentario">
    <w:name w:val="annotation text"/>
    <w:basedOn w:val="Normal"/>
    <w:link w:val="TextocomentarioCar"/>
    <w:uiPriority w:val="99"/>
    <w:semiHidden/>
    <w:unhideWhenUsed/>
    <w:rsid w:val="008033D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033D3"/>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8033D3"/>
    <w:rPr>
      <w:b/>
      <w:bCs/>
    </w:rPr>
  </w:style>
  <w:style w:type="character" w:customStyle="1" w:styleId="AsuntodelcomentarioCar">
    <w:name w:val="Asunto del comentario Car"/>
    <w:basedOn w:val="TextocomentarioCar"/>
    <w:link w:val="Asuntodelcomentario"/>
    <w:uiPriority w:val="99"/>
    <w:semiHidden/>
    <w:rsid w:val="008033D3"/>
    <w:rPr>
      <w:rFonts w:ascii="Times New Roman" w:hAnsi="Times New Roman"/>
      <w:b/>
      <w:bCs/>
      <w:sz w:val="20"/>
      <w:szCs w:val="20"/>
    </w:rPr>
  </w:style>
  <w:style w:type="paragraph" w:customStyle="1" w:styleId="Titulo1">
    <w:name w:val="Titulo 1"/>
    <w:basedOn w:val="Ttulo1"/>
    <w:link w:val="Titulo1Car"/>
    <w:qFormat/>
    <w:rsid w:val="008033D3"/>
    <w:pPr>
      <w:spacing w:line="360" w:lineRule="auto"/>
    </w:pPr>
    <w:rPr>
      <w:rFonts w:eastAsia="Calibri" w:cs="Times New Roman"/>
      <w:color w:val="000000"/>
      <w:sz w:val="24"/>
      <w:szCs w:val="24"/>
      <w:u w:color="000000"/>
      <w:bdr w:val="nil"/>
      <w:lang w:val="es-ES_tradnl" w:eastAsia="es-EC"/>
    </w:rPr>
  </w:style>
  <w:style w:type="character" w:customStyle="1" w:styleId="Titulo1Car">
    <w:name w:val="Titulo 1 Car"/>
    <w:basedOn w:val="Estilo3Car"/>
    <w:link w:val="Titulo1"/>
    <w:rsid w:val="008033D3"/>
    <w:rPr>
      <w:rFonts w:ascii="Times New Roman" w:eastAsia="Calibri" w:hAnsi="Times New Roman" w:cs="Times New Roman"/>
      <w:b/>
      <w:bCs/>
      <w:iCs w:val="0"/>
      <w:color w:val="000000"/>
      <w:sz w:val="24"/>
      <w:szCs w:val="24"/>
      <w:u w:color="000000"/>
      <w:bdr w:val="nil"/>
      <w:lang w:val="es-ES_tradnl" w:eastAsia="es-EC"/>
    </w:rPr>
  </w:style>
  <w:style w:type="paragraph" w:styleId="TDC1">
    <w:name w:val="toc 1"/>
    <w:basedOn w:val="Normal"/>
    <w:next w:val="Normal"/>
    <w:autoRedefine/>
    <w:uiPriority w:val="39"/>
    <w:unhideWhenUsed/>
    <w:rsid w:val="008033D3"/>
    <w:pPr>
      <w:spacing w:after="100"/>
    </w:pPr>
    <w:rPr>
      <w:b/>
    </w:rPr>
  </w:style>
  <w:style w:type="paragraph" w:styleId="TDC2">
    <w:name w:val="toc 2"/>
    <w:basedOn w:val="Normal"/>
    <w:next w:val="Normal"/>
    <w:autoRedefine/>
    <w:uiPriority w:val="39"/>
    <w:unhideWhenUsed/>
    <w:rsid w:val="008033D3"/>
    <w:pPr>
      <w:spacing w:after="100"/>
      <w:ind w:left="220"/>
    </w:pPr>
  </w:style>
  <w:style w:type="paragraph" w:styleId="TDC3">
    <w:name w:val="toc 3"/>
    <w:basedOn w:val="Normal"/>
    <w:next w:val="Normal"/>
    <w:autoRedefine/>
    <w:uiPriority w:val="39"/>
    <w:unhideWhenUsed/>
    <w:rsid w:val="008033D3"/>
    <w:pPr>
      <w:spacing w:after="100"/>
      <w:ind w:left="440"/>
    </w:pPr>
  </w:style>
  <w:style w:type="paragraph" w:styleId="TDC4">
    <w:name w:val="toc 4"/>
    <w:basedOn w:val="Estilo3"/>
    <w:next w:val="Normal"/>
    <w:autoRedefine/>
    <w:uiPriority w:val="39"/>
    <w:unhideWhenUsed/>
    <w:rsid w:val="008033D3"/>
    <w:pPr>
      <w:spacing w:after="100"/>
      <w:ind w:left="660"/>
    </w:pPr>
  </w:style>
  <w:style w:type="paragraph" w:styleId="TDC5">
    <w:name w:val="toc 5"/>
    <w:basedOn w:val="Normal"/>
    <w:next w:val="Normal"/>
    <w:autoRedefine/>
    <w:uiPriority w:val="39"/>
    <w:semiHidden/>
    <w:unhideWhenUsed/>
    <w:rsid w:val="008033D3"/>
    <w:pPr>
      <w:spacing w:after="100"/>
      <w:ind w:left="960"/>
    </w:pPr>
  </w:style>
  <w:style w:type="character" w:styleId="nfasissutil">
    <w:name w:val="Subtle Emphasis"/>
    <w:basedOn w:val="Fuentedeprrafopredeter"/>
    <w:uiPriority w:val="19"/>
    <w:qFormat/>
    <w:rsid w:val="008033D3"/>
    <w:rPr>
      <w:i/>
      <w:iCs/>
      <w:color w:val="808080" w:themeColor="text1" w:themeTint="7F"/>
    </w:rPr>
  </w:style>
  <w:style w:type="paragraph" w:styleId="Encabezado">
    <w:name w:val="header"/>
    <w:basedOn w:val="Normal"/>
    <w:link w:val="EncabezadoCar"/>
    <w:uiPriority w:val="99"/>
    <w:unhideWhenUsed/>
    <w:rsid w:val="008033D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033D3"/>
    <w:rPr>
      <w:rFonts w:ascii="Times New Roman" w:hAnsi="Times New Roman"/>
      <w:sz w:val="24"/>
    </w:rPr>
  </w:style>
  <w:style w:type="paragraph" w:styleId="Piedepgina">
    <w:name w:val="footer"/>
    <w:basedOn w:val="Normal"/>
    <w:link w:val="PiedepginaCar"/>
    <w:uiPriority w:val="99"/>
    <w:unhideWhenUsed/>
    <w:rsid w:val="008033D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033D3"/>
    <w:rPr>
      <w:rFonts w:ascii="Times New Roman" w:hAnsi="Times New Roman"/>
      <w:sz w:val="24"/>
    </w:rPr>
  </w:style>
  <w:style w:type="paragraph" w:styleId="Revisin">
    <w:name w:val="Revision"/>
    <w:hidden/>
    <w:uiPriority w:val="99"/>
    <w:semiHidden/>
    <w:rsid w:val="00167F8F"/>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21"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oter" Target="footer5.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4.xml"/><Relationship Id="rId22" Type="http://schemas.microsoft.com/office/2011/relationships/people" Target="peop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
  <b:Source>
    <b:Tag>ELC15</b:Tag>
    <b:SourceType>ElectronicSource</b:SourceType>
    <b:Guid>{97B99B27-C0B8-4BED-9FF6-7D0085D782EC}</b:Guid>
    <b:Title>Seis empresas compiten por el ensamblaje de celulares</b:Title>
    <b:Year>2014</b:Year>
    <b:Author>
      <b:Author>
        <b:NameList>
          <b:Person>
            <b:Last>Comercio</b:Last>
            <b:First>EL</b:First>
          </b:Person>
        </b:NameList>
      </b:Author>
    </b:Author>
    <b:Month>Octubre</b:Month>
    <b:URL> http://www.elcomercio.com/actualidad/seis-empresas-compiten-ensamblaje-celulares.htm</b:URL>
    <b:RefOrder>1</b:RefOrder>
  </b:Source>
  <b:Source>
    <b:Tag>Kar14</b:Tag>
    <b:SourceType>DocumentFromInternetSite</b:SourceType>
    <b:Guid>{5939196F-93CB-4738-B5A7-0014A7836D43}</b:Guid>
    <b:Title>Agencia Pública de Noticias del Ecuador y Suramérica ANDES</b:Title>
    <b:Year>2014</b:Year>
    <b:Month>Noviembre </b:Month>
    <b:Day>21</b:Day>
    <b:URL>http://www.andes.info.ec/es/noticias/consiste-cambio-matriz-productiva-ecuador.html-0</b:URL>
    <b:Author>
      <b:Author>
        <b:NameList>
          <b:Person>
            <b:Last>Zák</b:Last>
            <b:First>Karel</b:First>
          </b:Person>
        </b:NameList>
      </b:Author>
    </b:Author>
    <b:RefOrder>2</b:RefOrder>
  </b:Source>
  <b:Source>
    <b:Tag>Lyo03</b:Tag>
    <b:SourceType>Book</b:SourceType>
    <b:Guid>{289B2371-02D7-49F4-8DA0-CF0809AD852D}</b:Guid>
    <b:Title>Incentives as a Public Business Investment</b:Title>
    <b:Year>2003</b:Year>
    <b:Author>
      <b:Author>
        <b:NameList>
          <b:Person>
            <b:Last>Lyons</b:Last>
            <b:First>Thomas</b:First>
          </b:Person>
        </b:NameList>
      </b:Author>
    </b:Author>
    <b:City>Westport</b:City>
    <b:Publisher>McEnroe</b:Publisher>
    <b:RefOrder>3</b:RefOrder>
  </b:Source>
  <b:Source>
    <b:Tag>Nad15</b:Tag>
    <b:SourceType>JournalArticle</b:SourceType>
    <b:Guid>{BFC2C8E5-AD34-4A77-B753-47BD40137FCC}</b:Guid>
    <b:Title>El Ecuador y el proceso de cambio de la matriz productiva: consideraciones para el desarrollo y equilibrio de la balanza comercial</b:Title>
    <b:Year>2015</b:Year>
    <b:Author>
      <b:Author>
        <b:NameList>
          <b:Person>
            <b:Last>Villena</b:Last>
            <b:First>Nadia</b:First>
          </b:Person>
        </b:NameList>
      </b:Author>
    </b:Author>
    <b:JournalName>Observatorio de la Economía Latinoamericana</b:JournalName>
    <b:RefOrder>4</b:RefOrder>
  </b:Source>
  <b:Source>
    <b:Tag>Ger11</b:Tag>
    <b:SourceType>Book</b:SourceType>
    <b:Guid>{83881DDF-0810-446A-9496-EFD7109CE18C}</b:Guid>
    <b:Author>
      <b:Author>
        <b:NameList>
          <b:Person>
            <b:Last>Valencia</b:Last>
            <b:First>German</b:First>
          </b:Person>
          <b:Person>
            <b:Last>Smith</b:Last>
            <b:First>&amp;</b:First>
          </b:Person>
        </b:NameList>
      </b:Author>
    </b:Author>
    <b:Title>Economic Theory and the city state formation: Mercantilists and Liberalism</b:Title>
    <b:Year>2011</b:Year>
    <b:City>Medellin</b:City>
    <b:RefOrder>5</b:RefOrder>
  </b:Source>
  <b:Source>
    <b:Tag>Lag09</b:Tag>
    <b:SourceType>InternetSite</b:SourceType>
    <b:Guid>{AFEF52F8-3A9B-4774-B0DC-BE698AE75770}</b:Guid>
    <b:Author>
      <b:Author>
        <b:NameList>
          <b:Person>
            <b:Last>Laguna</b:Last>
            <b:First>Christian</b:First>
          </b:Person>
          <b:Person>
            <b:Last>Ricardo</b:Last>
            <b:First>&amp;</b:First>
          </b:Person>
        </b:NameList>
      </b:Author>
    </b:Author>
    <b:Title>Fundamentos de la teoría clásica del comercio internacional</b:Title>
    <b:Year>2009</b:Year>
    <b:URL>http://www.eumed.net/cursecon/colaboraciones/lrce-comercio.htm</b:URL>
    <b:RefOrder>6</b:RefOrder>
  </b:Source>
  <b:Source>
    <b:Tag>Rez91</b:Tag>
    <b:SourceType>Book</b:SourceType>
    <b:Guid>{82B224B3-68B6-40F7-A384-556F12E4DF0A}</b:Guid>
    <b:Title>International Business: Theory and Practice</b:Title>
    <b:Year>1991</b:Year>
    <b:City>New York </b:City>
    <b:Publisher>Taylor &amp; Francis New York Inc.</b:Publisher>
    <b:Author>
      <b:Author>
        <b:NameList>
          <b:Person>
            <b:Last>Reza</b:Last>
            <b:First>Mohammad </b:First>
          </b:Person>
          <b:Person>
            <b:Last>Paulson</b:Last>
            <b:First>Steven</b:First>
          </b:Person>
          <b:Person>
            <b:Last>Tomlinson </b:Last>
            <b:First>William</b:First>
          </b:Person>
        </b:NameList>
      </b:Author>
    </b:Author>
    <b:RefOrder>7</b:RefOrder>
  </b:Source>
  <b:Source>
    <b:Tag>Bel</b:Tag>
    <b:SourceType>BookSection</b:SourceType>
    <b:Guid>{FF24A4DF-9347-4C89-BE0A-4523C9843A56}</b:Guid>
    <b:Author>
      <b:Author>
        <b:NameList>
          <b:Person>
            <b:Last>Balassa</b:Last>
            <b:First>Bella</b:First>
          </b:Person>
        </b:NameList>
      </b:Author>
    </b:Author>
    <b:Title>Intra-Industry trade and the integration of developing countries in the world economy</b:Title>
    <b:Year>1998</b:Year>
    <b:City>London</b:City>
    <b:Publisher>Routledge</b:Publisher>
    <b:Pages>172-203</b:Pages>
    <b:RefOrder>8</b:RefOrder>
  </b:Source>
  <b:Source>
    <b:Tag>COM12</b:Tag>
    <b:SourceType>Report</b:SourceType>
    <b:Guid>{6A82E284-06E5-4E8E-8B5D-66BEBD2359AA}</b:Guid>
    <b:Title>Resolución No 59</b:Title>
    <b:Year>2012</b:Year>
    <b:City>Quito</b:City>
    <b:Publisher>COMEX</b:Publisher>
    <b:Author>
      <b:Author>
        <b:NameList>
          <b:Person>
            <b:Last>COMEX</b:Last>
          </b:Person>
        </b:NameList>
      </b:Author>
    </b:Author>
    <b:RefOrder>9</b:RefOrder>
  </b:Source>
  <b:Source>
    <b:Tag>Fid99</b:Tag>
    <b:SourceType>Book</b:SourceType>
    <b:Guid>{490DAD9B-2E06-45FF-84BA-374E7AB5AFC6}</b:Guid>
    <b:Author>
      <b:Author>
        <b:NameList>
          <b:Person>
            <b:Last>Arias</b:Last>
            <b:First>Fidias</b:First>
          </b:Person>
        </b:NameList>
      </b:Author>
    </b:Author>
    <b:Title>El Proyecto de Investigación</b:Title>
    <b:Year>1999</b:Year>
    <b:City>Caracas</b:City>
    <b:Publisher>Episteme</b:Publisher>
    <b:Pages>22-23</b:Pages>
    <b:RefOrder>10</b:RefOrder>
  </b:Source>
  <b:Source>
    <b:Tag>Yaq141</b:Tag>
    <b:SourceType>ElectronicSource</b:SourceType>
    <b:Guid>{C0D044FB-84A8-48F6-9451-E0DEC5B26B57}</b:Guid>
    <b:Title>Tesis de Investigación</b:Title>
    <b:Year>2014</b:Year>
    <b:City>Caracas</b:City>
    <b:Author>
      <b:Author>
        <b:NameList>
          <b:Person>
            <b:Last>Franco</b:Last>
            <b:First>Yaquelin</b:First>
          </b:Person>
        </b:NameList>
      </b:Author>
    </b:Author>
    <b:RefOrder>11</b:RefOrder>
  </b:Source>
  <b:Source>
    <b:Tag>wil08</b:Tag>
    <b:SourceType>InternetSite</b:SourceType>
    <b:Guid>{CFA4580A-2AD0-4ACB-82B3-F5D1ABC3BDDF}</b:Guid>
    <b:Title>rrppnet.com.ar</b:Title>
    <b:Year>2008</b:Year>
    <b:Month>Mayo</b:Month>
    <b:Author>
      <b:Author>
        <b:NameList>
          <b:Person>
            <b:Last>Puente</b:Last>
            <b:First>wilson</b:First>
          </b:Person>
        </b:NameList>
      </b:Author>
    </b:Author>
    <b:InternetSiteTitle>TÉCNICAS DE INVESTIGACIÓN</b:InternetSiteTitle>
    <b:URL>http://www.rrppnet.com.ar/tecnicasdeinvestigacion.htm</b:URL>
    <b:RefOrder>12</b:RefOrder>
  </b:Source>
  <b:Source>
    <b:Tag>Ter12</b:Tag>
    <b:SourceType>Book</b:SourceType>
    <b:Guid>{4E0BCAC7-FEEB-45F7-AA42-127F6EC671C4}</b:Guid>
    <b:Title>Teoría general de la interpretación y hermenéutica jurídica: Betti y Gadamer </b:Title>
    <b:Year>2012</b:Year>
    <b:Author>
      <b:Author>
        <b:NameList>
          <b:Person>
            <b:Last>Picontó</b:Last>
            <b:First>Teresa</b:First>
          </b:Person>
        </b:NameList>
      </b:Author>
    </b:Author>
    <b:City>Zaragoza </b:City>
    <b:RefOrder>13</b:RefOrder>
  </b:Source>
  <b:Source>
    <b:Tag>BCE14</b:Tag>
    <b:SourceType>InternetSite</b:SourceType>
    <b:Guid>{B29734FA-6520-49DA-9891-75FB351FCC0C}</b:Guid>
    <b:Year>2014</b:Year>
    <b:URL>http://www.bce.fin.ec/index.php/informacion-estadistica-1</b:URL>
    <b:Author>
      <b:Author>
        <b:NameList>
          <b:Person>
            <b:Last>BCE</b:Last>
          </b:Person>
        </b:NameList>
      </b:Author>
    </b:Author>
    <b:RefOrder>14</b:RefOrder>
  </b:Source>
  <b:Source>
    <b:Tag>ElU15</b:Tag>
    <b:SourceType>ArticleInAPeriodical</b:SourceType>
    <b:Guid>{4B36A1EC-99F0-48FE-BBA4-BF3998C29C7A}</b:Guid>
    <b:Title>Gobierno flexibilizará cupos para importar celulares en marzo</b:Title>
    <b:Year>2015</b:Year>
    <b:Month>Febrero</b:Month>
    <b:Day>15</b:Day>
    <b:Author>
      <b:Author>
        <b:NameList>
          <b:Person>
            <b:Last>Universo</b:Last>
            <b:First>El</b:First>
          </b:Person>
        </b:NameList>
      </b:Author>
    </b:Author>
    <b:RefOrder>15</b:RefOrder>
  </b:Source>
  <b:Source>
    <b:Tag>Tel15</b:Tag>
    <b:SourceType>ArticleInAPeriodical</b:SourceType>
    <b:Guid>{7F196B0A-4ABF-4D88-B1DE-458860F4CAC8}</b:Guid>
    <b:Title>950 mil celulares fueron ensamblados en Ecuador en 2014 (Infografía)</b:Title>
    <b:Year>2015</b:Year>
    <b:Month>Febrero</b:Month>
    <b:Day>7</b:Day>
    <b:Author>
      <b:Author>
        <b:NameList>
          <b:Person>
            <b:Last>Telégrafo</b:Last>
          </b:Person>
        </b:NameList>
      </b:Author>
    </b:Author>
    <b:Pages>6</b:Pages>
    <b:RefOrder>16</b:RefOrder>
  </b:Source>
  <b:Source>
    <b:Tag>Com151</b:Tag>
    <b:SourceType>InternetSite</b:SourceType>
    <b:Guid>{F6701F58-B1AF-4A82-86CF-71DD01B8E755}</b:Guid>
    <b:Author>
      <b:Author>
        <b:NameList>
          <b:Person>
            <b:Last>Comercio</b:Last>
          </b:Person>
        </b:NameList>
      </b:Author>
    </b:Author>
    <b:Year>2015</b:Year>
    <b:Month>Enero</b:Month>
    <b:Day>05</b:Day>
    <b:URL>http://www.elcomercio.com/actualidad/ecuador-medidas-importacion-celulares-aduana.html</b:URL>
    <b:RefOrder>17</b:RefOrder>
  </b:Source>
  <b:Source>
    <b:Tag>COM15</b:Tag>
    <b:SourceType>DocumentFromInternetSite</b:SourceType>
    <b:Guid>{EB4EFED9-2A72-4E13-BAF4-EB3A45226562}</b:Guid>
    <b:Author>
      <b:Author>
        <b:NameList>
          <b:Person>
            <b:Last>COMEX</b:Last>
          </b:Person>
        </b:NameList>
      </b:Author>
    </b:Author>
    <b:Year>2015</b:Year>
    <b:Month>Diciembre </b:Month>
    <b:Day>29</b:Day>
    <b:URL>http://www.comercioexterior.gob.ec/wp-content/uploads/2015/01/resolucion-Nro-049.pdf</b:URL>
    <b:RefOrder>18</b:RefOrder>
  </b:Source>
  <b:Source>
    <b:Tag>Com15</b:Tag>
    <b:SourceType>InternetSite</b:SourceType>
    <b:Guid>{FA2DFA87-3465-4446-88A9-50E81A354B73}</b:Guid>
    <b:Title>Estas son las nuevas medidas sobre la importación de celulares en el 2016</b:Title>
    <b:Year>2015</b:Year>
    <b:Month>Enero</b:Month>
    <b:Day>5</b:Day>
    <b:URL>http://www.elcomercio.com/actualidad/ecuador-medidas-importacion-celulares-aduana.html</b:URL>
    <b:Author>
      <b:Author>
        <b:NameList>
          <b:Person>
            <b:Last>Comercio</b:Last>
          </b:Person>
        </b:NameList>
      </b:Author>
    </b:Author>
    <b:RefOrder>19</b:RefOrder>
  </b:Source>
  <b:Source>
    <b:Tag>AED151</b:Tag>
    <b:SourceType>DocumentFromInternetSite</b:SourceType>
    <b:Guid>{C3E1C722-CC50-42D1-A3D2-FF55AEE1A23C}</b:Guid>
    <b:Year>2015</b:Year>
    <b:Month>Abril</b:Month>
    <b:Day>10</b:Day>
    <b:URL>https://aede2ecuador.wordpress.com/2015/04/10/las-empresas-ensambladoras-de-celulares-del-ecuador-estan-al-borde-de-la-quiebra/</b:URL>
    <b:Author>
      <b:Author>
        <b:NameList>
          <b:Person>
            <b:Last>AEDE2</b:Last>
          </b:Person>
        </b:NameList>
      </b:Author>
    </b:Author>
    <b:RefOrder>20</b:RefOrder>
  </b:Source>
  <b:Source>
    <b:Tag>AED15</b:Tag>
    <b:SourceType>InternetSite</b:SourceType>
    <b:Guid>{DD3B97B9-EEB8-44C8-9A05-8AE1A7BFED57}</b:Guid>
    <b:Year>2015 </b:Year>
    <b:Month>Noviembre </b:Month>
    <b:Day>16</b:Day>
    <b:Author>
      <b:Author>
        <b:NameList>
          <b:Person>
            <b:Last>AEDE2</b:Last>
          </b:Person>
        </b:NameList>
      </b:Author>
    </b:Author>
    <b:URL>https://aede2ecuador.wordpress.com/2015/11/16/comex-no-cometan-el-mismo-error-del-2015-para-el-2016/</b:URL>
    <b:RefOrder>21</b:RefOrder>
  </b:Source>
  <b:Source>
    <b:Tag>GSM15</b:Tag>
    <b:SourceType>InternetSite</b:SourceType>
    <b:Guid>{BC5B1328-85AC-48D0-A13C-9CA0DF9CD314}</b:Guid>
    <b:Title>GSMA Intelligence</b:Title>
    <b:Year>2015</b:Year>
    <b:Author>
      <b:Author>
        <b:NameList>
          <b:Person>
            <b:Last>GSMAIntelligence</b:Last>
          </b:Person>
        </b:NameList>
      </b:Author>
    </b:Author>
    <b:URL>https://gsmaintelligence.com/research/2015/03/the-mobile-economy-2015/491/</b:URL>
    <b:RefOrder>22</b:RefOrder>
  </b:Source>
  <b:Source>
    <b:Tag>For14</b:Tag>
    <b:SourceType>InternetSite</b:SourceType>
    <b:Guid>{468DC3FF-3283-46A1-8C0A-2A419880D6B4}</b:Guid>
    <b:Author>
      <b:Author>
        <b:NameList>
          <b:Person>
            <b:Last>Forbes</b:Last>
          </b:Person>
        </b:NameList>
      </b:Author>
    </b:Author>
    <b:Year>2014</b:Year>
    <b:Month>Mayo </b:Month>
    <b:Day>13</b:Day>
    <b:URL>http://www.forbes.com/sites/jacobmorgan/2014/05/13/simple-explanation-internet-things-that-anyone-can-understand/</b:URL>
    <b:RefOrder>23</b:RefOrder>
  </b:Source>
  <b:Source>
    <b:Tag>Ecu07</b:Tag>
    <b:SourceType>Report</b:SourceType>
    <b:Guid>{A2E2DA7F-F3F6-403B-A053-AB69DD91206C}</b:Guid>
    <b:Author>
      <b:Author>
        <b:NameList>
          <b:Person>
            <b:Last>Ecuador</b:Last>
            <b:First>Banco</b:First>
            <b:Middle>central del</b:Middle>
          </b:Person>
        </b:NameList>
      </b:Author>
    </b:Author>
    <b:Title>Evolución de la Balanza de Pagos</b:Title>
    <b:Year>Diciembre 2007</b:Year>
    <b:RefOrder>24</b:RefOrder>
  </b:Source>
  <b:Source>
    <b:Tag>San10</b:Tag>
    <b:SourceType>Book</b:SourceType>
    <b:Guid>{A0F475AC-FD70-4B7D-83C1-74E91A1A0331}</b:Guid>
    <b:Author>
      <b:Author>
        <b:NameList>
          <b:Person>
            <b:Last>Santa Palella</b:Last>
            <b:First>Feliberto</b:First>
            <b:Middle>Martins</b:Middle>
          </b:Person>
        </b:NameList>
      </b:Author>
    </b:Author>
    <b:Title>Metodología de la Investigación Cuantitativa </b:Title>
    <b:Year>2010</b:Year>
    <b:City>Caracas</b:City>
    <b:Publisher>FEDUPEL</b:Publisher>
    <b:RefOrder>25</b:RefOrder>
  </b:Source>
  <b:Source>
    <b:Tag>Mar97</b:Tag>
    <b:SourceType>Book</b:SourceType>
    <b:Guid>{1E5E3904-672D-4E04-BC9E-C695AC42F930}</b:Guid>
    <b:Author>
      <b:Author>
        <b:NameList>
          <b:Person>
            <b:Last>Tamayo</b:Last>
            <b:First>Mario</b:First>
            <b:Middle>Tamayo y</b:Middle>
          </b:Person>
        </b:NameList>
      </b:Author>
    </b:Author>
    <b:Title>El proceso de la investigación científica </b:Title>
    <b:Year>1997</b:Year>
    <b:City>México</b:City>
    <b:Publisher>Limusa</b:Publisher>
    <b:RefOrder>26</b:RefOrder>
  </b:Source>
  <b:Source>
    <b:Tag>Yaq14</b:Tag>
    <b:SourceType>InternetSite</b:SourceType>
    <b:Guid>{FA860EAF-122E-40E8-BF21-BCD585558EC1}</b:Guid>
    <b:Title>Tesis de Investigacion</b:Title>
    <b:Year>2014</b:Year>
    <b:Author>
      <b:Author>
        <b:NameList>
          <b:Person>
            <b:Last>Franco</b:Last>
            <b:First>Yaqueline</b:First>
          </b:Person>
        </b:NameList>
      </b:Author>
    </b:Author>
    <b:URL>http://tesisdeinvestig.blogspot.com/2011/06/poblacion-y-muestra-tamayo-y-tamayo.html</b:URL>
    <b:RefOrder>27</b:RefOrder>
  </b:Source>
  <b:Source>
    <b:Tag>Wil00</b:Tag>
    <b:SourceType>InternetSite</b:SourceType>
    <b:Guid>{3C7749FD-A70D-4127-8EB3-91958B38AACB}</b:Guid>
    <b:Author>
      <b:Author>
        <b:NameList>
          <b:Person>
            <b:Last>Puente</b:Last>
            <b:First>Wilson</b:First>
          </b:Person>
        </b:NameList>
      </b:Author>
    </b:Author>
    <b:Title>Portal de Relaciones Públicas</b:Title>
    <b:Year>2000</b:Year>
    <b:URL>http://www.rrppnet.com.ar/tecnicasdeinvestigacion.htm</b:URL>
    <b:RefOrder>28</b:RefOrder>
  </b:Source>
  <b:Source>
    <b:Tag>mov</b:Tag>
    <b:SourceType>InternetSite</b:SourceType>
    <b:Guid>{01677E47-33EB-45CE-B4CB-3205F00DF1ED}</b:Guid>
    <b:Author>
      <b:Author>
        <b:NameList>
          <b:Person>
            <b:Last>movilbak.es</b:Last>
          </b:Person>
        </b:NameList>
      </b:Author>
    </b:Author>
    <b:Title>http://www.movilbak.es/</b:Title>
    <b:URL>http://www.movilbak.es/blog/index.php/2012/11/27/de-que-esta-hecho-un-telefono-movil/</b:URL>
    <b:RefOrder>29</b:RefOrder>
  </b:Source>
  <b:Source>
    <b:Tag>Ban14</b:Tag>
    <b:SourceType>Report</b:SourceType>
    <b:Guid>{686BF51F-D7FA-46D7-A485-3CC99CF5AFCE}</b:Guid>
    <b:Title>Crecimiento del sector industrial</b:Title>
    <b:Year>2014</b:Year>
    <b:Author>
      <b:Author>
        <b:NameList>
          <b:Person>
            <b:Last>Ecuador</b:Last>
            <b:First>Banco</b:First>
            <b:Middle>Central del</b:Middle>
          </b:Person>
        </b:NameList>
      </b:Author>
    </b:Author>
    <b:RefOrder>30</b:RefOrder>
  </b:Source>
</b:Sources>
</file>

<file path=customXml/itemProps1.xml><?xml version="1.0" encoding="utf-8"?>
<ds:datastoreItem xmlns:ds="http://schemas.openxmlformats.org/officeDocument/2006/customXml" ds:itemID="{39FDC41C-2F00-4308-8329-CF7455F5DE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53</Pages>
  <Words>14828</Words>
  <Characters>81560</Characters>
  <Application>Microsoft Office Word</Application>
  <DocSecurity>0</DocSecurity>
  <Lines>679</Lines>
  <Paragraphs>192</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96196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2016-05-11T14:48:00Z</dcterms:created>
  <dcterms:modified xsi:type="dcterms:W3CDTF">2016-05-11T15:05:00Z</dcterms:modified>
</cp:coreProperties>
</file>